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华文中宋" w:hAnsi="华文中宋" w:eastAsia="华文中宋"/>
          <w:color w:val="auto"/>
          <w:spacing w:val="20"/>
          <w:sz w:val="28"/>
          <w:szCs w:val="28"/>
          <w:highlight w:val="none"/>
        </w:rPr>
      </w:pPr>
    </w:p>
    <w:p>
      <w:pPr>
        <w:spacing w:line="360" w:lineRule="auto"/>
        <w:rPr>
          <w:rFonts w:ascii="华文中宋" w:hAnsi="华文中宋" w:eastAsia="华文中宋"/>
          <w:color w:val="auto"/>
          <w:spacing w:val="20"/>
          <w:sz w:val="28"/>
          <w:szCs w:val="28"/>
          <w:highlight w:val="none"/>
        </w:rPr>
      </w:pPr>
    </w:p>
    <w:p>
      <w:pPr>
        <w:spacing w:line="360" w:lineRule="auto"/>
        <w:rPr>
          <w:rFonts w:ascii="华文中宋" w:hAnsi="华文中宋" w:eastAsia="华文中宋"/>
          <w:color w:val="auto"/>
          <w:spacing w:val="20"/>
          <w:sz w:val="28"/>
          <w:szCs w:val="28"/>
          <w:highlight w:val="none"/>
        </w:rPr>
      </w:pPr>
    </w:p>
    <w:p>
      <w:pPr>
        <w:spacing w:line="360" w:lineRule="auto"/>
        <w:jc w:val="center"/>
        <w:rPr>
          <w:rFonts w:ascii="华文中宋" w:hAnsi="华文中宋" w:eastAsia="华文中宋"/>
          <w:color w:val="auto"/>
          <w:spacing w:val="-20"/>
          <w:sz w:val="96"/>
          <w:szCs w:val="96"/>
          <w:highlight w:val="none"/>
        </w:rPr>
      </w:pPr>
      <w:r>
        <w:rPr>
          <w:rFonts w:hint="eastAsia" w:ascii="华文中宋" w:hAnsi="华文中宋" w:eastAsia="华文中宋"/>
          <w:color w:val="auto"/>
          <w:spacing w:val="-20"/>
          <w:sz w:val="96"/>
          <w:szCs w:val="96"/>
          <w:highlight w:val="none"/>
        </w:rPr>
        <w:t>竞争性</w:t>
      </w:r>
      <w:r>
        <w:rPr>
          <w:rFonts w:hint="eastAsia" w:ascii="华文中宋" w:hAnsi="华文中宋" w:eastAsia="华文中宋"/>
          <w:color w:val="auto"/>
          <w:spacing w:val="-20"/>
          <w:sz w:val="96"/>
          <w:szCs w:val="96"/>
          <w:highlight w:val="none"/>
          <w:lang w:eastAsia="zh-CN"/>
        </w:rPr>
        <w:t>磋商</w:t>
      </w:r>
      <w:r>
        <w:rPr>
          <w:rFonts w:hint="eastAsia" w:ascii="华文中宋" w:hAnsi="华文中宋" w:eastAsia="华文中宋"/>
          <w:color w:val="auto"/>
          <w:spacing w:val="-20"/>
          <w:sz w:val="96"/>
          <w:szCs w:val="96"/>
          <w:highlight w:val="none"/>
        </w:rPr>
        <w:t>文件</w:t>
      </w:r>
    </w:p>
    <w:p>
      <w:pPr>
        <w:spacing w:line="360" w:lineRule="auto"/>
        <w:ind w:left="2235" w:leftChars="223" w:hanging="1700" w:hangingChars="500"/>
        <w:rPr>
          <w:rFonts w:ascii="华文中宋" w:hAnsi="华文中宋" w:eastAsia="华文中宋"/>
          <w:color w:val="auto"/>
          <w:spacing w:val="20"/>
          <w:sz w:val="30"/>
          <w:szCs w:val="30"/>
          <w:highlight w:val="none"/>
        </w:rPr>
      </w:pPr>
    </w:p>
    <w:p>
      <w:pPr>
        <w:spacing w:line="360" w:lineRule="auto"/>
        <w:ind w:left="2597" w:leftChars="412" w:hanging="1608" w:hangingChars="473"/>
        <w:rPr>
          <w:rFonts w:ascii="华文中宋" w:hAnsi="华文中宋" w:eastAsia="华文中宋"/>
          <w:color w:val="auto"/>
          <w:spacing w:val="20"/>
          <w:sz w:val="30"/>
          <w:szCs w:val="30"/>
          <w:highlight w:val="none"/>
        </w:rPr>
      </w:pPr>
    </w:p>
    <w:p>
      <w:pPr>
        <w:spacing w:line="360" w:lineRule="auto"/>
        <w:ind w:left="2692" w:leftChars="413" w:hanging="1701"/>
        <w:jc w:val="both"/>
        <w:rPr>
          <w:rFonts w:ascii="华文中宋" w:hAnsi="华文中宋" w:eastAsia="华文中宋"/>
          <w:color w:val="auto"/>
          <w:spacing w:val="20"/>
          <w:sz w:val="32"/>
          <w:szCs w:val="32"/>
          <w:highlight w:val="none"/>
        </w:rPr>
      </w:pPr>
      <w:r>
        <w:rPr>
          <w:rFonts w:hint="eastAsia" w:ascii="华文中宋" w:hAnsi="华文中宋" w:eastAsia="华文中宋"/>
          <w:color w:val="auto"/>
          <w:spacing w:val="20"/>
          <w:sz w:val="32"/>
          <w:szCs w:val="32"/>
          <w:highlight w:val="none"/>
        </w:rPr>
        <w:t>项目名称：</w:t>
      </w:r>
      <w:r>
        <w:rPr>
          <w:rFonts w:hint="eastAsia" w:ascii="华文中宋" w:hAnsi="华文中宋" w:eastAsia="华文中宋"/>
          <w:color w:val="auto"/>
          <w:sz w:val="30"/>
          <w:szCs w:val="30"/>
          <w:highlight w:val="none"/>
          <w:lang w:eastAsia="zh-CN"/>
        </w:rPr>
        <w:t>成都市田家炳中学初中部食堂改造工程采购项目</w:t>
      </w:r>
    </w:p>
    <w:p>
      <w:pPr>
        <w:spacing w:line="360" w:lineRule="auto"/>
        <w:ind w:firstLine="990" w:firstLineChars="275"/>
        <w:rPr>
          <w:rFonts w:ascii="华文中宋" w:hAnsi="华文中宋" w:eastAsia="华文中宋"/>
          <w:color w:val="auto"/>
          <w:spacing w:val="20"/>
          <w:sz w:val="32"/>
          <w:szCs w:val="32"/>
          <w:highlight w:val="none"/>
        </w:rPr>
      </w:pPr>
      <w:r>
        <w:rPr>
          <w:rFonts w:hint="eastAsia" w:ascii="华文中宋" w:hAnsi="华文中宋" w:eastAsia="华文中宋"/>
          <w:color w:val="auto"/>
          <w:spacing w:val="20"/>
          <w:sz w:val="32"/>
          <w:szCs w:val="32"/>
          <w:highlight w:val="none"/>
        </w:rPr>
        <w:t>项目编号：</w:t>
      </w:r>
      <w:r>
        <w:rPr>
          <w:rFonts w:hint="eastAsia" w:ascii="华文中宋" w:hAnsi="华文中宋" w:eastAsia="华文中宋"/>
          <w:color w:val="auto"/>
          <w:spacing w:val="20"/>
          <w:sz w:val="30"/>
          <w:szCs w:val="30"/>
          <w:highlight w:val="none"/>
          <w:lang w:eastAsia="zh-CN"/>
        </w:rPr>
        <w:t>锦江政采（2021）A000</w:t>
      </w:r>
      <w:r>
        <w:rPr>
          <w:rFonts w:hint="eastAsia" w:ascii="华文中宋" w:hAnsi="华文中宋" w:eastAsia="华文中宋"/>
          <w:color w:val="auto"/>
          <w:spacing w:val="20"/>
          <w:sz w:val="30"/>
          <w:szCs w:val="30"/>
          <w:highlight w:val="none"/>
          <w:lang w:val="en-US" w:eastAsia="zh-CN"/>
        </w:rPr>
        <w:t>3</w:t>
      </w:r>
      <w:r>
        <w:rPr>
          <w:rFonts w:hint="eastAsia" w:ascii="华文中宋" w:hAnsi="华文中宋" w:eastAsia="华文中宋"/>
          <w:color w:val="auto"/>
          <w:spacing w:val="20"/>
          <w:sz w:val="30"/>
          <w:szCs w:val="30"/>
          <w:highlight w:val="none"/>
          <w:lang w:eastAsia="zh-CN"/>
        </w:rPr>
        <w:t>号</w:t>
      </w: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rPr>
          <w:rFonts w:ascii="华文中宋" w:hAnsi="华文中宋" w:eastAsia="华文中宋"/>
          <w:color w:val="auto"/>
          <w:sz w:val="32"/>
          <w:szCs w:val="32"/>
          <w:highlight w:val="none"/>
        </w:rPr>
      </w:pPr>
    </w:p>
    <w:p>
      <w:pPr>
        <w:spacing w:line="360" w:lineRule="auto"/>
        <w:jc w:val="center"/>
        <w:rPr>
          <w:rFonts w:hint="eastAsia" w:ascii="华文中宋" w:hAnsi="华文中宋" w:eastAsia="华文中宋"/>
          <w:color w:val="auto"/>
          <w:sz w:val="32"/>
          <w:szCs w:val="32"/>
          <w:highlight w:val="none"/>
          <w:lang w:val="en-US" w:eastAsia="zh-CN"/>
        </w:rPr>
      </w:pPr>
      <w:r>
        <w:rPr>
          <w:rFonts w:hint="eastAsia" w:ascii="华文中宋" w:hAnsi="华文中宋" w:eastAsia="华文中宋"/>
          <w:color w:val="auto"/>
          <w:spacing w:val="20"/>
          <w:sz w:val="32"/>
          <w:szCs w:val="32"/>
          <w:highlight w:val="none"/>
          <w:lang w:eastAsia="zh-CN"/>
        </w:rPr>
        <w:t>四川省成都市田家炳中学</w:t>
      </w:r>
    </w:p>
    <w:p>
      <w:pPr>
        <w:spacing w:line="360" w:lineRule="auto"/>
        <w:jc w:val="center"/>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lang w:eastAsia="zh-CN"/>
        </w:rPr>
        <w:t>成都市锦江区政府采购中心</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tabs>
          <w:tab w:val="center" w:pos="4153"/>
          <w:tab w:val="right" w:pos="8306"/>
        </w:tabs>
        <w:spacing w:line="360" w:lineRule="auto"/>
        <w:rPr>
          <w:rFonts w:hint="eastAsia" w:ascii="华文中宋" w:hAnsi="华文中宋" w:eastAsia="华文中宋"/>
          <w:bCs/>
          <w:color w:val="auto"/>
          <w:sz w:val="32"/>
          <w:szCs w:val="32"/>
          <w:highlight w:val="none"/>
        </w:rPr>
      </w:pPr>
      <w:r>
        <w:rPr>
          <w:rFonts w:ascii="华文中宋" w:hAnsi="华文中宋" w:eastAsia="华文中宋"/>
          <w:bCs/>
          <w:color w:val="auto"/>
          <w:sz w:val="32"/>
          <w:szCs w:val="32"/>
          <w:highlight w:val="none"/>
        </w:rPr>
        <w:tab/>
      </w:r>
      <w:r>
        <w:rPr>
          <w:rFonts w:ascii="华文中宋" w:hAnsi="华文中宋" w:eastAsia="华文中宋"/>
          <w:bCs/>
          <w:color w:val="auto"/>
          <w:sz w:val="32"/>
          <w:szCs w:val="32"/>
          <w:highlight w:val="none"/>
        </w:rPr>
        <w:t xml:space="preserve">   </w:t>
      </w:r>
      <w:r>
        <w:rPr>
          <w:rFonts w:hint="eastAsia" w:ascii="华文中宋" w:hAnsi="华文中宋" w:eastAsia="华文中宋"/>
          <w:bCs/>
          <w:color w:val="auto"/>
          <w:sz w:val="32"/>
          <w:szCs w:val="32"/>
          <w:highlight w:val="none"/>
        </w:rPr>
        <w:t>二○</w:t>
      </w:r>
      <w:r>
        <w:rPr>
          <w:rFonts w:hint="eastAsia" w:ascii="华文中宋" w:hAnsi="华文中宋" w:eastAsia="华文中宋"/>
          <w:bCs/>
          <w:color w:val="auto"/>
          <w:sz w:val="32"/>
          <w:szCs w:val="32"/>
          <w:highlight w:val="none"/>
          <w:lang w:eastAsia="zh-CN"/>
        </w:rPr>
        <w:t>二一</w:t>
      </w:r>
      <w:r>
        <w:rPr>
          <w:rFonts w:hint="eastAsia" w:ascii="华文中宋" w:hAnsi="华文中宋" w:eastAsia="华文中宋"/>
          <w:bCs/>
          <w:color w:val="auto"/>
          <w:sz w:val="32"/>
          <w:szCs w:val="32"/>
          <w:highlight w:val="none"/>
        </w:rPr>
        <w:t>年</w:t>
      </w:r>
      <w:r>
        <w:rPr>
          <w:rFonts w:hint="eastAsia" w:ascii="华文中宋" w:hAnsi="华文中宋" w:eastAsia="华文中宋"/>
          <w:bCs/>
          <w:color w:val="auto"/>
          <w:sz w:val="32"/>
          <w:szCs w:val="32"/>
          <w:highlight w:val="none"/>
          <w:lang w:eastAsia="zh-CN"/>
        </w:rPr>
        <w:t>六</w:t>
      </w:r>
      <w:r>
        <w:rPr>
          <w:rFonts w:hint="eastAsia" w:ascii="华文中宋" w:hAnsi="华文中宋" w:eastAsia="华文中宋"/>
          <w:bCs/>
          <w:color w:val="auto"/>
          <w:sz w:val="32"/>
          <w:szCs w:val="32"/>
          <w:highlight w:val="none"/>
        </w:rPr>
        <w:t>月</w:t>
      </w:r>
    </w:p>
    <w:p>
      <w:pPr>
        <w:pStyle w:val="2"/>
        <w:rPr>
          <w:color w:val="auto"/>
          <w:highlight w:val="none"/>
        </w:rPr>
      </w:pPr>
      <w:r>
        <w:rPr>
          <w:color w:val="auto"/>
          <w:highlight w:val="none"/>
        </w:rPr>
        <w:br w:type="page"/>
      </w:r>
    </w:p>
    <w:p>
      <w:pPr>
        <w:tabs>
          <w:tab w:val="center" w:pos="4153"/>
          <w:tab w:val="right" w:pos="8306"/>
        </w:tabs>
        <w:spacing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目</w:t>
      </w:r>
      <w:r>
        <w:rPr>
          <w:rFonts w:ascii="宋体" w:hAnsi="宋体"/>
          <w:b/>
          <w:bCs/>
          <w:color w:val="auto"/>
          <w:sz w:val="36"/>
          <w:szCs w:val="36"/>
          <w:highlight w:val="none"/>
        </w:rPr>
        <w:t xml:space="preserve"> </w:t>
      </w:r>
      <w:r>
        <w:rPr>
          <w:rFonts w:hint="eastAsia" w:ascii="宋体" w:hAnsi="宋体"/>
          <w:b/>
          <w:bCs/>
          <w:color w:val="auto"/>
          <w:sz w:val="36"/>
          <w:szCs w:val="36"/>
          <w:highlight w:val="none"/>
        </w:rPr>
        <w:t>录</w:t>
      </w:r>
    </w:p>
    <w:p>
      <w:pPr>
        <w:pStyle w:val="34"/>
        <w:tabs>
          <w:tab w:val="right" w:leader="dot" w:pos="9214"/>
          <w:tab w:val="clear" w:pos="840"/>
          <w:tab w:val="clear" w:pos="9204"/>
        </w:tabs>
        <w:rPr>
          <w:color w:val="auto"/>
          <w:highlight w:val="none"/>
        </w:rPr>
      </w:pPr>
      <w:r>
        <w:rPr>
          <w:rFonts w:ascii="宋体" w:hAnsi="宋体"/>
          <w:color w:val="auto"/>
          <w:sz w:val="36"/>
          <w:szCs w:val="36"/>
          <w:highlight w:val="none"/>
        </w:rPr>
        <w:fldChar w:fldCharType="begin"/>
      </w:r>
      <w:r>
        <w:rPr>
          <w:rFonts w:ascii="宋体" w:hAnsi="宋体"/>
          <w:color w:val="auto"/>
          <w:sz w:val="36"/>
          <w:szCs w:val="36"/>
          <w:highlight w:val="none"/>
        </w:rPr>
        <w:instrText xml:space="preserve">TOC \o "1-2" \h \z \u</w:instrText>
      </w:r>
      <w:r>
        <w:rPr>
          <w:rFonts w:ascii="宋体" w:hAnsi="宋体"/>
          <w:color w:val="auto"/>
          <w:sz w:val="36"/>
          <w:szCs w:val="36"/>
          <w:highlight w:val="none"/>
        </w:rPr>
        <w:fldChar w:fldCharType="separate"/>
      </w:r>
      <w:r>
        <w:rPr>
          <w:rFonts w:ascii="宋体" w:hAnsi="宋体"/>
          <w:color w:val="auto"/>
          <w:szCs w:val="36"/>
          <w:highlight w:val="none"/>
        </w:rPr>
        <w:fldChar w:fldCharType="begin"/>
      </w:r>
      <w:r>
        <w:rPr>
          <w:rFonts w:ascii="宋体" w:hAnsi="宋体"/>
          <w:color w:val="auto"/>
          <w:szCs w:val="36"/>
          <w:highlight w:val="none"/>
        </w:rPr>
        <w:instrText xml:space="preserve"> HYPERLINK \l _Toc8236 </w:instrText>
      </w:r>
      <w:r>
        <w:rPr>
          <w:rFonts w:ascii="宋体" w:hAnsi="宋体"/>
          <w:color w:val="auto"/>
          <w:szCs w:val="36"/>
          <w:highlight w:val="none"/>
        </w:rPr>
        <w:fldChar w:fldCharType="separate"/>
      </w:r>
      <w:r>
        <w:rPr>
          <w:rFonts w:hint="default" w:ascii="Times New Roman" w:hAnsi="Times New Roman" w:eastAsia="宋体"/>
          <w:i w:val="0"/>
          <w:color w:val="auto"/>
          <w:szCs w:val="32"/>
          <w:highlight w:val="none"/>
        </w:rPr>
        <w:t xml:space="preserve">第1章 </w:t>
      </w:r>
      <w:r>
        <w:rPr>
          <w:rFonts w:hint="eastAsia"/>
          <w:color w:val="auto"/>
          <w:highlight w:val="none"/>
        </w:rPr>
        <w:t>竞争性</w:t>
      </w:r>
      <w:r>
        <w:rPr>
          <w:rFonts w:hint="eastAsia"/>
          <w:color w:val="auto"/>
          <w:highlight w:val="none"/>
          <w:lang w:eastAsia="zh-CN"/>
        </w:rPr>
        <w:t>磋商</w:t>
      </w:r>
      <w:r>
        <w:rPr>
          <w:rFonts w:hint="eastAsia"/>
          <w:color w:val="auto"/>
          <w:highlight w:val="none"/>
        </w:rPr>
        <w:t>邀请</w:t>
      </w:r>
      <w:r>
        <w:rPr>
          <w:color w:val="auto"/>
          <w:highlight w:val="none"/>
        </w:rPr>
        <w:tab/>
      </w:r>
      <w:r>
        <w:rPr>
          <w:color w:val="auto"/>
          <w:highlight w:val="none"/>
        </w:rPr>
        <w:fldChar w:fldCharType="begin"/>
      </w:r>
      <w:r>
        <w:rPr>
          <w:color w:val="auto"/>
          <w:highlight w:val="none"/>
        </w:rPr>
        <w:instrText xml:space="preserve"> PAGEREF _Toc8236 </w:instrText>
      </w:r>
      <w:r>
        <w:rPr>
          <w:color w:val="auto"/>
          <w:highlight w:val="none"/>
        </w:rPr>
        <w:fldChar w:fldCharType="separate"/>
      </w:r>
      <w:r>
        <w:rPr>
          <w:color w:val="auto"/>
          <w:highlight w:val="none"/>
        </w:rPr>
        <w:t>4</w:t>
      </w:r>
      <w:r>
        <w:rPr>
          <w:color w:val="auto"/>
          <w:highlight w:val="none"/>
        </w:rPr>
        <w:fldChar w:fldCharType="end"/>
      </w:r>
      <w:r>
        <w:rPr>
          <w:rFonts w:ascii="宋体" w:hAnsi="宋体"/>
          <w:color w:val="auto"/>
          <w:szCs w:val="36"/>
          <w:highlight w:val="none"/>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_Toc10753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rPr>
        <w:t xml:space="preserve">第2章 </w:t>
      </w:r>
      <w:r>
        <w:rPr>
          <w:rFonts w:hint="eastAsia"/>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_Toc10753 </w:instrText>
      </w:r>
      <w:r>
        <w:rPr>
          <w:color w:val="auto"/>
          <w:highlight w:val="none"/>
        </w:rPr>
        <w:fldChar w:fldCharType="separate"/>
      </w:r>
      <w:r>
        <w:rPr>
          <w:color w:val="auto"/>
          <w:highlight w:val="none"/>
        </w:rPr>
        <w:t>10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_Toc25809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2.1 </w:t>
      </w:r>
      <w:r>
        <w:rPr>
          <w:rFonts w:hint="eastAsia"/>
          <w:color w:val="auto"/>
          <w:highlight w:val="none"/>
        </w:rPr>
        <w:t>供应商须知前附表</w:t>
      </w:r>
      <w:r>
        <w:rPr>
          <w:color w:val="auto"/>
          <w:highlight w:val="none"/>
        </w:rPr>
        <w:tab/>
      </w:r>
      <w:r>
        <w:rPr>
          <w:color w:val="auto"/>
          <w:highlight w:val="none"/>
        </w:rPr>
        <w:fldChar w:fldCharType="begin"/>
      </w:r>
      <w:r>
        <w:rPr>
          <w:color w:val="auto"/>
          <w:highlight w:val="none"/>
        </w:rPr>
        <w:instrText xml:space="preserve"> PAGEREF _Toc25809 </w:instrText>
      </w:r>
      <w:r>
        <w:rPr>
          <w:color w:val="auto"/>
          <w:highlight w:val="none"/>
        </w:rPr>
        <w:fldChar w:fldCharType="separate"/>
      </w:r>
      <w:r>
        <w:rPr>
          <w:color w:val="auto"/>
          <w:highlight w:val="none"/>
        </w:rPr>
        <w:t>10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_Toc2083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2.2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_Toc2083 </w:instrText>
      </w:r>
      <w:r>
        <w:rPr>
          <w:color w:val="auto"/>
          <w:highlight w:val="none"/>
        </w:rPr>
        <w:fldChar w:fldCharType="separate"/>
      </w:r>
      <w:r>
        <w:rPr>
          <w:color w:val="auto"/>
          <w:highlight w:val="none"/>
        </w:rPr>
        <w:t>13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_Toc19674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2.3 </w:t>
      </w:r>
      <w:r>
        <w:rPr>
          <w:rFonts w:hint="eastAsia"/>
          <w:color w:val="auto"/>
          <w:highlight w:val="none"/>
          <w:lang w:eastAsia="zh-CN"/>
        </w:rPr>
        <w:t>磋商</w:t>
      </w:r>
      <w:r>
        <w:rPr>
          <w:rFonts w:hint="eastAsia"/>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_Toc19674 </w:instrText>
      </w:r>
      <w:r>
        <w:rPr>
          <w:color w:val="auto"/>
          <w:highlight w:val="none"/>
        </w:rPr>
        <w:fldChar w:fldCharType="separate"/>
      </w:r>
      <w:r>
        <w:rPr>
          <w:color w:val="auto"/>
          <w:highlight w:val="none"/>
        </w:rPr>
        <w:t>15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_Toc13540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2.4 </w:t>
      </w:r>
      <w:r>
        <w:rPr>
          <w:rFonts w:hint="eastAsia"/>
          <w:color w:val="auto"/>
          <w:highlight w:val="none"/>
        </w:rPr>
        <w:t>施工响应文件</w:t>
      </w:r>
      <w:r>
        <w:rPr>
          <w:color w:val="auto"/>
          <w:highlight w:val="none"/>
        </w:rPr>
        <w:tab/>
      </w:r>
      <w:r>
        <w:rPr>
          <w:color w:val="auto"/>
          <w:highlight w:val="none"/>
        </w:rPr>
        <w:fldChar w:fldCharType="begin"/>
      </w:r>
      <w:r>
        <w:rPr>
          <w:color w:val="auto"/>
          <w:highlight w:val="none"/>
        </w:rPr>
        <w:instrText xml:space="preserve"> PAGEREF _Toc13540 </w:instrText>
      </w:r>
      <w:r>
        <w:rPr>
          <w:color w:val="auto"/>
          <w:highlight w:val="none"/>
        </w:rPr>
        <w:fldChar w:fldCharType="separate"/>
      </w:r>
      <w:r>
        <w:rPr>
          <w:color w:val="auto"/>
          <w:highlight w:val="none"/>
        </w:rPr>
        <w:t>17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_Toc21415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2.5 </w:t>
      </w:r>
      <w:r>
        <w:rPr>
          <w:rFonts w:hint="eastAsia"/>
          <w:color w:val="auto"/>
          <w:highlight w:val="none"/>
        </w:rPr>
        <w:t>资格</w:t>
      </w:r>
      <w:r>
        <w:rPr>
          <w:color w:val="auto"/>
          <w:highlight w:val="none"/>
        </w:rPr>
        <w:t>预审和评审</w:t>
      </w:r>
      <w:r>
        <w:rPr>
          <w:color w:val="auto"/>
          <w:highlight w:val="none"/>
        </w:rPr>
        <w:tab/>
      </w:r>
      <w:r>
        <w:rPr>
          <w:color w:val="auto"/>
          <w:highlight w:val="none"/>
        </w:rPr>
        <w:fldChar w:fldCharType="begin"/>
      </w:r>
      <w:r>
        <w:rPr>
          <w:color w:val="auto"/>
          <w:highlight w:val="none"/>
        </w:rPr>
        <w:instrText xml:space="preserve"> PAGEREF _Toc21415 </w:instrText>
      </w:r>
      <w:r>
        <w:rPr>
          <w:color w:val="auto"/>
          <w:highlight w:val="none"/>
        </w:rPr>
        <w:fldChar w:fldCharType="separate"/>
      </w:r>
      <w:r>
        <w:rPr>
          <w:color w:val="auto"/>
          <w:highlight w:val="none"/>
        </w:rPr>
        <w:t>27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_Toc18026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2.6 </w:t>
      </w:r>
      <w:r>
        <w:rPr>
          <w:rFonts w:cs="宋体"/>
          <w:color w:val="auto"/>
          <w:highlight w:val="none"/>
        </w:rPr>
        <w:t>成交通知书</w:t>
      </w:r>
      <w:r>
        <w:rPr>
          <w:color w:val="auto"/>
          <w:highlight w:val="none"/>
        </w:rPr>
        <w:tab/>
      </w:r>
      <w:r>
        <w:rPr>
          <w:color w:val="auto"/>
          <w:highlight w:val="none"/>
        </w:rPr>
        <w:fldChar w:fldCharType="begin"/>
      </w:r>
      <w:r>
        <w:rPr>
          <w:color w:val="auto"/>
          <w:highlight w:val="none"/>
        </w:rPr>
        <w:instrText xml:space="preserve"> PAGEREF _Toc18026 </w:instrText>
      </w:r>
      <w:r>
        <w:rPr>
          <w:color w:val="auto"/>
          <w:highlight w:val="none"/>
        </w:rPr>
        <w:fldChar w:fldCharType="separate"/>
      </w:r>
      <w:r>
        <w:rPr>
          <w:color w:val="auto"/>
          <w:highlight w:val="none"/>
        </w:rPr>
        <w:t>27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_Toc17899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lang w:val="en-US" w:eastAsia="zh-CN" w:bidi="ar-SA"/>
        </w:rPr>
        <w:t xml:space="preserve">2.7 </w:t>
      </w:r>
      <w:r>
        <w:rPr>
          <w:rFonts w:hint="eastAsia"/>
          <w:color w:val="auto"/>
          <w:highlight w:val="none"/>
        </w:rPr>
        <w:t>签订及履行合同和验收</w:t>
      </w:r>
      <w:r>
        <w:rPr>
          <w:color w:val="auto"/>
          <w:highlight w:val="none"/>
        </w:rPr>
        <w:tab/>
      </w:r>
      <w:r>
        <w:rPr>
          <w:color w:val="auto"/>
          <w:highlight w:val="none"/>
        </w:rPr>
        <w:fldChar w:fldCharType="begin"/>
      </w:r>
      <w:r>
        <w:rPr>
          <w:color w:val="auto"/>
          <w:highlight w:val="none"/>
        </w:rPr>
        <w:instrText xml:space="preserve"> PAGEREF _Toc17899 </w:instrText>
      </w:r>
      <w:r>
        <w:rPr>
          <w:color w:val="auto"/>
          <w:highlight w:val="none"/>
        </w:rPr>
        <w:fldChar w:fldCharType="separate"/>
      </w:r>
      <w:r>
        <w:rPr>
          <w:color w:val="auto"/>
          <w:highlight w:val="none"/>
        </w:rPr>
        <w:t>27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_Toc12603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2.8 </w:t>
      </w:r>
      <w:r>
        <w:rPr>
          <w:rFonts w:hint="eastAsia"/>
          <w:color w:val="auto"/>
          <w:highlight w:val="none"/>
        </w:rPr>
        <w:t>竞争性</w:t>
      </w:r>
      <w:r>
        <w:rPr>
          <w:rFonts w:hint="eastAsia"/>
          <w:color w:val="auto"/>
          <w:highlight w:val="none"/>
          <w:lang w:eastAsia="zh-CN"/>
        </w:rPr>
        <w:t>磋商</w:t>
      </w:r>
      <w:r>
        <w:rPr>
          <w:rFonts w:hint="eastAsia"/>
          <w:color w:val="auto"/>
          <w:highlight w:val="none"/>
        </w:rPr>
        <w:t>工作纪律及要求</w:t>
      </w:r>
      <w:r>
        <w:rPr>
          <w:color w:val="auto"/>
          <w:highlight w:val="none"/>
        </w:rPr>
        <w:tab/>
      </w:r>
      <w:r>
        <w:rPr>
          <w:color w:val="auto"/>
          <w:highlight w:val="none"/>
        </w:rPr>
        <w:fldChar w:fldCharType="begin"/>
      </w:r>
      <w:r>
        <w:rPr>
          <w:color w:val="auto"/>
          <w:highlight w:val="none"/>
        </w:rPr>
        <w:instrText xml:space="preserve"> PAGEREF _Toc12603 </w:instrText>
      </w:r>
      <w:r>
        <w:rPr>
          <w:color w:val="auto"/>
          <w:highlight w:val="none"/>
        </w:rPr>
        <w:fldChar w:fldCharType="separate"/>
      </w:r>
      <w:r>
        <w:rPr>
          <w:color w:val="auto"/>
          <w:highlight w:val="none"/>
        </w:rPr>
        <w:t>32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_Toc7753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2.9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_Toc7753 </w:instrText>
      </w:r>
      <w:r>
        <w:rPr>
          <w:color w:val="auto"/>
          <w:highlight w:val="none"/>
        </w:rPr>
        <w:fldChar w:fldCharType="separate"/>
      </w:r>
      <w:r>
        <w:rPr>
          <w:color w:val="auto"/>
          <w:highlight w:val="none"/>
        </w:rPr>
        <w:t>34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_Toc17616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2.10 </w:t>
      </w:r>
      <w:r>
        <w:rPr>
          <w:rFonts w:hint="eastAsia"/>
          <w:color w:val="auto"/>
          <w:highlight w:val="none"/>
        </w:rPr>
        <w:t>中小企业信用担保融资</w:t>
      </w:r>
      <w:r>
        <w:rPr>
          <w:color w:val="auto"/>
          <w:highlight w:val="none"/>
        </w:rPr>
        <w:tab/>
      </w:r>
      <w:r>
        <w:rPr>
          <w:color w:val="auto"/>
          <w:highlight w:val="none"/>
        </w:rPr>
        <w:fldChar w:fldCharType="begin"/>
      </w:r>
      <w:r>
        <w:rPr>
          <w:color w:val="auto"/>
          <w:highlight w:val="none"/>
        </w:rPr>
        <w:instrText xml:space="preserve"> PAGEREF _Toc17616 </w:instrText>
      </w:r>
      <w:r>
        <w:rPr>
          <w:color w:val="auto"/>
          <w:highlight w:val="none"/>
        </w:rPr>
        <w:fldChar w:fldCharType="separate"/>
      </w:r>
      <w:r>
        <w:rPr>
          <w:color w:val="auto"/>
          <w:highlight w:val="none"/>
        </w:rPr>
        <w:t>36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_Toc22547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2.11 </w:t>
      </w:r>
      <w:r>
        <w:rPr>
          <w:rFonts w:hint="eastAsia"/>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_Toc22547 </w:instrText>
      </w:r>
      <w:r>
        <w:rPr>
          <w:color w:val="auto"/>
          <w:highlight w:val="none"/>
        </w:rPr>
        <w:fldChar w:fldCharType="separate"/>
      </w:r>
      <w:r>
        <w:rPr>
          <w:color w:val="auto"/>
          <w:highlight w:val="none"/>
        </w:rPr>
        <w:t>36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_Toc23030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rPr>
        <w:t xml:space="preserve">第3章 </w:t>
      </w:r>
      <w:r>
        <w:rPr>
          <w:rFonts w:hint="eastAsia"/>
          <w:color w:val="auto"/>
          <w:highlight w:val="none"/>
        </w:rPr>
        <w:t>施工响应文件格式</w:t>
      </w:r>
      <w:r>
        <w:rPr>
          <w:color w:val="auto"/>
          <w:highlight w:val="none"/>
        </w:rPr>
        <w:tab/>
      </w:r>
      <w:r>
        <w:rPr>
          <w:color w:val="auto"/>
          <w:highlight w:val="none"/>
        </w:rPr>
        <w:fldChar w:fldCharType="begin"/>
      </w:r>
      <w:r>
        <w:rPr>
          <w:color w:val="auto"/>
          <w:highlight w:val="none"/>
        </w:rPr>
        <w:instrText xml:space="preserve"> PAGEREF _Toc23030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_Toc28854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3.1 </w:t>
      </w:r>
      <w:r>
        <w:rPr>
          <w:rFonts w:hint="eastAsia"/>
          <w:color w:val="auto"/>
          <w:highlight w:val="none"/>
        </w:rPr>
        <w:t>施工响应文件格式</w:t>
      </w:r>
      <w:r>
        <w:rPr>
          <w:color w:val="auto"/>
          <w:highlight w:val="none"/>
        </w:rPr>
        <w:tab/>
      </w:r>
      <w:r>
        <w:rPr>
          <w:color w:val="auto"/>
          <w:highlight w:val="none"/>
        </w:rPr>
        <w:fldChar w:fldCharType="begin"/>
      </w:r>
      <w:r>
        <w:rPr>
          <w:color w:val="auto"/>
          <w:highlight w:val="none"/>
        </w:rPr>
        <w:instrText xml:space="preserve"> PAGEREF _Toc28854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_Toc10475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rPr>
        <w:t xml:space="preserve">第4章 </w:t>
      </w:r>
      <w:r>
        <w:rPr>
          <w:rFonts w:hint="eastAsia"/>
          <w:color w:val="auto"/>
          <w:highlight w:val="none"/>
        </w:rPr>
        <w:t>技术、服务、商务及其他要求</w:t>
      </w:r>
      <w:r>
        <w:rPr>
          <w:color w:val="auto"/>
          <w:highlight w:val="none"/>
        </w:rPr>
        <w:tab/>
      </w:r>
      <w:r>
        <w:rPr>
          <w:color w:val="auto"/>
          <w:highlight w:val="none"/>
        </w:rPr>
        <w:fldChar w:fldCharType="begin"/>
      </w:r>
      <w:r>
        <w:rPr>
          <w:color w:val="auto"/>
          <w:highlight w:val="none"/>
        </w:rPr>
        <w:instrText xml:space="preserve"> PAGEREF _Toc10475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_Toc21978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4.1 </w:t>
      </w:r>
      <w:r>
        <w:rPr>
          <w:rFonts w:hint="eastAsia"/>
          <w:color w:val="auto"/>
          <w:highlight w:val="none"/>
          <w:lang w:eastAsia="zh-CN"/>
        </w:rPr>
        <w:t>项目介绍</w:t>
      </w:r>
      <w:r>
        <w:rPr>
          <w:color w:val="auto"/>
          <w:highlight w:val="none"/>
        </w:rPr>
        <w:tab/>
      </w:r>
      <w:r>
        <w:rPr>
          <w:color w:val="auto"/>
          <w:highlight w:val="none"/>
        </w:rPr>
        <w:fldChar w:fldCharType="begin"/>
      </w:r>
      <w:r>
        <w:rPr>
          <w:color w:val="auto"/>
          <w:highlight w:val="none"/>
        </w:rPr>
        <w:instrText xml:space="preserve"> PAGEREF _Toc21978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_Toc11668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4.2 </w:t>
      </w:r>
      <w:r>
        <w:rPr>
          <w:rFonts w:hint="eastAsia"/>
          <w:color w:val="auto"/>
          <w:highlight w:val="none"/>
          <w:lang w:eastAsia="zh-CN"/>
        </w:rPr>
        <w:t>工程内容</w:t>
      </w:r>
      <w:r>
        <w:rPr>
          <w:color w:val="auto"/>
          <w:highlight w:val="none"/>
        </w:rPr>
        <w:tab/>
      </w:r>
      <w:r>
        <w:rPr>
          <w:color w:val="auto"/>
          <w:highlight w:val="none"/>
        </w:rPr>
        <w:fldChar w:fldCharType="begin"/>
      </w:r>
      <w:r>
        <w:rPr>
          <w:color w:val="auto"/>
          <w:highlight w:val="none"/>
        </w:rPr>
        <w:instrText xml:space="preserve"> PAGEREF _Toc11668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_Toc11590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4.3 </w:t>
      </w:r>
      <w:r>
        <w:rPr>
          <w:rFonts w:hint="eastAsia"/>
          <w:color w:val="auto"/>
          <w:highlight w:val="none"/>
        </w:rPr>
        <w:t>技术、服务、合同</w:t>
      </w:r>
      <w:r>
        <w:rPr>
          <w:color w:val="auto"/>
          <w:highlight w:val="none"/>
        </w:rPr>
        <w:t>条款</w:t>
      </w:r>
      <w:r>
        <w:rPr>
          <w:rFonts w:hint="eastAsia"/>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_Toc11590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_Toc29252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4.4 </w:t>
      </w:r>
      <w:r>
        <w:rPr>
          <w:rFonts w:hint="eastAsia" w:ascii="仿宋" w:hAnsi="仿宋" w:eastAsia="仿宋"/>
          <w:color w:val="auto"/>
          <w:highlight w:val="none"/>
        </w:rPr>
        <w:t>★</w:t>
      </w:r>
      <w:r>
        <w:rPr>
          <w:rFonts w:hint="eastAsia" w:cs="仿宋" w:asciiTheme="minorEastAsia" w:hAnsiTheme="minorEastAsia" w:eastAsiaTheme="minorEastAsia"/>
          <w:bCs w:val="0"/>
          <w:color w:val="auto"/>
          <w:highlight w:val="none"/>
        </w:rPr>
        <w:t>漏项工程处理</w:t>
      </w:r>
      <w:r>
        <w:rPr>
          <w:color w:val="auto"/>
          <w:highlight w:val="none"/>
        </w:rPr>
        <w:tab/>
      </w:r>
      <w:r>
        <w:rPr>
          <w:color w:val="auto"/>
          <w:highlight w:val="none"/>
        </w:rPr>
        <w:fldChar w:fldCharType="begin"/>
      </w:r>
      <w:r>
        <w:rPr>
          <w:color w:val="auto"/>
          <w:highlight w:val="none"/>
        </w:rPr>
        <w:instrText xml:space="preserve"> PAGEREF _Toc29252 </w:instrText>
      </w:r>
      <w:r>
        <w:rPr>
          <w:color w:val="auto"/>
          <w:highlight w:val="none"/>
        </w:rPr>
        <w:fldChar w:fldCharType="separate"/>
      </w:r>
      <w:r>
        <w:rPr>
          <w:color w:val="auto"/>
          <w:highlight w:val="none"/>
        </w:rPr>
        <w:t>51</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_Toc3323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eastAsia="zh-CN"/>
        </w:rPr>
        <w:t xml:space="preserve">4.5 </w:t>
      </w:r>
      <w:r>
        <w:rPr>
          <w:rFonts w:hint="eastAsia" w:ascii="仿宋" w:hAnsi="仿宋" w:eastAsia="仿宋"/>
          <w:color w:val="auto"/>
          <w:highlight w:val="none"/>
        </w:rPr>
        <w:t>★</w:t>
      </w:r>
      <w:r>
        <w:rPr>
          <w:rFonts w:hint="eastAsia" w:cs="仿宋" w:asciiTheme="minorEastAsia" w:hAnsiTheme="minorEastAsia" w:eastAsiaTheme="minorEastAsia"/>
          <w:bCs w:val="0"/>
          <w:color w:val="auto"/>
          <w:highlight w:val="none"/>
          <w:lang w:eastAsia="zh-CN"/>
        </w:rPr>
        <w:t>工程量清单及图纸</w:t>
      </w:r>
      <w:r>
        <w:rPr>
          <w:color w:val="auto"/>
          <w:highlight w:val="none"/>
        </w:rPr>
        <w:tab/>
      </w:r>
      <w:r>
        <w:rPr>
          <w:color w:val="auto"/>
          <w:highlight w:val="none"/>
        </w:rPr>
        <w:fldChar w:fldCharType="begin"/>
      </w:r>
      <w:r>
        <w:rPr>
          <w:color w:val="auto"/>
          <w:highlight w:val="none"/>
        </w:rPr>
        <w:instrText xml:space="preserve"> PAGEREF _Toc3323 </w:instrText>
      </w:r>
      <w:r>
        <w:rPr>
          <w:color w:val="auto"/>
          <w:highlight w:val="none"/>
        </w:rPr>
        <w:fldChar w:fldCharType="separate"/>
      </w:r>
      <w:r>
        <w:rPr>
          <w:color w:val="auto"/>
          <w:highlight w:val="none"/>
        </w:rPr>
        <w:t>51</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_Toc7665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4.6 </w:t>
      </w:r>
      <w:r>
        <w:rPr>
          <w:rFonts w:hint="eastAsia" w:ascii="仿宋" w:hAnsi="仿宋" w:eastAsia="仿宋"/>
          <w:color w:val="auto"/>
          <w:highlight w:val="none"/>
        </w:rPr>
        <w:t>★</w:t>
      </w:r>
      <w:r>
        <w:rPr>
          <w:rFonts w:hint="eastAsia" w:cs="仿宋" w:asciiTheme="minorEastAsia" w:hAnsiTheme="minorEastAsia" w:eastAsiaTheme="minorEastAsia"/>
          <w:bCs w:val="0"/>
          <w:color w:val="auto"/>
          <w:highlight w:val="none"/>
          <w:lang w:eastAsia="zh-CN"/>
        </w:rPr>
        <w:t>工程质量</w:t>
      </w:r>
      <w:r>
        <w:rPr>
          <w:color w:val="auto"/>
          <w:highlight w:val="none"/>
        </w:rPr>
        <w:tab/>
      </w:r>
      <w:r>
        <w:rPr>
          <w:color w:val="auto"/>
          <w:highlight w:val="none"/>
        </w:rPr>
        <w:fldChar w:fldCharType="begin"/>
      </w:r>
      <w:r>
        <w:rPr>
          <w:color w:val="auto"/>
          <w:highlight w:val="none"/>
        </w:rPr>
        <w:instrText xml:space="preserve"> PAGEREF _Toc7665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_Toc11568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eastAsia="zh-CN"/>
        </w:rPr>
        <w:t xml:space="preserve">4.7 </w:t>
      </w:r>
      <w:r>
        <w:rPr>
          <w:rFonts w:hint="eastAsia" w:ascii="仿宋" w:hAnsi="仿宋" w:eastAsia="仿宋"/>
          <w:bCs/>
          <w:color w:val="auto"/>
          <w:highlight w:val="none"/>
        </w:rPr>
        <w:t>★</w:t>
      </w:r>
      <w:r>
        <w:rPr>
          <w:rFonts w:hint="eastAsia" w:cs="仿宋" w:asciiTheme="minorEastAsia" w:hAnsiTheme="minorEastAsia" w:eastAsiaTheme="minorEastAsia"/>
          <w:bCs/>
          <w:color w:val="auto"/>
          <w:highlight w:val="none"/>
          <w:lang w:eastAsia="zh-CN"/>
        </w:rPr>
        <w:t>材料要求</w:t>
      </w:r>
      <w:r>
        <w:rPr>
          <w:color w:val="auto"/>
          <w:highlight w:val="none"/>
        </w:rPr>
        <w:tab/>
      </w:r>
      <w:r>
        <w:rPr>
          <w:color w:val="auto"/>
          <w:highlight w:val="none"/>
        </w:rPr>
        <w:fldChar w:fldCharType="begin"/>
      </w:r>
      <w:r>
        <w:rPr>
          <w:color w:val="auto"/>
          <w:highlight w:val="none"/>
        </w:rPr>
        <w:instrText xml:space="preserve"> PAGEREF _Toc11568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_Toc18627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eastAsia="zh-CN"/>
        </w:rPr>
        <w:t xml:space="preserve">4.8 </w:t>
      </w:r>
      <w:r>
        <w:rPr>
          <w:rFonts w:hint="eastAsia" w:ascii="仿宋" w:hAnsi="仿宋" w:eastAsia="仿宋"/>
          <w:color w:val="auto"/>
          <w:highlight w:val="none"/>
        </w:rPr>
        <w:t>★</w:t>
      </w:r>
      <w:r>
        <w:rPr>
          <w:rFonts w:hint="eastAsia" w:cs="仿宋" w:asciiTheme="minorEastAsia" w:hAnsiTheme="minorEastAsia" w:eastAsiaTheme="minorEastAsia"/>
          <w:bCs w:val="0"/>
          <w:color w:val="auto"/>
          <w:highlight w:val="none"/>
          <w:lang w:eastAsia="zh-CN"/>
        </w:rPr>
        <w:t>质量保修期</w:t>
      </w:r>
      <w:r>
        <w:rPr>
          <w:color w:val="auto"/>
          <w:highlight w:val="none"/>
        </w:rPr>
        <w:tab/>
      </w:r>
      <w:r>
        <w:rPr>
          <w:color w:val="auto"/>
          <w:highlight w:val="none"/>
        </w:rPr>
        <w:fldChar w:fldCharType="begin"/>
      </w:r>
      <w:r>
        <w:rPr>
          <w:color w:val="auto"/>
          <w:highlight w:val="none"/>
        </w:rPr>
        <w:instrText xml:space="preserve"> PAGEREF _Toc18627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_Toc11018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eastAsia="zh-CN"/>
        </w:rPr>
        <w:t xml:space="preserve">4.9 </w:t>
      </w:r>
      <w:r>
        <w:rPr>
          <w:rFonts w:hint="eastAsia" w:cs="仿宋" w:asciiTheme="minorEastAsia" w:hAnsiTheme="minorEastAsia" w:eastAsiaTheme="minorEastAsia"/>
          <w:bCs w:val="0"/>
          <w:color w:val="auto"/>
          <w:highlight w:val="none"/>
          <w:lang w:eastAsia="zh-CN"/>
        </w:rPr>
        <w:t>★安全责任</w:t>
      </w:r>
      <w:r>
        <w:rPr>
          <w:color w:val="auto"/>
          <w:highlight w:val="none"/>
        </w:rPr>
        <w:tab/>
      </w:r>
      <w:r>
        <w:rPr>
          <w:color w:val="auto"/>
          <w:highlight w:val="none"/>
        </w:rPr>
        <w:fldChar w:fldCharType="begin"/>
      </w:r>
      <w:r>
        <w:rPr>
          <w:color w:val="auto"/>
          <w:highlight w:val="none"/>
        </w:rPr>
        <w:instrText xml:space="preserve"> PAGEREF _Toc11018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_Toc29279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eastAsia="zh-CN"/>
        </w:rPr>
        <w:t xml:space="preserve">4.10 </w:t>
      </w:r>
      <w:r>
        <w:rPr>
          <w:rFonts w:hint="eastAsia" w:ascii="仿宋" w:hAnsi="仿宋" w:eastAsia="仿宋"/>
          <w:color w:val="auto"/>
          <w:highlight w:val="none"/>
        </w:rPr>
        <w:t>★</w:t>
      </w:r>
      <w:r>
        <w:rPr>
          <w:rFonts w:hint="eastAsia" w:eastAsiaTheme="minorEastAsia"/>
          <w:bCs w:val="0"/>
          <w:color w:val="auto"/>
          <w:highlight w:val="none"/>
          <w:lang w:eastAsia="zh-CN"/>
        </w:rPr>
        <w:t>现场踏勘</w:t>
      </w:r>
      <w:r>
        <w:rPr>
          <w:color w:val="auto"/>
          <w:highlight w:val="none"/>
        </w:rPr>
        <w:tab/>
      </w:r>
      <w:r>
        <w:rPr>
          <w:color w:val="auto"/>
          <w:highlight w:val="none"/>
        </w:rPr>
        <w:fldChar w:fldCharType="begin"/>
      </w:r>
      <w:r>
        <w:rPr>
          <w:color w:val="auto"/>
          <w:highlight w:val="none"/>
        </w:rPr>
        <w:instrText xml:space="preserve"> PAGEREF _Toc29279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_Toc27214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bCs w:val="0"/>
          <w:i w:val="0"/>
          <w:color w:val="auto"/>
          <w:szCs w:val="28"/>
          <w:highlight w:val="none"/>
          <w:lang w:val="en-US" w:eastAsia="zh-CN" w:bidi="ar-SA"/>
        </w:rPr>
        <w:t xml:space="preserve">4.11 </w:t>
      </w:r>
      <w:r>
        <w:rPr>
          <w:rFonts w:hint="eastAsia" w:ascii="仿宋" w:hAnsi="仿宋" w:eastAsia="仿宋"/>
          <w:color w:val="auto"/>
          <w:szCs w:val="28"/>
          <w:highlight w:val="none"/>
        </w:rPr>
        <w:t>★</w:t>
      </w:r>
      <w:r>
        <w:rPr>
          <w:rFonts w:hint="eastAsia" w:cs="仿宋" w:asciiTheme="minorEastAsia" w:hAnsiTheme="minorEastAsia" w:eastAsiaTheme="minorEastAsia"/>
          <w:bCs w:val="0"/>
          <w:color w:val="auto"/>
          <w:szCs w:val="28"/>
          <w:highlight w:val="none"/>
        </w:rPr>
        <w:t>针对本项目的其他技术服务要求</w:t>
      </w:r>
      <w:r>
        <w:rPr>
          <w:color w:val="auto"/>
          <w:highlight w:val="none"/>
        </w:rPr>
        <w:tab/>
      </w:r>
      <w:r>
        <w:rPr>
          <w:color w:val="auto"/>
          <w:highlight w:val="none"/>
        </w:rPr>
        <w:fldChar w:fldCharType="begin"/>
      </w:r>
      <w:r>
        <w:rPr>
          <w:color w:val="auto"/>
          <w:highlight w:val="none"/>
        </w:rPr>
        <w:instrText xml:space="preserve"> PAGEREF _Toc27214 </w:instrText>
      </w:r>
      <w:r>
        <w:rPr>
          <w:color w:val="auto"/>
          <w:highlight w:val="none"/>
        </w:rPr>
        <w:fldChar w:fldCharType="separate"/>
      </w:r>
      <w:r>
        <w:rPr>
          <w:color w:val="auto"/>
          <w:highlight w:val="none"/>
        </w:rPr>
        <w:t>52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_Toc3943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4.12 </w:t>
      </w:r>
      <w:r>
        <w:rPr>
          <w:rFonts w:hint="eastAsia" w:ascii="仿宋" w:hAnsi="仿宋" w:eastAsia="仿宋"/>
          <w:color w:val="auto"/>
          <w:highlight w:val="none"/>
        </w:rPr>
        <w:t>★</w:t>
      </w:r>
      <w:r>
        <w:rPr>
          <w:rFonts w:hint="eastAsia"/>
          <w:color w:val="auto"/>
          <w:highlight w:val="none"/>
          <w:lang w:eastAsia="zh-CN"/>
        </w:rPr>
        <w:t>验收标准和方法</w:t>
      </w:r>
      <w:r>
        <w:rPr>
          <w:color w:val="auto"/>
          <w:highlight w:val="none"/>
        </w:rPr>
        <w:tab/>
      </w:r>
      <w:r>
        <w:rPr>
          <w:color w:val="auto"/>
          <w:highlight w:val="none"/>
        </w:rPr>
        <w:fldChar w:fldCharType="begin"/>
      </w:r>
      <w:r>
        <w:rPr>
          <w:color w:val="auto"/>
          <w:highlight w:val="none"/>
        </w:rPr>
        <w:instrText xml:space="preserve"> PAGEREF _Toc3943 </w:instrText>
      </w:r>
      <w:r>
        <w:rPr>
          <w:color w:val="auto"/>
          <w:highlight w:val="none"/>
        </w:rPr>
        <w:fldChar w:fldCharType="separate"/>
      </w:r>
      <w:r>
        <w:rPr>
          <w:color w:val="auto"/>
          <w:highlight w:val="none"/>
        </w:rPr>
        <w:t>53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_Toc21850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4.13 </w:t>
      </w:r>
      <w:r>
        <w:rPr>
          <w:rFonts w:hint="eastAsia"/>
          <w:color w:val="auto"/>
          <w:highlight w:val="none"/>
        </w:rPr>
        <w:t>满足采购需求的最低要求</w:t>
      </w:r>
      <w:r>
        <w:rPr>
          <w:color w:val="auto"/>
          <w:highlight w:val="none"/>
        </w:rPr>
        <w:tab/>
      </w:r>
      <w:r>
        <w:rPr>
          <w:color w:val="auto"/>
          <w:highlight w:val="none"/>
        </w:rPr>
        <w:fldChar w:fldCharType="begin"/>
      </w:r>
      <w:r>
        <w:rPr>
          <w:color w:val="auto"/>
          <w:highlight w:val="none"/>
        </w:rPr>
        <w:instrText xml:space="preserve"> PAGEREF _Toc21850 </w:instrText>
      </w:r>
      <w:r>
        <w:rPr>
          <w:color w:val="auto"/>
          <w:highlight w:val="none"/>
        </w:rPr>
        <w:fldChar w:fldCharType="separate"/>
      </w:r>
      <w:r>
        <w:rPr>
          <w:color w:val="auto"/>
          <w:highlight w:val="none"/>
        </w:rPr>
        <w:t>53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_Toc4089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rPr>
        <w:t xml:space="preserve">第5章 </w:t>
      </w:r>
      <w:r>
        <w:rPr>
          <w:rFonts w:hint="eastAsia"/>
          <w:color w:val="auto"/>
          <w:highlight w:val="none"/>
          <w:lang w:eastAsia="zh-CN"/>
        </w:rPr>
        <w:t>磋商办法</w:t>
      </w:r>
      <w:r>
        <w:rPr>
          <w:color w:val="auto"/>
          <w:highlight w:val="none"/>
        </w:rPr>
        <w:tab/>
      </w:r>
      <w:r>
        <w:rPr>
          <w:color w:val="auto"/>
          <w:highlight w:val="none"/>
        </w:rPr>
        <w:fldChar w:fldCharType="begin"/>
      </w:r>
      <w:r>
        <w:rPr>
          <w:color w:val="auto"/>
          <w:highlight w:val="none"/>
        </w:rPr>
        <w:instrText xml:space="preserve"> PAGEREF _Toc4089 </w:instrText>
      </w:r>
      <w:r>
        <w:rPr>
          <w:color w:val="auto"/>
          <w:highlight w:val="none"/>
        </w:rPr>
        <w:fldChar w:fldCharType="separate"/>
      </w:r>
      <w:r>
        <w:rPr>
          <w:color w:val="auto"/>
          <w:highlight w:val="none"/>
        </w:rPr>
        <w:t>54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_Toc30245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5.1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_Toc30245 </w:instrText>
      </w:r>
      <w:r>
        <w:rPr>
          <w:color w:val="auto"/>
          <w:highlight w:val="none"/>
        </w:rPr>
        <w:fldChar w:fldCharType="separate"/>
      </w:r>
      <w:r>
        <w:rPr>
          <w:color w:val="auto"/>
          <w:highlight w:val="none"/>
        </w:rPr>
        <w:t>54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_Toc3898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5.2 </w:t>
      </w:r>
      <w:r>
        <w:rPr>
          <w:rFonts w:hint="eastAsia"/>
          <w:color w:val="auto"/>
          <w:highlight w:val="none"/>
        </w:rPr>
        <w:t>磋商程序</w:t>
      </w:r>
      <w:r>
        <w:rPr>
          <w:color w:val="auto"/>
          <w:highlight w:val="none"/>
        </w:rPr>
        <w:tab/>
      </w:r>
      <w:r>
        <w:rPr>
          <w:color w:val="auto"/>
          <w:highlight w:val="none"/>
        </w:rPr>
        <w:fldChar w:fldCharType="begin"/>
      </w:r>
      <w:r>
        <w:rPr>
          <w:color w:val="auto"/>
          <w:highlight w:val="none"/>
        </w:rPr>
        <w:instrText xml:space="preserve"> PAGEREF _Toc3898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_Toc30750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 </w:t>
      </w:r>
      <w:r>
        <w:rPr>
          <w:rFonts w:hint="eastAsia"/>
          <w:color w:val="auto"/>
          <w:highlight w:val="none"/>
        </w:rPr>
        <w:t>供应商参与</w:t>
      </w:r>
      <w:r>
        <w:rPr>
          <w:color w:val="auto"/>
          <w:highlight w:val="none"/>
        </w:rPr>
        <w:tab/>
      </w:r>
      <w:r>
        <w:rPr>
          <w:color w:val="auto"/>
          <w:highlight w:val="none"/>
        </w:rPr>
        <w:fldChar w:fldCharType="begin"/>
      </w:r>
      <w:r>
        <w:rPr>
          <w:color w:val="auto"/>
          <w:highlight w:val="none"/>
        </w:rPr>
        <w:instrText xml:space="preserve"> PAGEREF _Toc30750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_Toc7220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5.2.2 </w:t>
      </w:r>
      <w:r>
        <w:rPr>
          <w:rFonts w:hint="eastAsia"/>
          <w:color w:val="auto"/>
          <w:highlight w:val="none"/>
        </w:rPr>
        <w:t>递交施工响应文件</w:t>
      </w:r>
      <w:r>
        <w:rPr>
          <w:color w:val="auto"/>
          <w:highlight w:val="none"/>
        </w:rPr>
        <w:tab/>
      </w:r>
      <w:r>
        <w:rPr>
          <w:color w:val="auto"/>
          <w:highlight w:val="none"/>
        </w:rPr>
        <w:fldChar w:fldCharType="begin"/>
      </w:r>
      <w:r>
        <w:rPr>
          <w:color w:val="auto"/>
          <w:highlight w:val="none"/>
        </w:rPr>
        <w:instrText xml:space="preserve"> PAGEREF _Toc7220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_Toc25120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5.2.3 </w:t>
      </w:r>
      <w:r>
        <w:rPr>
          <w:rFonts w:hint="eastAsia"/>
          <w:color w:val="auto"/>
          <w:highlight w:val="none"/>
        </w:rPr>
        <w:t>确定邀请参加磋商的供应商数量</w:t>
      </w:r>
      <w:r>
        <w:rPr>
          <w:color w:val="auto"/>
          <w:highlight w:val="none"/>
        </w:rPr>
        <w:tab/>
      </w:r>
      <w:r>
        <w:rPr>
          <w:color w:val="auto"/>
          <w:highlight w:val="none"/>
        </w:rPr>
        <w:fldChar w:fldCharType="begin"/>
      </w:r>
      <w:r>
        <w:rPr>
          <w:color w:val="auto"/>
          <w:highlight w:val="none"/>
        </w:rPr>
        <w:instrText xml:space="preserve"> PAGEREF _Toc25120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_Toc20101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5.2.4 </w:t>
      </w:r>
      <w:r>
        <w:rPr>
          <w:rFonts w:hint="eastAsia"/>
          <w:color w:val="auto"/>
          <w:highlight w:val="none"/>
        </w:rPr>
        <w:t>成立磋商小组</w:t>
      </w:r>
      <w:r>
        <w:rPr>
          <w:color w:val="auto"/>
          <w:highlight w:val="none"/>
        </w:rPr>
        <w:tab/>
      </w:r>
      <w:r>
        <w:rPr>
          <w:color w:val="auto"/>
          <w:highlight w:val="none"/>
        </w:rPr>
        <w:fldChar w:fldCharType="begin"/>
      </w:r>
      <w:r>
        <w:rPr>
          <w:color w:val="auto"/>
          <w:highlight w:val="none"/>
        </w:rPr>
        <w:instrText xml:space="preserve"> PAGEREF _Toc20101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_Toc4302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5.2.5 </w:t>
      </w:r>
      <w:r>
        <w:rPr>
          <w:rFonts w:hint="eastAsia"/>
          <w:color w:val="auto"/>
          <w:highlight w:val="none"/>
        </w:rPr>
        <w:t>磋商</w:t>
      </w:r>
      <w:r>
        <w:rPr>
          <w:color w:val="auto"/>
          <w:highlight w:val="none"/>
        </w:rPr>
        <w:tab/>
      </w:r>
      <w:r>
        <w:rPr>
          <w:color w:val="auto"/>
          <w:highlight w:val="none"/>
        </w:rPr>
        <w:fldChar w:fldCharType="begin"/>
      </w:r>
      <w:r>
        <w:rPr>
          <w:color w:val="auto"/>
          <w:highlight w:val="none"/>
        </w:rPr>
        <w:instrText xml:space="preserve"> PAGEREF _Toc4302 </w:instrText>
      </w:r>
      <w:r>
        <w:rPr>
          <w:color w:val="auto"/>
          <w:highlight w:val="none"/>
        </w:rPr>
        <w:fldChar w:fldCharType="separate"/>
      </w:r>
      <w:r>
        <w:rPr>
          <w:color w:val="auto"/>
          <w:highlight w:val="none"/>
        </w:rPr>
        <w:t>56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_Toc11703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5.2.6 </w:t>
      </w:r>
      <w:r>
        <w:rPr>
          <w:rFonts w:hint="eastAsia"/>
          <w:color w:val="auto"/>
          <w:highlight w:val="none"/>
        </w:rPr>
        <w:t>符合性审查</w:t>
      </w:r>
      <w:r>
        <w:rPr>
          <w:color w:val="auto"/>
          <w:highlight w:val="none"/>
        </w:rPr>
        <w:tab/>
      </w:r>
      <w:r>
        <w:rPr>
          <w:color w:val="auto"/>
          <w:highlight w:val="none"/>
        </w:rPr>
        <w:fldChar w:fldCharType="begin"/>
      </w:r>
      <w:r>
        <w:rPr>
          <w:color w:val="auto"/>
          <w:highlight w:val="none"/>
        </w:rPr>
        <w:instrText xml:space="preserve"> PAGEREF _Toc11703 </w:instrText>
      </w:r>
      <w:r>
        <w:rPr>
          <w:color w:val="auto"/>
          <w:highlight w:val="none"/>
        </w:rPr>
        <w:fldChar w:fldCharType="separate"/>
      </w:r>
      <w:r>
        <w:rPr>
          <w:color w:val="auto"/>
          <w:highlight w:val="none"/>
        </w:rPr>
        <w:t>57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_Toc32028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5.2.7 </w:t>
      </w:r>
      <w:r>
        <w:rPr>
          <w:rFonts w:hint="eastAsia"/>
          <w:color w:val="auto"/>
          <w:highlight w:val="none"/>
        </w:rPr>
        <w:t>最后报价审查</w:t>
      </w:r>
      <w:r>
        <w:rPr>
          <w:color w:val="auto"/>
          <w:highlight w:val="none"/>
        </w:rPr>
        <w:tab/>
      </w:r>
      <w:r>
        <w:rPr>
          <w:color w:val="auto"/>
          <w:highlight w:val="none"/>
        </w:rPr>
        <w:fldChar w:fldCharType="begin"/>
      </w:r>
      <w:r>
        <w:rPr>
          <w:color w:val="auto"/>
          <w:highlight w:val="none"/>
        </w:rPr>
        <w:instrText xml:space="preserve"> PAGEREF _Toc32028 </w:instrText>
      </w:r>
      <w:r>
        <w:rPr>
          <w:color w:val="auto"/>
          <w:highlight w:val="none"/>
        </w:rPr>
        <w:fldChar w:fldCharType="separate"/>
      </w:r>
      <w:r>
        <w:rPr>
          <w:color w:val="auto"/>
          <w:highlight w:val="none"/>
        </w:rPr>
        <w:t>60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_Toc26688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5.2.8 </w:t>
      </w:r>
      <w:r>
        <w:rPr>
          <w:rFonts w:hint="eastAsia"/>
          <w:color w:val="auto"/>
          <w:highlight w:val="none"/>
          <w:lang w:eastAsia="zh-CN"/>
        </w:rPr>
        <w:t>解释、澄清、说明的有关问题</w:t>
      </w:r>
      <w:r>
        <w:rPr>
          <w:color w:val="auto"/>
          <w:highlight w:val="none"/>
        </w:rPr>
        <w:tab/>
      </w:r>
      <w:r>
        <w:rPr>
          <w:color w:val="auto"/>
          <w:highlight w:val="none"/>
        </w:rPr>
        <w:fldChar w:fldCharType="begin"/>
      </w:r>
      <w:r>
        <w:rPr>
          <w:color w:val="auto"/>
          <w:highlight w:val="none"/>
        </w:rPr>
        <w:instrText xml:space="preserve"> PAGEREF _Toc26688 </w:instrText>
      </w:r>
      <w:r>
        <w:rPr>
          <w:color w:val="auto"/>
          <w:highlight w:val="none"/>
        </w:rPr>
        <w:fldChar w:fldCharType="separate"/>
      </w:r>
      <w:r>
        <w:rPr>
          <w:color w:val="auto"/>
          <w:highlight w:val="none"/>
        </w:rPr>
        <w:t>62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_Toc30669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5.2.9 </w:t>
      </w:r>
      <w:r>
        <w:rPr>
          <w:rFonts w:hint="eastAsia"/>
          <w:color w:val="auto"/>
          <w:highlight w:val="none"/>
        </w:rPr>
        <w:t>比较与评价</w:t>
      </w:r>
      <w:r>
        <w:rPr>
          <w:color w:val="auto"/>
          <w:highlight w:val="none"/>
        </w:rPr>
        <w:tab/>
      </w:r>
      <w:r>
        <w:rPr>
          <w:color w:val="auto"/>
          <w:highlight w:val="none"/>
        </w:rPr>
        <w:fldChar w:fldCharType="begin"/>
      </w:r>
      <w:r>
        <w:rPr>
          <w:color w:val="auto"/>
          <w:highlight w:val="none"/>
        </w:rPr>
        <w:instrText xml:space="preserve"> PAGEREF _Toc30669 </w:instrText>
      </w:r>
      <w:r>
        <w:rPr>
          <w:color w:val="auto"/>
          <w:highlight w:val="none"/>
        </w:rPr>
        <w:fldChar w:fldCharType="separate"/>
      </w:r>
      <w:r>
        <w:rPr>
          <w:color w:val="auto"/>
          <w:highlight w:val="none"/>
        </w:rPr>
        <w:t>63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_Toc32621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5.2.10 </w:t>
      </w:r>
      <w:r>
        <w:rPr>
          <w:rFonts w:hint="eastAsia"/>
          <w:color w:val="auto"/>
          <w:highlight w:val="none"/>
        </w:rPr>
        <w:t>磋商小组复核</w:t>
      </w:r>
      <w:r>
        <w:rPr>
          <w:color w:val="auto"/>
          <w:highlight w:val="none"/>
        </w:rPr>
        <w:tab/>
      </w:r>
      <w:r>
        <w:rPr>
          <w:color w:val="auto"/>
          <w:highlight w:val="none"/>
        </w:rPr>
        <w:fldChar w:fldCharType="begin"/>
      </w:r>
      <w:r>
        <w:rPr>
          <w:color w:val="auto"/>
          <w:highlight w:val="none"/>
        </w:rPr>
        <w:instrText xml:space="preserve"> PAGEREF _Toc32621 </w:instrText>
      </w:r>
      <w:r>
        <w:rPr>
          <w:color w:val="auto"/>
          <w:highlight w:val="none"/>
        </w:rPr>
        <w:fldChar w:fldCharType="separate"/>
      </w:r>
      <w:r>
        <w:rPr>
          <w:color w:val="auto"/>
          <w:highlight w:val="none"/>
        </w:rPr>
        <w:t>63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_Toc2601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5.2.11 </w:t>
      </w:r>
      <w:r>
        <w:rPr>
          <w:rFonts w:hint="eastAsia"/>
          <w:color w:val="auto"/>
          <w:highlight w:val="none"/>
        </w:rPr>
        <w:t>推荐成交候选供应商</w:t>
      </w:r>
      <w:r>
        <w:rPr>
          <w:color w:val="auto"/>
          <w:highlight w:val="none"/>
        </w:rPr>
        <w:tab/>
      </w:r>
      <w:r>
        <w:rPr>
          <w:color w:val="auto"/>
          <w:highlight w:val="none"/>
        </w:rPr>
        <w:fldChar w:fldCharType="begin"/>
      </w:r>
      <w:r>
        <w:rPr>
          <w:color w:val="auto"/>
          <w:highlight w:val="none"/>
        </w:rPr>
        <w:instrText xml:space="preserve"> PAGEREF _Toc2601 </w:instrText>
      </w:r>
      <w:r>
        <w:rPr>
          <w:color w:val="auto"/>
          <w:highlight w:val="none"/>
        </w:rPr>
        <w:fldChar w:fldCharType="separate"/>
      </w:r>
      <w:r>
        <w:rPr>
          <w:color w:val="auto"/>
          <w:highlight w:val="none"/>
        </w:rPr>
        <w:t>63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_Toc30668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5.2.12 </w:t>
      </w:r>
      <w:r>
        <w:rPr>
          <w:rFonts w:hint="eastAsia"/>
          <w:color w:val="auto"/>
          <w:highlight w:val="none"/>
        </w:rPr>
        <w:t>编写磋商报告</w:t>
      </w:r>
      <w:r>
        <w:rPr>
          <w:color w:val="auto"/>
          <w:highlight w:val="none"/>
        </w:rPr>
        <w:tab/>
      </w:r>
      <w:r>
        <w:rPr>
          <w:color w:val="auto"/>
          <w:highlight w:val="none"/>
        </w:rPr>
        <w:fldChar w:fldCharType="begin"/>
      </w:r>
      <w:r>
        <w:rPr>
          <w:color w:val="auto"/>
          <w:highlight w:val="none"/>
        </w:rPr>
        <w:instrText xml:space="preserve"> PAGEREF _Toc30668 </w:instrText>
      </w:r>
      <w:r>
        <w:rPr>
          <w:color w:val="auto"/>
          <w:highlight w:val="none"/>
        </w:rPr>
        <w:fldChar w:fldCharType="separate"/>
      </w:r>
      <w:r>
        <w:rPr>
          <w:color w:val="auto"/>
          <w:highlight w:val="none"/>
        </w:rPr>
        <w:t>64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_Toc27976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5.2.13 </w:t>
      </w:r>
      <w:r>
        <w:rPr>
          <w:rFonts w:hint="eastAsia"/>
          <w:color w:val="auto"/>
          <w:highlight w:val="none"/>
        </w:rPr>
        <w:t>争议处理规则</w:t>
      </w:r>
      <w:r>
        <w:rPr>
          <w:color w:val="auto"/>
          <w:highlight w:val="none"/>
        </w:rPr>
        <w:tab/>
      </w:r>
      <w:r>
        <w:rPr>
          <w:color w:val="auto"/>
          <w:highlight w:val="none"/>
        </w:rPr>
        <w:fldChar w:fldCharType="begin"/>
      </w:r>
      <w:r>
        <w:rPr>
          <w:color w:val="auto"/>
          <w:highlight w:val="none"/>
        </w:rPr>
        <w:instrText xml:space="preserve"> PAGEREF _Toc27976 </w:instrText>
      </w:r>
      <w:r>
        <w:rPr>
          <w:color w:val="auto"/>
          <w:highlight w:val="none"/>
        </w:rPr>
        <w:fldChar w:fldCharType="separate"/>
      </w:r>
      <w:r>
        <w:rPr>
          <w:color w:val="auto"/>
          <w:highlight w:val="none"/>
        </w:rPr>
        <w:t>64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_Toc23000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highlight w:val="none"/>
        </w:rPr>
        <w:t xml:space="preserve">5.2.14 </w:t>
      </w:r>
      <w:r>
        <w:rPr>
          <w:rFonts w:hint="eastAsia"/>
          <w:color w:val="auto"/>
          <w:highlight w:val="none"/>
          <w:lang w:eastAsia="zh-CN"/>
        </w:rPr>
        <w:t>供应商澄清、说明</w:t>
      </w:r>
      <w:r>
        <w:rPr>
          <w:color w:val="auto"/>
          <w:highlight w:val="none"/>
        </w:rPr>
        <w:tab/>
      </w:r>
      <w:r>
        <w:rPr>
          <w:color w:val="auto"/>
          <w:highlight w:val="none"/>
        </w:rPr>
        <w:fldChar w:fldCharType="begin"/>
      </w:r>
      <w:r>
        <w:rPr>
          <w:color w:val="auto"/>
          <w:highlight w:val="none"/>
        </w:rPr>
        <w:instrText xml:space="preserve"> PAGEREF _Toc23000 </w:instrText>
      </w:r>
      <w:r>
        <w:rPr>
          <w:color w:val="auto"/>
          <w:highlight w:val="none"/>
        </w:rPr>
        <w:fldChar w:fldCharType="separate"/>
      </w:r>
      <w:r>
        <w:rPr>
          <w:color w:val="auto"/>
          <w:highlight w:val="none"/>
        </w:rPr>
        <w:t>65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_Toc21647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5.3 </w:t>
      </w:r>
      <w:r>
        <w:rPr>
          <w:rFonts w:hint="eastAsia"/>
          <w:color w:val="auto"/>
          <w:highlight w:val="none"/>
          <w:lang w:eastAsia="zh-CN"/>
        </w:rPr>
        <w:t>评分</w:t>
      </w:r>
      <w:r>
        <w:rPr>
          <w:rFonts w:hint="eastAsia"/>
          <w:color w:val="auto"/>
          <w:highlight w:val="none"/>
          <w:lang w:val="en-US" w:eastAsia="zh-CN"/>
        </w:rPr>
        <w:t>审</w:t>
      </w:r>
      <w:r>
        <w:rPr>
          <w:rFonts w:hint="eastAsia"/>
          <w:color w:val="auto"/>
          <w:highlight w:val="none"/>
          <w:lang w:eastAsia="zh-CN"/>
        </w:rPr>
        <w:t>办法和标准</w:t>
      </w:r>
      <w:r>
        <w:rPr>
          <w:color w:val="auto"/>
          <w:highlight w:val="none"/>
        </w:rPr>
        <w:tab/>
      </w:r>
      <w:r>
        <w:rPr>
          <w:color w:val="auto"/>
          <w:highlight w:val="none"/>
        </w:rPr>
        <w:fldChar w:fldCharType="begin"/>
      </w:r>
      <w:r>
        <w:rPr>
          <w:color w:val="auto"/>
          <w:highlight w:val="none"/>
        </w:rPr>
        <w:instrText xml:space="preserve"> PAGEREF _Toc21647 </w:instrText>
      </w:r>
      <w:r>
        <w:rPr>
          <w:color w:val="auto"/>
          <w:highlight w:val="none"/>
        </w:rPr>
        <w:fldChar w:fldCharType="separate"/>
      </w:r>
      <w:r>
        <w:rPr>
          <w:color w:val="auto"/>
          <w:highlight w:val="none"/>
        </w:rPr>
        <w:t>65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_Toc27877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5.4 </w:t>
      </w:r>
      <w:r>
        <w:rPr>
          <w:rFonts w:hint="eastAsia"/>
          <w:color w:val="auto"/>
          <w:highlight w:val="none"/>
          <w:lang w:eastAsia="zh-CN"/>
        </w:rPr>
        <w:t>采购失败情形</w:t>
      </w:r>
      <w:r>
        <w:rPr>
          <w:color w:val="auto"/>
          <w:highlight w:val="none"/>
        </w:rPr>
        <w:tab/>
      </w:r>
      <w:r>
        <w:rPr>
          <w:color w:val="auto"/>
          <w:highlight w:val="none"/>
        </w:rPr>
        <w:fldChar w:fldCharType="begin"/>
      </w:r>
      <w:r>
        <w:rPr>
          <w:color w:val="auto"/>
          <w:highlight w:val="none"/>
        </w:rPr>
        <w:instrText xml:space="preserve"> PAGEREF _Toc27877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_Toc28001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5.5 </w:t>
      </w:r>
      <w:r>
        <w:rPr>
          <w:rFonts w:hint="eastAsia"/>
          <w:color w:val="auto"/>
          <w:highlight w:val="none"/>
          <w:lang w:eastAsia="zh-CN"/>
        </w:rPr>
        <w:t>其他</w:t>
      </w:r>
      <w:r>
        <w:rPr>
          <w:color w:val="auto"/>
          <w:highlight w:val="none"/>
        </w:rPr>
        <w:tab/>
      </w:r>
      <w:r>
        <w:rPr>
          <w:color w:val="auto"/>
          <w:highlight w:val="none"/>
        </w:rPr>
        <w:fldChar w:fldCharType="begin"/>
      </w:r>
      <w:r>
        <w:rPr>
          <w:color w:val="auto"/>
          <w:highlight w:val="none"/>
        </w:rPr>
        <w:instrText xml:space="preserve"> PAGEREF _Toc28001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_Toc9896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5.1 </w:t>
      </w:r>
      <w:r>
        <w:rPr>
          <w:rFonts w:hint="eastAsia"/>
          <w:color w:val="auto"/>
          <w:highlight w:val="none"/>
        </w:rPr>
        <w:t>确定成交供应商</w:t>
      </w:r>
      <w:r>
        <w:rPr>
          <w:color w:val="auto"/>
          <w:highlight w:val="none"/>
        </w:rPr>
        <w:tab/>
      </w:r>
      <w:r>
        <w:rPr>
          <w:color w:val="auto"/>
          <w:highlight w:val="none"/>
        </w:rPr>
        <w:fldChar w:fldCharType="begin"/>
      </w:r>
      <w:r>
        <w:rPr>
          <w:color w:val="auto"/>
          <w:highlight w:val="none"/>
        </w:rPr>
        <w:instrText xml:space="preserve"> PAGEREF _Toc9896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_Toc17680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5.2 </w:t>
      </w:r>
      <w:r>
        <w:rPr>
          <w:rFonts w:hint="eastAsia"/>
          <w:color w:val="auto"/>
          <w:highlight w:val="none"/>
        </w:rPr>
        <w:t>磋商小组成员义务</w:t>
      </w:r>
      <w:r>
        <w:rPr>
          <w:color w:val="auto"/>
          <w:highlight w:val="none"/>
        </w:rPr>
        <w:tab/>
      </w:r>
      <w:r>
        <w:rPr>
          <w:color w:val="auto"/>
          <w:highlight w:val="none"/>
        </w:rPr>
        <w:fldChar w:fldCharType="begin"/>
      </w:r>
      <w:r>
        <w:rPr>
          <w:color w:val="auto"/>
          <w:highlight w:val="none"/>
        </w:rPr>
        <w:instrText xml:space="preserve"> PAGEREF _Toc17680 </w:instrText>
      </w:r>
      <w:r>
        <w:rPr>
          <w:color w:val="auto"/>
          <w:highlight w:val="none"/>
        </w:rPr>
        <w:fldChar w:fldCharType="separate"/>
      </w:r>
      <w:r>
        <w:rPr>
          <w:color w:val="auto"/>
          <w:highlight w:val="none"/>
        </w:rPr>
        <w:t>69</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_Toc23506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5.3 </w:t>
      </w:r>
      <w:r>
        <w:rPr>
          <w:rFonts w:hint="eastAsia"/>
          <w:color w:val="auto"/>
          <w:highlight w:val="none"/>
        </w:rPr>
        <w:t>磋商小组及其成员不得有下列行为</w:t>
      </w:r>
      <w:r>
        <w:rPr>
          <w:color w:val="auto"/>
          <w:highlight w:val="none"/>
        </w:rPr>
        <w:tab/>
      </w:r>
      <w:r>
        <w:rPr>
          <w:color w:val="auto"/>
          <w:highlight w:val="none"/>
        </w:rPr>
        <w:fldChar w:fldCharType="begin"/>
      </w:r>
      <w:r>
        <w:rPr>
          <w:color w:val="auto"/>
          <w:highlight w:val="none"/>
        </w:rPr>
        <w:instrText xml:space="preserve"> PAGEREF _Toc23506 </w:instrText>
      </w:r>
      <w:r>
        <w:rPr>
          <w:color w:val="auto"/>
          <w:highlight w:val="none"/>
        </w:rPr>
        <w:fldChar w:fldCharType="separate"/>
      </w:r>
      <w:r>
        <w:rPr>
          <w:color w:val="auto"/>
          <w:highlight w:val="none"/>
        </w:rPr>
        <w:t>70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_Toc3981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cs="Times New Roman"/>
          <w:i w:val="0"/>
          <w:color w:val="auto"/>
          <w:szCs w:val="28"/>
          <w:highlight w:val="none"/>
        </w:rPr>
        <w:t xml:space="preserve">5.4 </w:t>
      </w:r>
      <w:r>
        <w:rPr>
          <w:rFonts w:hint="eastAsia"/>
          <w:color w:val="auto"/>
          <w:highlight w:val="none"/>
        </w:rPr>
        <w:t>磋商纪律</w:t>
      </w:r>
      <w:r>
        <w:rPr>
          <w:color w:val="auto"/>
          <w:highlight w:val="none"/>
        </w:rPr>
        <w:tab/>
      </w:r>
      <w:r>
        <w:rPr>
          <w:color w:val="auto"/>
          <w:highlight w:val="none"/>
        </w:rPr>
        <w:fldChar w:fldCharType="begin"/>
      </w:r>
      <w:r>
        <w:rPr>
          <w:color w:val="auto"/>
          <w:highlight w:val="none"/>
        </w:rPr>
        <w:instrText xml:space="preserve"> PAGEREF _Toc3981 </w:instrText>
      </w:r>
      <w:r>
        <w:rPr>
          <w:color w:val="auto"/>
          <w:highlight w:val="none"/>
        </w:rPr>
        <w:fldChar w:fldCharType="separate"/>
      </w:r>
      <w:r>
        <w:rPr>
          <w:color w:val="auto"/>
          <w:highlight w:val="none"/>
        </w:rPr>
        <w:t>70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_Toc25228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lang w:val="en-US" w:eastAsia="zh-CN"/>
        </w:rPr>
        <w:t xml:space="preserve">第6章 </w:t>
      </w:r>
      <w:r>
        <w:rPr>
          <w:rFonts w:hint="eastAsia"/>
          <w:color w:val="auto"/>
          <w:highlight w:val="none"/>
        </w:rPr>
        <w:t>合同草案条款</w:t>
      </w:r>
      <w:r>
        <w:rPr>
          <w:color w:val="auto"/>
          <w:highlight w:val="none"/>
        </w:rPr>
        <w:tab/>
      </w:r>
      <w:r>
        <w:rPr>
          <w:color w:val="auto"/>
          <w:highlight w:val="none"/>
        </w:rPr>
        <w:fldChar w:fldCharType="begin"/>
      </w:r>
      <w:r>
        <w:rPr>
          <w:color w:val="auto"/>
          <w:highlight w:val="none"/>
        </w:rPr>
        <w:instrText xml:space="preserve"> PAGEREF _Toc25228 </w:instrText>
      </w:r>
      <w:r>
        <w:rPr>
          <w:color w:val="auto"/>
          <w:highlight w:val="none"/>
        </w:rPr>
        <w:fldChar w:fldCharType="separate"/>
      </w:r>
      <w:r>
        <w:rPr>
          <w:color w:val="auto"/>
          <w:highlight w:val="none"/>
        </w:rPr>
        <w:t>73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_Toc23661 </w:instrText>
      </w:r>
      <w:r>
        <w:rPr>
          <w:rFonts w:ascii="宋体" w:hAnsi="宋体" w:eastAsia="宋体" w:cs="Times New Roman"/>
          <w:bCs w:val="0"/>
          <w:caps/>
          <w:color w:val="auto"/>
          <w:szCs w:val="36"/>
          <w:highlight w:val="none"/>
          <w:lang w:val="en-US" w:eastAsia="zh-CN" w:bidi="ar-SA"/>
        </w:rPr>
        <w:fldChar w:fldCharType="separate"/>
      </w:r>
      <w:r>
        <w:rPr>
          <w:rFonts w:ascii="宋体" w:hAnsi="宋体" w:cs="宋体"/>
          <w:iCs w:val="0"/>
          <w:color w:val="auto"/>
          <w:szCs w:val="20"/>
          <w:highlight w:val="none"/>
        </w:rPr>
        <w:t xml:space="preserve">1. </w:t>
      </w:r>
      <w:r>
        <w:rPr>
          <w:rFonts w:hint="eastAsia" w:ascii="宋体" w:hAnsi="宋体" w:cs="宋体"/>
          <w:iCs w:val="0"/>
          <w:color w:val="auto"/>
          <w:szCs w:val="20"/>
          <w:highlight w:val="none"/>
        </w:rPr>
        <w:t>一般约定</w:t>
      </w:r>
      <w:r>
        <w:rPr>
          <w:color w:val="auto"/>
          <w:highlight w:val="none"/>
        </w:rPr>
        <w:tab/>
      </w:r>
      <w:r>
        <w:rPr>
          <w:color w:val="auto"/>
          <w:highlight w:val="none"/>
        </w:rPr>
        <w:fldChar w:fldCharType="begin"/>
      </w:r>
      <w:r>
        <w:rPr>
          <w:color w:val="auto"/>
          <w:highlight w:val="none"/>
        </w:rPr>
        <w:instrText xml:space="preserve"> PAGEREF _Toc23661 </w:instrText>
      </w:r>
      <w:r>
        <w:rPr>
          <w:color w:val="auto"/>
          <w:highlight w:val="none"/>
        </w:rPr>
        <w:fldChar w:fldCharType="separate"/>
      </w:r>
      <w:r>
        <w:rPr>
          <w:color w:val="auto"/>
          <w:highlight w:val="none"/>
        </w:rPr>
        <w:t>126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_Toc7646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1.1 词语定义</w:t>
      </w:r>
      <w:r>
        <w:rPr>
          <w:color w:val="auto"/>
          <w:highlight w:val="none"/>
        </w:rPr>
        <w:tab/>
      </w:r>
      <w:r>
        <w:rPr>
          <w:color w:val="auto"/>
          <w:highlight w:val="none"/>
        </w:rPr>
        <w:fldChar w:fldCharType="begin"/>
      </w:r>
      <w:r>
        <w:rPr>
          <w:color w:val="auto"/>
          <w:highlight w:val="none"/>
        </w:rPr>
        <w:instrText xml:space="preserve"> PAGEREF _Toc7646 </w:instrText>
      </w:r>
      <w:r>
        <w:rPr>
          <w:color w:val="auto"/>
          <w:highlight w:val="none"/>
        </w:rPr>
        <w:fldChar w:fldCharType="separate"/>
      </w:r>
      <w:r>
        <w:rPr>
          <w:color w:val="auto"/>
          <w:highlight w:val="none"/>
        </w:rPr>
        <w:t>126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_Toc30010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2. 发包人</w:t>
      </w:r>
      <w:r>
        <w:rPr>
          <w:color w:val="auto"/>
          <w:highlight w:val="none"/>
        </w:rPr>
        <w:tab/>
      </w:r>
      <w:r>
        <w:rPr>
          <w:color w:val="auto"/>
          <w:highlight w:val="none"/>
        </w:rPr>
        <w:fldChar w:fldCharType="begin"/>
      </w:r>
      <w:r>
        <w:rPr>
          <w:color w:val="auto"/>
          <w:highlight w:val="none"/>
        </w:rPr>
        <w:instrText xml:space="preserve"> PAGEREF _Toc30010 </w:instrText>
      </w:r>
      <w:r>
        <w:rPr>
          <w:color w:val="auto"/>
          <w:highlight w:val="none"/>
        </w:rPr>
        <w:fldChar w:fldCharType="separate"/>
      </w:r>
      <w:r>
        <w:rPr>
          <w:color w:val="auto"/>
          <w:highlight w:val="none"/>
        </w:rPr>
        <w:t>129</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_Toc24904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3. 承包人</w:t>
      </w:r>
      <w:r>
        <w:rPr>
          <w:color w:val="auto"/>
          <w:highlight w:val="none"/>
        </w:rPr>
        <w:tab/>
      </w:r>
      <w:r>
        <w:rPr>
          <w:color w:val="auto"/>
          <w:highlight w:val="none"/>
        </w:rPr>
        <w:fldChar w:fldCharType="begin"/>
      </w:r>
      <w:r>
        <w:rPr>
          <w:color w:val="auto"/>
          <w:highlight w:val="none"/>
        </w:rPr>
        <w:instrText xml:space="preserve"> PAGEREF _Toc24904 </w:instrText>
      </w:r>
      <w:r>
        <w:rPr>
          <w:color w:val="auto"/>
          <w:highlight w:val="none"/>
        </w:rPr>
        <w:fldChar w:fldCharType="separate"/>
      </w:r>
      <w:r>
        <w:rPr>
          <w:color w:val="auto"/>
          <w:highlight w:val="none"/>
        </w:rPr>
        <w:t>130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_Toc14124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4. 监理人</w:t>
      </w:r>
      <w:r>
        <w:rPr>
          <w:color w:val="auto"/>
          <w:highlight w:val="none"/>
        </w:rPr>
        <w:tab/>
      </w:r>
      <w:r>
        <w:rPr>
          <w:color w:val="auto"/>
          <w:highlight w:val="none"/>
        </w:rPr>
        <w:fldChar w:fldCharType="begin"/>
      </w:r>
      <w:r>
        <w:rPr>
          <w:color w:val="auto"/>
          <w:highlight w:val="none"/>
        </w:rPr>
        <w:instrText xml:space="preserve"> PAGEREF _Toc14124 </w:instrText>
      </w:r>
      <w:r>
        <w:rPr>
          <w:color w:val="auto"/>
          <w:highlight w:val="none"/>
        </w:rPr>
        <w:fldChar w:fldCharType="separate"/>
      </w:r>
      <w:r>
        <w:rPr>
          <w:color w:val="auto"/>
          <w:highlight w:val="none"/>
        </w:rPr>
        <w:t>134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_Toc22028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5. 工程质量</w:t>
      </w:r>
      <w:r>
        <w:rPr>
          <w:color w:val="auto"/>
          <w:highlight w:val="none"/>
        </w:rPr>
        <w:tab/>
      </w:r>
      <w:r>
        <w:rPr>
          <w:color w:val="auto"/>
          <w:highlight w:val="none"/>
        </w:rPr>
        <w:fldChar w:fldCharType="begin"/>
      </w:r>
      <w:r>
        <w:rPr>
          <w:color w:val="auto"/>
          <w:highlight w:val="none"/>
        </w:rPr>
        <w:instrText xml:space="preserve"> PAGEREF _Toc22028 </w:instrText>
      </w:r>
      <w:r>
        <w:rPr>
          <w:color w:val="auto"/>
          <w:highlight w:val="none"/>
        </w:rPr>
        <w:fldChar w:fldCharType="separate"/>
      </w:r>
      <w:r>
        <w:rPr>
          <w:color w:val="auto"/>
          <w:highlight w:val="none"/>
        </w:rPr>
        <w:t>135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_Toc2998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6. 安全文明施工与环境保护</w:t>
      </w:r>
      <w:r>
        <w:rPr>
          <w:color w:val="auto"/>
          <w:highlight w:val="none"/>
        </w:rPr>
        <w:tab/>
      </w:r>
      <w:r>
        <w:rPr>
          <w:color w:val="auto"/>
          <w:highlight w:val="none"/>
        </w:rPr>
        <w:fldChar w:fldCharType="begin"/>
      </w:r>
      <w:r>
        <w:rPr>
          <w:color w:val="auto"/>
          <w:highlight w:val="none"/>
        </w:rPr>
        <w:instrText xml:space="preserve"> PAGEREF _Toc2998 </w:instrText>
      </w:r>
      <w:r>
        <w:rPr>
          <w:color w:val="auto"/>
          <w:highlight w:val="none"/>
        </w:rPr>
        <w:fldChar w:fldCharType="separate"/>
      </w:r>
      <w:r>
        <w:rPr>
          <w:color w:val="auto"/>
          <w:highlight w:val="none"/>
        </w:rPr>
        <w:t>135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_Toc6152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7. 工期和进度</w:t>
      </w:r>
      <w:r>
        <w:rPr>
          <w:color w:val="auto"/>
          <w:highlight w:val="none"/>
        </w:rPr>
        <w:tab/>
      </w:r>
      <w:r>
        <w:rPr>
          <w:color w:val="auto"/>
          <w:highlight w:val="none"/>
        </w:rPr>
        <w:fldChar w:fldCharType="begin"/>
      </w:r>
      <w:r>
        <w:rPr>
          <w:color w:val="auto"/>
          <w:highlight w:val="none"/>
        </w:rPr>
        <w:instrText xml:space="preserve"> PAGEREF _Toc6152 </w:instrText>
      </w:r>
      <w:r>
        <w:rPr>
          <w:color w:val="auto"/>
          <w:highlight w:val="none"/>
        </w:rPr>
        <w:fldChar w:fldCharType="separate"/>
      </w:r>
      <w:r>
        <w:rPr>
          <w:color w:val="auto"/>
          <w:highlight w:val="none"/>
        </w:rPr>
        <w:t>135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_Toc32407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8. 材料与设备</w:t>
      </w:r>
      <w:r>
        <w:rPr>
          <w:color w:val="auto"/>
          <w:highlight w:val="none"/>
        </w:rPr>
        <w:tab/>
      </w:r>
      <w:r>
        <w:rPr>
          <w:color w:val="auto"/>
          <w:highlight w:val="none"/>
        </w:rPr>
        <w:fldChar w:fldCharType="begin"/>
      </w:r>
      <w:r>
        <w:rPr>
          <w:color w:val="auto"/>
          <w:highlight w:val="none"/>
        </w:rPr>
        <w:instrText xml:space="preserve"> PAGEREF _Toc32407 </w:instrText>
      </w:r>
      <w:r>
        <w:rPr>
          <w:color w:val="auto"/>
          <w:highlight w:val="none"/>
        </w:rPr>
        <w:fldChar w:fldCharType="separate"/>
      </w:r>
      <w:r>
        <w:rPr>
          <w:color w:val="auto"/>
          <w:highlight w:val="none"/>
        </w:rPr>
        <w:t>137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_Toc11783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9. 试验与检验</w:t>
      </w:r>
      <w:r>
        <w:rPr>
          <w:color w:val="auto"/>
          <w:highlight w:val="none"/>
        </w:rPr>
        <w:tab/>
      </w:r>
      <w:r>
        <w:rPr>
          <w:color w:val="auto"/>
          <w:highlight w:val="none"/>
        </w:rPr>
        <w:fldChar w:fldCharType="begin"/>
      </w:r>
      <w:r>
        <w:rPr>
          <w:color w:val="auto"/>
          <w:highlight w:val="none"/>
        </w:rPr>
        <w:instrText xml:space="preserve"> PAGEREF _Toc11783 </w:instrText>
      </w:r>
      <w:r>
        <w:rPr>
          <w:color w:val="auto"/>
          <w:highlight w:val="none"/>
        </w:rPr>
        <w:fldChar w:fldCharType="separate"/>
      </w:r>
      <w:r>
        <w:rPr>
          <w:color w:val="auto"/>
          <w:highlight w:val="none"/>
        </w:rPr>
        <w:t>137</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_Toc9548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10. 变更</w:t>
      </w:r>
      <w:r>
        <w:rPr>
          <w:color w:val="auto"/>
          <w:highlight w:val="none"/>
        </w:rPr>
        <w:tab/>
      </w:r>
      <w:r>
        <w:rPr>
          <w:color w:val="auto"/>
          <w:highlight w:val="none"/>
        </w:rPr>
        <w:fldChar w:fldCharType="begin"/>
      </w:r>
      <w:r>
        <w:rPr>
          <w:color w:val="auto"/>
          <w:highlight w:val="none"/>
        </w:rPr>
        <w:instrText xml:space="preserve"> PAGEREF _Toc9548 </w:instrText>
      </w:r>
      <w:r>
        <w:rPr>
          <w:color w:val="auto"/>
          <w:highlight w:val="none"/>
        </w:rPr>
        <w:fldChar w:fldCharType="separate"/>
      </w:r>
      <w:r>
        <w:rPr>
          <w:color w:val="auto"/>
          <w:highlight w:val="none"/>
        </w:rPr>
        <w:t>138</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_Toc25075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11. 价格调整</w:t>
      </w:r>
      <w:r>
        <w:rPr>
          <w:color w:val="auto"/>
          <w:highlight w:val="none"/>
        </w:rPr>
        <w:tab/>
      </w:r>
      <w:r>
        <w:rPr>
          <w:color w:val="auto"/>
          <w:highlight w:val="none"/>
        </w:rPr>
        <w:fldChar w:fldCharType="begin"/>
      </w:r>
      <w:r>
        <w:rPr>
          <w:color w:val="auto"/>
          <w:highlight w:val="none"/>
        </w:rPr>
        <w:instrText xml:space="preserve"> PAGEREF _Toc25075 </w:instrText>
      </w:r>
      <w:r>
        <w:rPr>
          <w:color w:val="auto"/>
          <w:highlight w:val="none"/>
        </w:rPr>
        <w:fldChar w:fldCharType="separate"/>
      </w:r>
      <w:r>
        <w:rPr>
          <w:color w:val="auto"/>
          <w:highlight w:val="none"/>
        </w:rPr>
        <w:t>140</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_Toc27400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12. 合同价格、计量与支付</w:t>
      </w:r>
      <w:r>
        <w:rPr>
          <w:color w:val="auto"/>
          <w:highlight w:val="none"/>
        </w:rPr>
        <w:tab/>
      </w:r>
      <w:r>
        <w:rPr>
          <w:color w:val="auto"/>
          <w:highlight w:val="none"/>
        </w:rPr>
        <w:fldChar w:fldCharType="begin"/>
      </w:r>
      <w:r>
        <w:rPr>
          <w:color w:val="auto"/>
          <w:highlight w:val="none"/>
        </w:rPr>
        <w:instrText xml:space="preserve"> PAGEREF _Toc27400 </w:instrText>
      </w:r>
      <w:r>
        <w:rPr>
          <w:color w:val="auto"/>
          <w:highlight w:val="none"/>
        </w:rPr>
        <w:fldChar w:fldCharType="separate"/>
      </w:r>
      <w:r>
        <w:rPr>
          <w:color w:val="auto"/>
          <w:highlight w:val="none"/>
        </w:rPr>
        <w:t>141</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_Toc24408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13. 验收和工程试车</w:t>
      </w:r>
      <w:r>
        <w:rPr>
          <w:color w:val="auto"/>
          <w:highlight w:val="none"/>
        </w:rPr>
        <w:tab/>
      </w:r>
      <w:r>
        <w:rPr>
          <w:color w:val="auto"/>
          <w:highlight w:val="none"/>
        </w:rPr>
        <w:fldChar w:fldCharType="begin"/>
      </w:r>
      <w:r>
        <w:rPr>
          <w:color w:val="auto"/>
          <w:highlight w:val="none"/>
        </w:rPr>
        <w:instrText xml:space="preserve"> PAGEREF _Toc24408 </w:instrText>
      </w:r>
      <w:r>
        <w:rPr>
          <w:color w:val="auto"/>
          <w:highlight w:val="none"/>
        </w:rPr>
        <w:fldChar w:fldCharType="separate"/>
      </w:r>
      <w:r>
        <w:rPr>
          <w:color w:val="auto"/>
          <w:highlight w:val="none"/>
        </w:rPr>
        <w:t>142</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_Toc11696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14. 竣工结算</w:t>
      </w:r>
      <w:r>
        <w:rPr>
          <w:color w:val="auto"/>
          <w:highlight w:val="none"/>
        </w:rPr>
        <w:tab/>
      </w:r>
      <w:r>
        <w:rPr>
          <w:color w:val="auto"/>
          <w:highlight w:val="none"/>
        </w:rPr>
        <w:fldChar w:fldCharType="begin"/>
      </w:r>
      <w:r>
        <w:rPr>
          <w:color w:val="auto"/>
          <w:highlight w:val="none"/>
        </w:rPr>
        <w:instrText xml:space="preserve"> PAGEREF _Toc11696 </w:instrText>
      </w:r>
      <w:r>
        <w:rPr>
          <w:color w:val="auto"/>
          <w:highlight w:val="none"/>
        </w:rPr>
        <w:fldChar w:fldCharType="separate"/>
      </w:r>
      <w:r>
        <w:rPr>
          <w:color w:val="auto"/>
          <w:highlight w:val="none"/>
        </w:rPr>
        <w:t>143</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_Toc29444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15. 缺陷责任期与保修</w:t>
      </w:r>
      <w:r>
        <w:rPr>
          <w:color w:val="auto"/>
          <w:highlight w:val="none"/>
        </w:rPr>
        <w:tab/>
      </w:r>
      <w:r>
        <w:rPr>
          <w:color w:val="auto"/>
          <w:highlight w:val="none"/>
        </w:rPr>
        <w:fldChar w:fldCharType="begin"/>
      </w:r>
      <w:r>
        <w:rPr>
          <w:color w:val="auto"/>
          <w:highlight w:val="none"/>
        </w:rPr>
        <w:instrText xml:space="preserve"> PAGEREF _Toc29444 </w:instrText>
      </w:r>
      <w:r>
        <w:rPr>
          <w:color w:val="auto"/>
          <w:highlight w:val="none"/>
        </w:rPr>
        <w:fldChar w:fldCharType="separate"/>
      </w:r>
      <w:r>
        <w:rPr>
          <w:color w:val="auto"/>
          <w:highlight w:val="none"/>
        </w:rPr>
        <w:t>144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_Toc15204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16. 违约</w:t>
      </w:r>
      <w:r>
        <w:rPr>
          <w:color w:val="auto"/>
          <w:highlight w:val="none"/>
        </w:rPr>
        <w:tab/>
      </w:r>
      <w:r>
        <w:rPr>
          <w:color w:val="auto"/>
          <w:highlight w:val="none"/>
        </w:rPr>
        <w:fldChar w:fldCharType="begin"/>
      </w:r>
      <w:r>
        <w:rPr>
          <w:color w:val="auto"/>
          <w:highlight w:val="none"/>
        </w:rPr>
        <w:instrText xml:space="preserve"> PAGEREF _Toc15204 </w:instrText>
      </w:r>
      <w:r>
        <w:rPr>
          <w:color w:val="auto"/>
          <w:highlight w:val="none"/>
        </w:rPr>
        <w:fldChar w:fldCharType="separate"/>
      </w:r>
      <w:r>
        <w:rPr>
          <w:color w:val="auto"/>
          <w:highlight w:val="none"/>
        </w:rPr>
        <w:t>144</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_Toc23771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17. 不可抗力</w:t>
      </w:r>
      <w:r>
        <w:rPr>
          <w:color w:val="auto"/>
          <w:highlight w:val="none"/>
        </w:rPr>
        <w:tab/>
      </w:r>
      <w:r>
        <w:rPr>
          <w:color w:val="auto"/>
          <w:highlight w:val="none"/>
        </w:rPr>
        <w:fldChar w:fldCharType="begin"/>
      </w:r>
      <w:r>
        <w:rPr>
          <w:color w:val="auto"/>
          <w:highlight w:val="none"/>
        </w:rPr>
        <w:instrText xml:space="preserve"> PAGEREF _Toc23771 </w:instrText>
      </w:r>
      <w:r>
        <w:rPr>
          <w:color w:val="auto"/>
          <w:highlight w:val="none"/>
        </w:rPr>
        <w:fldChar w:fldCharType="separate"/>
      </w:r>
      <w:r>
        <w:rPr>
          <w:color w:val="auto"/>
          <w:highlight w:val="none"/>
        </w:rPr>
        <w:t>145</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_Toc32157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20. 争议解决</w:t>
      </w:r>
      <w:r>
        <w:rPr>
          <w:color w:val="auto"/>
          <w:highlight w:val="none"/>
        </w:rPr>
        <w:tab/>
      </w:r>
      <w:r>
        <w:rPr>
          <w:color w:val="auto"/>
          <w:highlight w:val="none"/>
        </w:rPr>
        <w:fldChar w:fldCharType="begin"/>
      </w:r>
      <w:r>
        <w:rPr>
          <w:color w:val="auto"/>
          <w:highlight w:val="none"/>
        </w:rPr>
        <w:instrText xml:space="preserve"> PAGEREF _Toc32157 </w:instrText>
      </w:r>
      <w:r>
        <w:rPr>
          <w:color w:val="auto"/>
          <w:highlight w:val="none"/>
        </w:rPr>
        <w:fldChar w:fldCharType="separate"/>
      </w:r>
      <w:r>
        <w:rPr>
          <w:color w:val="auto"/>
          <w:highlight w:val="none"/>
        </w:rPr>
        <w:t>146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_Toc27925 </w:instrText>
      </w:r>
      <w:r>
        <w:rPr>
          <w:rFonts w:ascii="宋体" w:hAnsi="宋体" w:eastAsia="宋体" w:cs="Times New Roman"/>
          <w:bCs w:val="0"/>
          <w:caps/>
          <w:color w:val="auto"/>
          <w:szCs w:val="36"/>
          <w:highlight w:val="none"/>
          <w:lang w:val="en-US" w:eastAsia="zh-CN" w:bidi="ar-SA"/>
        </w:rPr>
        <w:fldChar w:fldCharType="separate"/>
      </w:r>
      <w:r>
        <w:rPr>
          <w:rFonts w:hint="eastAsia" w:ascii="宋体" w:hAnsi="宋体" w:cs="宋体"/>
          <w:iCs w:val="0"/>
          <w:color w:val="auto"/>
          <w:szCs w:val="20"/>
          <w:highlight w:val="none"/>
        </w:rPr>
        <w:t>21．补充条款：</w:t>
      </w:r>
      <w:r>
        <w:rPr>
          <w:color w:val="auto"/>
          <w:highlight w:val="none"/>
        </w:rPr>
        <w:tab/>
      </w:r>
      <w:r>
        <w:rPr>
          <w:color w:val="auto"/>
          <w:highlight w:val="none"/>
        </w:rPr>
        <w:fldChar w:fldCharType="begin"/>
      </w:r>
      <w:r>
        <w:rPr>
          <w:color w:val="auto"/>
          <w:highlight w:val="none"/>
        </w:rPr>
        <w:instrText xml:space="preserve"> PAGEREF _Toc27925 </w:instrText>
      </w:r>
      <w:r>
        <w:rPr>
          <w:color w:val="auto"/>
          <w:highlight w:val="none"/>
        </w:rPr>
        <w:fldChar w:fldCharType="separate"/>
      </w:r>
      <w:r>
        <w:rPr>
          <w:color w:val="auto"/>
          <w:highlight w:val="none"/>
        </w:rPr>
        <w:t>146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tabs>
          <w:tab w:val="right" w:leader="dot" w:pos="9214"/>
          <w:tab w:val="clear" w:pos="840"/>
          <w:tab w:val="clear" w:pos="9204"/>
        </w:tabs>
        <w:rPr>
          <w:color w:val="auto"/>
          <w:highlight w:val="none"/>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_Toc12404 </w:instrText>
      </w:r>
      <w:r>
        <w:rPr>
          <w:rFonts w:ascii="宋体" w:hAnsi="宋体" w:eastAsia="宋体" w:cs="Times New Roman"/>
          <w:bCs w:val="0"/>
          <w:caps/>
          <w:color w:val="auto"/>
          <w:szCs w:val="36"/>
          <w:highlight w:val="none"/>
          <w:lang w:val="en-US" w:eastAsia="zh-CN" w:bidi="ar-SA"/>
        </w:rPr>
        <w:fldChar w:fldCharType="separate"/>
      </w:r>
      <w:r>
        <w:rPr>
          <w:rFonts w:hint="default" w:ascii="Times New Roman" w:hAnsi="Times New Roman" w:eastAsia="宋体"/>
          <w:i w:val="0"/>
          <w:color w:val="auto"/>
          <w:szCs w:val="32"/>
          <w:highlight w:val="none"/>
        </w:rPr>
        <w:t xml:space="preserve">第7章 </w:t>
      </w:r>
      <w:r>
        <w:rPr>
          <w:rFonts w:hint="eastAsia" w:ascii="仿宋" w:hAnsi="仿宋" w:eastAsia="仿宋"/>
          <w:color w:val="auto"/>
          <w:highlight w:val="none"/>
        </w:rPr>
        <w:t>工程量清单和图纸</w:t>
      </w:r>
      <w:r>
        <w:rPr>
          <w:color w:val="auto"/>
          <w:highlight w:val="none"/>
        </w:rPr>
        <w:tab/>
      </w:r>
      <w:r>
        <w:rPr>
          <w:color w:val="auto"/>
          <w:highlight w:val="none"/>
        </w:rPr>
        <w:fldChar w:fldCharType="begin"/>
      </w:r>
      <w:r>
        <w:rPr>
          <w:color w:val="auto"/>
          <w:highlight w:val="none"/>
        </w:rPr>
        <w:instrText xml:space="preserve"> PAGEREF _Toc12404 </w:instrText>
      </w:r>
      <w:r>
        <w:rPr>
          <w:color w:val="auto"/>
          <w:highlight w:val="none"/>
        </w:rPr>
        <w:fldChar w:fldCharType="separate"/>
      </w:r>
      <w:r>
        <w:rPr>
          <w:color w:val="auto"/>
          <w:highlight w:val="none"/>
        </w:rPr>
        <w:t>156</w:t>
      </w:r>
      <w:r>
        <w:rPr>
          <w:color w:val="auto"/>
          <w:highlight w:val="none"/>
        </w:rPr>
        <w:fldChar w:fldCharType="end"/>
      </w:r>
      <w:r>
        <w:rPr>
          <w:rFonts w:ascii="宋体" w:hAnsi="宋体" w:eastAsia="宋体" w:cs="Times New Roman"/>
          <w:bCs w:val="0"/>
          <w:caps/>
          <w:color w:val="auto"/>
          <w:szCs w:val="36"/>
          <w:highlight w:val="none"/>
          <w:lang w:val="en-US" w:eastAsia="zh-CN" w:bidi="ar-SA"/>
        </w:rPr>
        <w:fldChar w:fldCharType="end"/>
      </w:r>
    </w:p>
    <w:p>
      <w:pPr>
        <w:pStyle w:val="34"/>
        <w:spacing w:line="240" w:lineRule="auto"/>
        <w:rPr>
          <w:rFonts w:ascii="宋体" w:hAnsi="宋体"/>
          <w:b w:val="0"/>
          <w:bCs w:val="0"/>
          <w:color w:val="auto"/>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272" w:gutter="0"/>
          <w:cols w:space="720" w:num="1"/>
          <w:titlePg/>
          <w:docGrid w:type="lines" w:linePitch="312" w:charSpace="0"/>
        </w:sectPr>
      </w:pPr>
      <w:r>
        <w:rPr>
          <w:rFonts w:ascii="宋体" w:hAnsi="宋体" w:eastAsia="宋体" w:cs="Times New Roman"/>
          <w:bCs w:val="0"/>
          <w:caps/>
          <w:color w:val="auto"/>
          <w:szCs w:val="36"/>
          <w:highlight w:val="none"/>
          <w:lang w:val="en-US" w:eastAsia="zh-CN" w:bidi="ar-SA"/>
        </w:rPr>
        <w:fldChar w:fldCharType="end"/>
      </w:r>
    </w:p>
    <w:p>
      <w:pPr>
        <w:pStyle w:val="4"/>
        <w:numPr>
          <w:ilvl w:val="0"/>
          <w:numId w:val="1"/>
        </w:numPr>
        <w:snapToGrid w:val="0"/>
        <w:spacing w:before="0" w:after="0" w:line="640" w:lineRule="exact"/>
        <w:ind w:left="0" w:firstLine="0"/>
        <w:rPr>
          <w:color w:val="auto"/>
          <w:highlight w:val="none"/>
        </w:rPr>
      </w:pPr>
      <w:bookmarkStart w:id="0" w:name="_Toc8236"/>
      <w:r>
        <w:rPr>
          <w:rFonts w:hint="eastAsia"/>
          <w:color w:val="auto"/>
          <w:highlight w:val="none"/>
        </w:rPr>
        <w:t>竞争性</w:t>
      </w:r>
      <w:r>
        <w:rPr>
          <w:rFonts w:hint="eastAsia"/>
          <w:color w:val="auto"/>
          <w:highlight w:val="none"/>
          <w:lang w:eastAsia="zh-CN"/>
        </w:rPr>
        <w:t>磋商</w:t>
      </w:r>
      <w:r>
        <w:rPr>
          <w:rFonts w:hint="eastAsia"/>
          <w:color w:val="auto"/>
          <w:highlight w:val="none"/>
        </w:rPr>
        <w:t>邀请</w:t>
      </w:r>
      <w:bookmarkEnd w:id="0"/>
    </w:p>
    <w:p>
      <w:pPr>
        <w:snapToGrid w:val="0"/>
        <w:spacing w:line="640" w:lineRule="exact"/>
        <w:ind w:left="-142" w:leftChars="-59" w:right="-24" w:rightChars="-10" w:firstLine="703" w:firstLineChars="250"/>
        <w:jc w:val="both"/>
        <w:rPr>
          <w:rFonts w:ascii="宋体" w:hAnsi="宋体"/>
          <w:color w:val="auto"/>
          <w:sz w:val="28"/>
          <w:szCs w:val="28"/>
          <w:highlight w:val="none"/>
        </w:rPr>
      </w:pPr>
      <w:r>
        <w:rPr>
          <w:rFonts w:hint="eastAsia" w:ascii="宋体" w:hAnsi="宋体"/>
          <w:b/>
          <w:color w:val="auto"/>
          <w:sz w:val="28"/>
          <w:szCs w:val="28"/>
          <w:highlight w:val="none"/>
          <w:lang w:eastAsia="zh-CN"/>
        </w:rPr>
        <w:t>成都市锦江区政府采购中心</w:t>
      </w:r>
      <w:r>
        <w:rPr>
          <w:rFonts w:ascii="宋体" w:hAnsi="宋体"/>
          <w:color w:val="auto"/>
          <w:sz w:val="28"/>
          <w:szCs w:val="28"/>
          <w:highlight w:val="none"/>
        </w:rPr>
        <w:t>(以下简称“</w:t>
      </w:r>
      <w:r>
        <w:rPr>
          <w:rFonts w:hint="eastAsia" w:ascii="宋体" w:hAnsi="宋体"/>
          <w:color w:val="auto"/>
          <w:sz w:val="28"/>
          <w:szCs w:val="28"/>
          <w:highlight w:val="none"/>
          <w:lang w:eastAsia="zh-CN"/>
        </w:rPr>
        <w:t>区采购中心</w:t>
      </w:r>
      <w:r>
        <w:rPr>
          <w:rFonts w:ascii="宋体" w:hAnsi="宋体"/>
          <w:color w:val="auto"/>
          <w:sz w:val="28"/>
          <w:szCs w:val="28"/>
          <w:highlight w:val="none"/>
        </w:rPr>
        <w:t>”)受</w:t>
      </w:r>
      <w:r>
        <w:rPr>
          <w:rFonts w:hint="eastAsia" w:ascii="宋体" w:hAnsi="宋体"/>
          <w:b/>
          <w:color w:val="auto"/>
          <w:sz w:val="28"/>
          <w:szCs w:val="28"/>
          <w:highlight w:val="none"/>
          <w:u w:val="single"/>
          <w:lang w:eastAsia="zh-CN"/>
        </w:rPr>
        <w:t>四川省成都市田家炳中学</w:t>
      </w:r>
      <w:r>
        <w:rPr>
          <w:rFonts w:hint="eastAsia" w:ascii="宋体" w:hAnsi="宋体"/>
          <w:color w:val="auto"/>
          <w:sz w:val="28"/>
          <w:szCs w:val="28"/>
          <w:highlight w:val="none"/>
        </w:rPr>
        <w:t>的委托，拟对</w:t>
      </w:r>
      <w:r>
        <w:rPr>
          <w:rFonts w:hint="eastAsia" w:ascii="宋体" w:hAnsi="宋体"/>
          <w:b/>
          <w:color w:val="auto"/>
          <w:sz w:val="28"/>
          <w:szCs w:val="28"/>
          <w:highlight w:val="none"/>
          <w:u w:val="single"/>
          <w:lang w:eastAsia="zh-CN"/>
        </w:rPr>
        <w:t>成都市田家炳中学初中部食堂改造工程采购项目</w:t>
      </w:r>
      <w:r>
        <w:rPr>
          <w:rFonts w:hint="eastAsia" w:ascii="宋体" w:hAnsi="宋体"/>
          <w:color w:val="auto"/>
          <w:sz w:val="28"/>
          <w:szCs w:val="28"/>
          <w:highlight w:val="none"/>
        </w:rPr>
        <w:t>采用竞争性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采购方式进行采购，特邀请已通过本次采购资格审查并随机抽取选中的供应商参加本项目的竞争性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项目编号</w:t>
      </w:r>
      <w:r>
        <w:rPr>
          <w:rFonts w:hint="eastAsia" w:ascii="宋体" w:hAnsi="宋体"/>
          <w:color w:val="auto"/>
          <w:sz w:val="28"/>
          <w:szCs w:val="28"/>
          <w:highlight w:val="none"/>
        </w:rPr>
        <w:t>：</w:t>
      </w:r>
      <w:r>
        <w:rPr>
          <w:rFonts w:hint="eastAsia" w:ascii="宋体" w:hAnsi="宋体"/>
          <w:b/>
          <w:color w:val="auto"/>
          <w:sz w:val="28"/>
          <w:szCs w:val="28"/>
          <w:highlight w:val="none"/>
          <w:lang w:eastAsia="zh-CN"/>
        </w:rPr>
        <w:t>锦江政采（2021）A0003号</w:t>
      </w:r>
      <w:r>
        <w:rPr>
          <w:rFonts w:hint="eastAsia" w:ascii="宋体" w:hAnsi="宋体"/>
          <w:b/>
          <w:color w:val="auto"/>
          <w:sz w:val="28"/>
          <w:szCs w:val="28"/>
          <w:highlight w:val="none"/>
        </w:rPr>
        <w:t>。</w:t>
      </w:r>
      <w:r>
        <w:rPr>
          <w:rFonts w:hint="eastAsia" w:ascii="宋体" w:hAnsi="宋体"/>
          <w:b/>
          <w:color w:val="auto"/>
          <w:sz w:val="28"/>
          <w:szCs w:val="28"/>
          <w:highlight w:val="none"/>
        </w:rPr>
        <w:br w:type="textWrapping"/>
      </w:r>
      <w:r>
        <w:rPr>
          <w:rFonts w:hint="eastAsia" w:ascii="宋体" w:hAnsi="宋体"/>
          <w:b/>
          <w:color w:val="auto"/>
          <w:sz w:val="28"/>
          <w:szCs w:val="28"/>
          <w:highlight w:val="none"/>
          <w:lang w:val="en-US" w:eastAsia="zh-CN"/>
        </w:rPr>
        <w:t xml:space="preserve">       （采购项目编号：</w:t>
      </w:r>
      <w:r>
        <w:rPr>
          <w:rFonts w:hint="eastAsia" w:ascii="宋体" w:hAnsi="宋体"/>
          <w:color w:val="auto"/>
          <w:sz w:val="28"/>
          <w:szCs w:val="28"/>
          <w:highlight w:val="none"/>
          <w:lang w:val="en-US" w:eastAsia="zh-CN"/>
        </w:rPr>
        <w:t>510104202100035</w:t>
      </w:r>
      <w:r>
        <w:rPr>
          <w:rFonts w:hint="eastAsia" w:ascii="宋体" w:hAnsi="宋体"/>
          <w:b/>
          <w:color w:val="auto"/>
          <w:sz w:val="28"/>
          <w:szCs w:val="28"/>
          <w:highlight w:val="none"/>
          <w:lang w:val="en-US" w:eastAsia="zh-CN"/>
        </w:rPr>
        <w:t>）</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项目名称</w:t>
      </w:r>
      <w:r>
        <w:rPr>
          <w:rFonts w:hint="eastAsia" w:ascii="宋体" w:hAnsi="宋体"/>
          <w:color w:val="auto"/>
          <w:sz w:val="28"/>
          <w:szCs w:val="28"/>
          <w:highlight w:val="none"/>
        </w:rPr>
        <w:t>：</w:t>
      </w:r>
      <w:r>
        <w:rPr>
          <w:rFonts w:hint="eastAsia" w:ascii="宋体" w:hAnsi="宋体"/>
          <w:b/>
          <w:color w:val="auto"/>
          <w:sz w:val="28"/>
          <w:szCs w:val="28"/>
          <w:highlight w:val="none"/>
          <w:lang w:eastAsia="zh-CN"/>
        </w:rPr>
        <w:t>成都市田家炳中学初中部食堂改造工程采购项目</w:t>
      </w:r>
      <w:r>
        <w:rPr>
          <w:rFonts w:hint="eastAsia" w:ascii="宋体" w:hAnsi="宋体"/>
          <w:b/>
          <w:color w:val="auto"/>
          <w:sz w:val="28"/>
          <w:szCs w:val="28"/>
          <w:highlight w:val="none"/>
        </w:rPr>
        <w:t>。</w:t>
      </w:r>
    </w:p>
    <w:p>
      <w:pPr>
        <w:widowControl/>
        <w:numPr>
          <w:ilvl w:val="0"/>
          <w:numId w:val="2"/>
        </w:numPr>
        <w:spacing w:after="0" w:line="60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资金来源、预算金额及最高限价：</w:t>
      </w:r>
      <w:r>
        <w:rPr>
          <w:rFonts w:hint="eastAsia" w:ascii="宋体" w:hAnsi="宋体"/>
          <w:color w:val="auto"/>
          <w:sz w:val="28"/>
          <w:szCs w:val="28"/>
          <w:highlight w:val="none"/>
        </w:rPr>
        <w:t>财政性资金，政府采购实施计划备案表号：（202</w:t>
      </w:r>
      <w:r>
        <w:rPr>
          <w:rFonts w:ascii="宋体" w:hAnsi="宋体"/>
          <w:color w:val="auto"/>
          <w:sz w:val="28"/>
          <w:szCs w:val="28"/>
          <w:highlight w:val="none"/>
        </w:rPr>
        <w:t>1</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0148</w:t>
      </w:r>
      <w:r>
        <w:rPr>
          <w:rFonts w:hint="eastAsia" w:ascii="宋体" w:hAnsi="宋体"/>
          <w:color w:val="auto"/>
          <w:sz w:val="28"/>
          <w:szCs w:val="28"/>
          <w:highlight w:val="none"/>
        </w:rPr>
        <w:t>号；预算品目：</w:t>
      </w:r>
      <w:r>
        <w:rPr>
          <w:rFonts w:hint="eastAsia" w:ascii="宋体" w:hAnsi="宋体"/>
          <w:color w:val="auto"/>
          <w:sz w:val="28"/>
          <w:szCs w:val="28"/>
          <w:highlight w:val="none"/>
          <w:lang w:val="en-US" w:eastAsia="zh-CN"/>
        </w:rPr>
        <w:t>B0801房屋修缮</w:t>
      </w:r>
      <w:r>
        <w:rPr>
          <w:rFonts w:hint="eastAsia" w:ascii="宋体" w:hAnsi="宋体"/>
          <w:color w:val="auto"/>
          <w:sz w:val="28"/>
          <w:szCs w:val="28"/>
          <w:highlight w:val="none"/>
        </w:rPr>
        <w:t>；预算金额：</w:t>
      </w:r>
      <w:r>
        <w:rPr>
          <w:rFonts w:hint="eastAsia" w:ascii="宋体" w:hAnsi="宋体"/>
          <w:color w:val="auto"/>
          <w:sz w:val="28"/>
          <w:szCs w:val="28"/>
          <w:highlight w:val="none"/>
          <w:lang w:val="en-US" w:eastAsia="zh-CN"/>
        </w:rPr>
        <w:t>1177934.00</w:t>
      </w:r>
      <w:r>
        <w:rPr>
          <w:rFonts w:hint="eastAsia" w:ascii="宋体" w:hAnsi="宋体"/>
          <w:color w:val="auto"/>
          <w:sz w:val="28"/>
          <w:szCs w:val="28"/>
          <w:highlight w:val="none"/>
        </w:rPr>
        <w:t>元，最高限价（控制价）：</w:t>
      </w:r>
      <w:r>
        <w:rPr>
          <w:rFonts w:hint="eastAsia" w:ascii="宋体" w:hAnsi="宋体"/>
          <w:color w:val="auto"/>
          <w:sz w:val="28"/>
          <w:szCs w:val="28"/>
          <w:highlight w:val="none"/>
          <w:lang w:val="en-US" w:eastAsia="zh-CN"/>
        </w:rPr>
        <w:t>1177934.00</w:t>
      </w:r>
      <w:r>
        <w:rPr>
          <w:rFonts w:hint="eastAsia" w:ascii="宋体" w:hAnsi="宋体"/>
          <w:color w:val="auto"/>
          <w:sz w:val="28"/>
          <w:szCs w:val="28"/>
          <w:highlight w:val="none"/>
        </w:rPr>
        <w:t>元；采购标</w:t>
      </w:r>
      <w:r>
        <w:rPr>
          <w:rFonts w:ascii="宋体" w:hAnsi="宋体"/>
          <w:color w:val="auto"/>
          <w:sz w:val="28"/>
          <w:szCs w:val="28"/>
          <w:highlight w:val="none"/>
        </w:rPr>
        <w:t>的</w:t>
      </w:r>
      <w:r>
        <w:rPr>
          <w:rFonts w:hint="eastAsia" w:ascii="宋体" w:hAnsi="宋体"/>
          <w:color w:val="auto"/>
          <w:sz w:val="28"/>
          <w:szCs w:val="28"/>
          <w:highlight w:val="none"/>
        </w:rPr>
        <w:t>及所属行业</w:t>
      </w:r>
      <w:r>
        <w:rPr>
          <w:rFonts w:ascii="宋体" w:hAnsi="宋体"/>
          <w:color w:val="auto"/>
          <w:sz w:val="28"/>
          <w:szCs w:val="28"/>
          <w:highlight w:val="none"/>
        </w:rPr>
        <w:t>：</w:t>
      </w:r>
      <w:r>
        <w:rPr>
          <w:rFonts w:hint="eastAsia" w:ascii="宋体" w:hAnsi="宋体"/>
          <w:color w:val="auto"/>
          <w:sz w:val="28"/>
          <w:szCs w:val="28"/>
          <w:highlight w:val="none"/>
          <w:lang w:eastAsia="zh-CN"/>
        </w:rPr>
        <w:t>成都市田家炳中学初中部食堂改造工程采购项目</w:t>
      </w:r>
      <w:r>
        <w:rPr>
          <w:rFonts w:hint="eastAsia" w:ascii="宋体" w:hAnsi="宋体"/>
          <w:color w:val="auto"/>
          <w:sz w:val="28"/>
          <w:szCs w:val="28"/>
          <w:highlight w:val="none"/>
        </w:rPr>
        <w:t>，</w:t>
      </w:r>
      <w:r>
        <w:rPr>
          <w:rFonts w:ascii="宋体" w:hAnsi="宋体"/>
          <w:color w:val="auto"/>
          <w:sz w:val="28"/>
          <w:szCs w:val="28"/>
          <w:highlight w:val="none"/>
        </w:rPr>
        <w:t>所属行业为建筑业</w:t>
      </w:r>
      <w:r>
        <w:rPr>
          <w:rFonts w:hint="eastAsia" w:ascii="宋体" w:hAnsi="宋体"/>
          <w:color w:val="auto"/>
          <w:sz w:val="28"/>
          <w:szCs w:val="28"/>
          <w:highlight w:val="none"/>
        </w:rPr>
        <w:t>。采购</w:t>
      </w:r>
      <w:r>
        <w:rPr>
          <w:rFonts w:hint="eastAsia" w:ascii="宋体" w:hAnsi="宋体"/>
          <w:color w:val="auto"/>
          <w:sz w:val="28"/>
          <w:szCs w:val="28"/>
          <w:highlight w:val="none"/>
          <w:lang w:eastAsia="zh-CN"/>
        </w:rPr>
        <w:t>成都市田家炳中学初中部食堂改造工程采购项目</w:t>
      </w:r>
      <w:r>
        <w:rPr>
          <w:rFonts w:hint="eastAsia" w:ascii="宋体" w:hAnsi="宋体"/>
          <w:color w:val="auto"/>
          <w:sz w:val="28"/>
          <w:szCs w:val="28"/>
          <w:highlight w:val="none"/>
        </w:rPr>
        <w:t>供应商</w:t>
      </w:r>
      <w:r>
        <w:rPr>
          <w:rFonts w:hint="eastAsia" w:ascii="宋体" w:hAnsi="宋体"/>
          <w:color w:val="auto"/>
          <w:sz w:val="28"/>
          <w:szCs w:val="28"/>
          <w:highlight w:val="none"/>
          <w:lang w:val="en-US" w:eastAsia="zh-CN"/>
        </w:rPr>
        <w:t>一</w:t>
      </w:r>
      <w:r>
        <w:rPr>
          <w:rFonts w:hint="eastAsia" w:ascii="宋体" w:hAnsi="宋体"/>
          <w:color w:val="auto"/>
          <w:sz w:val="28"/>
          <w:szCs w:val="28"/>
          <w:highlight w:val="none"/>
        </w:rPr>
        <w:t>名。</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采购项目简介:</w:t>
      </w:r>
    </w:p>
    <w:p>
      <w:pPr>
        <w:tabs>
          <w:tab w:val="left" w:pos="1134"/>
        </w:tabs>
        <w:snapToGrid w:val="0"/>
        <w:spacing w:line="620" w:lineRule="exact"/>
        <w:ind w:firstLine="840" w:firstLineChars="300"/>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成都市田家炳中学初中部食堂改造及门卫室改造。原有食堂为钢筋混凝土结构，地上一层，改造总面积约327.35㎡，新增面积约40.60㎡，新建部分为钢结构。主要包含建筑工程、装饰工程、安装工程等建设内容，详见施工图。</w:t>
      </w:r>
    </w:p>
    <w:p>
      <w:pPr>
        <w:tabs>
          <w:tab w:val="left" w:pos="1134"/>
        </w:tabs>
        <w:snapToGrid w:val="0"/>
        <w:spacing w:line="620" w:lineRule="exact"/>
        <w:ind w:firstLine="840" w:firstLineChars="300"/>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（一）工程内容:</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成都市田家炳中学初中部食堂改造及门卫室改造。原有食堂为钢筋混凝土结构，地上一层，改造总面积约327.35㎡，新增面积约40.60㎡，新建部分为钢结构。主要包含建筑工程、装饰工程、安装工程等建设内容，详见施工图。</w:t>
      </w:r>
    </w:p>
    <w:p>
      <w:pPr>
        <w:snapToGrid w:val="0"/>
        <w:spacing w:line="640" w:lineRule="exact"/>
        <w:ind w:firstLine="560" w:firstLineChars="200"/>
        <w:jc w:val="both"/>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（二）工程地址：成都市锦江区工农院街69号。</w:t>
      </w:r>
    </w:p>
    <w:p>
      <w:pPr>
        <w:snapToGrid w:val="0"/>
        <w:spacing w:line="64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（三）工期要求：合同签订之日起30日历天。</w:t>
      </w:r>
    </w:p>
    <w:p>
      <w:pPr>
        <w:numPr>
          <w:ilvl w:val="0"/>
          <w:numId w:val="2"/>
        </w:numPr>
        <w:snapToGrid w:val="0"/>
        <w:spacing w:line="640" w:lineRule="exact"/>
        <w:ind w:left="0" w:firstLine="567"/>
        <w:jc w:val="both"/>
        <w:rPr>
          <w:rFonts w:hint="eastAsia" w:eastAsia="宋体"/>
          <w:color w:val="auto"/>
          <w:highlight w:val="none"/>
          <w:lang w:val="en-US" w:eastAsia="zh-CN"/>
        </w:rPr>
      </w:pPr>
      <w:r>
        <w:rPr>
          <w:rFonts w:hint="eastAsia" w:ascii="宋体" w:hAnsi="宋体"/>
          <w:b/>
          <w:color w:val="auto"/>
          <w:sz w:val="28"/>
          <w:highlight w:val="none"/>
        </w:rPr>
        <w:t>定向采购情况：</w:t>
      </w:r>
      <w:r>
        <w:rPr>
          <w:rFonts w:hint="eastAsia" w:ascii="宋体" w:hAnsi="宋体"/>
          <w:color w:val="auto"/>
          <w:sz w:val="28"/>
          <w:highlight w:val="none"/>
        </w:rPr>
        <w:t>本项目</w:t>
      </w:r>
      <w:r>
        <w:rPr>
          <w:rFonts w:hint="eastAsia" w:ascii="宋体" w:hAnsi="宋体"/>
          <w:color w:val="auto"/>
          <w:sz w:val="28"/>
          <w:highlight w:val="none"/>
          <w:lang w:val="en-US" w:eastAsia="zh-CN"/>
        </w:rPr>
        <w:t>非</w:t>
      </w:r>
      <w:r>
        <w:rPr>
          <w:rFonts w:hint="eastAsia" w:ascii="宋体" w:hAnsi="宋体"/>
          <w:color w:val="auto"/>
          <w:sz w:val="28"/>
          <w:highlight w:val="none"/>
        </w:rPr>
        <w:t>专门面向中小企业采购。</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邀请供应商</w:t>
      </w:r>
    </w:p>
    <w:p>
      <w:pPr>
        <w:snapToGrid w:val="0"/>
        <w:spacing w:line="64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在四川政府采购网上以公告形式发布，本项目已实行资格预审，邀请通过资格预审且现场随机抽取</w:t>
      </w:r>
      <w:r>
        <w:rPr>
          <w:rFonts w:hint="eastAsia" w:ascii="宋体" w:hAnsi="宋体"/>
          <w:b/>
          <w:bCs/>
          <w:color w:val="auto"/>
          <w:sz w:val="28"/>
          <w:szCs w:val="28"/>
          <w:highlight w:val="none"/>
          <w:u w:val="single"/>
          <w:lang w:val="en-US" w:eastAsia="zh-CN"/>
        </w:rPr>
        <w:t>7</w:t>
      </w:r>
      <w:r>
        <w:rPr>
          <w:rFonts w:hint="eastAsia" w:ascii="宋体" w:hAnsi="宋体"/>
          <w:color w:val="auto"/>
          <w:sz w:val="28"/>
          <w:szCs w:val="28"/>
          <w:highlight w:val="none"/>
        </w:rPr>
        <w:t>家进入</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环节的供应商参加本项目的竞争性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不</w:t>
      </w:r>
      <w:r>
        <w:rPr>
          <w:rFonts w:ascii="宋体" w:hAnsi="宋体"/>
          <w:color w:val="auto"/>
          <w:sz w:val="28"/>
          <w:szCs w:val="28"/>
          <w:highlight w:val="none"/>
        </w:rPr>
        <w:t>属于</w:t>
      </w:r>
      <w:r>
        <w:rPr>
          <w:rFonts w:hint="eastAsia" w:ascii="宋体" w:hAnsi="宋体"/>
          <w:color w:val="auto"/>
          <w:sz w:val="28"/>
          <w:szCs w:val="28"/>
          <w:highlight w:val="none"/>
        </w:rPr>
        <w:t>其他</w:t>
      </w:r>
      <w:r>
        <w:rPr>
          <w:rFonts w:ascii="宋体" w:hAnsi="宋体"/>
          <w:color w:val="auto"/>
          <w:sz w:val="28"/>
          <w:szCs w:val="28"/>
          <w:highlight w:val="none"/>
        </w:rPr>
        <w:t>国家相关法律法规规定的</w:t>
      </w:r>
      <w:r>
        <w:rPr>
          <w:rFonts w:hint="eastAsia" w:ascii="宋体" w:hAnsi="宋体"/>
          <w:color w:val="auto"/>
          <w:sz w:val="28"/>
          <w:szCs w:val="28"/>
          <w:highlight w:val="none"/>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本项目特定资格条件：</w:t>
      </w:r>
    </w:p>
    <w:p>
      <w:pPr>
        <w:pStyle w:val="65"/>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highlight w:val="none"/>
          <w:lang w:val="en-US" w:eastAsia="zh-CN" w:bidi="ar-SA"/>
        </w:rPr>
      </w:pPr>
      <w:r>
        <w:rPr>
          <w:rFonts w:hint="eastAsia" w:ascii="宋体" w:hAnsi="宋体" w:eastAsia="宋体" w:cs="Times New Roman"/>
          <w:color w:val="auto"/>
          <w:sz w:val="28"/>
          <w:szCs w:val="28"/>
          <w:highlight w:val="none"/>
          <w:lang w:val="en-US" w:eastAsia="zh-CN" w:bidi="ar-SA"/>
        </w:rPr>
        <w:t>具有有效的相关行政主管部门颁发的建筑工程施工总承包三级及以上资质；</w:t>
      </w:r>
    </w:p>
    <w:p>
      <w:pPr>
        <w:pStyle w:val="65"/>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highlight w:val="none"/>
          <w:lang w:val="en-US" w:eastAsia="zh-CN" w:bidi="ar-SA"/>
        </w:rPr>
      </w:pPr>
      <w:r>
        <w:rPr>
          <w:rFonts w:hint="eastAsia" w:ascii="宋体" w:hAnsi="宋体" w:eastAsia="宋体" w:cs="Times New Roman"/>
          <w:color w:val="auto"/>
          <w:sz w:val="28"/>
          <w:szCs w:val="28"/>
          <w:highlight w:val="none"/>
          <w:lang w:val="en-US" w:eastAsia="zh-CN" w:bidi="ar-SA"/>
        </w:rPr>
        <w:t>具备效期的《安全生产许可证》；</w:t>
      </w:r>
    </w:p>
    <w:p>
      <w:pPr>
        <w:pStyle w:val="65"/>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highlight w:val="none"/>
          <w:lang w:val="en-US" w:eastAsia="zh-CN" w:bidi="ar-SA"/>
        </w:rPr>
      </w:pPr>
      <w:r>
        <w:rPr>
          <w:rFonts w:hint="eastAsia" w:ascii="宋体" w:hAnsi="宋体" w:eastAsia="宋体" w:cs="Times New Roman"/>
          <w:color w:val="auto"/>
          <w:sz w:val="28"/>
          <w:szCs w:val="28"/>
          <w:highlight w:val="none"/>
          <w:lang w:val="en-US" w:eastAsia="zh-CN" w:bidi="ar-SA"/>
        </w:rPr>
        <w:t>供应商为省外注册企业应具有有效的</w:t>
      </w:r>
      <w:r>
        <w:rPr>
          <w:rFonts w:hint="eastAsia" w:ascii="宋体" w:hAnsi="宋体" w:eastAsia="宋体" w:cs="Times New Roman"/>
          <w:color w:val="auto"/>
          <w:sz w:val="28"/>
          <w:szCs w:val="28"/>
          <w:highlight w:val="none"/>
          <w:lang w:val="zh-CN" w:eastAsia="zh-CN" w:bidi="ar-SA"/>
        </w:rPr>
        <w:t>《四川省省外企业入川从事建筑活动备案证》或《四川省省外建筑企业入川承揽业务验证登记证》或者《四川省省外施工入川承揽业务信息录入证》，且省外企业的拟派人员需是入川备案登记证中的人员；</w:t>
      </w:r>
    </w:p>
    <w:p>
      <w:pPr>
        <w:pStyle w:val="65"/>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highlight w:val="none"/>
          <w:lang w:val="en-US" w:eastAsia="zh-CN" w:bidi="ar-SA"/>
        </w:rPr>
      </w:pPr>
      <w:r>
        <w:rPr>
          <w:rFonts w:hint="eastAsia" w:ascii="宋体" w:hAnsi="宋体" w:eastAsia="宋体" w:cs="Times New Roman"/>
          <w:color w:val="auto"/>
          <w:sz w:val="28"/>
          <w:szCs w:val="28"/>
          <w:highlight w:val="none"/>
          <w:lang w:val="en-US" w:eastAsia="zh-CN" w:bidi="ar-SA"/>
        </w:rPr>
        <w:t>供应商为本项目配备的项目经理应</w:t>
      </w:r>
      <w:r>
        <w:rPr>
          <w:rFonts w:hint="eastAsia" w:ascii="宋体" w:hAnsi="宋体" w:eastAsia="宋体" w:cs="Times New Roman"/>
          <w:color w:val="auto"/>
          <w:sz w:val="28"/>
          <w:szCs w:val="28"/>
          <w:highlight w:val="none"/>
          <w:lang w:val="zh-CN" w:eastAsia="zh-CN" w:bidi="ar-SA"/>
        </w:rPr>
        <w:t>具备建筑工程二级及以上注册建造师执业资格证书，并具有效的安全生产考核证书（B证）；</w:t>
      </w:r>
    </w:p>
    <w:p>
      <w:pPr>
        <w:pStyle w:val="65"/>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highlight w:val="none"/>
          <w:lang w:val="en-US" w:eastAsia="zh-CN" w:bidi="ar-SA"/>
        </w:rPr>
      </w:pPr>
      <w:r>
        <w:rPr>
          <w:rFonts w:hint="eastAsia" w:ascii="宋体" w:hAnsi="宋体" w:eastAsia="宋体" w:cs="Times New Roman"/>
          <w:color w:val="auto"/>
          <w:sz w:val="28"/>
          <w:szCs w:val="28"/>
          <w:highlight w:val="none"/>
          <w:lang w:val="en-US" w:eastAsia="zh-CN" w:bidi="ar-SA"/>
        </w:rPr>
        <w:t>供应商为本项目配备的项目技术负责人应</w:t>
      </w:r>
      <w:r>
        <w:rPr>
          <w:rFonts w:hint="eastAsia" w:ascii="宋体" w:hAnsi="宋体" w:eastAsia="宋体" w:cs="Times New Roman"/>
          <w:color w:val="auto"/>
          <w:sz w:val="28"/>
          <w:szCs w:val="28"/>
          <w:highlight w:val="none"/>
          <w:lang w:val="zh-CN" w:eastAsia="zh-CN" w:bidi="ar-SA"/>
        </w:rPr>
        <w:t>具备建筑工程专业中级以上职称。</w:t>
      </w:r>
    </w:p>
    <w:p>
      <w:pPr>
        <w:numPr>
          <w:ilvl w:val="0"/>
          <w:numId w:val="0"/>
        </w:numPr>
        <w:snapToGrid w:val="0"/>
        <w:spacing w:line="640" w:lineRule="exact"/>
        <w:ind w:left="568" w:leftChars="0"/>
        <w:jc w:val="both"/>
        <w:rPr>
          <w:rFonts w:ascii="仿宋" w:hAnsi="仿宋" w:eastAsia="仿宋"/>
          <w:color w:val="auto"/>
          <w:highlight w:val="none"/>
        </w:rPr>
      </w:pPr>
      <w:r>
        <w:rPr>
          <w:rFonts w:hint="eastAsia" w:ascii="宋体" w:hAnsi="宋体"/>
          <w:color w:val="auto"/>
          <w:sz w:val="28"/>
          <w:highlight w:val="none"/>
          <w:lang w:val="en-US" w:eastAsia="zh-CN"/>
        </w:rPr>
        <w:t xml:space="preserve">   </w:t>
      </w:r>
      <w:r>
        <w:rPr>
          <w:rFonts w:hint="eastAsia" w:ascii="宋体" w:hAnsi="宋体"/>
          <w:b/>
          <w:bCs/>
          <w:color w:val="auto"/>
          <w:sz w:val="28"/>
          <w:highlight w:val="none"/>
          <w:lang w:val="en-US" w:eastAsia="zh-CN"/>
        </w:rPr>
        <w:t xml:space="preserve"> </w:t>
      </w:r>
      <w:r>
        <w:rPr>
          <w:rFonts w:ascii="宋体" w:hAnsi="宋体"/>
          <w:b/>
          <w:bCs/>
          <w:color w:val="auto"/>
          <w:sz w:val="28"/>
          <w:highlight w:val="none"/>
        </w:rPr>
        <w:t>本项目已进行资格预审，供应商</w:t>
      </w:r>
      <w:r>
        <w:rPr>
          <w:rFonts w:hint="eastAsia" w:ascii="宋体" w:hAnsi="宋体"/>
          <w:b/>
          <w:bCs/>
          <w:color w:val="auto"/>
          <w:sz w:val="28"/>
          <w:highlight w:val="none"/>
        </w:rPr>
        <w:t>资格条件无变化的不须提供</w:t>
      </w:r>
      <w:r>
        <w:rPr>
          <w:rFonts w:ascii="宋体" w:hAnsi="宋体"/>
          <w:b/>
          <w:bCs/>
          <w:color w:val="auto"/>
          <w:sz w:val="28"/>
          <w:highlight w:val="none"/>
        </w:rPr>
        <w:t>资格性响应文件</w:t>
      </w:r>
      <w:r>
        <w:rPr>
          <w:rFonts w:hint="eastAsia" w:ascii="宋体" w:hAnsi="宋体"/>
          <w:b/>
          <w:bCs/>
          <w:color w:val="auto"/>
          <w:sz w:val="28"/>
          <w:highlight w:val="none"/>
        </w:rPr>
        <w:t>，资格预审合格的供应商在评审阶段资格发生变化的，应当通知</w:t>
      </w:r>
      <w:r>
        <w:rPr>
          <w:b/>
          <w:bCs/>
          <w:color w:val="auto"/>
          <w:highlight w:val="none"/>
        </w:rPr>
        <w:fldChar w:fldCharType="begin"/>
      </w:r>
      <w:r>
        <w:rPr>
          <w:b/>
          <w:bCs/>
          <w:color w:val="auto"/>
          <w:highlight w:val="none"/>
        </w:rPr>
        <w:instrText xml:space="preserve"> HYPERLINK "http://www.caigou2003.com/cgr/" \t "_blank" </w:instrText>
      </w:r>
      <w:r>
        <w:rPr>
          <w:b/>
          <w:bCs/>
          <w:color w:val="auto"/>
          <w:highlight w:val="none"/>
        </w:rPr>
        <w:fldChar w:fldCharType="separate"/>
      </w:r>
      <w:r>
        <w:rPr>
          <w:rFonts w:hint="eastAsia" w:ascii="宋体" w:hAnsi="宋体"/>
          <w:b/>
          <w:bCs/>
          <w:color w:val="auto"/>
          <w:sz w:val="28"/>
          <w:highlight w:val="none"/>
        </w:rPr>
        <w:t>采购人</w:t>
      </w:r>
      <w:r>
        <w:rPr>
          <w:rFonts w:hint="eastAsia" w:ascii="宋体" w:hAnsi="宋体"/>
          <w:b/>
          <w:bCs/>
          <w:color w:val="auto"/>
          <w:sz w:val="28"/>
          <w:highlight w:val="none"/>
        </w:rPr>
        <w:fldChar w:fldCharType="end"/>
      </w:r>
      <w:r>
        <w:rPr>
          <w:rFonts w:hint="eastAsia" w:ascii="宋体" w:hAnsi="宋体"/>
          <w:b/>
          <w:bCs/>
          <w:color w:val="auto"/>
          <w:sz w:val="28"/>
          <w:highlight w:val="none"/>
        </w:rPr>
        <w:t>和采购代理机构</w:t>
      </w:r>
      <w:r>
        <w:rPr>
          <w:rFonts w:ascii="宋体" w:hAnsi="宋体"/>
          <w:b/>
          <w:bCs/>
          <w:color w:val="auto"/>
          <w:sz w:val="28"/>
          <w:highlight w:val="none"/>
        </w:rPr>
        <w:t>。</w:t>
      </w:r>
      <w:r>
        <w:rPr>
          <w:rFonts w:hint="eastAsia" w:ascii="宋体" w:hAnsi="宋体"/>
          <w:b/>
          <w:bCs/>
          <w:color w:val="auto"/>
          <w:sz w:val="28"/>
          <w:highlight w:val="none"/>
        </w:rPr>
        <w:t xml:space="preserve"> </w:t>
      </w:r>
      <w:r>
        <w:rPr>
          <w:rFonts w:ascii="仿宋" w:hAnsi="仿宋" w:eastAsia="仿宋"/>
          <w:color w:val="auto"/>
          <w:highlight w:val="none"/>
        </w:rPr>
        <w:t xml:space="preserve">   </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采购项目技术、服务</w:t>
      </w:r>
      <w:r>
        <w:rPr>
          <w:rFonts w:hint="eastAsia" w:ascii="宋体" w:hAnsi="宋体"/>
          <w:b/>
          <w:color w:val="auto"/>
          <w:sz w:val="28"/>
          <w:szCs w:val="28"/>
          <w:highlight w:val="none"/>
          <w:lang w:eastAsia="zh-CN"/>
        </w:rPr>
        <w:t>、商务</w:t>
      </w:r>
      <w:r>
        <w:rPr>
          <w:rFonts w:hint="eastAsia" w:ascii="宋体" w:hAnsi="宋体"/>
          <w:b/>
          <w:color w:val="auto"/>
          <w:sz w:val="28"/>
          <w:szCs w:val="28"/>
          <w:highlight w:val="none"/>
        </w:rPr>
        <w:t>和报价要求</w:t>
      </w:r>
    </w:p>
    <w:p>
      <w:pPr>
        <w:tabs>
          <w:tab w:val="left" w:pos="851"/>
        </w:tabs>
        <w:snapToGrid w:val="0"/>
        <w:spacing w:line="640" w:lineRule="exact"/>
        <w:ind w:left="0" w:leftChars="0" w:firstLine="239" w:firstLineChars="85"/>
        <w:rPr>
          <w:rFonts w:hint="eastAsia"/>
          <w:color w:val="auto"/>
          <w:highlight w:val="none"/>
          <w:lang w:val="en-US" w:eastAsia="zh-CN"/>
        </w:rPr>
      </w:pPr>
      <w:r>
        <w:rPr>
          <w:rFonts w:hint="eastAsia" w:ascii="宋体" w:hAnsi="宋体"/>
          <w:b/>
          <w:color w:val="auto"/>
          <w:sz w:val="28"/>
          <w:szCs w:val="28"/>
          <w:highlight w:val="none"/>
          <w:lang w:val="en-US" w:eastAsia="zh-CN"/>
        </w:rPr>
        <w:t xml:space="preserve"> </w:t>
      </w:r>
      <w:r>
        <w:rPr>
          <w:rFonts w:hint="eastAsia" w:ascii="宋体" w:hAnsi="宋体"/>
          <w:b/>
          <w:color w:val="auto"/>
          <w:sz w:val="28"/>
          <w:szCs w:val="28"/>
          <w:highlight w:val="none"/>
        </w:rPr>
        <w:t>（一）采购内容</w:t>
      </w:r>
    </w:p>
    <w:p>
      <w:pPr>
        <w:tabs>
          <w:tab w:val="left" w:pos="851"/>
        </w:tabs>
        <w:spacing w:line="600" w:lineRule="exact"/>
        <w:ind w:firstLine="480" w:firstLineChars="200"/>
        <w:rPr>
          <w:rFonts w:ascii="宋体" w:hAnsi="宋体"/>
          <w:color w:val="auto"/>
          <w:sz w:val="28"/>
          <w:szCs w:val="28"/>
          <w:highlight w:val="none"/>
        </w:rPr>
      </w:pPr>
      <w:r>
        <w:rPr>
          <w:rFonts w:hint="eastAsia"/>
          <w:color w:val="auto"/>
          <w:highlight w:val="none"/>
        </w:rPr>
        <w:t xml:space="preserve"> </w:t>
      </w:r>
      <w:r>
        <w:rPr>
          <w:rFonts w:hint="eastAsia" w:ascii="宋体" w:hAnsi="宋体"/>
          <w:color w:val="auto"/>
          <w:sz w:val="28"/>
          <w:szCs w:val="28"/>
          <w:highlight w:val="none"/>
        </w:rPr>
        <w:t>工程量清单、图纸所示范围及内容。具体采购内容见磋商文件 “第7章工程量清单”。</w:t>
      </w:r>
    </w:p>
    <w:p>
      <w:pPr>
        <w:tabs>
          <w:tab w:val="left" w:pos="851"/>
        </w:tabs>
        <w:snapToGrid w:val="0"/>
        <w:spacing w:line="640" w:lineRule="exact"/>
        <w:rPr>
          <w:rFonts w:ascii="宋体" w:hAnsi="宋体"/>
          <w:b/>
          <w:bCs/>
          <w:color w:val="auto"/>
          <w:sz w:val="28"/>
          <w:szCs w:val="28"/>
          <w:highlight w:val="none"/>
        </w:rPr>
      </w:pPr>
      <w:r>
        <w:rPr>
          <w:rFonts w:hint="eastAsia" w:ascii="宋体" w:hAnsi="宋体"/>
          <w:b/>
          <w:bCs/>
          <w:color w:val="auto"/>
          <w:sz w:val="28"/>
          <w:szCs w:val="28"/>
          <w:highlight w:val="none"/>
          <w:lang w:val="en-US" w:eastAsia="zh-CN"/>
        </w:rPr>
        <w:t xml:space="preserve">   </w:t>
      </w:r>
      <w:r>
        <w:rPr>
          <w:rFonts w:hint="eastAsia" w:ascii="宋体" w:hAnsi="宋体"/>
          <w:b/>
          <w:bCs/>
          <w:color w:val="auto"/>
          <w:sz w:val="28"/>
          <w:szCs w:val="28"/>
          <w:highlight w:val="none"/>
        </w:rPr>
        <w:t>（二）技术、服务要求</w:t>
      </w:r>
    </w:p>
    <w:p>
      <w:pPr>
        <w:snapToGrid w:val="0"/>
        <w:spacing w:line="640" w:lineRule="exact"/>
        <w:ind w:left="0" w:leftChars="0" w:firstLine="560" w:firstLineChars="200"/>
        <w:rPr>
          <w:rFonts w:ascii="宋体" w:hAnsi="宋体"/>
          <w:color w:val="auto"/>
          <w:sz w:val="28"/>
          <w:szCs w:val="28"/>
          <w:highlight w:val="none"/>
        </w:rPr>
      </w:pPr>
      <w:r>
        <w:rPr>
          <w:rFonts w:hint="eastAsia" w:ascii="宋体" w:hAnsi="宋体"/>
          <w:color w:val="auto"/>
          <w:sz w:val="28"/>
          <w:szCs w:val="28"/>
          <w:highlight w:val="none"/>
        </w:rPr>
        <w:t>见</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w:t>
      </w:r>
      <w:r>
        <w:rPr>
          <w:rFonts w:ascii="宋体" w:hAnsi="宋体"/>
          <w:color w:val="auto"/>
          <w:sz w:val="28"/>
          <w:szCs w:val="28"/>
          <w:highlight w:val="none"/>
        </w:rPr>
        <w:t xml:space="preserve"> </w:t>
      </w:r>
      <w:r>
        <w:rPr>
          <w:rFonts w:hint="eastAsia" w:ascii="宋体" w:hAnsi="宋体"/>
          <w:color w:val="auto"/>
          <w:sz w:val="28"/>
          <w:szCs w:val="28"/>
          <w:highlight w:val="none"/>
        </w:rPr>
        <w:t>“第</w:t>
      </w:r>
      <w:r>
        <w:rPr>
          <w:rFonts w:ascii="宋体" w:hAnsi="宋体"/>
          <w:color w:val="auto"/>
          <w:sz w:val="28"/>
          <w:szCs w:val="28"/>
          <w:highlight w:val="none"/>
        </w:rPr>
        <w:t>4</w:t>
      </w:r>
      <w:r>
        <w:rPr>
          <w:rFonts w:hint="eastAsia" w:ascii="宋体" w:hAnsi="宋体"/>
          <w:color w:val="auto"/>
          <w:sz w:val="28"/>
          <w:szCs w:val="28"/>
          <w:highlight w:val="none"/>
        </w:rPr>
        <w:t>章项目技术、服务</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商务</w:t>
      </w:r>
      <w:r>
        <w:rPr>
          <w:rFonts w:hint="eastAsia" w:ascii="宋体" w:hAnsi="宋体"/>
          <w:color w:val="auto"/>
          <w:sz w:val="28"/>
          <w:szCs w:val="28"/>
          <w:highlight w:val="none"/>
        </w:rPr>
        <w:t>及其他要求”。</w:t>
      </w:r>
    </w:p>
    <w:p>
      <w:pPr>
        <w:tabs>
          <w:tab w:val="left" w:pos="851"/>
        </w:tabs>
        <w:snapToGrid w:val="0"/>
        <w:spacing w:line="640" w:lineRule="exact"/>
        <w:rPr>
          <w:rFonts w:ascii="宋体" w:hAnsi="宋体"/>
          <w:b/>
          <w:bCs/>
          <w:color w:val="auto"/>
          <w:sz w:val="28"/>
          <w:szCs w:val="28"/>
          <w:highlight w:val="none"/>
        </w:rPr>
      </w:pPr>
      <w:r>
        <w:rPr>
          <w:rFonts w:hint="eastAsia" w:ascii="宋体" w:hAnsi="宋体"/>
          <w:b/>
          <w:bCs/>
          <w:color w:val="auto"/>
          <w:sz w:val="28"/>
          <w:szCs w:val="28"/>
          <w:highlight w:val="none"/>
          <w:lang w:val="en-US" w:eastAsia="zh-CN"/>
        </w:rPr>
        <w:t xml:space="preserve">   </w:t>
      </w:r>
      <w:r>
        <w:rPr>
          <w:rFonts w:hint="eastAsia" w:ascii="宋体" w:hAnsi="宋体"/>
          <w:b/>
          <w:bCs/>
          <w:color w:val="auto"/>
          <w:sz w:val="28"/>
          <w:szCs w:val="28"/>
          <w:highlight w:val="none"/>
        </w:rPr>
        <w:t>（三）报价要求</w:t>
      </w:r>
    </w:p>
    <w:p>
      <w:pPr>
        <w:snapToGrid w:val="0"/>
        <w:spacing w:line="640" w:lineRule="exact"/>
        <w:ind w:firstLine="562" w:firstLineChars="201"/>
        <w:rPr>
          <w:rFonts w:ascii="宋体" w:hAnsi="宋体"/>
          <w:color w:val="auto"/>
          <w:sz w:val="28"/>
          <w:szCs w:val="28"/>
          <w:highlight w:val="none"/>
        </w:rPr>
      </w:pPr>
      <w:r>
        <w:rPr>
          <w:rFonts w:hint="eastAsia" w:ascii="宋体" w:hAnsi="宋体"/>
          <w:color w:val="auto"/>
          <w:sz w:val="28"/>
          <w:szCs w:val="28"/>
          <w:highlight w:val="none"/>
        </w:rPr>
        <w:t>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文件要求进行报价。</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文件获取时间</w:t>
      </w:r>
    </w:p>
    <w:p>
      <w:pPr>
        <w:pStyle w:val="65"/>
        <w:numPr>
          <w:ilvl w:val="0"/>
          <w:numId w:val="5"/>
        </w:numPr>
        <w:tabs>
          <w:tab w:val="left" w:pos="1418"/>
        </w:tabs>
        <w:snapToGrid w:val="0"/>
        <w:spacing w:line="640" w:lineRule="exact"/>
        <w:ind w:left="0" w:firstLine="563" w:firstLineChars="0"/>
        <w:rPr>
          <w:rFonts w:ascii="宋体" w:hAnsi="宋体"/>
          <w:color w:val="auto"/>
          <w:sz w:val="28"/>
          <w:szCs w:val="28"/>
          <w:highlight w:val="none"/>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文件获取时间及公告期限：</w:t>
      </w:r>
      <w:r>
        <w:rPr>
          <w:rFonts w:ascii="宋体" w:hAnsi="宋体"/>
          <w:b/>
          <w:color w:val="auto"/>
          <w:sz w:val="28"/>
          <w:szCs w:val="28"/>
          <w:highlight w:val="none"/>
        </w:rPr>
        <w:t>20</w:t>
      </w:r>
      <w:r>
        <w:rPr>
          <w:rFonts w:hint="eastAsia" w:ascii="宋体" w:hAnsi="宋体"/>
          <w:b/>
          <w:color w:val="auto"/>
          <w:sz w:val="28"/>
          <w:szCs w:val="28"/>
          <w:highlight w:val="none"/>
          <w:lang w:val="en-US" w:eastAsia="zh-CN"/>
        </w:rPr>
        <w:t>21</w:t>
      </w:r>
      <w:r>
        <w:rPr>
          <w:rFonts w:hint="eastAsia" w:ascii="宋体" w:hAnsi="宋体"/>
          <w:b/>
          <w:color w:val="auto"/>
          <w:sz w:val="28"/>
          <w:szCs w:val="28"/>
          <w:highlight w:val="none"/>
        </w:rPr>
        <w:t>年</w:t>
      </w:r>
      <w:r>
        <w:rPr>
          <w:rFonts w:hint="eastAsia" w:ascii="宋体" w:hAnsi="宋体"/>
          <w:b/>
          <w:color w:val="auto"/>
          <w:sz w:val="28"/>
          <w:szCs w:val="28"/>
          <w:highlight w:val="none"/>
          <w:lang w:val="en-US" w:eastAsia="zh-CN"/>
        </w:rPr>
        <w:t>7</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7</w:t>
      </w:r>
      <w:r>
        <w:rPr>
          <w:rFonts w:hint="eastAsia" w:ascii="宋体" w:hAnsi="宋体"/>
          <w:b/>
          <w:color w:val="auto"/>
          <w:sz w:val="28"/>
          <w:szCs w:val="28"/>
          <w:highlight w:val="none"/>
        </w:rPr>
        <w:t>日至</w:t>
      </w:r>
      <w:r>
        <w:rPr>
          <w:rFonts w:hint="eastAsia" w:ascii="宋体" w:hAnsi="宋体"/>
          <w:b/>
          <w:color w:val="auto"/>
          <w:sz w:val="28"/>
          <w:szCs w:val="28"/>
          <w:highlight w:val="none"/>
          <w:lang w:val="en-US" w:eastAsia="zh-CN"/>
        </w:rPr>
        <w:t>7</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16</w:t>
      </w:r>
      <w:r>
        <w:rPr>
          <w:rFonts w:hint="eastAsia" w:ascii="宋体" w:hAnsi="宋体"/>
          <w:b/>
          <w:color w:val="auto"/>
          <w:sz w:val="28"/>
          <w:szCs w:val="28"/>
          <w:highlight w:val="none"/>
        </w:rPr>
        <w:t>日</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b/>
          <w:color w:val="auto"/>
          <w:sz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highlight w:val="none"/>
        </w:rPr>
        <w:t>文件获取方式</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文件获取地点</w:t>
      </w:r>
      <w:r>
        <w:rPr>
          <w:rFonts w:hint="eastAsia" w:ascii="宋体" w:hAnsi="宋体"/>
          <w:color w:val="auto"/>
          <w:sz w:val="28"/>
          <w:szCs w:val="28"/>
          <w:highlight w:val="none"/>
        </w:rPr>
        <w:t>：</w:t>
      </w:r>
      <w:r>
        <w:rPr>
          <w:rFonts w:hint="eastAsia" w:ascii="宋体" w:hAnsi="宋体"/>
          <w:color w:val="auto"/>
          <w:sz w:val="28"/>
          <w:highlight w:val="none"/>
        </w:rPr>
        <w:t>登录成都市公共资源交易服务中心门户网站（https://www.cdggzy.com/）—用户中心—政府采购云平台获取。</w:t>
      </w:r>
    </w:p>
    <w:p>
      <w:pPr>
        <w:numPr>
          <w:ilvl w:val="0"/>
          <w:numId w:val="2"/>
        </w:numPr>
        <w:snapToGrid w:val="0"/>
        <w:spacing w:line="640" w:lineRule="exact"/>
        <w:ind w:left="0" w:firstLine="568" w:firstLineChars="202"/>
        <w:jc w:val="both"/>
        <w:rPr>
          <w:rFonts w:ascii="宋体" w:hAnsi="宋体"/>
          <w:color w:val="auto"/>
          <w:sz w:val="28"/>
          <w:szCs w:val="28"/>
          <w:highlight w:val="none"/>
        </w:rPr>
      </w:pPr>
      <w:r>
        <w:rPr>
          <w:rFonts w:hint="eastAsia" w:ascii="宋体" w:hAnsi="宋体"/>
          <w:b/>
          <w:color w:val="auto"/>
          <w:sz w:val="28"/>
          <w:szCs w:val="28"/>
          <w:highlight w:val="none"/>
        </w:rPr>
        <w:t>施工响应文件递交时间、截止时间及开启时间（北京时间）</w:t>
      </w:r>
      <w:r>
        <w:rPr>
          <w:rFonts w:hint="eastAsia" w:ascii="宋体" w:hAnsi="宋体"/>
          <w:b/>
          <w:color w:val="auto"/>
          <w:sz w:val="28"/>
          <w:szCs w:val="28"/>
          <w:highlight w:val="none"/>
          <w:lang w:eastAsia="zh-CN"/>
        </w:rPr>
        <w:t>、地点、方式</w:t>
      </w:r>
    </w:p>
    <w:p>
      <w:pPr>
        <w:pStyle w:val="65"/>
        <w:numPr>
          <w:ilvl w:val="0"/>
          <w:numId w:val="6"/>
        </w:numPr>
        <w:tabs>
          <w:tab w:val="left" w:pos="1418"/>
        </w:tabs>
        <w:spacing w:line="600" w:lineRule="exact"/>
        <w:ind w:left="0" w:firstLine="567" w:firstLineChars="0"/>
        <w:jc w:val="both"/>
        <w:rPr>
          <w:rFonts w:hint="eastAsia" w:ascii="宋体" w:hAnsi="宋体" w:eastAsia="宋体"/>
          <w:b/>
          <w:color w:val="auto"/>
          <w:sz w:val="28"/>
          <w:szCs w:val="28"/>
          <w:highlight w:val="none"/>
        </w:rPr>
      </w:pPr>
      <w:r>
        <w:rPr>
          <w:rFonts w:hint="eastAsia" w:ascii="宋体" w:hAnsi="宋体" w:eastAsia="宋体"/>
          <w:b/>
          <w:color w:val="auto"/>
          <w:sz w:val="28"/>
          <w:szCs w:val="28"/>
          <w:highlight w:val="none"/>
        </w:rPr>
        <w:t>施工响应文件递交截止时间及开启时间：2021年</w:t>
      </w:r>
      <w:r>
        <w:rPr>
          <w:rFonts w:hint="eastAsia" w:ascii="宋体" w:hAnsi="宋体"/>
          <w:b/>
          <w:color w:val="auto"/>
          <w:sz w:val="28"/>
          <w:szCs w:val="28"/>
          <w:highlight w:val="none"/>
          <w:lang w:val="en-US" w:eastAsia="zh-CN"/>
        </w:rPr>
        <w:t>7</w:t>
      </w:r>
      <w:r>
        <w:rPr>
          <w:rFonts w:hint="eastAsia" w:ascii="宋体" w:hAnsi="宋体" w:eastAsia="宋体"/>
          <w:b/>
          <w:color w:val="auto"/>
          <w:sz w:val="28"/>
          <w:szCs w:val="28"/>
          <w:highlight w:val="none"/>
        </w:rPr>
        <w:t>月</w:t>
      </w:r>
      <w:r>
        <w:rPr>
          <w:rFonts w:hint="eastAsia" w:ascii="宋体" w:hAnsi="宋体"/>
          <w:b/>
          <w:color w:val="auto"/>
          <w:sz w:val="28"/>
          <w:szCs w:val="28"/>
          <w:highlight w:val="none"/>
          <w:lang w:val="en-US" w:eastAsia="zh-CN"/>
        </w:rPr>
        <w:t>20</w:t>
      </w:r>
      <w:bookmarkStart w:id="759" w:name="_GoBack"/>
      <w:bookmarkEnd w:id="759"/>
      <w:r>
        <w:rPr>
          <w:rFonts w:hint="eastAsia" w:ascii="宋体" w:hAnsi="宋体" w:eastAsia="宋体"/>
          <w:b/>
          <w:color w:val="auto"/>
          <w:sz w:val="28"/>
          <w:szCs w:val="28"/>
          <w:highlight w:val="none"/>
        </w:rPr>
        <w:t>日上午</w:t>
      </w:r>
      <w:r>
        <w:rPr>
          <w:rFonts w:hint="eastAsia" w:ascii="宋体" w:hAnsi="宋体" w:eastAsia="宋体"/>
          <w:b/>
          <w:color w:val="auto"/>
          <w:sz w:val="28"/>
          <w:szCs w:val="28"/>
          <w:highlight w:val="none"/>
          <w:lang w:val="en-US" w:eastAsia="zh-CN"/>
        </w:rPr>
        <w:t>10：0</w:t>
      </w:r>
      <w:r>
        <w:rPr>
          <w:rFonts w:hint="eastAsia" w:ascii="宋体" w:hAnsi="宋体" w:eastAsia="宋体"/>
          <w:b/>
          <w:color w:val="auto"/>
          <w:sz w:val="28"/>
          <w:szCs w:val="28"/>
          <w:highlight w:val="none"/>
        </w:rPr>
        <w:t>0。</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递交施工响应文件地点及</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地点</w:t>
      </w:r>
    </w:p>
    <w:p>
      <w:pPr>
        <w:spacing w:line="60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lang w:eastAsia="zh-CN"/>
        </w:rPr>
        <w:t>成都市锦江区政府采购中心</w:t>
      </w:r>
      <w:r>
        <w:rPr>
          <w:rFonts w:hint="eastAsia" w:ascii="宋体" w:hAnsi="宋体"/>
          <w:color w:val="auto"/>
          <w:sz w:val="28"/>
          <w:szCs w:val="28"/>
          <w:highlight w:val="none"/>
          <w:lang w:val="en-US" w:eastAsia="zh-CN"/>
        </w:rPr>
        <w:t>开标室（成都市锦江区金石路166号天府宝座A座14楼1410室）</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lang w:eastAsia="zh-CN"/>
        </w:rPr>
        <w:t>中小企业</w:t>
      </w:r>
      <w:r>
        <w:rPr>
          <w:rFonts w:hint="eastAsia" w:ascii="宋体" w:hAnsi="宋体"/>
          <w:b/>
          <w:color w:val="auto"/>
          <w:sz w:val="28"/>
          <w:szCs w:val="28"/>
          <w:highlight w:val="none"/>
        </w:rPr>
        <w:t>政采信用担保融资</w:t>
      </w:r>
    </w:p>
    <w:p>
      <w:pPr>
        <w:spacing w:line="360" w:lineRule="auto"/>
        <w:ind w:firstLine="565" w:firstLineChars="202"/>
        <w:rPr>
          <w:rFonts w:ascii="宋体" w:hAnsi="宋体"/>
          <w:color w:val="auto"/>
          <w:sz w:val="28"/>
          <w:szCs w:val="28"/>
          <w:highlight w:val="none"/>
        </w:rPr>
      </w:pPr>
      <w:r>
        <w:rPr>
          <w:rFonts w:ascii="宋体" w:hAnsi="宋体"/>
          <w:color w:val="auto"/>
          <w:sz w:val="28"/>
          <w:szCs w:val="28"/>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highlight w:val="none"/>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2"/>
        </w:numPr>
        <w:snapToGrid w:val="0"/>
        <w:spacing w:line="640" w:lineRule="exact"/>
        <w:ind w:left="0" w:leftChars="0" w:firstLine="480" w:firstLineChars="0"/>
        <w:jc w:val="both"/>
        <w:rPr>
          <w:rFonts w:ascii="宋体" w:hAnsi="宋体"/>
          <w:b/>
          <w:color w:val="auto"/>
          <w:sz w:val="28"/>
          <w:szCs w:val="28"/>
          <w:highlight w:val="none"/>
        </w:rPr>
      </w:pPr>
      <w:r>
        <w:rPr>
          <w:rFonts w:hint="eastAsia" w:ascii="宋体" w:hAnsi="宋体"/>
          <w:b/>
          <w:color w:val="auto"/>
          <w:sz w:val="28"/>
          <w:szCs w:val="28"/>
          <w:highlight w:val="none"/>
        </w:rPr>
        <w:t>联系人及联系电话</w:t>
      </w:r>
    </w:p>
    <w:p>
      <w:pPr>
        <w:widowControl/>
        <w:numPr>
          <w:ilvl w:val="0"/>
          <w:numId w:val="0"/>
        </w:numPr>
        <w:spacing w:after="0" w:line="600" w:lineRule="exact"/>
        <w:ind w:leftChars="201"/>
        <w:rPr>
          <w:rFonts w:ascii="宋体" w:hAnsi="宋体"/>
          <w:b/>
          <w:color w:val="auto"/>
          <w:sz w:val="28"/>
          <w:szCs w:val="28"/>
          <w:highlight w:val="none"/>
        </w:rPr>
      </w:pPr>
      <w:r>
        <w:rPr>
          <w:rFonts w:hint="eastAsia" w:ascii="宋体" w:hAnsi="宋体"/>
          <w:b/>
          <w:color w:val="auto"/>
          <w:sz w:val="28"/>
          <w:highlight w:val="none"/>
          <w:lang w:val="en-US" w:eastAsia="zh-CN"/>
        </w:rPr>
        <w:t xml:space="preserve">  </w:t>
      </w:r>
      <w:r>
        <w:rPr>
          <w:rFonts w:hint="eastAsia" w:ascii="宋体" w:hAnsi="宋体"/>
          <w:b/>
          <w:color w:val="auto"/>
          <w:sz w:val="28"/>
          <w:highlight w:val="none"/>
        </w:rPr>
        <w:t>采购人：</w:t>
      </w:r>
      <w:r>
        <w:rPr>
          <w:rFonts w:hint="eastAsia" w:ascii="宋体" w:hAnsi="宋体"/>
          <w:b/>
          <w:color w:val="auto"/>
          <w:sz w:val="28"/>
          <w:szCs w:val="28"/>
          <w:highlight w:val="none"/>
          <w:lang w:eastAsia="zh-CN"/>
        </w:rPr>
        <w:t>成都市田家炳中学初中部食堂改造工程采购项目</w:t>
      </w:r>
    </w:p>
    <w:p>
      <w:pPr>
        <w:spacing w:line="600" w:lineRule="exact"/>
        <w:ind w:firstLine="565" w:firstLineChars="202"/>
        <w:rPr>
          <w:rFonts w:ascii="宋体" w:hAnsi="宋体"/>
          <w:b/>
          <w:color w:val="auto"/>
          <w:sz w:val="28"/>
          <w:szCs w:val="28"/>
          <w:highlight w:val="none"/>
        </w:rPr>
      </w:pPr>
      <w:r>
        <w:rPr>
          <w:rFonts w:hint="eastAsia" w:ascii="宋体" w:hAnsi="宋体"/>
          <w:color w:val="auto"/>
          <w:kern w:val="0"/>
          <w:sz w:val="28"/>
          <w:szCs w:val="22"/>
          <w:highlight w:val="none"/>
          <w:lang w:val="en-US" w:eastAsia="zh-CN"/>
        </w:rPr>
        <w:t xml:space="preserve"> </w:t>
      </w:r>
      <w:r>
        <w:rPr>
          <w:rFonts w:hint="eastAsia" w:ascii="宋体" w:hAnsi="宋体"/>
          <w:color w:val="auto"/>
          <w:kern w:val="0"/>
          <w:sz w:val="28"/>
          <w:szCs w:val="22"/>
          <w:highlight w:val="none"/>
        </w:rPr>
        <w:t>地址：</w:t>
      </w:r>
      <w:r>
        <w:rPr>
          <w:rFonts w:hint="eastAsia" w:ascii="宋体" w:hAnsi="宋体"/>
          <w:color w:val="auto"/>
          <w:sz w:val="28"/>
          <w:szCs w:val="28"/>
          <w:highlight w:val="none"/>
          <w:lang w:val="zh-CN"/>
        </w:rPr>
        <w:t>成都市</w:t>
      </w:r>
      <w:r>
        <w:rPr>
          <w:rFonts w:hint="eastAsia" w:ascii="宋体" w:hAnsi="宋体"/>
          <w:color w:val="auto"/>
          <w:sz w:val="28"/>
          <w:szCs w:val="28"/>
          <w:highlight w:val="none"/>
        </w:rPr>
        <w:t>锦江区工农院街69号</w:t>
      </w:r>
    </w:p>
    <w:p>
      <w:pPr>
        <w:pStyle w:val="168"/>
        <w:ind w:firstLine="700" w:firstLineChars="250"/>
        <w:rPr>
          <w:rFonts w:hint="eastAsia" w:ascii="宋体" w:hAnsi="宋体"/>
          <w:color w:val="auto"/>
          <w:sz w:val="28"/>
          <w:szCs w:val="28"/>
          <w:highlight w:val="none"/>
          <w:lang w:eastAsia="zh-CN"/>
        </w:rPr>
      </w:pPr>
      <w:r>
        <w:rPr>
          <w:rFonts w:hint="eastAsia" w:ascii="宋体" w:hAnsi="宋体"/>
          <w:color w:val="auto"/>
          <w:kern w:val="0"/>
          <w:sz w:val="28"/>
          <w:szCs w:val="22"/>
          <w:highlight w:val="none"/>
        </w:rPr>
        <w:t>联系人：</w:t>
      </w:r>
      <w:r>
        <w:rPr>
          <w:rFonts w:hint="eastAsia" w:ascii="宋体" w:hAnsi="宋体"/>
          <w:color w:val="auto"/>
          <w:sz w:val="28"/>
          <w:szCs w:val="28"/>
          <w:highlight w:val="none"/>
        </w:rPr>
        <w:t xml:space="preserve">李老师 </w:t>
      </w:r>
      <w:r>
        <w:rPr>
          <w:rFonts w:hint="eastAsia" w:ascii="宋体" w:hAnsi="宋体"/>
          <w:color w:val="auto"/>
          <w:sz w:val="28"/>
          <w:szCs w:val="28"/>
          <w:highlight w:val="none"/>
          <w:lang w:eastAsia="zh-CN"/>
        </w:rPr>
        <w:t xml:space="preserve"> </w:t>
      </w:r>
    </w:p>
    <w:p>
      <w:pPr>
        <w:spacing w:line="600" w:lineRule="exact"/>
        <w:ind w:firstLine="565" w:firstLineChars="202"/>
        <w:rPr>
          <w:rFonts w:hint="eastAsia" w:ascii="宋体" w:hAnsi="宋体"/>
          <w:color w:val="auto"/>
          <w:sz w:val="28"/>
          <w:szCs w:val="28"/>
          <w:highlight w:val="none"/>
          <w:lang w:eastAsia="zh-CN"/>
        </w:rPr>
      </w:pPr>
      <w:r>
        <w:rPr>
          <w:rFonts w:hint="eastAsia" w:ascii="宋体" w:hAnsi="宋体"/>
          <w:color w:val="auto"/>
          <w:kern w:val="0"/>
          <w:sz w:val="28"/>
          <w:szCs w:val="22"/>
          <w:highlight w:val="none"/>
          <w:lang w:val="en-US" w:eastAsia="zh-CN"/>
        </w:rPr>
        <w:t xml:space="preserve"> </w:t>
      </w:r>
      <w:r>
        <w:rPr>
          <w:rFonts w:hint="eastAsia" w:ascii="宋体" w:hAnsi="宋体"/>
          <w:color w:val="auto"/>
          <w:kern w:val="0"/>
          <w:sz w:val="28"/>
          <w:szCs w:val="22"/>
          <w:highlight w:val="none"/>
        </w:rPr>
        <w:t>联系电话：</w:t>
      </w:r>
      <w:r>
        <w:rPr>
          <w:rFonts w:hint="eastAsia" w:ascii="宋体" w:hAnsi="宋体"/>
          <w:color w:val="auto"/>
          <w:sz w:val="28"/>
          <w:szCs w:val="28"/>
          <w:highlight w:val="none"/>
        </w:rPr>
        <w:t>028</w:t>
      </w:r>
      <w:r>
        <w:rPr>
          <w:rFonts w:hint="eastAsia" w:ascii="宋体" w:hAnsi="宋体"/>
          <w:color w:val="auto"/>
          <w:sz w:val="28"/>
          <w:szCs w:val="28"/>
          <w:highlight w:val="none"/>
          <w:lang w:val="en-US" w:eastAsia="zh-CN"/>
        </w:rPr>
        <w:t>-</w:t>
      </w:r>
      <w:r>
        <w:rPr>
          <w:rFonts w:hint="eastAsia" w:ascii="宋体" w:hAnsi="宋体"/>
          <w:color w:val="auto"/>
          <w:sz w:val="28"/>
          <w:szCs w:val="28"/>
          <w:highlight w:val="none"/>
        </w:rPr>
        <w:t>81298580</w:t>
      </w:r>
    </w:p>
    <w:p>
      <w:pPr>
        <w:snapToGrid w:val="0"/>
        <w:spacing w:line="640" w:lineRule="exact"/>
        <w:ind w:firstLine="708" w:firstLineChars="252"/>
        <w:jc w:val="both"/>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eastAsia="zh-CN"/>
        </w:rPr>
        <w:t>成都市锦江区政府采购中心</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地址：成都市</w:t>
      </w:r>
      <w:r>
        <w:rPr>
          <w:rFonts w:hint="eastAsia" w:ascii="宋体" w:hAnsi="宋体"/>
          <w:color w:val="auto"/>
          <w:sz w:val="28"/>
          <w:szCs w:val="28"/>
          <w:highlight w:val="none"/>
          <w:lang w:val="en-US" w:eastAsia="zh-CN"/>
        </w:rPr>
        <w:t>锦江区南三环路二段1号6101室</w:t>
      </w:r>
    </w:p>
    <w:p>
      <w:pPr>
        <w:spacing w:line="600" w:lineRule="exact"/>
        <w:ind w:firstLine="705" w:firstLineChars="252"/>
        <w:rPr>
          <w:rFonts w:hint="eastAsia" w:ascii="宋体" w:hAnsi="宋体"/>
          <w:color w:val="auto"/>
          <w:sz w:val="28"/>
          <w:szCs w:val="28"/>
          <w:highlight w:val="none"/>
          <w:lang w:val="en-US" w:eastAsia="zh-CN"/>
        </w:rPr>
      </w:pPr>
      <w:r>
        <w:rPr>
          <w:rFonts w:hint="eastAsia" w:ascii="宋体" w:hAnsi="宋体"/>
          <w:color w:val="auto"/>
          <w:kern w:val="0"/>
          <w:sz w:val="28"/>
          <w:szCs w:val="22"/>
          <w:highlight w:val="none"/>
        </w:rPr>
        <w:t>联系人：</w:t>
      </w:r>
      <w:r>
        <w:rPr>
          <w:rFonts w:hint="eastAsia" w:ascii="宋体" w:hAnsi="宋体"/>
          <w:color w:val="auto"/>
          <w:sz w:val="28"/>
          <w:szCs w:val="28"/>
          <w:highlight w:val="none"/>
          <w:lang w:val="en-US" w:eastAsia="zh-CN"/>
        </w:rPr>
        <w:t>唐老师</w:t>
      </w:r>
    </w:p>
    <w:p>
      <w:pPr>
        <w:spacing w:line="600" w:lineRule="exact"/>
        <w:ind w:firstLine="705" w:firstLineChars="252"/>
        <w:rPr>
          <w:rFonts w:hint="eastAsia" w:ascii="宋体" w:hAnsi="宋体"/>
          <w:color w:val="auto"/>
          <w:sz w:val="28"/>
          <w:szCs w:val="28"/>
          <w:highlight w:val="none"/>
          <w:lang w:val="en-US" w:eastAsia="zh-CN"/>
        </w:rPr>
      </w:pPr>
      <w:r>
        <w:rPr>
          <w:rFonts w:hint="eastAsia" w:ascii="宋体" w:hAnsi="宋体"/>
          <w:color w:val="auto"/>
          <w:kern w:val="0"/>
          <w:sz w:val="28"/>
          <w:szCs w:val="22"/>
          <w:highlight w:val="none"/>
        </w:rPr>
        <w:t>联系电话：</w:t>
      </w:r>
      <w:r>
        <w:rPr>
          <w:rFonts w:hint="eastAsia" w:ascii="宋体" w:hAnsi="宋体"/>
          <w:color w:val="auto"/>
          <w:sz w:val="28"/>
          <w:szCs w:val="28"/>
          <w:highlight w:val="none"/>
        </w:rPr>
        <w:t>028-</w:t>
      </w:r>
      <w:r>
        <w:rPr>
          <w:rFonts w:ascii="宋体" w:hAnsi="宋体"/>
          <w:color w:val="auto"/>
          <w:sz w:val="28"/>
          <w:szCs w:val="28"/>
          <w:highlight w:val="none"/>
        </w:rPr>
        <w:t>8</w:t>
      </w:r>
      <w:r>
        <w:rPr>
          <w:rFonts w:hint="eastAsia" w:ascii="宋体" w:hAnsi="宋体"/>
          <w:color w:val="auto"/>
          <w:sz w:val="28"/>
          <w:szCs w:val="28"/>
          <w:highlight w:val="none"/>
          <w:lang w:val="en-US" w:eastAsia="zh-CN"/>
        </w:rPr>
        <w:t>6614055</w:t>
      </w:r>
    </w:p>
    <w:p>
      <w:pPr>
        <w:spacing w:line="600" w:lineRule="exact"/>
        <w:ind w:firstLine="708" w:firstLineChars="252"/>
        <w:rPr>
          <w:rFonts w:ascii="宋体" w:hAnsi="宋体"/>
          <w:color w:val="auto"/>
          <w:sz w:val="28"/>
          <w:szCs w:val="28"/>
          <w:highlight w:val="none"/>
        </w:rPr>
      </w:pPr>
      <w:r>
        <w:rPr>
          <w:rFonts w:hint="eastAsia" w:ascii="宋体" w:hAnsi="宋体"/>
          <w:b/>
          <w:color w:val="auto"/>
          <w:sz w:val="28"/>
          <w:szCs w:val="28"/>
          <w:highlight w:val="none"/>
        </w:rPr>
        <w:t>技术支持电话：</w:t>
      </w:r>
      <w:r>
        <w:rPr>
          <w:rFonts w:ascii="宋体" w:hAnsi="宋体"/>
          <w:color w:val="auto"/>
          <w:sz w:val="28"/>
          <w:szCs w:val="28"/>
          <w:highlight w:val="none"/>
        </w:rPr>
        <w:t>400-881-7190</w:t>
      </w:r>
    </w:p>
    <w:p>
      <w:pPr>
        <w:spacing w:line="600" w:lineRule="exact"/>
        <w:ind w:firstLine="708" w:firstLineChars="252"/>
        <w:rPr>
          <w:rFonts w:ascii="宋体" w:hAnsi="宋体"/>
          <w:b/>
          <w:color w:val="auto"/>
          <w:sz w:val="28"/>
          <w:szCs w:val="28"/>
          <w:highlight w:val="none"/>
        </w:rPr>
      </w:pPr>
      <w:r>
        <w:rPr>
          <w:rFonts w:hint="eastAsia" w:ascii="宋体" w:hAnsi="宋体"/>
          <w:b/>
          <w:color w:val="auto"/>
          <w:sz w:val="28"/>
          <w:szCs w:val="28"/>
          <w:highlight w:val="none"/>
        </w:rPr>
        <w:t>政府采购监督机构：成都市</w:t>
      </w:r>
      <w:r>
        <w:rPr>
          <w:rFonts w:hint="eastAsia" w:ascii="宋体" w:hAnsi="宋体"/>
          <w:b/>
          <w:color w:val="auto"/>
          <w:sz w:val="28"/>
          <w:szCs w:val="28"/>
          <w:highlight w:val="none"/>
          <w:lang w:val="en-US" w:eastAsia="zh-CN"/>
        </w:rPr>
        <w:t>锦江区</w:t>
      </w:r>
      <w:r>
        <w:rPr>
          <w:rFonts w:hint="eastAsia" w:ascii="宋体" w:hAnsi="宋体"/>
          <w:b/>
          <w:color w:val="auto"/>
          <w:sz w:val="28"/>
          <w:szCs w:val="28"/>
          <w:highlight w:val="none"/>
        </w:rPr>
        <w:t>财政局</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地 址：成都市锦江区大慈寺路38</w:t>
      </w:r>
      <w:r>
        <w:rPr>
          <w:rFonts w:ascii="宋体" w:hAnsi="宋体"/>
          <w:color w:val="auto"/>
          <w:sz w:val="28"/>
          <w:szCs w:val="28"/>
          <w:highlight w:val="none"/>
        </w:rPr>
        <w:t>号</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联系人：</w:t>
      </w:r>
      <w:r>
        <w:rPr>
          <w:rFonts w:hint="eastAsia" w:ascii="宋体" w:hAnsi="宋体"/>
          <w:color w:val="auto"/>
          <w:sz w:val="28"/>
          <w:szCs w:val="28"/>
          <w:highlight w:val="none"/>
          <w:lang w:val="en-US" w:eastAsia="zh-CN"/>
        </w:rPr>
        <w:t>王老师</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联系电话：028-</w:t>
      </w:r>
      <w:r>
        <w:rPr>
          <w:rFonts w:ascii="宋体" w:hAnsi="宋体"/>
          <w:color w:val="auto"/>
          <w:sz w:val="28"/>
          <w:szCs w:val="28"/>
          <w:highlight w:val="none"/>
        </w:rPr>
        <w:t>86513373</w:t>
      </w:r>
    </w:p>
    <w:p>
      <w:pPr>
        <w:spacing w:line="360" w:lineRule="auto"/>
        <w:ind w:firstLine="562" w:firstLineChars="201"/>
        <w:rPr>
          <w:rFonts w:ascii="宋体" w:hAnsi="宋体"/>
          <w:color w:val="auto"/>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4"/>
        <w:numPr>
          <w:ilvl w:val="0"/>
          <w:numId w:val="1"/>
        </w:numPr>
        <w:snapToGrid w:val="0"/>
        <w:spacing w:before="0" w:after="0"/>
        <w:ind w:left="0" w:firstLine="0"/>
        <w:rPr>
          <w:color w:val="auto"/>
          <w:highlight w:val="none"/>
        </w:rPr>
      </w:pPr>
      <w:bookmarkStart w:id="1" w:name="_Toc391885334"/>
      <w:bookmarkStart w:id="2" w:name="_Toc10753"/>
      <w:bookmarkStart w:id="3" w:name="_Toc381263230"/>
      <w:bookmarkStart w:id="4" w:name="_Toc287623638"/>
      <w:r>
        <w:rPr>
          <w:rFonts w:hint="eastAsia"/>
          <w:color w:val="auto"/>
          <w:highlight w:val="none"/>
        </w:rPr>
        <w:t>供应商须知</w:t>
      </w:r>
      <w:bookmarkEnd w:id="1"/>
      <w:bookmarkEnd w:id="2"/>
    </w:p>
    <w:p>
      <w:pPr>
        <w:pStyle w:val="5"/>
        <w:snapToGrid w:val="0"/>
        <w:ind w:left="851" w:hanging="851"/>
        <w:rPr>
          <w:color w:val="auto"/>
          <w:highlight w:val="none"/>
        </w:rPr>
      </w:pPr>
      <w:bookmarkStart w:id="5" w:name="_Toc25809"/>
      <w:r>
        <w:rPr>
          <w:rFonts w:hint="eastAsia"/>
          <w:color w:val="auto"/>
          <w:highlight w:val="none"/>
        </w:rPr>
        <w:t>供应商须知前附表</w:t>
      </w:r>
      <w:bookmarkEnd w:id="5"/>
    </w:p>
    <w:tbl>
      <w:tblPr>
        <w:tblStyle w:val="50"/>
        <w:tblW w:w="9506" w:type="dxa"/>
        <w:jc w:val="center"/>
        <w:tblInd w:w="-542"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113"/>
        <w:gridCol w:w="65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snapToGrid w:val="0"/>
              <w:spacing w:line="360" w:lineRule="auto"/>
              <w:jc w:val="center"/>
              <w:rPr>
                <w:rFonts w:ascii="宋体" w:hAnsi="宋体"/>
                <w:b/>
                <w:color w:val="auto"/>
                <w:highlight w:val="none"/>
              </w:rPr>
            </w:pPr>
            <w:r>
              <w:rPr>
                <w:rFonts w:hint="eastAsia" w:ascii="宋体" w:hAnsi="宋体"/>
                <w:b/>
                <w:color w:val="auto"/>
                <w:sz w:val="28"/>
                <w:szCs w:val="28"/>
                <w:highlight w:val="none"/>
                <w:lang w:val="zh-CN"/>
              </w:rPr>
              <w:t>序号</w:t>
            </w:r>
          </w:p>
        </w:tc>
        <w:tc>
          <w:tcPr>
            <w:tcW w:w="2113" w:type="dxa"/>
            <w:vAlign w:val="center"/>
          </w:tcPr>
          <w:p>
            <w:pPr>
              <w:pStyle w:val="122"/>
              <w:snapToGrid w:val="0"/>
              <w:spacing w:line="360" w:lineRule="auto"/>
              <w:ind w:left="38"/>
              <w:jc w:val="center"/>
              <w:rPr>
                <w:b/>
                <w:color w:val="auto"/>
                <w:highlight w:val="none"/>
                <w:lang w:val="zh-CN"/>
              </w:rPr>
            </w:pPr>
            <w:r>
              <w:rPr>
                <w:rFonts w:hint="eastAsia"/>
                <w:b/>
                <w:color w:val="auto"/>
                <w:sz w:val="28"/>
                <w:szCs w:val="28"/>
                <w:highlight w:val="none"/>
                <w:lang w:val="zh-CN"/>
              </w:rPr>
              <w:t>应知事项</w:t>
            </w:r>
          </w:p>
        </w:tc>
        <w:tc>
          <w:tcPr>
            <w:tcW w:w="6509" w:type="dxa"/>
            <w:vAlign w:val="center"/>
          </w:tcPr>
          <w:p>
            <w:pPr>
              <w:pStyle w:val="122"/>
              <w:snapToGrid w:val="0"/>
              <w:spacing w:line="360" w:lineRule="auto"/>
              <w:jc w:val="center"/>
              <w:rPr>
                <w:b/>
                <w:color w:val="auto"/>
                <w:highlight w:val="none"/>
                <w:lang w:val="zh-CN"/>
              </w:rPr>
            </w:pPr>
            <w:r>
              <w:rPr>
                <w:rFonts w:hint="eastAsia"/>
                <w:b/>
                <w:color w:val="auto"/>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7"/>
              </w:numPr>
              <w:snapToGrid w:val="0"/>
              <w:spacing w:line="360" w:lineRule="auto"/>
              <w:jc w:val="center"/>
              <w:rPr>
                <w:rFonts w:ascii="宋体" w:hAnsi="宋体"/>
                <w:color w:val="auto"/>
                <w:highlight w:val="none"/>
              </w:rPr>
            </w:pPr>
          </w:p>
        </w:tc>
        <w:tc>
          <w:tcPr>
            <w:tcW w:w="2113" w:type="dxa"/>
            <w:vAlign w:val="center"/>
          </w:tcPr>
          <w:p>
            <w:pPr>
              <w:widowControl w:val="0"/>
              <w:snapToGrid w:val="0"/>
              <w:spacing w:line="360" w:lineRule="auto"/>
              <w:ind w:right="240" w:rightChars="100"/>
              <w:jc w:val="both"/>
              <w:rPr>
                <w:rFonts w:ascii="宋体" w:hAnsi="宋体"/>
                <w:color w:val="auto"/>
                <w:highlight w:val="none"/>
              </w:rPr>
            </w:pPr>
            <w:r>
              <w:rPr>
                <w:rFonts w:hint="eastAsia" w:ascii="宋体" w:hAnsi="宋体"/>
                <w:color w:val="auto"/>
                <w:highlight w:val="none"/>
              </w:rPr>
              <w:t>采购预算</w:t>
            </w:r>
            <w:r>
              <w:rPr>
                <w:rFonts w:hint="eastAsia" w:ascii="仿宋" w:hAnsi="仿宋" w:eastAsia="仿宋"/>
                <w:color w:val="auto"/>
                <w:sz w:val="21"/>
                <w:szCs w:val="21"/>
                <w:highlight w:val="none"/>
                <w:lang w:val="zh-CN"/>
              </w:rPr>
              <w:t>（实质性要求）</w:t>
            </w:r>
          </w:p>
        </w:tc>
        <w:tc>
          <w:tcPr>
            <w:tcW w:w="6509" w:type="dxa"/>
            <w:vAlign w:val="center"/>
          </w:tcPr>
          <w:p>
            <w:pPr>
              <w:widowControl w:val="0"/>
              <w:snapToGrid w:val="0"/>
              <w:spacing w:line="360" w:lineRule="auto"/>
              <w:ind w:right="210"/>
              <w:jc w:val="both"/>
              <w:rPr>
                <w:rFonts w:eastAsia="仿宋_GB2312" w:cs="宋体"/>
                <w:b/>
                <w:color w:val="auto"/>
                <w:highlight w:val="none"/>
                <w:lang w:val="zh-CN"/>
              </w:rPr>
            </w:pPr>
            <w:r>
              <w:rPr>
                <w:rFonts w:hint="eastAsia" w:cs="宋体"/>
                <w:b/>
                <w:bCs/>
                <w:color w:val="auto"/>
                <w:kern w:val="0"/>
                <w:sz w:val="24"/>
                <w:szCs w:val="24"/>
                <w:highlight w:val="none"/>
                <w:lang w:val="zh-CN" w:eastAsia="zh-CN" w:bidi="ar-SA"/>
              </w:rPr>
              <w:t>人</w:t>
            </w:r>
            <w:r>
              <w:rPr>
                <w:rFonts w:hint="eastAsia" w:ascii="宋体" w:hAnsi="宋体" w:eastAsia="宋体" w:cs="宋体"/>
                <w:b/>
                <w:color w:val="auto"/>
                <w:sz w:val="24"/>
                <w:szCs w:val="24"/>
                <w:highlight w:val="none"/>
                <w:lang w:val="zh-CN" w:eastAsia="zh-CN" w:bidi="ar-SA"/>
              </w:rPr>
              <w:t>民币：</w:t>
            </w:r>
            <w:r>
              <w:rPr>
                <w:rFonts w:hint="eastAsia" w:ascii="宋体" w:hAnsi="宋体" w:eastAsia="宋体" w:cs="宋体"/>
                <w:b/>
                <w:color w:val="auto"/>
                <w:sz w:val="24"/>
                <w:szCs w:val="24"/>
                <w:highlight w:val="none"/>
                <w:lang w:val="en-US" w:eastAsia="zh-CN" w:bidi="ar-SA"/>
              </w:rPr>
              <w:t>1177934.00元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7"/>
              </w:numPr>
              <w:snapToGrid w:val="0"/>
              <w:spacing w:line="360" w:lineRule="auto"/>
              <w:jc w:val="center"/>
              <w:rPr>
                <w:rFonts w:ascii="宋体" w:hAnsi="宋体"/>
                <w:color w:val="auto"/>
                <w:highlight w:val="none"/>
              </w:rPr>
            </w:pPr>
          </w:p>
        </w:tc>
        <w:tc>
          <w:tcPr>
            <w:tcW w:w="2113" w:type="dxa"/>
            <w:vAlign w:val="center"/>
          </w:tcPr>
          <w:p>
            <w:pPr>
              <w:pStyle w:val="122"/>
              <w:snapToGrid w:val="0"/>
              <w:spacing w:line="360" w:lineRule="auto"/>
              <w:jc w:val="both"/>
              <w:rPr>
                <w:color w:val="auto"/>
                <w:highlight w:val="none"/>
                <w:lang w:val="zh-CN"/>
              </w:rPr>
            </w:pPr>
            <w:r>
              <w:rPr>
                <w:rFonts w:hint="eastAsia"/>
                <w:color w:val="auto"/>
                <w:highlight w:val="none"/>
                <w:lang w:val="zh-CN"/>
              </w:rPr>
              <w:t>最高限价（控制价）</w:t>
            </w:r>
            <w:r>
              <w:rPr>
                <w:rFonts w:hint="eastAsia" w:ascii="仿宋" w:hAnsi="仿宋" w:eastAsia="仿宋"/>
                <w:color w:val="auto"/>
                <w:sz w:val="21"/>
                <w:szCs w:val="21"/>
                <w:highlight w:val="none"/>
                <w:lang w:val="zh-CN"/>
              </w:rPr>
              <w:t>（实质性要求）</w:t>
            </w:r>
          </w:p>
        </w:tc>
        <w:tc>
          <w:tcPr>
            <w:tcW w:w="6509" w:type="dxa"/>
            <w:vAlign w:val="center"/>
          </w:tcPr>
          <w:p>
            <w:pPr>
              <w:pStyle w:val="122"/>
              <w:snapToGrid w:val="0"/>
              <w:spacing w:line="360" w:lineRule="auto"/>
              <w:ind w:right="240" w:rightChars="100"/>
              <w:jc w:val="both"/>
              <w:rPr>
                <w:b/>
                <w:color w:val="auto"/>
                <w:highlight w:val="none"/>
                <w:lang w:val="zh-CN"/>
              </w:rPr>
            </w:pPr>
            <w:r>
              <w:rPr>
                <w:rFonts w:hint="eastAsia"/>
                <w:b/>
                <w:color w:val="auto"/>
                <w:highlight w:val="none"/>
                <w:lang w:val="zh-CN"/>
              </w:rPr>
              <w:t>本项目最高限价（控制价）为</w:t>
            </w:r>
            <w:r>
              <w:rPr>
                <w:rFonts w:hint="eastAsia"/>
                <w:b/>
                <w:color w:val="auto"/>
                <w:highlight w:val="none"/>
                <w:lang w:val="en-US" w:eastAsia="zh-CN"/>
              </w:rPr>
              <w:t>人民币</w:t>
            </w:r>
            <w:r>
              <w:rPr>
                <w:rFonts w:hint="eastAsia" w:ascii="宋体" w:hAnsi="宋体" w:eastAsia="宋体" w:cs="宋体"/>
                <w:b/>
                <w:color w:val="auto"/>
                <w:sz w:val="24"/>
                <w:szCs w:val="24"/>
                <w:highlight w:val="none"/>
                <w:lang w:val="en-US" w:eastAsia="zh-CN" w:bidi="ar-SA"/>
              </w:rPr>
              <w:t>1177934.00元</w:t>
            </w:r>
            <w:r>
              <w:rPr>
                <w:rFonts w:hint="eastAsia"/>
                <w:b/>
                <w:color w:val="auto"/>
                <w:highlight w:val="none"/>
                <w:lang w:val="zh-CN"/>
              </w:rPr>
              <w:t>，供应商最后报价高于最高限价的则其施工响应文件将按无效施工响应文件处理。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pStyle w:val="122"/>
              <w:snapToGrid w:val="0"/>
              <w:spacing w:line="360" w:lineRule="auto"/>
              <w:jc w:val="center"/>
              <w:rPr>
                <w:rFonts w:hint="eastAsia" w:eastAsia="宋体"/>
                <w:color w:val="auto"/>
                <w:highlight w:val="none"/>
                <w:lang w:val="en-US" w:eastAsia="zh-CN"/>
              </w:rPr>
            </w:pPr>
            <w:r>
              <w:rPr>
                <w:rFonts w:hint="eastAsia"/>
                <w:color w:val="auto"/>
                <w:highlight w:val="none"/>
                <w:lang w:val="en-US" w:eastAsia="zh-CN"/>
              </w:rPr>
              <w:t>3.</w:t>
            </w:r>
          </w:p>
        </w:tc>
        <w:tc>
          <w:tcPr>
            <w:tcW w:w="2113" w:type="dxa"/>
            <w:vAlign w:val="center"/>
          </w:tcPr>
          <w:p>
            <w:pPr>
              <w:pStyle w:val="122"/>
              <w:snapToGrid w:val="0"/>
              <w:spacing w:line="360" w:lineRule="auto"/>
              <w:jc w:val="both"/>
              <w:rPr>
                <w:rFonts w:hint="eastAsia"/>
                <w:color w:val="auto"/>
                <w:highlight w:val="none"/>
                <w:lang w:val="zh-CN"/>
              </w:rPr>
            </w:pPr>
            <w:r>
              <w:rPr>
                <w:rFonts w:hint="eastAsia"/>
                <w:color w:val="auto"/>
                <w:highlight w:val="none"/>
                <w:lang w:val="zh-CN"/>
              </w:rPr>
              <w:t>本国工程</w:t>
            </w:r>
            <w:r>
              <w:rPr>
                <w:rFonts w:hint="eastAsia" w:ascii="仿宋" w:hAnsi="仿宋" w:eastAsia="仿宋"/>
                <w:color w:val="auto"/>
                <w:sz w:val="21"/>
                <w:szCs w:val="21"/>
                <w:highlight w:val="none"/>
                <w:lang w:val="zh-CN"/>
              </w:rPr>
              <w:t>（实质性要求）</w:t>
            </w:r>
          </w:p>
        </w:tc>
        <w:tc>
          <w:tcPr>
            <w:tcW w:w="6509" w:type="dxa"/>
            <w:vAlign w:val="center"/>
          </w:tcPr>
          <w:p>
            <w:pPr>
              <w:pStyle w:val="122"/>
              <w:snapToGrid w:val="0"/>
              <w:spacing w:before="152" w:after="160" w:line="360" w:lineRule="auto"/>
              <w:ind w:right="240" w:rightChars="100"/>
              <w:jc w:val="both"/>
              <w:rPr>
                <w:b/>
                <w:color w:val="auto"/>
                <w:highlight w:val="none"/>
                <w:lang w:val="zh-CN"/>
              </w:rPr>
            </w:pPr>
            <w:r>
              <w:rPr>
                <w:rFonts w:hint="eastAsia"/>
                <w:color w:val="auto"/>
                <w:highlight w:val="none"/>
                <w:lang w:val="zh-CN"/>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4.</w:t>
            </w:r>
          </w:p>
        </w:tc>
        <w:tc>
          <w:tcPr>
            <w:tcW w:w="2113" w:type="dxa"/>
            <w:vAlign w:val="center"/>
          </w:tcPr>
          <w:p>
            <w:pPr>
              <w:pStyle w:val="122"/>
              <w:snapToGrid w:val="0"/>
              <w:spacing w:line="360" w:lineRule="auto"/>
              <w:jc w:val="both"/>
              <w:rPr>
                <w:color w:val="auto"/>
                <w:highlight w:val="none"/>
                <w:lang w:val="zh-CN"/>
              </w:rPr>
            </w:pPr>
            <w:r>
              <w:rPr>
                <w:rFonts w:hint="eastAsia"/>
                <w:color w:val="auto"/>
                <w:highlight w:val="none"/>
                <w:lang w:val="zh-CN"/>
              </w:rPr>
              <w:t>采购方式</w:t>
            </w:r>
          </w:p>
        </w:tc>
        <w:tc>
          <w:tcPr>
            <w:tcW w:w="6509" w:type="dxa"/>
            <w:vAlign w:val="center"/>
          </w:tcPr>
          <w:p>
            <w:pPr>
              <w:pStyle w:val="122"/>
              <w:snapToGrid w:val="0"/>
              <w:spacing w:line="360" w:lineRule="auto"/>
              <w:jc w:val="both"/>
              <w:rPr>
                <w:color w:val="auto"/>
                <w:highlight w:val="none"/>
                <w:lang w:val="zh-CN"/>
              </w:rPr>
            </w:pPr>
            <w:r>
              <w:rPr>
                <w:rFonts w:hint="eastAsia"/>
                <w:color w:val="auto"/>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5.</w:t>
            </w:r>
          </w:p>
        </w:tc>
        <w:tc>
          <w:tcPr>
            <w:tcW w:w="2113" w:type="dxa"/>
            <w:vAlign w:val="center"/>
          </w:tcPr>
          <w:p>
            <w:pPr>
              <w:pStyle w:val="122"/>
              <w:snapToGrid w:val="0"/>
              <w:spacing w:before="152" w:after="160" w:line="360" w:lineRule="auto"/>
              <w:jc w:val="both"/>
              <w:rPr>
                <w:color w:val="auto"/>
                <w:highlight w:val="none"/>
                <w:lang w:val="zh-CN"/>
              </w:rPr>
            </w:pPr>
            <w:r>
              <w:rPr>
                <w:rFonts w:hint="eastAsia"/>
                <w:color w:val="auto"/>
                <w:highlight w:val="none"/>
                <w:lang w:val="zh-CN"/>
              </w:rPr>
              <w:t>资格预审合格的申请人在评审阶段（磋商）资格发生变化</w:t>
            </w:r>
          </w:p>
        </w:tc>
        <w:tc>
          <w:tcPr>
            <w:tcW w:w="6509" w:type="dxa"/>
            <w:vAlign w:val="center"/>
          </w:tcPr>
          <w:p>
            <w:pPr>
              <w:widowControl w:val="0"/>
              <w:adjustRightInd w:val="0"/>
              <w:snapToGrid w:val="0"/>
              <w:spacing w:before="152" w:after="160" w:line="400" w:lineRule="exact"/>
              <w:jc w:val="both"/>
              <w:rPr>
                <w:color w:val="auto"/>
                <w:highlight w:val="none"/>
                <w:lang w:val="zh-CN"/>
              </w:rPr>
            </w:pPr>
            <w:r>
              <w:rPr>
                <w:rFonts w:hint="eastAsia" w:ascii="宋体" w:hAnsi="宋体" w:eastAsia="宋体" w:cs="宋体"/>
                <w:color w:val="auto"/>
                <w:sz w:val="24"/>
                <w:szCs w:val="24"/>
                <w:highlight w:val="none"/>
                <w:lang w:val="zh-CN" w:eastAsia="zh-CN" w:bidi="ar-SA"/>
              </w:rPr>
              <w:t>已进行资格预审的，评审阶段可以不再对供应商资格进行审查，资格预审合格的供应商在评审阶段资格发生变化的，应当通知</w:t>
            </w:r>
            <w:r>
              <w:rPr>
                <w:rFonts w:hint="eastAsia" w:ascii="宋体" w:hAnsi="宋体" w:eastAsia="宋体" w:cs="宋体"/>
                <w:color w:val="auto"/>
                <w:sz w:val="24"/>
                <w:szCs w:val="24"/>
                <w:highlight w:val="none"/>
                <w:lang w:val="zh-CN" w:eastAsia="zh-CN" w:bidi="ar-SA"/>
              </w:rPr>
              <w:fldChar w:fldCharType="begin"/>
            </w:r>
            <w:r>
              <w:rPr>
                <w:rFonts w:hint="eastAsia" w:ascii="宋体" w:hAnsi="宋体" w:eastAsia="宋体" w:cs="宋体"/>
                <w:color w:val="auto"/>
                <w:sz w:val="24"/>
                <w:szCs w:val="24"/>
                <w:highlight w:val="none"/>
                <w:lang w:val="zh-CN" w:eastAsia="zh-CN" w:bidi="ar-SA"/>
              </w:rPr>
              <w:instrText xml:space="preserve"> HYPERLINK "http://www.caigou2003.com/cgr/" \t "_blank" </w:instrText>
            </w:r>
            <w:r>
              <w:rPr>
                <w:rFonts w:hint="eastAsia" w:ascii="宋体" w:hAnsi="宋体" w:eastAsia="宋体" w:cs="宋体"/>
                <w:color w:val="auto"/>
                <w:sz w:val="24"/>
                <w:szCs w:val="24"/>
                <w:highlight w:val="none"/>
                <w:lang w:val="zh-CN" w:eastAsia="zh-CN" w:bidi="ar-SA"/>
              </w:rPr>
              <w:fldChar w:fldCharType="separate"/>
            </w:r>
            <w:r>
              <w:rPr>
                <w:rFonts w:hint="eastAsia" w:ascii="宋体" w:hAnsi="宋体" w:eastAsia="宋体" w:cs="宋体"/>
                <w:color w:val="auto"/>
                <w:sz w:val="24"/>
                <w:szCs w:val="24"/>
                <w:highlight w:val="none"/>
                <w:lang w:val="zh-CN" w:eastAsia="zh-CN" w:bidi="ar-SA"/>
              </w:rPr>
              <w:t>采购人</w:t>
            </w:r>
            <w:r>
              <w:rPr>
                <w:rFonts w:hint="eastAsia" w:ascii="宋体" w:hAnsi="宋体" w:eastAsia="宋体" w:cs="宋体"/>
                <w:color w:val="auto"/>
                <w:sz w:val="24"/>
                <w:szCs w:val="24"/>
                <w:highlight w:val="none"/>
                <w:lang w:val="zh-CN" w:eastAsia="zh-CN" w:bidi="ar-SA"/>
              </w:rPr>
              <w:fldChar w:fldCharType="end"/>
            </w:r>
            <w:r>
              <w:rPr>
                <w:rFonts w:hint="eastAsia" w:ascii="宋体" w:hAnsi="宋体" w:eastAsia="宋体" w:cs="宋体"/>
                <w:color w:val="auto"/>
                <w:sz w:val="24"/>
                <w:szCs w:val="24"/>
                <w:highlight w:val="none"/>
                <w:lang w:val="zh-CN" w:eastAsia="zh-CN" w:bidi="ar-SA"/>
              </w:rPr>
              <w:t>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6.</w:t>
            </w:r>
          </w:p>
        </w:tc>
        <w:tc>
          <w:tcPr>
            <w:tcW w:w="2113" w:type="dxa"/>
            <w:vAlign w:val="center"/>
          </w:tcPr>
          <w:p>
            <w:pPr>
              <w:pStyle w:val="122"/>
              <w:spacing w:line="360" w:lineRule="auto"/>
              <w:jc w:val="both"/>
              <w:rPr>
                <w:rFonts w:hint="eastAsia"/>
                <w:color w:val="auto"/>
                <w:highlight w:val="none"/>
                <w:lang w:val="zh-CN"/>
              </w:rPr>
            </w:pPr>
            <w:r>
              <w:rPr>
                <w:rFonts w:hint="eastAsia"/>
                <w:color w:val="auto"/>
                <w:highlight w:val="none"/>
              </w:rPr>
              <w:t>定向采购</w:t>
            </w:r>
          </w:p>
        </w:tc>
        <w:tc>
          <w:tcPr>
            <w:tcW w:w="6509" w:type="dxa"/>
            <w:vAlign w:val="center"/>
          </w:tcPr>
          <w:p>
            <w:pPr>
              <w:adjustRightInd w:val="0"/>
              <w:spacing w:line="400" w:lineRule="exact"/>
              <w:ind w:right="36" w:rightChars="15"/>
              <w:rPr>
                <w:rFonts w:hint="eastAsia" w:ascii="宋体" w:hAnsi="宋体" w:eastAsia="宋体" w:cs="宋体"/>
                <w:color w:val="auto"/>
                <w:sz w:val="24"/>
                <w:szCs w:val="24"/>
                <w:highlight w:val="none"/>
                <w:lang w:val="zh-CN" w:eastAsia="zh-CN" w:bidi="ar-SA"/>
              </w:rPr>
            </w:pPr>
            <w:r>
              <w:rPr>
                <w:rFonts w:hint="eastAsia" w:ascii="宋体" w:hAnsi="宋体" w:cs="仿宋"/>
                <w:color w:val="auto"/>
                <w:highlight w:val="none"/>
              </w:rPr>
              <w:t>本项目</w:t>
            </w:r>
            <w:r>
              <w:rPr>
                <w:rFonts w:hint="eastAsia" w:ascii="宋体" w:hAnsi="宋体" w:cs="仿宋"/>
                <w:color w:val="auto"/>
                <w:highlight w:val="none"/>
                <w:lang w:eastAsia="zh-CN"/>
              </w:rPr>
              <w:t>非</w:t>
            </w:r>
            <w:r>
              <w:rPr>
                <w:rFonts w:hint="eastAsia" w:ascii="宋体" w:hAnsi="宋体" w:cs="仿宋"/>
                <w:color w:val="auto"/>
                <w:highlight w:val="none"/>
              </w:rPr>
              <w:t>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7.</w:t>
            </w:r>
          </w:p>
        </w:tc>
        <w:tc>
          <w:tcPr>
            <w:tcW w:w="2113" w:type="dxa"/>
            <w:vAlign w:val="center"/>
          </w:tcPr>
          <w:p>
            <w:pPr>
              <w:pStyle w:val="122"/>
              <w:snapToGrid w:val="0"/>
              <w:spacing w:line="360" w:lineRule="auto"/>
              <w:ind w:right="240" w:rightChars="100"/>
              <w:jc w:val="both"/>
              <w:rPr>
                <w:rFonts w:eastAsia="仿宋_GB2312"/>
                <w:color w:val="auto"/>
                <w:kern w:val="2"/>
                <w:highlight w:val="none"/>
                <w:lang w:val="zh-CN"/>
              </w:rPr>
            </w:pPr>
            <w:r>
              <w:rPr>
                <w:rFonts w:hint="eastAsia"/>
                <w:color w:val="auto"/>
                <w:highlight w:val="none"/>
                <w:lang w:val="zh-CN"/>
              </w:rPr>
              <w:t>低于成本价不正当竞争预防措施</w:t>
            </w:r>
            <w:r>
              <w:rPr>
                <w:rFonts w:hint="eastAsia" w:ascii="仿宋" w:hAnsi="仿宋" w:eastAsia="仿宋"/>
                <w:color w:val="auto"/>
                <w:sz w:val="21"/>
                <w:szCs w:val="21"/>
                <w:highlight w:val="none"/>
                <w:lang w:val="zh-CN"/>
              </w:rPr>
              <w:t>（实质性要求）</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pacing w:line="400" w:lineRule="exact"/>
              <w:ind w:right="36" w:rightChars="15" w:firstLine="240" w:firstLineChars="100"/>
              <w:rPr>
                <w:color w:val="auto"/>
                <w:kern w:val="2"/>
                <w:highlight w:val="none"/>
              </w:rPr>
            </w:pPr>
            <w:r>
              <w:rPr>
                <w:rFonts w:hint="eastAsia" w:ascii="宋体" w:hAnsi="宋体" w:eastAsia="宋体" w:cs="宋体"/>
                <w:color w:val="auto"/>
                <w:sz w:val="24"/>
                <w:szCs w:val="24"/>
                <w:highlight w:val="none"/>
                <w:lang w:val="zh-CN" w:eastAsia="zh-CN" w:bidi="ar-SA"/>
              </w:rPr>
              <w:t>3．供应商提供书面说明后，</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8.</w:t>
            </w:r>
          </w:p>
        </w:tc>
        <w:tc>
          <w:tcPr>
            <w:tcW w:w="2113" w:type="dxa"/>
            <w:vAlign w:val="center"/>
          </w:tcPr>
          <w:p>
            <w:pPr>
              <w:pStyle w:val="122"/>
              <w:spacing w:line="360" w:lineRule="auto"/>
              <w:ind w:left="38"/>
              <w:jc w:val="center"/>
              <w:rPr>
                <w:rFonts w:ascii="仿宋" w:hAnsi="仿宋" w:eastAsia="仿宋"/>
                <w:color w:val="auto"/>
                <w:highlight w:val="none"/>
              </w:rPr>
            </w:pPr>
            <w:r>
              <w:rPr>
                <w:rFonts w:hint="eastAsia"/>
                <w:color w:val="auto"/>
                <w:highlight w:val="none"/>
                <w:lang w:val="zh-CN"/>
              </w:rPr>
              <w:t>小微企业（监狱企业、残疾人福利性单位视同小微企业）价格扣除和失信企业报价加成或者扣分</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一、小微企业、监狱企业和残疾人福利性单位价格扣除：根据《政府采购促进中小企业发展管理办法》（财库〔2020〕46号）、《关于政府采购支持监狱企业发展有关问题的通知》（财库[2014]68号）、《三部门联合发布关于促进残疾人就业政府采购政策的通知》（财库[2017]141号）的规定，对小型企业或微型企业或监狱企业或残疾人福利性单位承建工程的价格给予</w:t>
            </w:r>
            <w:r>
              <w:rPr>
                <w:rFonts w:hint="eastAsia" w:ascii="宋体" w:hAnsi="宋体" w:cs="宋体"/>
                <w:color w:val="auto"/>
                <w:sz w:val="24"/>
                <w:szCs w:val="24"/>
                <w:highlight w:val="none"/>
                <w:lang w:val="en-US" w:eastAsia="zh-CN" w:bidi="ar-SA"/>
              </w:rPr>
              <w:t>3</w:t>
            </w:r>
            <w:r>
              <w:rPr>
                <w:rFonts w:hint="eastAsia" w:ascii="宋体" w:hAnsi="宋体" w:eastAsia="宋体" w:cs="宋体"/>
                <w:color w:val="auto"/>
                <w:sz w:val="24"/>
                <w:szCs w:val="24"/>
                <w:highlight w:val="none"/>
                <w:lang w:val="zh-CN" w:eastAsia="zh-CN" w:bidi="ar-SA"/>
              </w:rPr>
              <w:t>%的价格扣除，用扣除后的价格参与评审排序。供应商为小型、微型企业的应提供《中小企业声明函》原件；供应商为监狱企业的应提供由省级以上监狱管理局、戒毒管理局（含新疆生产建设兵团）出具的生产厂商属于监狱企业的证明文件复印件；供应商为残疾人福利性单位生产的应提供《残疾人福利性单位声明函》原件。</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cs="宋体"/>
                <w:color w:val="auto"/>
                <w:sz w:val="24"/>
                <w:szCs w:val="24"/>
                <w:highlight w:val="none"/>
                <w:lang w:val="zh-CN" w:eastAsia="zh-CN" w:bidi="ar-SA"/>
              </w:rPr>
              <w:t>二、</w:t>
            </w:r>
            <w:r>
              <w:rPr>
                <w:rFonts w:hint="eastAsia" w:ascii="宋体" w:hAnsi="宋体" w:eastAsia="宋体" w:cs="宋体"/>
                <w:color w:val="auto"/>
                <w:sz w:val="24"/>
                <w:szCs w:val="24"/>
                <w:highlight w:val="none"/>
                <w:lang w:val="zh-CN" w:eastAsia="zh-CN" w:bidi="ar-SA"/>
              </w:rPr>
              <w:t>失信企业报价加成（实质性要求）</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1.对记入诚信档案且在有效期内的失信供应商，参加政府</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采购活动按照 10%的报价加成，以加成后报价作为该供应商</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报价参与评审。供应商失信行为惩戒实行无限制累加制，因</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其失信行为进行报价加成惩戒后报价超过政府采购预算的，</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其施工响应文件按照无效处理。</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2.供应商参加政府采购活动时，应当就自己的诚信情况在</w:t>
            </w:r>
          </w:p>
          <w:p>
            <w:pPr>
              <w:adjustRightInd w:val="0"/>
              <w:spacing w:line="400" w:lineRule="exact"/>
              <w:ind w:right="36" w:rightChars="15" w:firstLine="240" w:firstLineChars="100"/>
              <w:rPr>
                <w:rFonts w:ascii="仿宋" w:hAnsi="仿宋" w:eastAsia="仿宋" w:cs="宋体"/>
                <w:color w:val="auto"/>
                <w:highlight w:val="none"/>
              </w:rPr>
            </w:pPr>
            <w:r>
              <w:rPr>
                <w:rFonts w:hint="eastAsia" w:ascii="宋体" w:hAnsi="宋体" w:eastAsia="宋体" w:cs="宋体"/>
                <w:color w:val="auto"/>
                <w:sz w:val="24"/>
                <w:szCs w:val="24"/>
                <w:highlight w:val="none"/>
                <w:lang w:val="zh-CN" w:eastAsia="zh-CN" w:bidi="ar-SA"/>
              </w:rPr>
              <w:t>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9.</w:t>
            </w:r>
          </w:p>
        </w:tc>
        <w:tc>
          <w:tcPr>
            <w:tcW w:w="2113" w:type="dxa"/>
            <w:tcBorders>
              <w:top w:val="single" w:color="auto" w:sz="8" w:space="0"/>
              <w:left w:val="single" w:color="auto" w:sz="8" w:space="0"/>
              <w:bottom w:val="single" w:color="auto" w:sz="8" w:space="0"/>
              <w:right w:val="single" w:color="auto" w:sz="8" w:space="0"/>
            </w:tcBorders>
            <w:vAlign w:val="center"/>
          </w:tcPr>
          <w:p>
            <w:pPr>
              <w:pStyle w:val="122"/>
              <w:snapToGrid w:val="0"/>
              <w:spacing w:line="360" w:lineRule="auto"/>
              <w:jc w:val="both"/>
              <w:rPr>
                <w:color w:val="auto"/>
                <w:highlight w:val="none"/>
                <w:lang w:val="zh-CN"/>
              </w:rPr>
            </w:pPr>
            <w:r>
              <w:rPr>
                <w:rFonts w:hint="eastAsia"/>
                <w:color w:val="auto"/>
                <w:highlight w:val="none"/>
                <w:lang w:val="zh-CN"/>
              </w:rPr>
              <w:t>磋商保证金</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auto"/>
                <w:highlight w:val="none"/>
                <w:lang w:val="zh-CN"/>
              </w:rPr>
            </w:pPr>
            <w:r>
              <w:rPr>
                <w:rFonts w:hint="eastAsia" w:ascii="宋体" w:hAnsi="宋体"/>
                <w:b/>
                <w:color w:val="auto"/>
                <w:highlight w:val="none"/>
              </w:rPr>
              <w:t>本项目不收取</w:t>
            </w:r>
            <w:r>
              <w:rPr>
                <w:rFonts w:hint="eastAsia" w:ascii="宋体" w:hAnsi="宋体"/>
                <w:b/>
                <w:color w:val="auto"/>
                <w:highlight w:val="none"/>
                <w:lang w:eastAsia="zh-CN"/>
              </w:rPr>
              <w:t>磋商</w:t>
            </w:r>
            <w:r>
              <w:rPr>
                <w:rFonts w:hint="eastAsia" w:ascii="宋体" w:hAnsi="宋体"/>
                <w:b/>
                <w:color w:val="auto"/>
                <w:highlight w:val="none"/>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ascii="宋体" w:hAnsi="宋体" w:cs="宋体"/>
                <w:color w:val="auto"/>
                <w:highlight w:val="none"/>
                <w:lang w:val="zh-CN"/>
              </w:rPr>
            </w:pPr>
            <w:r>
              <w:rPr>
                <w:rFonts w:hint="eastAsia" w:ascii="宋体" w:hAnsi="宋体" w:cs="宋体"/>
                <w:color w:val="auto"/>
                <w:highlight w:val="none"/>
                <w:lang w:val="zh-CN"/>
              </w:rPr>
              <w:t>履约保证金</w:t>
            </w:r>
            <w:r>
              <w:rPr>
                <w:rFonts w:hint="eastAsia" w:ascii="仿宋" w:hAnsi="仿宋" w:eastAsia="仿宋"/>
                <w:color w:val="auto"/>
                <w:sz w:val="21"/>
                <w:szCs w:val="21"/>
                <w:highlight w:val="none"/>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auto"/>
                <w:highlight w:val="none"/>
                <w:lang w:val="en-US"/>
              </w:rPr>
            </w:pPr>
            <w:r>
              <w:rPr>
                <w:rFonts w:hint="eastAsia" w:ascii="宋体" w:hAnsi="宋体" w:cs="宋体"/>
                <w:color w:val="auto"/>
                <w:highlight w:val="none"/>
                <w:lang w:val="zh-CN"/>
              </w:rPr>
              <w:t>详见供应商须知</w:t>
            </w:r>
            <w:r>
              <w:rPr>
                <w:rFonts w:ascii="宋体" w:hAnsi="宋体" w:cs="宋体"/>
                <w:color w:val="auto"/>
                <w:highlight w:val="none"/>
                <w:lang w:val="zh-CN"/>
              </w:rPr>
              <w:t>2.</w:t>
            </w:r>
            <w:r>
              <w:rPr>
                <w:rFonts w:hint="eastAsia" w:ascii="宋体" w:hAnsi="宋体" w:cs="宋体"/>
                <w:color w:val="auto"/>
                <w:highlight w:val="none"/>
                <w:lang w:val="en-US" w:eastAsia="zh-CN"/>
              </w:rPr>
              <w:t>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eastAsia="宋体" w:cs="宋体"/>
                <w:color w:val="auto"/>
                <w:highlight w:val="none"/>
                <w:lang w:val="en-US" w:eastAsia="zh-CN"/>
              </w:rPr>
            </w:pPr>
            <w:r>
              <w:rPr>
                <w:rFonts w:hint="eastAsia" w:ascii="宋体" w:hAnsi="宋体"/>
                <w:color w:val="auto"/>
                <w:highlight w:val="none"/>
              </w:rPr>
              <w:t>施工响应文件的包装、密封、标注</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s="宋体"/>
                <w:color w:val="auto"/>
                <w:highlight w:val="none"/>
                <w:lang w:val="zh-CN"/>
              </w:rPr>
            </w:pPr>
            <w:r>
              <w:rPr>
                <w:rFonts w:hint="eastAsia" w:ascii="宋体" w:hAnsi="宋体"/>
                <w:color w:val="auto"/>
                <w:highlight w:val="none"/>
              </w:rPr>
              <w:t>详见供应商须知</w:t>
            </w:r>
            <w:r>
              <w:rPr>
                <w:rFonts w:ascii="宋体" w:hAnsi="宋体"/>
                <w:color w:val="auto"/>
                <w:highlight w:val="none"/>
              </w:rPr>
              <w:t>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12.</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s="宋体"/>
                <w:color w:val="auto"/>
                <w:highlight w:val="none"/>
                <w:lang w:val="zh-CN"/>
              </w:rPr>
            </w:pPr>
            <w:r>
              <w:rPr>
                <w:rFonts w:hint="eastAsia" w:ascii="宋体" w:hAnsi="宋体"/>
                <w:color w:val="auto"/>
                <w:highlight w:val="none"/>
              </w:rPr>
              <w:t>施工响应文件的制作和签章、加密</w:t>
            </w:r>
            <w:r>
              <w:rPr>
                <w:rFonts w:hint="eastAsia" w:ascii="仿宋" w:hAnsi="仿宋" w:eastAsia="仿宋"/>
                <w:color w:val="auto"/>
                <w:szCs w:val="21"/>
                <w:highlight w:val="none"/>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s="宋体"/>
                <w:color w:val="auto"/>
                <w:highlight w:val="none"/>
                <w:lang w:val="en-US" w:eastAsia="zh-CN"/>
              </w:rPr>
            </w:pPr>
            <w:r>
              <w:rPr>
                <w:rFonts w:hint="eastAsia" w:ascii="宋体" w:hAnsi="宋体"/>
                <w:color w:val="auto"/>
                <w:highlight w:val="none"/>
              </w:rPr>
              <w:t>详见供应商须知2.4.11</w:t>
            </w:r>
            <w:r>
              <w:rPr>
                <w:rFonts w:hint="eastAsia" w:ascii="宋体" w:hAnsi="宋体"/>
                <w:color w:val="auto"/>
                <w:highlight w:val="none"/>
                <w:lang w:val="en-US" w:eastAsia="zh-CN"/>
              </w:rPr>
              <w:t>.1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13.</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highlight w:val="none"/>
              </w:rPr>
            </w:pPr>
            <w:r>
              <w:rPr>
                <w:rFonts w:hint="eastAsia" w:ascii="宋体" w:hAnsi="宋体"/>
                <w:b w:val="0"/>
                <w:bCs w:val="0"/>
                <w:color w:val="auto"/>
                <w:highlight w:val="none"/>
              </w:rPr>
              <w:t>施工响应文件份</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olor w:val="auto"/>
                <w:highlight w:val="none"/>
              </w:rPr>
            </w:pPr>
            <w:r>
              <w:rPr>
                <w:rFonts w:hint="eastAsia" w:ascii="宋体" w:hAnsi="宋体"/>
                <w:b w:val="0"/>
                <w:bCs w:val="0"/>
                <w:color w:val="auto"/>
                <w:highlight w:val="none"/>
              </w:rPr>
              <w:t>施工响应文件一式</w:t>
            </w:r>
            <w:r>
              <w:rPr>
                <w:rFonts w:hint="eastAsia" w:ascii="宋体" w:hAnsi="宋体"/>
                <w:b w:val="0"/>
                <w:bCs w:val="0"/>
                <w:color w:val="auto"/>
                <w:highlight w:val="none"/>
                <w:lang w:val="en-US" w:eastAsia="zh-CN"/>
              </w:rPr>
              <w:t>二</w:t>
            </w:r>
            <w:r>
              <w:rPr>
                <w:rFonts w:hint="eastAsia" w:ascii="宋体" w:hAnsi="宋体"/>
                <w:b w:val="0"/>
                <w:bCs w:val="0"/>
                <w:color w:val="auto"/>
                <w:highlight w:val="none"/>
              </w:rPr>
              <w:t>份，其中正本一份，副本</w:t>
            </w:r>
            <w:r>
              <w:rPr>
                <w:rFonts w:hint="eastAsia" w:ascii="宋体" w:hAnsi="宋体"/>
                <w:b w:val="0"/>
                <w:bCs w:val="0"/>
                <w:color w:val="auto"/>
                <w:highlight w:val="none"/>
                <w:lang w:val="en-US" w:eastAsia="zh-CN"/>
              </w:rPr>
              <w:t>一</w:t>
            </w:r>
            <w:r>
              <w:rPr>
                <w:rFonts w:hint="eastAsia" w:ascii="宋体" w:hAnsi="宋体"/>
                <w:b w:val="0"/>
                <w:bCs w:val="0"/>
                <w:color w:val="auto"/>
                <w:highlight w:val="none"/>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14.</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highlight w:val="none"/>
              </w:rPr>
            </w:pPr>
            <w:r>
              <w:rPr>
                <w:rFonts w:hint="eastAsia" w:ascii="宋体" w:hAnsi="宋体"/>
                <w:color w:val="auto"/>
                <w:highlight w:val="none"/>
              </w:rPr>
              <w:t>施工响应文件的</w:t>
            </w:r>
            <w:r>
              <w:rPr>
                <w:rFonts w:hint="eastAsia" w:ascii="宋体" w:hAnsi="宋体"/>
                <w:color w:val="auto"/>
                <w:highlight w:val="none"/>
                <w:lang w:val="en-US" w:eastAsia="zh-CN"/>
              </w:rPr>
              <w:t>补</w:t>
            </w:r>
            <w:r>
              <w:rPr>
                <w:rFonts w:hint="eastAsia" w:ascii="宋体" w:hAnsi="宋体"/>
                <w:color w:val="auto"/>
                <w:highlight w:val="none"/>
              </w:rPr>
              <w:t>充、修改和撤回</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olor w:val="auto"/>
                <w:highlight w:val="none"/>
                <w:lang w:val="en-US" w:eastAsia="zh-CN"/>
              </w:rPr>
            </w:pPr>
            <w:r>
              <w:rPr>
                <w:rFonts w:hint="eastAsia" w:ascii="宋体" w:hAnsi="宋体"/>
                <w:color w:val="auto"/>
                <w:highlight w:val="none"/>
              </w:rPr>
              <w:t>详见供应商须知2.4.1</w:t>
            </w:r>
            <w:r>
              <w:rPr>
                <w:rFonts w:hint="eastAsia" w:ascii="宋体" w:hAnsi="宋体"/>
                <w:color w:val="auto"/>
                <w:highlight w:val="none"/>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16.</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w:t>
            </w:r>
            <w:r>
              <w:rPr>
                <w:rFonts w:hint="eastAsia" w:ascii="宋体" w:hAnsi="宋体"/>
                <w:color w:val="auto"/>
                <w:highlight w:val="none"/>
                <w:lang w:eastAsia="zh-CN"/>
              </w:rPr>
              <w:t>磋商</w:t>
            </w:r>
            <w:r>
              <w:rPr>
                <w:rFonts w:hint="eastAsia" w:ascii="宋体" w:hAnsi="宋体"/>
                <w:color w:val="auto"/>
                <w:highlight w:val="none"/>
              </w:rPr>
              <w:t>文件中供应商参加本次政府采购活动应当具备的条件、项目</w:t>
            </w:r>
            <w:r>
              <w:rPr>
                <w:rFonts w:hint="eastAsia" w:ascii="宋体" w:hAnsi="宋体"/>
                <w:color w:val="auto"/>
                <w:highlight w:val="none"/>
                <w:lang w:eastAsia="zh-CN"/>
              </w:rPr>
              <w:t>技术、服务、商务及其他要求</w:t>
            </w:r>
            <w:r>
              <w:rPr>
                <w:rFonts w:hint="eastAsia" w:ascii="宋体" w:hAnsi="宋体"/>
                <w:color w:val="auto"/>
                <w:highlight w:val="none"/>
              </w:rPr>
              <w:t>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highlight w:val="none"/>
              </w:rPr>
            </w:pPr>
            <w:r>
              <w:rPr>
                <w:rFonts w:hint="eastAsia" w:ascii="宋体" w:hAnsi="宋体"/>
                <w:color w:val="auto"/>
                <w:highlight w:val="none"/>
              </w:rPr>
              <w:t>向采购人提出，并由采购人按相关规定作出答复（详见供应商须知</w:t>
            </w:r>
            <w:r>
              <w:rPr>
                <w:rFonts w:hint="eastAsia" w:ascii="宋体" w:hAnsi="宋体"/>
                <w:color w:val="auto"/>
                <w:highlight w:val="none"/>
                <w:lang w:val="en-US" w:eastAsia="zh-CN"/>
              </w:rPr>
              <w:t>2.9</w:t>
            </w: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17.</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hint="eastAsia" w:ascii="宋体" w:hAnsi="宋体"/>
                <w:color w:val="auto"/>
                <w:highlight w:val="none"/>
              </w:rPr>
            </w:pPr>
            <w:r>
              <w:rPr>
                <w:rFonts w:hint="eastAsia" w:ascii="宋体" w:hAnsi="宋体"/>
                <w:color w:val="auto"/>
                <w:highlight w:val="none"/>
              </w:rPr>
              <w:t>对磋商文件中的其他内容、采购过程及成交结果的询问、质疑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向</w:t>
            </w:r>
            <w:r>
              <w:rPr>
                <w:rFonts w:hint="eastAsia" w:ascii="宋体" w:hAnsi="宋体"/>
                <w:color w:val="auto"/>
                <w:highlight w:val="none"/>
                <w:lang w:eastAsia="zh-CN"/>
              </w:rPr>
              <w:t>区采购中心</w:t>
            </w:r>
            <w:r>
              <w:rPr>
                <w:rFonts w:hint="eastAsia" w:ascii="宋体" w:hAnsi="宋体"/>
                <w:color w:val="auto"/>
                <w:highlight w:val="none"/>
              </w:rPr>
              <w:t>提出，并由</w:t>
            </w:r>
            <w:r>
              <w:rPr>
                <w:rFonts w:hint="eastAsia" w:ascii="宋体" w:hAnsi="宋体"/>
                <w:color w:val="auto"/>
                <w:highlight w:val="none"/>
                <w:lang w:eastAsia="zh-CN"/>
              </w:rPr>
              <w:t>区采购中心</w:t>
            </w:r>
            <w:r>
              <w:rPr>
                <w:rFonts w:hint="eastAsia" w:ascii="宋体" w:hAnsi="宋体"/>
                <w:color w:val="auto"/>
                <w:highlight w:val="none"/>
              </w:rPr>
              <w:t>按相关规定作出答复（详见供应商须知2.</w:t>
            </w:r>
            <w:r>
              <w:rPr>
                <w:rFonts w:hint="eastAsia" w:ascii="宋体" w:hAnsi="宋体"/>
                <w:color w:val="auto"/>
                <w:highlight w:val="none"/>
                <w:lang w:val="en-US" w:eastAsia="zh-CN"/>
              </w:rPr>
              <w:t>9</w:t>
            </w: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18.</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ascii="宋体" w:hAnsi="宋体"/>
                <w:color w:val="auto"/>
                <w:highlight w:val="none"/>
              </w:rPr>
            </w:pPr>
            <w:r>
              <w:rPr>
                <w:rFonts w:hint="eastAsia" w:ascii="宋体" w:hAnsi="宋体"/>
                <w:color w:val="auto"/>
                <w:highlight w:val="none"/>
              </w:rPr>
              <w:t>供应商投诉</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投诉受理单位：本项目同级财政部门，成都市</w:t>
            </w:r>
            <w:r>
              <w:rPr>
                <w:rFonts w:hint="eastAsia" w:ascii="宋体" w:hAnsi="宋体"/>
                <w:color w:val="auto"/>
                <w:highlight w:val="none"/>
                <w:lang w:val="en-US" w:eastAsia="zh-CN"/>
              </w:rPr>
              <w:t>锦江区</w:t>
            </w:r>
            <w:r>
              <w:rPr>
                <w:rFonts w:hint="eastAsia" w:ascii="宋体" w:hAnsi="宋体"/>
                <w:color w:val="auto"/>
                <w:highlight w:val="none"/>
              </w:rPr>
              <w:t>财政局。</w:t>
            </w:r>
          </w:p>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地 址：成都市锦江区大慈寺路38号</w:t>
            </w:r>
          </w:p>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lang w:val="en-US" w:eastAsia="zh-CN"/>
              </w:rPr>
              <w:t>王老师</w:t>
            </w:r>
          </w:p>
          <w:p>
            <w:pPr>
              <w:widowControl w:val="0"/>
              <w:tabs>
                <w:tab w:val="left" w:pos="7665"/>
              </w:tabs>
              <w:snapToGrid w:val="0"/>
              <w:spacing w:line="360" w:lineRule="auto"/>
              <w:ind w:left="209" w:right="240" w:rightChars="100" w:hanging="208" w:hangingChars="87"/>
              <w:jc w:val="both"/>
              <w:rPr>
                <w:rFonts w:ascii="宋体" w:hAnsi="宋体"/>
                <w:color w:val="auto"/>
                <w:highlight w:val="none"/>
              </w:rPr>
            </w:pPr>
            <w:r>
              <w:rPr>
                <w:rFonts w:hint="eastAsia" w:ascii="宋体" w:hAnsi="宋体"/>
                <w:color w:val="auto"/>
                <w:highlight w:val="none"/>
              </w:rPr>
              <w:t>联系电话：028-86513373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8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19.</w:t>
            </w:r>
          </w:p>
        </w:tc>
        <w:tc>
          <w:tcPr>
            <w:tcW w:w="211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施工响应文件有效期</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Helvetica" w:hAnsi="Helvetica" w:cs="Helvetica"/>
                <w:color w:val="auto"/>
                <w:highlight w:val="none"/>
              </w:rPr>
              <w:t>递交施工响应文件的截止之日起</w:t>
            </w:r>
            <w:r>
              <w:rPr>
                <w:rFonts w:ascii="宋体" w:hAnsi="宋体"/>
                <w:color w:val="auto"/>
                <w:kern w:val="2"/>
                <w:highlight w:val="none"/>
                <w:u w:val="single"/>
              </w:rPr>
              <w:t xml:space="preserve"> 120</w:t>
            </w:r>
            <w:r>
              <w:rPr>
                <w:rFonts w:hint="eastAsia" w:ascii="宋体" w:hAnsi="宋体"/>
                <w:color w:val="auto"/>
                <w:kern w:val="2"/>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评审情况公告</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s="宋体"/>
                <w:color w:val="auto"/>
                <w:highlight w:val="none"/>
                <w:lang w:val="zh-CN"/>
              </w:rPr>
              <w:t>所有</w:t>
            </w:r>
            <w:r>
              <w:rPr>
                <w:rFonts w:hint="eastAsia" w:ascii="宋体" w:hAnsi="宋体"/>
                <w:color w:val="auto"/>
                <w:highlight w:val="none"/>
              </w:rPr>
              <w:t>供应商</w:t>
            </w:r>
            <w:r>
              <w:rPr>
                <w:rFonts w:hint="eastAsia" w:ascii="宋体" w:hAnsi="宋体" w:cs="宋体"/>
                <w:color w:val="auto"/>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成交通知书领取</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22..</w:t>
            </w:r>
          </w:p>
        </w:tc>
        <w:tc>
          <w:tcPr>
            <w:tcW w:w="2113" w:type="dxa"/>
            <w:tcBorders>
              <w:top w:val="single" w:color="auto" w:sz="8"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highlight w:val="none"/>
              </w:rPr>
            </w:pPr>
            <w:r>
              <w:rPr>
                <w:rFonts w:hint="eastAsia" w:ascii="宋体" w:hAnsi="宋体"/>
                <w:color w:val="auto"/>
                <w:highlight w:val="none"/>
              </w:rPr>
              <w:t>合同签订地点</w:t>
            </w:r>
          </w:p>
        </w:tc>
        <w:tc>
          <w:tcPr>
            <w:tcW w:w="6509" w:type="dxa"/>
            <w:tcBorders>
              <w:top w:val="single" w:color="auto" w:sz="8"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olor w:val="auto"/>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23.</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ind w:right="240" w:rightChars="100"/>
              <w:jc w:val="both"/>
              <w:rPr>
                <w:rFonts w:ascii="宋体" w:hAnsi="宋体"/>
                <w:color w:val="auto"/>
                <w:highlight w:val="none"/>
              </w:rPr>
            </w:pPr>
            <w:r>
              <w:rPr>
                <w:rFonts w:hint="eastAsia" w:ascii="宋体" w:hAnsi="宋体"/>
                <w:color w:val="auto"/>
                <w:highlight w:val="none"/>
              </w:rPr>
              <w:t>政府采购合同公告、备案</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highlight w:val="none"/>
              </w:rPr>
            </w:pPr>
            <w:r>
              <w:rPr>
                <w:rFonts w:hint="eastAsia" w:ascii="宋体"/>
                <w:color w:val="auto"/>
                <w:highlight w:val="none"/>
              </w:rPr>
              <w:t>政府采购合同签订之日起2个工作日内，采购人将在四川政府采购网公告政府采购合同；采购人</w:t>
            </w:r>
            <w:r>
              <w:rPr>
                <w:rFonts w:hint="eastAsia" w:ascii="宋体"/>
                <w:color w:val="auto"/>
                <w:highlight w:val="none"/>
                <w:lang w:val="en-US" w:eastAsia="zh-CN"/>
              </w:rPr>
              <w:t>应</w:t>
            </w:r>
            <w:r>
              <w:rPr>
                <w:rFonts w:hint="eastAsia" w:ascii="宋体"/>
                <w:color w:val="auto"/>
                <w:highlight w:val="none"/>
              </w:rPr>
              <w:t>在</w:t>
            </w:r>
            <w:r>
              <w:rPr>
                <w:rFonts w:hint="eastAsia" w:ascii="宋体"/>
                <w:color w:val="auto"/>
                <w:highlight w:val="none"/>
                <w:lang w:val="en-US" w:eastAsia="zh-CN"/>
              </w:rPr>
              <w:t>30天</w:t>
            </w:r>
            <w:r>
              <w:rPr>
                <w:rFonts w:hint="eastAsia" w:ascii="宋体"/>
                <w:color w:val="auto"/>
                <w:highlight w:val="none"/>
              </w:rPr>
              <w:t>内与供应商签订政府采购合同及向本采购项目同级财政部门，即成都市</w:t>
            </w:r>
            <w:r>
              <w:rPr>
                <w:rFonts w:hint="eastAsia" w:ascii="宋体"/>
                <w:color w:val="auto"/>
                <w:highlight w:val="none"/>
                <w:lang w:eastAsia="zh-CN"/>
              </w:rPr>
              <w:t>锦江区</w:t>
            </w:r>
            <w:r>
              <w:rPr>
                <w:rFonts w:hint="eastAsia" w:ascii="宋体"/>
                <w:color w:val="auto"/>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24.</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b/>
                <w:color w:val="auto"/>
                <w:highlight w:val="none"/>
              </w:rPr>
            </w:pPr>
            <w:r>
              <w:rPr>
                <w:rFonts w:hint="eastAsia" w:ascii="宋体" w:hAnsi="宋体"/>
                <w:color w:val="auto"/>
                <w:sz w:val="24"/>
                <w:highlight w:val="none"/>
              </w:rPr>
              <w:t>中小企业政府采购信用融资（“蓉采贷”）</w:t>
            </w:r>
          </w:p>
        </w:tc>
        <w:tc>
          <w:tcPr>
            <w:tcW w:w="6509" w:type="dxa"/>
            <w:tcBorders>
              <w:top w:val="single" w:color="auto" w:sz="4"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olor w:val="auto"/>
                <w:sz w:val="24"/>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25.</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highlight w:val="none"/>
              </w:rPr>
            </w:pPr>
            <w:r>
              <w:rPr>
                <w:rFonts w:hint="eastAsia" w:ascii="宋体" w:hAnsi="宋体"/>
                <w:color w:val="auto"/>
                <w:highlight w:val="none"/>
              </w:rPr>
              <w:t>进口产品（如采购内容中涉及货物采购的）</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lang w:eastAsia="zh-CN"/>
              </w:rPr>
              <w:t>磋商</w:t>
            </w:r>
            <w:r>
              <w:rPr>
                <w:rFonts w:hint="eastAsia" w:ascii="宋体" w:hAnsi="宋体"/>
                <w:color w:val="auto"/>
                <w:highlight w:val="none"/>
              </w:rPr>
              <w:t>文件中未载明“允许采购进口产品”的产品，拒绝进口产品的报价。</w:t>
            </w:r>
            <w:r>
              <w:rPr>
                <w:rFonts w:hint="eastAsia" w:ascii="宋体" w:hAnsi="宋体"/>
                <w:color w:val="auto"/>
                <w:highlight w:val="none"/>
                <w:lang w:eastAsia="zh-CN"/>
              </w:rPr>
              <w:t>磋商</w:t>
            </w:r>
            <w:r>
              <w:rPr>
                <w:rFonts w:hint="eastAsia" w:ascii="宋体" w:hAnsi="宋体"/>
                <w:color w:val="auto"/>
                <w:highlight w:val="none"/>
              </w:rPr>
              <w:t>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26.</w:t>
            </w:r>
          </w:p>
        </w:tc>
        <w:tc>
          <w:tcPr>
            <w:tcW w:w="862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color w:val="auto"/>
                <w:highlight w:val="none"/>
                <w:lang w:eastAsia="zh-CN"/>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napToGrid w:val="0"/>
        <w:spacing w:line="640" w:lineRule="exact"/>
        <w:rPr>
          <w:color w:val="auto"/>
          <w:highlight w:val="none"/>
        </w:rPr>
      </w:pPr>
      <w:bookmarkStart w:id="6" w:name="_Toc2083"/>
      <w:r>
        <w:rPr>
          <w:rFonts w:hint="eastAsia"/>
          <w:color w:val="auto"/>
          <w:highlight w:val="none"/>
        </w:rPr>
        <w:t>总则</w:t>
      </w:r>
      <w:bookmarkEnd w:id="6"/>
    </w:p>
    <w:p>
      <w:pPr>
        <w:pStyle w:val="6"/>
        <w:snapToGrid w:val="0"/>
        <w:spacing w:line="640" w:lineRule="exact"/>
        <w:rPr>
          <w:color w:val="auto"/>
          <w:highlight w:val="none"/>
        </w:rPr>
      </w:pPr>
      <w:r>
        <w:rPr>
          <w:rFonts w:hint="eastAsia"/>
          <w:color w:val="auto"/>
          <w:highlight w:val="none"/>
        </w:rPr>
        <w:t>适用范围</w:t>
      </w:r>
      <w:bookmarkEnd w:id="3"/>
      <w:bookmarkEnd w:id="4"/>
    </w:p>
    <w:p>
      <w:pPr>
        <w:widowControl w:val="0"/>
        <w:numPr>
          <w:ilvl w:val="0"/>
          <w:numId w:val="0"/>
        </w:numPr>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文件仅适用于本竞争性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邀请中所叙述项目的采购。</w:t>
      </w:r>
    </w:p>
    <w:p>
      <w:pPr>
        <w:widowControl w:val="0"/>
        <w:numPr>
          <w:ilvl w:val="0"/>
          <w:numId w:val="0"/>
        </w:numPr>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文件的最终解释权由采购人或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享有。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文件中供应商参加本次政府采购活动应当具备的条件、</w:t>
      </w:r>
      <w:r>
        <w:rPr>
          <w:rFonts w:hint="eastAsia" w:ascii="宋体" w:hAnsi="宋体"/>
          <w:color w:val="auto"/>
          <w:sz w:val="28"/>
          <w:szCs w:val="28"/>
          <w:highlight w:val="none"/>
          <w:lang w:eastAsia="zh-CN"/>
        </w:rPr>
        <w:t>技术、服务、商务及其他要求、评分标准</w:t>
      </w:r>
      <w:r>
        <w:rPr>
          <w:rFonts w:hint="eastAsia" w:ascii="宋体" w:hAnsi="宋体"/>
          <w:color w:val="auto"/>
          <w:sz w:val="28"/>
          <w:szCs w:val="28"/>
          <w:highlight w:val="none"/>
        </w:rPr>
        <w:t>由采购人负责解释。除上述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文件内容，其他内容由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负责解释。</w:t>
      </w:r>
    </w:p>
    <w:p>
      <w:pPr>
        <w:pStyle w:val="6"/>
        <w:snapToGrid w:val="0"/>
        <w:spacing w:line="640" w:lineRule="exact"/>
        <w:rPr>
          <w:color w:val="auto"/>
          <w:highlight w:val="none"/>
        </w:rPr>
      </w:pPr>
      <w:bookmarkStart w:id="7" w:name="_Toc287623639"/>
      <w:r>
        <w:rPr>
          <w:rFonts w:hint="eastAsia"/>
          <w:color w:val="auto"/>
          <w:highlight w:val="none"/>
        </w:rPr>
        <w:t>有关定义</w:t>
      </w:r>
      <w:bookmarkEnd w:id="7"/>
    </w:p>
    <w:p>
      <w:pPr>
        <w:widowControl/>
        <w:numPr>
          <w:ilvl w:val="0"/>
          <w:numId w:val="0"/>
        </w:numPr>
        <w:spacing w:after="0" w:line="600" w:lineRule="exact"/>
        <w:ind w:leftChars="201"/>
        <w:rPr>
          <w:rFonts w:ascii="宋体" w:hAnsi="宋体"/>
          <w:color w:val="auto"/>
          <w:sz w:val="28"/>
          <w:szCs w:val="28"/>
          <w:highlight w:val="none"/>
          <w:u w:val="singl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“采购人”、“甲方”系指依法进行政府采购的成都市</w:t>
      </w:r>
      <w:r>
        <w:rPr>
          <w:rFonts w:hint="eastAsia" w:ascii="宋体" w:hAnsi="宋体"/>
          <w:color w:val="auto"/>
          <w:sz w:val="28"/>
          <w:szCs w:val="28"/>
          <w:highlight w:val="none"/>
          <w:lang w:val="en-US" w:eastAsia="zh-CN"/>
        </w:rPr>
        <w:t>锦江区</w:t>
      </w:r>
      <w:r>
        <w:rPr>
          <w:rFonts w:hint="eastAsia" w:ascii="宋体" w:hAnsi="宋体"/>
          <w:color w:val="auto"/>
          <w:sz w:val="28"/>
          <w:szCs w:val="28"/>
          <w:highlight w:val="none"/>
        </w:rPr>
        <w:t>级机关、事业单位、团体组织。本次竞争性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采购项目的采购人是</w:t>
      </w:r>
      <w:r>
        <w:rPr>
          <w:rFonts w:hint="eastAsia" w:ascii="宋体" w:hAnsi="宋体"/>
          <w:b/>
          <w:color w:val="auto"/>
          <w:sz w:val="28"/>
          <w:szCs w:val="28"/>
          <w:highlight w:val="none"/>
          <w:u w:val="single"/>
          <w:lang w:eastAsia="zh-CN"/>
        </w:rPr>
        <w:t>四川省成都市田家炳中学</w:t>
      </w:r>
      <w:r>
        <w:rPr>
          <w:rFonts w:hint="eastAsia" w:ascii="宋体" w:hAnsi="宋体"/>
          <w:color w:val="auto"/>
          <w:sz w:val="28"/>
          <w:szCs w:val="28"/>
          <w:highlight w:val="none"/>
          <w:u w:val="single"/>
        </w:rPr>
        <w:t>。</w:t>
      </w:r>
    </w:p>
    <w:p>
      <w:pPr>
        <w:widowControl w:val="0"/>
        <w:numPr>
          <w:ilvl w:val="0"/>
          <w:numId w:val="0"/>
        </w:numPr>
        <w:tabs>
          <w:tab w:val="left" w:pos="1200"/>
        </w:tabs>
        <w:spacing w:line="60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“供应商”系指拟参加竞争性磋商和向采购人提供工程</w:t>
      </w:r>
      <w:r>
        <w:rPr>
          <w:rFonts w:ascii="宋体" w:hAnsi="宋体"/>
          <w:color w:val="auto"/>
          <w:sz w:val="28"/>
          <w:szCs w:val="28"/>
          <w:highlight w:val="none"/>
        </w:rPr>
        <w:t>、</w:t>
      </w:r>
      <w:r>
        <w:rPr>
          <w:rFonts w:hint="eastAsia" w:ascii="宋体" w:hAnsi="宋体"/>
          <w:color w:val="auto"/>
          <w:sz w:val="28"/>
          <w:szCs w:val="28"/>
          <w:highlight w:val="none"/>
        </w:rPr>
        <w:t>货物及服务的供应商。“乙方”系指本项目的成交供应商。</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三、</w:t>
      </w:r>
      <w:r>
        <w:rPr>
          <w:rFonts w:ascii="宋体" w:hAnsi="宋体"/>
          <w:color w:val="auto"/>
          <w:sz w:val="28"/>
          <w:szCs w:val="28"/>
          <w:highlight w:val="none"/>
        </w:rPr>
        <w:t>本</w:t>
      </w:r>
      <w:r>
        <w:rPr>
          <w:rFonts w:hint="eastAsia" w:ascii="宋体" w:hAnsi="宋体"/>
          <w:color w:val="auto"/>
          <w:sz w:val="28"/>
          <w:szCs w:val="28"/>
          <w:highlight w:val="none"/>
          <w:lang w:eastAsia="zh-CN"/>
        </w:rPr>
        <w:t>磋商</w:t>
      </w:r>
      <w:r>
        <w:rPr>
          <w:rFonts w:ascii="宋体" w:hAnsi="宋体"/>
          <w:color w:val="auto"/>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四、</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文件中所称的“以上”、“以下”、“内”、“以内”，包括本数；所称的“不足”，不包括本数。</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五、</w:t>
      </w:r>
      <w:r>
        <w:rPr>
          <w:rFonts w:ascii="宋体" w:hAnsi="宋体"/>
          <w:color w:val="auto"/>
          <w:sz w:val="28"/>
          <w:szCs w:val="28"/>
          <w:highlight w:val="none"/>
        </w:rPr>
        <w:t>重大违法记录是指供应商因违法经营受到刑事处罚或者责令停产停业、吊销许可证或者执照、较大数额罚款等行政处罚</w:t>
      </w:r>
      <w:r>
        <w:rPr>
          <w:rFonts w:hint="eastAsia" w:ascii="宋体" w:hAnsi="宋体"/>
          <w:color w:val="auto"/>
          <w:sz w:val="28"/>
          <w:szCs w:val="28"/>
          <w:highlight w:val="none"/>
          <w:lang w:eastAsia="zh-CN"/>
        </w:rPr>
        <w:t>。</w:t>
      </w:r>
    </w:p>
    <w:p>
      <w:pPr>
        <w:pStyle w:val="6"/>
        <w:snapToGrid w:val="0"/>
        <w:spacing w:line="64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color w:val="auto"/>
          <w:spacing w:val="-4"/>
          <w:sz w:val="28"/>
          <w:szCs w:val="28"/>
          <w:highlight w:val="none"/>
        </w:rPr>
      </w:pPr>
      <w:r>
        <w:rPr>
          <w:rFonts w:hint="eastAsia" w:ascii="宋体" w:hAnsi="宋体"/>
          <w:color w:val="auto"/>
          <w:sz w:val="28"/>
          <w:szCs w:val="28"/>
          <w:highlight w:val="none"/>
        </w:rPr>
        <w:t>合格的供应商应具备以下条件：邀请参加</w:t>
      </w:r>
      <w:r>
        <w:rPr>
          <w:rFonts w:ascii="宋体" w:hAnsi="宋体"/>
          <w:color w:val="auto"/>
          <w:sz w:val="28"/>
          <w:szCs w:val="28"/>
          <w:highlight w:val="none"/>
        </w:rPr>
        <w:t>磋商的供应商</w:t>
      </w:r>
      <w:r>
        <w:rPr>
          <w:rFonts w:hint="eastAsia" w:ascii="宋体" w:hAnsi="宋体"/>
          <w:color w:val="auto"/>
          <w:spacing w:val="-4"/>
          <w:sz w:val="28"/>
          <w:szCs w:val="28"/>
          <w:highlight w:val="none"/>
        </w:rPr>
        <w:t>。</w:t>
      </w:r>
    </w:p>
    <w:p>
      <w:pPr>
        <w:pStyle w:val="6"/>
        <w:snapToGrid w:val="0"/>
        <w:spacing w:line="640" w:lineRule="exact"/>
        <w:rPr>
          <w:color w:val="auto"/>
          <w:highlight w:val="none"/>
        </w:rPr>
      </w:pPr>
      <w:bookmarkStart w:id="8" w:name="_Toc287623640"/>
      <w:bookmarkStart w:id="9" w:name="_Toc320698717"/>
      <w:r>
        <w:rPr>
          <w:rFonts w:hint="eastAsia"/>
          <w:color w:val="auto"/>
          <w:highlight w:val="none"/>
        </w:rPr>
        <w:t>参加竞争性</w:t>
      </w:r>
      <w:r>
        <w:rPr>
          <w:rFonts w:hint="eastAsia"/>
          <w:color w:val="auto"/>
          <w:highlight w:val="none"/>
          <w:lang w:eastAsia="zh-CN"/>
        </w:rPr>
        <w:t>磋商</w:t>
      </w:r>
      <w:r>
        <w:rPr>
          <w:rFonts w:hint="eastAsia"/>
          <w:color w:val="auto"/>
          <w:highlight w:val="none"/>
        </w:rPr>
        <w:t>的费用</w:t>
      </w:r>
      <w:bookmarkEnd w:id="8"/>
      <w:r>
        <w:rPr>
          <w:rFonts w:hint="eastAsia" w:ascii="仿宋" w:hAnsi="仿宋" w:eastAsia="仿宋"/>
          <w:color w:val="auto"/>
          <w:szCs w:val="21"/>
          <w:highlight w:val="none"/>
          <w:lang w:val="zh-CN"/>
        </w:rPr>
        <w:t>（实质性要求）</w:t>
      </w:r>
    </w:p>
    <w:p>
      <w:pPr>
        <w:tabs>
          <w:tab w:val="left" w:pos="7665"/>
        </w:tabs>
        <w:snapToGrid w:val="0"/>
        <w:spacing w:line="640" w:lineRule="exact"/>
        <w:ind w:firstLine="567"/>
        <w:rPr>
          <w:rFonts w:ascii="宋体" w:hAnsi="宋体"/>
          <w:color w:val="auto"/>
          <w:sz w:val="28"/>
          <w:szCs w:val="28"/>
          <w:highlight w:val="none"/>
        </w:rPr>
      </w:pPr>
      <w:r>
        <w:rPr>
          <w:rFonts w:hint="eastAsia" w:ascii="宋体" w:hAnsi="宋体"/>
          <w:color w:val="auto"/>
          <w:sz w:val="28"/>
          <w:szCs w:val="28"/>
          <w:highlight w:val="none"/>
        </w:rPr>
        <w:t>供应商应自行承担参加竞争性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采购活动的全部费用。</w:t>
      </w:r>
    </w:p>
    <w:p>
      <w:pPr>
        <w:pStyle w:val="6"/>
        <w:snapToGrid w:val="0"/>
        <w:spacing w:line="64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8"/>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color w:val="auto"/>
          <w:sz w:val="28"/>
          <w:szCs w:val="28"/>
          <w:highlight w:val="none"/>
        </w:rPr>
        <w:t>（说明：木原建筑设计有限公司</w:t>
      </w:r>
      <w:r>
        <w:rPr>
          <w:rFonts w:hint="eastAsia" w:hAnsi="宋体"/>
          <w:b/>
          <w:bCs/>
          <w:color w:val="auto"/>
          <w:sz w:val="28"/>
          <w:szCs w:val="28"/>
          <w:highlight w:val="none"/>
          <w:lang w:val="en-US" w:eastAsia="zh-CN"/>
        </w:rPr>
        <w:t>,</w:t>
      </w:r>
      <w:r>
        <w:rPr>
          <w:rFonts w:hint="eastAsia" w:hAnsi="宋体"/>
          <w:b/>
          <w:bCs/>
          <w:color w:val="auto"/>
          <w:sz w:val="28"/>
          <w:szCs w:val="28"/>
          <w:highlight w:val="none"/>
        </w:rPr>
        <w:t>四川省兴衡信建设工程咨询有限公司</w:t>
      </w:r>
      <w:r>
        <w:rPr>
          <w:rFonts w:hint="eastAsia" w:hAnsi="宋体"/>
          <w:b/>
          <w:bCs/>
          <w:color w:val="auto"/>
          <w:sz w:val="28"/>
          <w:szCs w:val="28"/>
          <w:highlight w:val="none"/>
          <w:lang w:val="en-US" w:eastAsia="zh-CN"/>
        </w:rPr>
        <w:t>,</w:t>
      </w:r>
      <w:r>
        <w:rPr>
          <w:rFonts w:hint="eastAsia" w:hAnsi="宋体"/>
          <w:b/>
          <w:bCs/>
          <w:color w:val="auto"/>
          <w:sz w:val="28"/>
          <w:szCs w:val="28"/>
          <w:highlight w:val="none"/>
        </w:rPr>
        <w:t>鑫标点工程管理有限公司</w:t>
      </w:r>
      <w:r>
        <w:rPr>
          <w:rFonts w:hint="eastAsia" w:hAnsi="宋体"/>
          <w:b/>
          <w:bCs/>
          <w:color w:val="auto"/>
          <w:sz w:val="28"/>
          <w:szCs w:val="28"/>
          <w:highlight w:val="none"/>
          <w:lang w:eastAsia="zh-CN"/>
        </w:rPr>
        <w:t>为</w:t>
      </w:r>
      <w:r>
        <w:rPr>
          <w:rFonts w:hint="eastAsia" w:hAnsi="宋体"/>
          <w:b/>
          <w:bCs/>
          <w:color w:val="auto"/>
          <w:sz w:val="28"/>
          <w:szCs w:val="28"/>
          <w:highlight w:val="none"/>
        </w:rPr>
        <w:t>本项目提供整体设计、规范编制或者项目管理、监理、检测。）</w:t>
      </w:r>
    </w:p>
    <w:p>
      <w:pPr>
        <w:widowControl w:val="0"/>
        <w:numPr>
          <w:ilvl w:val="1"/>
          <w:numId w:val="8"/>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同一母公司的两家以上的子公司只能组成联合体参加本项目同一合同项下的采购活动，不得以不同供应商身份同时参加本项目同一合同项下的采购活动。</w:t>
      </w:r>
    </w:p>
    <w:p>
      <w:pPr>
        <w:pStyle w:val="5"/>
        <w:snapToGrid w:val="0"/>
        <w:spacing w:line="640" w:lineRule="exact"/>
        <w:rPr>
          <w:color w:val="auto"/>
          <w:highlight w:val="none"/>
        </w:rPr>
      </w:pPr>
      <w:bookmarkStart w:id="10" w:name="_Toc19674"/>
      <w:r>
        <w:rPr>
          <w:rFonts w:hint="eastAsia"/>
          <w:color w:val="auto"/>
          <w:highlight w:val="none"/>
          <w:lang w:eastAsia="zh-CN"/>
        </w:rPr>
        <w:t>磋商</w:t>
      </w:r>
      <w:r>
        <w:rPr>
          <w:rFonts w:hint="eastAsia"/>
          <w:color w:val="auto"/>
          <w:highlight w:val="none"/>
        </w:rPr>
        <w:t>文件</w:t>
      </w:r>
      <w:bookmarkEnd w:id="10"/>
    </w:p>
    <w:p>
      <w:pPr>
        <w:pStyle w:val="6"/>
        <w:snapToGrid w:val="0"/>
        <w:spacing w:line="640" w:lineRule="exact"/>
        <w:rPr>
          <w:color w:val="auto"/>
          <w:highlight w:val="none"/>
        </w:rPr>
      </w:pPr>
      <w:r>
        <w:rPr>
          <w:rFonts w:hint="eastAsia"/>
          <w:color w:val="auto"/>
          <w:highlight w:val="none"/>
          <w:lang w:eastAsia="zh-CN"/>
        </w:rPr>
        <w:t>磋商</w:t>
      </w:r>
      <w:r>
        <w:rPr>
          <w:rFonts w:hint="eastAsia"/>
          <w:color w:val="auto"/>
          <w:highlight w:val="none"/>
        </w:rPr>
        <w:t>文件的构成</w:t>
      </w:r>
      <w:r>
        <w:rPr>
          <w:rFonts w:hint="eastAsia" w:ascii="仿宋" w:hAnsi="仿宋" w:eastAsia="仿宋"/>
          <w:color w:val="auto"/>
          <w:szCs w:val="21"/>
          <w:highlight w:val="none"/>
          <w:lang w:val="zh-CN"/>
        </w:rPr>
        <w:t>（实质性要求）</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一、</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文件是供应商准备施工响应文件和参加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的依据，同时也是评审的重要依据。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文件用以阐明采购项目所需的资质、技术、服务及报价等要求、</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程序、有关规定和注意事项以及合同草案条款等。本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文件包括以下内容：</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（一）竞争性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（二）供应商须知；</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（三）施工响应文件格式；</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（四）项目技术、服务</w:t>
      </w:r>
      <w:r>
        <w:rPr>
          <w:rFonts w:hint="eastAsia" w:ascii="宋体" w:hAnsi="宋体"/>
          <w:color w:val="auto"/>
          <w:sz w:val="28"/>
          <w:szCs w:val="28"/>
          <w:highlight w:val="none"/>
          <w:lang w:eastAsia="zh-CN"/>
        </w:rPr>
        <w:t>、商务</w:t>
      </w:r>
      <w:r>
        <w:rPr>
          <w:rFonts w:hint="eastAsia" w:ascii="宋体" w:hAnsi="宋体"/>
          <w:color w:val="auto"/>
          <w:sz w:val="28"/>
          <w:szCs w:val="28"/>
          <w:highlight w:val="none"/>
        </w:rPr>
        <w:t>及其他要求；</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（五）</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办法；</w:t>
      </w:r>
    </w:p>
    <w:p>
      <w:pPr>
        <w:widowControl w:val="0"/>
        <w:tabs>
          <w:tab w:val="left" w:pos="1134"/>
        </w:tabs>
        <w:snapToGrid w:val="0"/>
        <w:spacing w:line="64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（六）合同草案条款</w:t>
      </w:r>
      <w:r>
        <w:rPr>
          <w:rFonts w:hint="eastAsia" w:ascii="宋体" w:hAnsi="宋体"/>
          <w:color w:val="auto"/>
          <w:sz w:val="28"/>
          <w:szCs w:val="28"/>
          <w:highlight w:val="none"/>
          <w:lang w:eastAsia="zh-CN"/>
        </w:rPr>
        <w:t>；</w:t>
      </w:r>
    </w:p>
    <w:p>
      <w:pPr>
        <w:pStyle w:val="53"/>
        <w:rPr>
          <w:rFonts w:hint="eastAsia" w:eastAsia="楷体à.ā"/>
          <w:color w:val="auto"/>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eastAsia="宋体" w:cs="Times New Roman"/>
          <w:color w:val="auto"/>
          <w:sz w:val="28"/>
          <w:szCs w:val="28"/>
          <w:highlight w:val="none"/>
          <w:lang w:val="en-US" w:eastAsia="zh-CN" w:bidi="ar-SA"/>
        </w:rPr>
        <w:t>（七）工程量清单和图纸。</w:t>
      </w:r>
    </w:p>
    <w:p>
      <w:pPr>
        <w:widowControl w:val="0"/>
        <w:tabs>
          <w:tab w:val="left" w:pos="1134"/>
        </w:tabs>
        <w:snapToGrid w:val="0"/>
        <w:spacing w:line="640" w:lineRule="exact"/>
        <w:ind w:firstLine="560" w:firstLineChars="200"/>
        <w:jc w:val="both"/>
        <w:rPr>
          <w:rFonts w:ascii="宋体" w:hAnsi="宋体"/>
          <w:color w:val="auto"/>
          <w:highlight w:val="none"/>
        </w:rPr>
      </w:pPr>
      <w:r>
        <w:rPr>
          <w:rFonts w:hint="eastAsia" w:ascii="宋体" w:hAnsi="宋体"/>
          <w:color w:val="auto"/>
          <w:sz w:val="28"/>
          <w:szCs w:val="28"/>
          <w:highlight w:val="none"/>
        </w:rPr>
        <w:t>二、供应商应认真阅读和充分理解</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文件中所有的事项、格式条款和规范要求，按照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文件的要求提供施工响应文件，并保证所提供的全部资料的真实性和有效性，一经发现有虚假行为的，将取消其参加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或成交资格，并承担相应的法律责任。供应商没有对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文件全面做出实质性响应所产生的风险由供应商承担。</w:t>
      </w:r>
      <w:bookmarkEnd w:id="9"/>
    </w:p>
    <w:p>
      <w:pPr>
        <w:pStyle w:val="6"/>
        <w:snapToGrid w:val="0"/>
        <w:spacing w:line="640" w:lineRule="exact"/>
        <w:rPr>
          <w:color w:val="auto"/>
          <w:highlight w:val="none"/>
        </w:rPr>
      </w:pPr>
      <w:bookmarkStart w:id="11" w:name="_Toc183682348"/>
      <w:bookmarkStart w:id="12" w:name="_Toc183582211"/>
      <w:bookmarkStart w:id="13" w:name="_Toc217446040"/>
      <w:r>
        <w:rPr>
          <w:rFonts w:hint="eastAsia"/>
          <w:color w:val="auto"/>
          <w:highlight w:val="none"/>
          <w:lang w:eastAsia="zh-CN"/>
        </w:rPr>
        <w:t>磋商</w:t>
      </w:r>
      <w:r>
        <w:rPr>
          <w:rFonts w:hint="eastAsia"/>
          <w:color w:val="auto"/>
          <w:highlight w:val="none"/>
        </w:rPr>
        <w:t>文件的澄清</w:t>
      </w:r>
      <w:bookmarkEnd w:id="11"/>
      <w:bookmarkEnd w:id="12"/>
      <w:r>
        <w:rPr>
          <w:rFonts w:hint="eastAsia"/>
          <w:color w:val="auto"/>
          <w:highlight w:val="none"/>
        </w:rPr>
        <w:t>和修改</w:t>
      </w:r>
      <w:bookmarkEnd w:id="13"/>
    </w:p>
    <w:p>
      <w:pPr>
        <w:widowControl w:val="0"/>
        <w:numPr>
          <w:ilvl w:val="0"/>
          <w:numId w:val="9"/>
        </w:numPr>
        <w:tabs>
          <w:tab w:val="left" w:pos="1134"/>
        </w:tabs>
        <w:snapToGrid w:val="0"/>
        <w:spacing w:line="64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在递交施工响应文件截止时间前，采购人或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无论出于何种原因，可以对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文件进行澄清或者修改。</w:t>
      </w:r>
    </w:p>
    <w:p>
      <w:pPr>
        <w:widowControl w:val="0"/>
        <w:numPr>
          <w:ilvl w:val="0"/>
          <w:numId w:val="9"/>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澄清或者修改的内容，</w:t>
      </w:r>
      <w:r>
        <w:rPr>
          <w:rFonts w:hint="eastAsia" w:ascii="宋体" w:hAnsi="宋体"/>
          <w:color w:val="auto"/>
          <w:sz w:val="28"/>
          <w:szCs w:val="28"/>
          <w:highlight w:val="none"/>
          <w:lang w:eastAsia="zh-CN"/>
        </w:rPr>
        <w:t>区采购</w:t>
      </w:r>
      <w:r>
        <w:rPr>
          <w:rFonts w:hint="eastAsia" w:ascii="宋体" w:hAnsi="宋体"/>
          <w:color w:val="auto"/>
          <w:sz w:val="28"/>
          <w:szCs w:val="28"/>
          <w:highlight w:val="none"/>
        </w:rPr>
        <w:t>中心将在“四川政府采购网</w:t>
      </w:r>
      <w:r>
        <w:rPr>
          <w:rFonts w:ascii="宋体" w:hAnsi="宋体"/>
          <w:color w:val="auto"/>
          <w:sz w:val="28"/>
          <w:szCs w:val="28"/>
          <w:highlight w:val="none"/>
        </w:rPr>
        <w:t>”</w:t>
      </w:r>
      <w:r>
        <w:rPr>
          <w:rFonts w:hint="eastAsia" w:ascii="宋体" w:hAnsi="宋体"/>
          <w:color w:val="auto"/>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color w:val="auto"/>
          <w:sz w:val="28"/>
          <w:szCs w:val="28"/>
          <w:highlight w:val="none"/>
        </w:rPr>
        <w:t>A</w:t>
      </w:r>
      <w:r>
        <w:rPr>
          <w:rFonts w:hint="eastAsia" w:ascii="宋体" w:hAnsi="宋体"/>
          <w:color w:val="auto"/>
          <w:sz w:val="28"/>
          <w:szCs w:val="28"/>
          <w:highlight w:val="none"/>
        </w:rPr>
        <w:t>证书登录云平台查看），该澄清或者修改的内容为磋商文件的组成部分。</w:t>
      </w:r>
    </w:p>
    <w:p>
      <w:pPr>
        <w:widowControl w:val="0"/>
        <w:numPr>
          <w:ilvl w:val="0"/>
          <w:numId w:val="9"/>
        </w:numPr>
        <w:tabs>
          <w:tab w:val="left" w:pos="1134"/>
        </w:tabs>
        <w:snapToGrid w:val="0"/>
        <w:spacing w:line="64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澄清或者修改的内容可能影响施工响应文件编制的，</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应当在提交首次施工响应文件截止时间至少</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个工作日前，通过云平台通知所有获取</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文件的潜在供应商；不足</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个工作日的，采购人或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应当顺延</w:t>
      </w:r>
      <w:r>
        <w:rPr>
          <w:rFonts w:hint="eastAsia" w:ascii="宋体" w:hAnsi="宋体"/>
          <w:color w:val="auto"/>
          <w:sz w:val="28"/>
          <w:szCs w:val="28"/>
          <w:highlight w:val="none"/>
          <w:lang w:eastAsia="zh-CN"/>
        </w:rPr>
        <w:t>提交</w:t>
      </w:r>
      <w:r>
        <w:rPr>
          <w:rFonts w:hint="eastAsia" w:ascii="宋体" w:hAnsi="宋体"/>
          <w:color w:val="auto"/>
          <w:sz w:val="28"/>
          <w:szCs w:val="28"/>
          <w:highlight w:val="none"/>
        </w:rPr>
        <w:t>首次施工响应文件的截止时间。</w:t>
      </w:r>
    </w:p>
    <w:p>
      <w:pPr>
        <w:pStyle w:val="5"/>
        <w:snapToGrid w:val="0"/>
        <w:spacing w:line="640" w:lineRule="exact"/>
        <w:rPr>
          <w:color w:val="auto"/>
          <w:highlight w:val="none"/>
        </w:rPr>
      </w:pPr>
      <w:bookmarkStart w:id="14" w:name="_Toc13540"/>
      <w:r>
        <w:rPr>
          <w:rFonts w:hint="eastAsia"/>
          <w:color w:val="auto"/>
          <w:highlight w:val="none"/>
        </w:rPr>
        <w:t>施工响应文件</w:t>
      </w:r>
      <w:bookmarkEnd w:id="14"/>
    </w:p>
    <w:p>
      <w:pPr>
        <w:pStyle w:val="6"/>
        <w:snapToGrid w:val="0"/>
        <w:spacing w:line="640" w:lineRule="exact"/>
        <w:rPr>
          <w:color w:val="auto"/>
          <w:highlight w:val="none"/>
        </w:rPr>
      </w:pPr>
      <w:bookmarkStart w:id="15" w:name="_Toc320698721"/>
      <w:r>
        <w:rPr>
          <w:rFonts w:hint="eastAsia"/>
          <w:color w:val="auto"/>
          <w:highlight w:val="none"/>
        </w:rPr>
        <w:t>施工响应文件的语言</w:t>
      </w:r>
      <w:bookmarkEnd w:id="15"/>
      <w:r>
        <w:rPr>
          <w:rFonts w:hint="eastAsia" w:ascii="仿宋" w:hAnsi="仿宋" w:eastAsia="仿宋"/>
          <w:color w:val="auto"/>
          <w:szCs w:val="21"/>
          <w:highlight w:val="none"/>
          <w:lang w:val="zh-CN"/>
        </w:rPr>
        <w:t>（实质性要求）</w:t>
      </w:r>
    </w:p>
    <w:p>
      <w:pPr>
        <w:widowControl w:val="0"/>
        <w:numPr>
          <w:ilvl w:val="0"/>
          <w:numId w:val="10"/>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供应商提交的施工响应文件以及供应商与采购人或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就有关竞争性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采购活动的所有来往书面文件均须使用中文，施工响应文件中所附或引用的外文资料，应翻译成中文附在相关外文资料后面（说明：供应商的法定代表人为外籍人士的，则法定代表人的签字和护照除外）。</w:t>
      </w:r>
    </w:p>
    <w:p>
      <w:pPr>
        <w:widowControl w:val="0"/>
        <w:numPr>
          <w:ilvl w:val="0"/>
          <w:numId w:val="10"/>
        </w:numPr>
        <w:tabs>
          <w:tab w:val="left" w:pos="1200"/>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对不同文字文本施工响应文件的解释发生异议的，以中文文本为准。若供应商施工响应文件中提供的外文资料未翻译成中文，则</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小组可将其视为无效材料。</w:t>
      </w:r>
    </w:p>
    <w:p>
      <w:pPr>
        <w:pStyle w:val="6"/>
        <w:snapToGrid w:val="0"/>
        <w:spacing w:line="64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widowControl w:val="0"/>
        <w:tabs>
          <w:tab w:val="left" w:pos="1200"/>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除</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文件中另有规定外，本次采购项目所有合同项下的响应均采用国家法定的计量单位。</w:t>
      </w:r>
    </w:p>
    <w:p>
      <w:pPr>
        <w:pStyle w:val="6"/>
        <w:snapToGrid w:val="0"/>
        <w:spacing w:line="640" w:lineRule="exact"/>
        <w:rPr>
          <w:color w:val="auto"/>
          <w:highlight w:val="none"/>
        </w:rPr>
      </w:pPr>
      <w:bookmarkStart w:id="16" w:name="_Toc320698722"/>
      <w:r>
        <w:rPr>
          <w:rFonts w:hint="eastAsia"/>
          <w:color w:val="auto"/>
          <w:highlight w:val="none"/>
        </w:rPr>
        <w:t>报价货币及报价要求</w:t>
      </w:r>
      <w:bookmarkEnd w:id="16"/>
      <w:r>
        <w:rPr>
          <w:rFonts w:hint="eastAsia" w:ascii="仿宋" w:hAnsi="仿宋" w:eastAsia="仿宋"/>
          <w:color w:val="auto"/>
          <w:szCs w:val="21"/>
          <w:highlight w:val="none"/>
          <w:lang w:val="zh-CN"/>
        </w:rPr>
        <w:t>（实质性要求）</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一、供应商应认真核实本项目的工程量清单。工程量清单以电子版为准。</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二、所有报价一律以人民币报价。采购人不接受任何非人民币币种的报价。</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三、供应商的报价是其响应本项目要求的全部工作内容的价格体现，包括供应商完成本项目所需的一切费用。</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四、本项目合同价格形式为：固定</w:t>
      </w:r>
      <w:r>
        <w:rPr>
          <w:rFonts w:hint="eastAsia" w:cs="仿宋" w:asciiTheme="minorEastAsia" w:hAnsiTheme="minorEastAsia" w:eastAsiaTheme="minorEastAsia"/>
          <w:color w:val="auto"/>
          <w:sz w:val="28"/>
          <w:szCs w:val="28"/>
          <w:highlight w:val="none"/>
          <w:lang w:eastAsia="zh-CN"/>
        </w:rPr>
        <w:t>综合</w:t>
      </w:r>
      <w:r>
        <w:rPr>
          <w:rFonts w:hint="eastAsia" w:cs="仿宋" w:asciiTheme="minorEastAsia" w:hAnsiTheme="minorEastAsia" w:eastAsiaTheme="minorEastAsia"/>
          <w:color w:val="auto"/>
          <w:sz w:val="28"/>
          <w:szCs w:val="28"/>
          <w:highlight w:val="none"/>
        </w:rPr>
        <w:t>单价合</w:t>
      </w:r>
      <w:r>
        <w:rPr>
          <w:rFonts w:hint="eastAsia" w:cs="仿宋" w:asciiTheme="minorEastAsia" w:hAnsiTheme="minorEastAsia" w:eastAsiaTheme="minorEastAsia"/>
          <w:color w:val="auto"/>
          <w:sz w:val="28"/>
          <w:szCs w:val="28"/>
          <w:highlight w:val="none"/>
          <w:lang w:val="en-US" w:eastAsia="zh-CN"/>
        </w:rPr>
        <w:t>同</w:t>
      </w:r>
      <w:r>
        <w:rPr>
          <w:rFonts w:hint="eastAsia" w:cs="仿宋" w:asciiTheme="minorEastAsia" w:hAnsiTheme="minorEastAsia" w:eastAsiaTheme="minorEastAsia"/>
          <w:color w:val="auto"/>
          <w:sz w:val="28"/>
          <w:szCs w:val="28"/>
          <w:highlight w:val="none"/>
        </w:rPr>
        <w:t>。</w:t>
      </w:r>
    </w:p>
    <w:p>
      <w:pPr>
        <w:pStyle w:val="65"/>
        <w:spacing w:line="360" w:lineRule="auto"/>
        <w:ind w:firstLine="56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五、本项目采用工程量清单报价，固定</w:t>
      </w:r>
      <w:r>
        <w:rPr>
          <w:rFonts w:hint="eastAsia" w:cs="仿宋" w:asciiTheme="minorEastAsia" w:hAnsiTheme="minorEastAsia" w:eastAsiaTheme="minorEastAsia"/>
          <w:color w:val="auto"/>
          <w:sz w:val="28"/>
          <w:szCs w:val="28"/>
          <w:highlight w:val="none"/>
          <w:lang w:eastAsia="zh-CN"/>
        </w:rPr>
        <w:t>综合</w:t>
      </w:r>
      <w:r>
        <w:rPr>
          <w:rFonts w:hint="eastAsia" w:cs="仿宋" w:asciiTheme="minorEastAsia" w:hAnsiTheme="minorEastAsia" w:eastAsiaTheme="minorEastAsia"/>
          <w:color w:val="auto"/>
          <w:sz w:val="28"/>
          <w:szCs w:val="28"/>
          <w:highlight w:val="none"/>
        </w:rPr>
        <w:t>单价合</w:t>
      </w:r>
      <w:r>
        <w:rPr>
          <w:rFonts w:hint="eastAsia" w:cs="仿宋" w:asciiTheme="minorEastAsia" w:hAnsiTheme="minorEastAsia" w:eastAsiaTheme="minorEastAsia"/>
          <w:color w:val="auto"/>
          <w:sz w:val="28"/>
          <w:szCs w:val="28"/>
          <w:highlight w:val="none"/>
          <w:lang w:val="en-US" w:eastAsia="zh-CN"/>
        </w:rPr>
        <w:t>同</w:t>
      </w:r>
      <w:r>
        <w:rPr>
          <w:rFonts w:hint="eastAsia" w:cs="仿宋" w:asciiTheme="minorEastAsia" w:hAnsiTheme="minorEastAsia" w:eastAsiaTheme="minorEastAsia"/>
          <w:color w:val="auto"/>
          <w:sz w:val="28"/>
          <w:szCs w:val="28"/>
          <w:highlight w:val="none"/>
        </w:rPr>
        <w:t>。</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b/>
          <w:bCs/>
          <w:color w:val="auto"/>
          <w:sz w:val="28"/>
          <w:szCs w:val="28"/>
          <w:highlight w:val="none"/>
        </w:rPr>
        <w:t>已标价工程量清单的扉页（仅指投标总价扉页，下同）应由注册或登记在本单位的造价人员签字并盖执业印章</w:t>
      </w:r>
      <w:r>
        <w:rPr>
          <w:rFonts w:hint="eastAsia" w:ascii="宋体" w:hAnsi="宋体"/>
          <w:b/>
          <w:bCs/>
          <w:color w:val="auto"/>
          <w:sz w:val="28"/>
          <w:szCs w:val="28"/>
          <w:highlight w:val="none"/>
        </w:rPr>
        <w:t>（说明：提供造价人员签字并盖执业印章的已标价工程量清单的扉页的复印件，原件签订合同时向采购人提供）</w:t>
      </w:r>
      <w:r>
        <w:rPr>
          <w:rFonts w:hint="eastAsia" w:cs="仿宋" w:asciiTheme="minorEastAsia" w:hAnsiTheme="minorEastAsia" w:eastAsiaTheme="minorEastAsia"/>
          <w:b/>
          <w:bCs/>
          <w:color w:val="auto"/>
          <w:sz w:val="28"/>
          <w:szCs w:val="28"/>
          <w:highlight w:val="none"/>
        </w:rPr>
        <w:t>。</w:t>
      </w:r>
      <w:r>
        <w:rPr>
          <w:rFonts w:hint="eastAsia" w:cs="仿宋" w:asciiTheme="minorEastAsia" w:hAnsiTheme="minorEastAsia" w:eastAsiaTheme="minorEastAsia"/>
          <w:color w:val="auto"/>
          <w:sz w:val="28"/>
          <w:szCs w:val="28"/>
          <w:highlight w:val="none"/>
        </w:rPr>
        <w:t>除此之外，造价人员无需在施工响应文件其他任何地方签字或盖执业印章。</w:t>
      </w:r>
      <w:r>
        <w:rPr>
          <w:rFonts w:hint="eastAsia" w:cs="仿宋" w:asciiTheme="minorEastAsia" w:hAnsiTheme="minorEastAsia" w:eastAsiaTheme="minorEastAsia"/>
          <w:b/>
          <w:bCs/>
          <w:color w:val="auto"/>
          <w:sz w:val="28"/>
          <w:szCs w:val="28"/>
          <w:highlight w:val="none"/>
        </w:rPr>
        <w:t>供应商委托工程造价咨询企业编制已标价工程量清单的，应在施工响应文件中附工程造价咨询委托合同，由注册或登记在工程造价咨询企业的造价人员签字并盖执业印章。</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供应商最后报价超过政府采购预算或最高限价（控制价）（金额详见“供应商须知附表”）的</w:t>
      </w:r>
      <w:r>
        <w:rPr>
          <w:rFonts w:cs="仿宋" w:asciiTheme="minorEastAsia" w:hAnsiTheme="minorEastAsia" w:eastAsiaTheme="minorEastAsia"/>
          <w:color w:val="auto"/>
          <w:sz w:val="28"/>
          <w:szCs w:val="28"/>
          <w:highlight w:val="none"/>
        </w:rPr>
        <w:t xml:space="preserve">, </w:t>
      </w:r>
      <w:r>
        <w:rPr>
          <w:rFonts w:hint="eastAsia" w:cs="仿宋" w:asciiTheme="minorEastAsia" w:hAnsiTheme="minorEastAsia" w:eastAsiaTheme="minorEastAsia"/>
          <w:color w:val="auto"/>
          <w:sz w:val="28"/>
          <w:szCs w:val="28"/>
          <w:highlight w:val="none"/>
        </w:rPr>
        <w:t>其施工响应文件按无效处理。</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b/>
          <w:bCs/>
          <w:color w:val="auto"/>
          <w:sz w:val="28"/>
          <w:szCs w:val="28"/>
          <w:highlight w:val="none"/>
        </w:rPr>
      </w:pPr>
      <w:r>
        <w:rPr>
          <w:rFonts w:hint="eastAsia" w:cs="仿宋" w:asciiTheme="minorEastAsia" w:hAnsiTheme="minorEastAsia" w:eastAsiaTheme="minorEastAsia"/>
          <w:b/>
          <w:bCs/>
          <w:color w:val="auto"/>
          <w:sz w:val="28"/>
          <w:szCs w:val="28"/>
          <w:highlight w:val="none"/>
        </w:rPr>
        <w:t>供应商在首次提交的施工响应文件中的报价（即首次报价）应按</w:t>
      </w:r>
      <w:r>
        <w:rPr>
          <w:rFonts w:hint="eastAsia" w:cs="仿宋" w:asciiTheme="minorEastAsia" w:hAnsiTheme="minorEastAsia" w:eastAsiaTheme="minorEastAsia"/>
          <w:b/>
          <w:bCs/>
          <w:color w:val="auto"/>
          <w:sz w:val="28"/>
          <w:szCs w:val="28"/>
          <w:highlight w:val="none"/>
          <w:lang w:eastAsia="zh-CN"/>
        </w:rPr>
        <w:t>磋商</w:t>
      </w:r>
      <w:r>
        <w:rPr>
          <w:rFonts w:hint="eastAsia" w:cs="仿宋" w:asciiTheme="minorEastAsia" w:hAnsiTheme="minorEastAsia" w:eastAsiaTheme="minorEastAsia"/>
          <w:b/>
          <w:bCs/>
          <w:color w:val="auto"/>
          <w:sz w:val="28"/>
          <w:szCs w:val="28"/>
          <w:highlight w:val="none"/>
        </w:rPr>
        <w:t>文件及工程量清单编制要求，列出报价的构成及明细，包括但不限于分部分项工程、措施项目、其他项目、规费及税金等。其中安全文明施工费、暂列金额、暂估价、规费及税金应按工程量清单（总说明）的要求计取(采购文件工程量清单总说明无规定时除外)。</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供应商提交的已标价工程量清单应符合本项目工程量清单以及清单说明的要求。当供应商的已标价工程量清单有下列情形之一的，应按照无效施工响应文件处理。</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已标价工程量清单中的项目名称、项目特征描述（与采购文件工程量清单中的项目特征描述的实质性内容一致的除外）、计量单位、工程量与采购文件工程量清单不一致的；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供应商未按采购文件工程量清单总说明规定或其持有的《四川省施工企业工程规费计取标准》证书中的规费标准</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采购文件工程量清单总说明无规定时</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计取规费的；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采购文件明确了安全文明施工费金额或费率并要求按此金额或费率填报而供应商填报错误或未填报的；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已标价工程量清单中暂列金额未按采购文件工程量清单中列明的金额填报的；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已标价工程量清单中材料、工程设备暂估价未按采购文件工程量清单中列出的单价计入综合单价的；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已标价工程量清单中专业工程暂估价未按采购文件工程量清单中列明的金额填写的；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已标价工程量清单中计日工未按采购文件工程量清单中列明的数量进行报价的；</w:t>
      </w:r>
    </w:p>
    <w:p>
      <w:pPr>
        <w:pStyle w:val="65"/>
        <w:numPr>
          <w:ilvl w:val="1"/>
          <w:numId w:val="12"/>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当已标价工程量清单中的任何单价、合价或总价，出现两个及以上金额的。</w:t>
      </w:r>
    </w:p>
    <w:p>
      <w:pPr>
        <w:pStyle w:val="65"/>
        <w:numPr>
          <w:ilvl w:val="0"/>
          <w:numId w:val="11"/>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若供应商的最后报价只有一个总价，且相对首次报价有调整（上调取“</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”，下调取“</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”），则该调整金额将会以百分比（</w:t>
      </w:r>
      <w:r>
        <w:rPr>
          <w:rFonts w:cs="仿宋" w:asciiTheme="minorEastAsia" w:hAnsiTheme="minorEastAsia" w:eastAsiaTheme="minorEastAsia"/>
          <w:color w:val="auto"/>
          <w:sz w:val="28"/>
          <w:szCs w:val="28"/>
          <w:highlight w:val="none"/>
        </w:rPr>
        <w:t>A</w:t>
      </w:r>
      <w:r>
        <w:rPr>
          <w:rFonts w:hint="eastAsia" w:cs="仿宋" w:asciiTheme="minorEastAsia" w:hAnsiTheme="minorEastAsia" w:eastAsiaTheme="minorEastAsia"/>
          <w:color w:val="auto"/>
          <w:sz w:val="28"/>
          <w:szCs w:val="28"/>
          <w:highlight w:val="none"/>
        </w:rPr>
        <w:t>）形式套用于首次报价中除暂列金额、专业暂估价以及包干费用以外的各项目单价，调整后的单价（</w:t>
      </w:r>
      <w:r>
        <w:rPr>
          <w:rFonts w:cs="仿宋" w:asciiTheme="minorEastAsia" w:hAnsiTheme="minorEastAsia" w:eastAsiaTheme="minorEastAsia"/>
          <w:color w:val="auto"/>
          <w:sz w:val="28"/>
          <w:szCs w:val="28"/>
          <w:highlight w:val="none"/>
        </w:rPr>
        <w:t>B</w:t>
      </w:r>
      <w:r>
        <w:rPr>
          <w:rFonts w:hint="eastAsia" w:cs="仿宋" w:asciiTheme="minorEastAsia" w:hAnsiTheme="minorEastAsia" w:eastAsiaTheme="minorEastAsia"/>
          <w:color w:val="auto"/>
          <w:sz w:val="28"/>
          <w:szCs w:val="28"/>
          <w:highlight w:val="none"/>
        </w:rPr>
        <w:t>）作为工程变更及竣工结算的依据。百分比（</w:t>
      </w:r>
      <w:r>
        <w:rPr>
          <w:rFonts w:cs="仿宋" w:asciiTheme="minorEastAsia" w:hAnsiTheme="minorEastAsia" w:eastAsiaTheme="minorEastAsia"/>
          <w:color w:val="auto"/>
          <w:sz w:val="28"/>
          <w:szCs w:val="28"/>
          <w:highlight w:val="none"/>
        </w:rPr>
        <w:t>A</w:t>
      </w:r>
      <w:r>
        <w:rPr>
          <w:rFonts w:hint="eastAsia" w:cs="仿宋" w:asciiTheme="minorEastAsia" w:hAnsiTheme="minorEastAsia" w:eastAsiaTheme="minorEastAsia"/>
          <w:color w:val="auto"/>
          <w:sz w:val="28"/>
          <w:szCs w:val="28"/>
          <w:highlight w:val="none"/>
        </w:rPr>
        <w:t>）计算如下（保留两位小数）：</w:t>
      </w:r>
    </w:p>
    <w:p>
      <w:pPr>
        <w:pStyle w:val="65"/>
        <w:numPr>
          <w:ilvl w:val="0"/>
          <w:numId w:val="0"/>
        </w:numPr>
        <w:tabs>
          <w:tab w:val="left" w:pos="1134"/>
        </w:tabs>
        <w:spacing w:line="360" w:lineRule="auto"/>
        <w:ind w:left="0" w:leftChars="0" w:firstLine="0" w:firstLineChars="0"/>
        <w:rPr>
          <w:rFonts w:hint="eastAsia" w:cs="仿宋" w:asciiTheme="minorEastAsia" w:hAnsiTheme="minorEastAsia" w:eastAsiaTheme="minorEastAsia"/>
          <w:color w:val="auto"/>
          <w:sz w:val="28"/>
          <w:szCs w:val="28"/>
          <w:highlight w:val="none"/>
          <w:lang w:eastAsia="zh-CN"/>
        </w:rPr>
      </w:pPr>
      <w:r>
        <w:rPr>
          <w:rFonts w:hint="eastAsia" w:cs="仿宋" w:asciiTheme="minorEastAsia" w:hAnsiTheme="minorEastAsia" w:eastAsiaTheme="minorEastAsia"/>
          <w:color w:val="auto"/>
          <w:position w:val="-10"/>
          <w:sz w:val="28"/>
          <w:szCs w:val="28"/>
          <w:highlight w:val="none"/>
          <w:lang w:eastAsia="zh-CN"/>
        </w:rPr>
        <w:object>
          <v:shape id="_x0000_i1025" o:spt="75" type="#_x0000_t75" style="height:17pt;width:72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p>
    <w:p>
      <w:pPr>
        <w:spacing w:line="240" w:lineRule="atLeast"/>
        <w:ind w:firstLine="546" w:firstLineChars="195"/>
        <w:rPr>
          <w:rFonts w:ascii="宋体" w:hAnsi="宋体"/>
          <w:bCs/>
          <w:color w:val="auto"/>
          <w:sz w:val="28"/>
          <w:szCs w:val="28"/>
          <w:highlight w:val="none"/>
        </w:rPr>
      </w:pPr>
      <w:bookmarkStart w:id="17" w:name="_Toc320698723"/>
      <w:r>
        <w:rPr>
          <w:rFonts w:hint="eastAsia" w:ascii="宋体" w:hAnsi="宋体"/>
          <w:bCs/>
          <w:color w:val="auto"/>
          <w:sz w:val="28"/>
          <w:szCs w:val="28"/>
          <w:highlight w:val="none"/>
        </w:rPr>
        <w:t xml:space="preserve">                （</w:t>
      </w:r>
      <w:r>
        <w:rPr>
          <w:rFonts w:hint="eastAsia" w:ascii="宋体" w:hAnsi="宋体" w:cs="Cambria Math"/>
          <w:bCs/>
          <w:color w:val="auto"/>
          <w:sz w:val="28"/>
          <w:szCs w:val="28"/>
          <w:highlight w:val="none"/>
        </w:rPr>
        <w:t>±</w:t>
      </w:r>
      <w:r>
        <w:rPr>
          <w:rFonts w:ascii="宋体" w:hAnsi="宋体"/>
          <w:bCs/>
          <w:color w:val="auto"/>
          <w:sz w:val="28"/>
          <w:szCs w:val="28"/>
          <w:highlight w:val="none"/>
        </w:rPr>
        <w:t>）</w:t>
      </w:r>
      <w:r>
        <w:rPr>
          <w:rFonts w:hint="eastAsia" w:ascii="宋体" w:hAnsi="宋体"/>
          <w:bCs/>
          <w:color w:val="auto"/>
          <w:sz w:val="28"/>
          <w:szCs w:val="28"/>
          <w:highlight w:val="none"/>
        </w:rPr>
        <w:t xml:space="preserve">调整金额                                                  </w:t>
      </w:r>
    </w:p>
    <w:p>
      <w:pPr>
        <w:spacing w:line="240" w:lineRule="atLeast"/>
        <w:rPr>
          <w:rFonts w:ascii="宋体" w:hAnsi="宋体"/>
          <w:bCs/>
          <w:color w:val="auto"/>
          <w:sz w:val="28"/>
          <w:szCs w:val="28"/>
          <w:highlight w:val="none"/>
        </w:rPr>
      </w:pPr>
      <w:r>
        <w:rPr>
          <w:rFonts w:hint="eastAsia" w:ascii="宋体" w:hAnsi="宋体"/>
          <w:bCs/>
          <w:color w:val="auto"/>
          <w:sz w:val="28"/>
          <w:szCs w:val="28"/>
          <w:highlight w:val="none"/>
        </w:rPr>
        <w:t>百分比（A</w:t>
      </w:r>
      <w:r>
        <w:rPr>
          <w:rFonts w:ascii="宋体" w:hAnsi="宋体"/>
          <w:bCs/>
          <w:color w:val="auto"/>
          <w:sz w:val="28"/>
          <w:szCs w:val="28"/>
          <w:highlight w:val="none"/>
        </w:rPr>
        <w:t>）</w:t>
      </w:r>
      <w:r>
        <w:rPr>
          <w:rFonts w:hint="eastAsia" w:ascii="宋体" w:hAnsi="宋体"/>
          <w:bCs/>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lang w:val="en-US" w:eastAsia="zh-CN"/>
        </w:rPr>
        <w:t xml:space="preserve">      </w:t>
      </w:r>
      <w:r>
        <w:rPr>
          <w:rFonts w:hint="eastAsia" w:ascii="宋体" w:hAnsi="宋体"/>
          <w:bCs/>
          <w:color w:val="auto"/>
          <w:sz w:val="28"/>
          <w:szCs w:val="28"/>
          <w:highlight w:val="none"/>
        </w:rPr>
        <w:t>×100%</w:t>
      </w:r>
    </w:p>
    <w:p>
      <w:pPr>
        <w:spacing w:line="360" w:lineRule="auto"/>
        <w:ind w:firstLine="990" w:firstLineChars="550"/>
        <w:rPr>
          <w:rFonts w:hint="eastAsia" w:ascii="宋体" w:hAnsi="宋体"/>
          <w:bCs/>
          <w:color w:val="auto"/>
          <w:sz w:val="21"/>
          <w:szCs w:val="21"/>
          <w:highlight w:val="none"/>
        </w:rPr>
      </w:pPr>
      <w:r>
        <w:rPr>
          <w:rFonts w:hint="eastAsia" w:ascii="宋体" w:hAnsi="宋体"/>
          <w:bCs/>
          <w:color w:val="auto"/>
          <w:sz w:val="18"/>
          <w:szCs w:val="18"/>
          <w:highlight w:val="none"/>
          <w:lang w:val="en-US" w:eastAsia="zh-CN"/>
        </w:rPr>
        <w:t xml:space="preserve">      </w:t>
      </w:r>
      <w:r>
        <w:rPr>
          <w:rFonts w:hint="eastAsia" w:ascii="宋体" w:hAnsi="宋体"/>
          <w:bCs/>
          <w:color w:val="auto"/>
          <w:sz w:val="21"/>
          <w:szCs w:val="21"/>
          <w:highlight w:val="none"/>
          <w:lang w:val="en-US" w:eastAsia="zh-CN"/>
        </w:rPr>
        <w:t xml:space="preserve">   </w:t>
      </w:r>
      <w:r>
        <w:rPr>
          <w:rFonts w:hint="eastAsia" w:ascii="宋体" w:hAnsi="宋体"/>
          <w:bCs/>
          <w:color w:val="auto"/>
          <w:sz w:val="21"/>
          <w:szCs w:val="21"/>
          <w:highlight w:val="none"/>
        </w:rPr>
        <w:t>修正后的首次报价-暂列金额-</w:t>
      </w:r>
      <w:r>
        <w:rPr>
          <w:rFonts w:ascii="宋体" w:hAnsi="宋体"/>
          <w:bCs/>
          <w:color w:val="auto"/>
          <w:sz w:val="21"/>
          <w:szCs w:val="21"/>
          <w:highlight w:val="none"/>
        </w:rPr>
        <w:t>专业工程</w:t>
      </w:r>
      <w:r>
        <w:rPr>
          <w:rFonts w:hint="eastAsia" w:ascii="宋体" w:hAnsi="宋体"/>
          <w:bCs/>
          <w:color w:val="auto"/>
          <w:sz w:val="21"/>
          <w:szCs w:val="21"/>
          <w:highlight w:val="none"/>
        </w:rPr>
        <w:t>暂估价-包干费用</w:t>
      </w:r>
    </w:p>
    <w:p>
      <w:pPr>
        <w:pStyle w:val="2"/>
        <w:rPr>
          <w:color w:val="auto"/>
          <w:highlight w:val="none"/>
        </w:rPr>
      </w:pPr>
    </w:p>
    <w:p>
      <w:pPr>
        <w:pStyle w:val="128"/>
        <w:tabs>
          <w:tab w:val="left" w:pos="1134"/>
        </w:tabs>
        <w:spacing w:line="360" w:lineRule="auto"/>
        <w:ind w:firstLine="0" w:firstLineChars="0"/>
        <w:rPr>
          <w:rFonts w:cs="仿宋" w:asciiTheme="minorEastAsia" w:hAnsiTheme="minorEastAsia" w:eastAsiaTheme="minorEastAsia"/>
          <w:color w:val="auto"/>
          <w:sz w:val="28"/>
          <w:szCs w:val="28"/>
          <w:highlight w:val="none"/>
        </w:rPr>
      </w:pP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调整</w:t>
      </w:r>
      <w:r>
        <w:rPr>
          <w:rFonts w:ascii="宋体" w:hAnsi="宋体"/>
          <w:bCs/>
          <w:color w:val="auto"/>
          <w:sz w:val="28"/>
          <w:szCs w:val="28"/>
          <w:highlight w:val="none"/>
        </w:rPr>
        <w:t>后的单价</w:t>
      </w:r>
      <w:r>
        <w:rPr>
          <w:rFonts w:hint="eastAsia" w:ascii="宋体" w:hAnsi="宋体"/>
          <w:bCs/>
          <w:color w:val="auto"/>
          <w:sz w:val="28"/>
          <w:szCs w:val="28"/>
          <w:highlight w:val="none"/>
        </w:rPr>
        <w:t>B</w:t>
      </w:r>
      <w:r>
        <w:rPr>
          <w:rFonts w:ascii="宋体" w:hAnsi="宋体"/>
          <w:bCs/>
          <w:color w:val="auto"/>
          <w:sz w:val="28"/>
          <w:szCs w:val="28"/>
          <w:highlight w:val="none"/>
        </w:rPr>
        <w:t xml:space="preserve"> =</w:t>
      </w:r>
      <w:r>
        <w:rPr>
          <w:rFonts w:hint="eastAsia" w:ascii="宋体" w:hAnsi="宋体"/>
          <w:bCs/>
          <w:color w:val="auto"/>
          <w:sz w:val="28"/>
          <w:szCs w:val="28"/>
          <w:highlight w:val="none"/>
        </w:rPr>
        <w:t>修正后的首次报价中</w:t>
      </w:r>
      <w:r>
        <w:rPr>
          <w:rFonts w:ascii="宋体" w:hAnsi="宋体"/>
          <w:bCs/>
          <w:color w:val="auto"/>
          <w:sz w:val="28"/>
          <w:szCs w:val="28"/>
          <w:highlight w:val="none"/>
        </w:rPr>
        <w:t>的单价</w:t>
      </w:r>
      <w:r>
        <w:rPr>
          <w:rFonts w:hint="eastAsia" w:ascii="宋体" w:hAnsi="宋体"/>
          <w:bCs/>
          <w:color w:val="auto"/>
          <w:sz w:val="28"/>
          <w:szCs w:val="28"/>
          <w:highlight w:val="none"/>
        </w:rPr>
        <w:t>×（</w:t>
      </w:r>
      <w:r>
        <w:rPr>
          <w:rFonts w:ascii="宋体" w:hAnsi="宋体"/>
          <w:bCs/>
          <w:color w:val="auto"/>
          <w:sz w:val="28"/>
          <w:szCs w:val="28"/>
          <w:highlight w:val="none"/>
        </w:rPr>
        <w:t>1 + A</w:t>
      </w:r>
      <w:r>
        <w:rPr>
          <w:rFonts w:hint="eastAsia" w:ascii="宋体" w:hAnsi="宋体"/>
          <w:bCs/>
          <w:color w:val="auto"/>
          <w:sz w:val="28"/>
          <w:szCs w:val="28"/>
          <w:highlight w:val="none"/>
        </w:rPr>
        <w:t>）</w:t>
      </w:r>
    </w:p>
    <w:p>
      <w:pPr>
        <w:pStyle w:val="128"/>
        <w:spacing w:line="360" w:lineRule="auto"/>
        <w:ind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本项目提供的工程量清单</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控制价</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用于供应商核算成本</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除标价外所有内容必须完全响应</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施工响应文件中可不提供清单计价表</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响应即可。</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若提供清单计价表，其中所有内容均不作为签订、履行合同依据；也不作为结算依据。结算按固定综合单价合同相关规定执行</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w:t>
      </w:r>
    </w:p>
    <w:p>
      <w:pPr>
        <w:pStyle w:val="6"/>
        <w:snapToGrid w:val="0"/>
        <w:spacing w:line="640" w:lineRule="exact"/>
        <w:rPr>
          <w:color w:val="auto"/>
          <w:highlight w:val="none"/>
        </w:rPr>
      </w:pPr>
      <w:r>
        <w:rPr>
          <w:rFonts w:hint="eastAsia"/>
          <w:color w:val="auto"/>
          <w:highlight w:val="none"/>
        </w:rPr>
        <w:t>联合体</w:t>
      </w:r>
      <w:bookmarkEnd w:id="17"/>
      <w:r>
        <w:rPr>
          <w:rFonts w:hint="eastAsia" w:ascii="仿宋" w:hAnsi="仿宋" w:eastAsia="仿宋"/>
          <w:color w:val="auto"/>
          <w:szCs w:val="21"/>
          <w:highlight w:val="none"/>
          <w:lang w:val="zh-CN"/>
        </w:rPr>
        <w:t>（实质性要求）</w:t>
      </w:r>
    </w:p>
    <w:p>
      <w:pPr>
        <w:widowControl w:val="0"/>
        <w:tabs>
          <w:tab w:val="left" w:pos="1200"/>
        </w:tabs>
        <w:snapToGrid w:val="0"/>
        <w:spacing w:line="640" w:lineRule="exact"/>
        <w:ind w:firstLine="565" w:firstLineChars="202"/>
        <w:jc w:val="both"/>
        <w:rPr>
          <w:rFonts w:ascii="宋体" w:hAnsi="宋体"/>
          <w:color w:val="auto"/>
          <w:sz w:val="28"/>
          <w:szCs w:val="28"/>
          <w:highlight w:val="none"/>
        </w:rPr>
      </w:pPr>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供应商以联合体的形式参加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pStyle w:val="6"/>
        <w:snapToGrid w:val="0"/>
        <w:spacing w:line="640" w:lineRule="exact"/>
        <w:ind w:left="0" w:firstLine="0"/>
        <w:rPr>
          <w:color w:val="auto"/>
          <w:highlight w:val="none"/>
        </w:rPr>
      </w:pPr>
      <w:bookmarkStart w:id="18" w:name="_Toc217446047"/>
      <w:r>
        <w:rPr>
          <w:rFonts w:hint="eastAsia"/>
          <w:color w:val="auto"/>
          <w:highlight w:val="none"/>
        </w:rPr>
        <w:t>知识产权</w:t>
      </w:r>
      <w:bookmarkEnd w:id="18"/>
      <w:r>
        <w:rPr>
          <w:rFonts w:hint="eastAsia" w:ascii="仿宋" w:hAnsi="仿宋" w:eastAsia="仿宋"/>
          <w:color w:val="auto"/>
          <w:szCs w:val="21"/>
          <w:highlight w:val="none"/>
          <w:lang w:val="zh-CN"/>
        </w:rPr>
        <w:t>（实质性要求）</w:t>
      </w:r>
    </w:p>
    <w:p>
      <w:pPr>
        <w:pStyle w:val="65"/>
        <w:spacing w:line="360" w:lineRule="auto"/>
        <w:ind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一、</w:t>
      </w:r>
      <w:r>
        <w:rPr>
          <w:rFonts w:hint="eastAsia" w:cs="仿宋" w:asciiTheme="minorEastAsia" w:hAnsiTheme="minorEastAsia" w:eastAsiaTheme="minorEastAsia"/>
          <w:color w:val="auto"/>
          <w:sz w:val="28"/>
          <w:szCs w:val="28"/>
          <w:highlight w:val="none"/>
          <w:lang w:eastAsia="zh-CN"/>
        </w:rPr>
        <w:t>供应商应</w:t>
      </w:r>
      <w:r>
        <w:rPr>
          <w:rFonts w:hint="eastAsia" w:cs="仿宋" w:asciiTheme="minorEastAsia" w:hAnsiTheme="minorEastAsia" w:eastAsiaTheme="minorEastAsia"/>
          <w:color w:val="auto"/>
          <w:sz w:val="28"/>
          <w:szCs w:val="28"/>
          <w:highlight w:val="none"/>
        </w:rPr>
        <w:t>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二、非</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文件特别规定，采购人享有本项目实施过程中产生的知识成果及知识产权。</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三、</w:t>
      </w:r>
      <w:r>
        <w:rPr>
          <w:rFonts w:hint="eastAsia" w:cs="仿宋" w:asciiTheme="minorEastAsia" w:hAnsiTheme="minorEastAsia" w:eastAsiaTheme="minorEastAsia"/>
          <w:color w:val="auto"/>
          <w:sz w:val="28"/>
          <w:szCs w:val="28"/>
          <w:highlight w:val="none"/>
          <w:lang w:eastAsia="zh-CN"/>
        </w:rPr>
        <w:t>供</w:t>
      </w:r>
      <w:r>
        <w:rPr>
          <w:rFonts w:hint="eastAsia" w:cs="仿宋" w:asciiTheme="minorEastAsia" w:hAnsiTheme="minorEastAsia" w:eastAsiaTheme="minorEastAsia"/>
          <w:color w:val="auto"/>
          <w:sz w:val="28"/>
          <w:szCs w:val="28"/>
          <w:highlight w:val="none"/>
        </w:rPr>
        <w:t>应商</w:t>
      </w:r>
      <w:r>
        <w:rPr>
          <w:rFonts w:hint="eastAsia" w:cs="仿宋" w:asciiTheme="minorEastAsia" w:hAnsiTheme="minorEastAsia" w:eastAsiaTheme="minorEastAsia"/>
          <w:color w:val="auto"/>
          <w:sz w:val="28"/>
          <w:szCs w:val="28"/>
          <w:highlight w:val="none"/>
          <w:lang w:eastAsia="zh-CN"/>
        </w:rPr>
        <w:t>如拟在</w:t>
      </w:r>
      <w:r>
        <w:rPr>
          <w:rFonts w:hint="eastAsia" w:cs="仿宋" w:asciiTheme="minorEastAsia" w:hAnsiTheme="minorEastAsia" w:eastAsiaTheme="minorEastAsia"/>
          <w:color w:val="auto"/>
          <w:sz w:val="28"/>
          <w:szCs w:val="28"/>
          <w:highlight w:val="none"/>
        </w:rPr>
        <w:t>采购项目实施过程中采用自有或者第三方知识成果的，</w:t>
      </w:r>
      <w:r>
        <w:rPr>
          <w:rFonts w:hint="eastAsia" w:cs="仿宋" w:asciiTheme="minorEastAsia" w:hAnsiTheme="minorEastAsia" w:eastAsiaTheme="minorEastAsia"/>
          <w:color w:val="auto"/>
          <w:sz w:val="28"/>
          <w:szCs w:val="28"/>
          <w:highlight w:val="none"/>
          <w:lang w:eastAsia="zh-CN"/>
        </w:rPr>
        <w:t>需在施工响应文件中声明，并提供相关知识产权证明文件。</w:t>
      </w:r>
      <w:r>
        <w:rPr>
          <w:rFonts w:hint="eastAsia" w:cs="仿宋" w:asciiTheme="minorEastAsia" w:hAnsiTheme="minorEastAsia" w:eastAsiaTheme="minorEastAsia"/>
          <w:color w:val="auto"/>
          <w:sz w:val="28"/>
          <w:szCs w:val="28"/>
          <w:highlight w:val="none"/>
        </w:rPr>
        <w:t>使用该知识成果后，供应商需提供开发接口和开发手册等技术资料，并承诺提供无限期支持，采购人享有使用权（含采购人委托第三方在该项目后续开发的使用权）。</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四、采用供应商所不拥有的知识产权，则在报价中必须包括合法获取使用该知识产权的相关费用。</w:t>
      </w:r>
    </w:p>
    <w:p>
      <w:pPr>
        <w:pStyle w:val="6"/>
        <w:snapToGrid w:val="0"/>
        <w:spacing w:line="640" w:lineRule="exact"/>
        <w:rPr>
          <w:color w:val="auto"/>
          <w:highlight w:val="none"/>
        </w:rPr>
      </w:pPr>
      <w:bookmarkStart w:id="19" w:name="_Toc320698724"/>
      <w:bookmarkStart w:id="20" w:name="_Toc320698725"/>
      <w:r>
        <w:rPr>
          <w:rFonts w:hint="eastAsia"/>
          <w:color w:val="auto"/>
          <w:highlight w:val="none"/>
        </w:rPr>
        <w:t>施工响应文件的组成</w:t>
      </w:r>
      <w:bookmarkEnd w:id="19"/>
      <w:r>
        <w:rPr>
          <w:rFonts w:hint="eastAsia" w:ascii="仿宋" w:hAnsi="仿宋" w:eastAsia="仿宋"/>
          <w:color w:val="auto"/>
          <w:szCs w:val="21"/>
          <w:highlight w:val="none"/>
          <w:lang w:val="zh-CN"/>
        </w:rPr>
        <w:t>（实质性要求）</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rPr>
        <w:t>供应商应按照竞争性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文件的规定和要求编制施工响应文件。供应商编</w:t>
      </w:r>
      <w:r>
        <w:rPr>
          <w:rFonts w:hint="eastAsia" w:ascii="宋体" w:hAnsi="宋体"/>
          <w:color w:val="auto"/>
          <w:sz w:val="28"/>
          <w:szCs w:val="28"/>
          <w:highlight w:val="none"/>
          <w:lang w:eastAsia="zh-CN"/>
        </w:rPr>
        <w:t>写的施工响应文件应包括下列部分：</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施工响应文件：用于供应商与磋商小组磋商；</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最后报价文件（最后报价格式由磋商小组提供）。</w:t>
      </w:r>
    </w:p>
    <w:p>
      <w:pPr>
        <w:pStyle w:val="6"/>
        <w:numPr>
          <w:ilvl w:val="3"/>
          <w:numId w:val="1"/>
        </w:numPr>
        <w:snapToGrid w:val="0"/>
        <w:spacing w:line="640" w:lineRule="exact"/>
        <w:rPr>
          <w:color w:val="auto"/>
          <w:highlight w:val="none"/>
        </w:rPr>
      </w:pPr>
      <w:bookmarkStart w:id="21" w:name="_Toc320698726"/>
      <w:r>
        <w:rPr>
          <w:rFonts w:hint="eastAsia"/>
          <w:color w:val="auto"/>
          <w:highlight w:val="none"/>
        </w:rPr>
        <w:t>施工响应文件</w:t>
      </w:r>
      <w:bookmarkEnd w:id="21"/>
    </w:p>
    <w:p>
      <w:pPr>
        <w:pStyle w:val="6"/>
        <w:numPr>
          <w:ilvl w:val="4"/>
          <w:numId w:val="1"/>
        </w:numPr>
        <w:spacing w:line="600" w:lineRule="exact"/>
        <w:ind w:left="993" w:hanging="993"/>
        <w:rPr>
          <w:color w:val="auto"/>
          <w:highlight w:val="none"/>
        </w:rPr>
      </w:pPr>
      <w:r>
        <w:rPr>
          <w:rFonts w:hint="eastAsia"/>
          <w:color w:val="auto"/>
          <w:highlight w:val="none"/>
        </w:rPr>
        <w:t>商务技术响应文件</w:t>
      </w:r>
    </w:p>
    <w:p>
      <w:pPr>
        <w:rPr>
          <w:rFonts w:hint="eastAsia"/>
          <w:color w:val="auto"/>
          <w:highlight w:val="none"/>
        </w:rPr>
      </w:pPr>
    </w:p>
    <w:p>
      <w:pPr>
        <w:pStyle w:val="65"/>
        <w:numPr>
          <w:ilvl w:val="0"/>
          <w:numId w:val="14"/>
        </w:numPr>
        <w:tabs>
          <w:tab w:val="left" w:pos="1134"/>
        </w:tabs>
        <w:spacing w:line="360" w:lineRule="auto"/>
        <w:ind w:firstLineChars="0"/>
        <w:rPr>
          <w:rFonts w:ascii="宋体" w:hAnsi="宋体"/>
          <w:color w:val="auto"/>
          <w:sz w:val="28"/>
          <w:szCs w:val="28"/>
          <w:highlight w:val="none"/>
        </w:rPr>
      </w:pPr>
      <w:r>
        <w:rPr>
          <w:rFonts w:hint="eastAsia" w:ascii="宋体" w:hAnsi="宋体"/>
          <w:color w:val="auto"/>
          <w:sz w:val="28"/>
          <w:szCs w:val="28"/>
          <w:highlight w:val="none"/>
          <w:lang w:eastAsia="zh-CN"/>
        </w:rPr>
        <w:t>报价</w:t>
      </w:r>
      <w:r>
        <w:rPr>
          <w:rFonts w:hint="eastAsia" w:ascii="宋体" w:hAnsi="宋体"/>
          <w:color w:val="auto"/>
          <w:sz w:val="28"/>
          <w:szCs w:val="28"/>
          <w:highlight w:val="none"/>
        </w:rPr>
        <w:t>函；</w:t>
      </w:r>
    </w:p>
    <w:p>
      <w:pPr>
        <w:pStyle w:val="65"/>
        <w:numPr>
          <w:ilvl w:val="0"/>
          <w:numId w:val="14"/>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法定代表人身份证明书以及法定代表人身份证复印件（身份证两面均应复印）或护照复印件（说明：供应商的法定代表人为外籍人士的，则提供护照复印件）；</w:t>
      </w:r>
    </w:p>
    <w:p>
      <w:pPr>
        <w:pStyle w:val="65"/>
        <w:numPr>
          <w:ilvl w:val="0"/>
          <w:numId w:val="14"/>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 xml:space="preserve">法定代表人授权委托书以及代理人身份证复印件（身份证两面均应复印）（说明：施工响应文件均由供应商法定代表人签字的可不提供）； </w:t>
      </w:r>
    </w:p>
    <w:p>
      <w:pPr>
        <w:pStyle w:val="65"/>
        <w:numPr>
          <w:ilvl w:val="0"/>
          <w:numId w:val="14"/>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承诺函（说明：供应商应按承诺函格式中要求的承诺内容进行承诺）；</w:t>
      </w:r>
    </w:p>
    <w:p>
      <w:pPr>
        <w:pStyle w:val="65"/>
        <w:numPr>
          <w:ilvl w:val="0"/>
          <w:numId w:val="14"/>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技术、服务、合同条款要求应答表（说明：</w:t>
      </w:r>
      <w:r>
        <w:rPr>
          <w:rFonts w:hint="eastAsia" w:ascii="宋体" w:hAnsi="宋体"/>
          <w:color w:val="auto"/>
          <w:spacing w:val="6"/>
          <w:sz w:val="28"/>
          <w:szCs w:val="28"/>
          <w:highlight w:val="none"/>
        </w:rPr>
        <w:t>供应商必须根据</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文件要求据实逐条填写，不得虚假陈述，否则，其施工响应文件无效并按规定追究其相关责任</w:t>
      </w:r>
      <w:r>
        <w:rPr>
          <w:rFonts w:hint="eastAsia" w:ascii="宋体" w:hAnsi="宋体"/>
          <w:color w:val="auto"/>
          <w:sz w:val="28"/>
          <w:szCs w:val="28"/>
          <w:highlight w:val="none"/>
        </w:rPr>
        <w:t>）</w:t>
      </w:r>
    </w:p>
    <w:p>
      <w:pPr>
        <w:pStyle w:val="65"/>
        <w:numPr>
          <w:ilvl w:val="0"/>
          <w:numId w:val="14"/>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项目管理机构组成表（说明：供应商未提供项目管理机构组成表的，不影响供应商施工响应文件的有效性）；</w:t>
      </w:r>
    </w:p>
    <w:p>
      <w:pPr>
        <w:pStyle w:val="65"/>
        <w:numPr>
          <w:ilvl w:val="0"/>
          <w:numId w:val="14"/>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相关管理机构主要人员简历表（说明：供应商未提供相关机构主要人员简历表的，不影响供应商施工响应文件的有效性）。</w:t>
      </w:r>
    </w:p>
    <w:p>
      <w:pPr>
        <w:pStyle w:val="65"/>
        <w:numPr>
          <w:ilvl w:val="0"/>
          <w:numId w:val="14"/>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中小企业声明函（如未提供中小企业声明函或声明函签字盖章等不符合招标文件要求的，则其投标产品中的小型、微型企业生产的产品不能享受招标文件规定的价格扣除，但不影响投标人投标文件的有效性）；</w:t>
      </w:r>
    </w:p>
    <w:p>
      <w:pPr>
        <w:pStyle w:val="65"/>
        <w:numPr>
          <w:ilvl w:val="0"/>
          <w:numId w:val="14"/>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残疾人福利性单位声明函（说明：如未提供残疾人福利性单位声明函或签字盖章不符合</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 xml:space="preserve">文件要求的，则不享受价格扣除，且不影响供应商施工响应文件的有效性）； </w:t>
      </w:r>
    </w:p>
    <w:p>
      <w:pPr>
        <w:pStyle w:val="65"/>
        <w:numPr>
          <w:ilvl w:val="0"/>
          <w:numId w:val="14"/>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lang w:val="zh-CN"/>
        </w:rPr>
        <w:t>供应商为监狱企业的,应提供由省级以上监狱管理局、戒毒管理局（含新疆生产建设兵团）出具的供应商属于监狱企业的证明文件复印件</w:t>
      </w:r>
      <w:r>
        <w:rPr>
          <w:rFonts w:hint="eastAsia" w:ascii="宋体" w:hAnsi="宋体"/>
          <w:color w:val="auto"/>
          <w:sz w:val="28"/>
          <w:szCs w:val="28"/>
          <w:highlight w:val="none"/>
        </w:rPr>
        <w:t>（说明：如未提供</w:t>
      </w:r>
      <w:r>
        <w:rPr>
          <w:rFonts w:hint="eastAsia" w:ascii="宋体" w:hAnsi="宋体"/>
          <w:color w:val="auto"/>
          <w:sz w:val="28"/>
          <w:szCs w:val="28"/>
          <w:highlight w:val="none"/>
          <w:lang w:val="zh-CN"/>
        </w:rPr>
        <w:t>监狱企业的证明文件复印件</w:t>
      </w:r>
      <w:r>
        <w:rPr>
          <w:rFonts w:hint="eastAsia" w:ascii="宋体" w:hAnsi="宋体"/>
          <w:color w:val="auto"/>
          <w:sz w:val="28"/>
          <w:szCs w:val="28"/>
          <w:highlight w:val="none"/>
        </w:rPr>
        <w:t>的，则不享受价格扣除，且不影响供应商施工响应文件的有效性）</w:t>
      </w:r>
      <w:r>
        <w:rPr>
          <w:rFonts w:hint="eastAsia" w:ascii="宋体" w:hAnsi="宋体"/>
          <w:color w:val="auto"/>
          <w:sz w:val="28"/>
          <w:szCs w:val="28"/>
          <w:highlight w:val="none"/>
          <w:lang w:eastAsia="zh-CN"/>
        </w:rPr>
        <w:t>；</w:t>
      </w:r>
    </w:p>
    <w:p>
      <w:pPr>
        <w:pStyle w:val="65"/>
        <w:numPr>
          <w:ilvl w:val="0"/>
          <w:numId w:val="14"/>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已标价工程量清单、施工组织设计（实施方案）</w:t>
      </w:r>
    </w:p>
    <w:p>
      <w:pPr>
        <w:pStyle w:val="6"/>
        <w:numPr>
          <w:ilvl w:val="4"/>
          <w:numId w:val="1"/>
        </w:numPr>
        <w:spacing w:line="600" w:lineRule="exact"/>
        <w:ind w:left="993" w:hanging="993"/>
        <w:rPr>
          <w:color w:val="auto"/>
          <w:highlight w:val="none"/>
        </w:rPr>
      </w:pPr>
      <w:r>
        <w:rPr>
          <w:rFonts w:hint="eastAsia"/>
          <w:color w:val="auto"/>
          <w:highlight w:val="none"/>
        </w:rPr>
        <w:t>报价要求响应文件</w:t>
      </w:r>
    </w:p>
    <w:p>
      <w:pPr>
        <w:pStyle w:val="65"/>
        <w:numPr>
          <w:ilvl w:val="0"/>
          <w:numId w:val="0"/>
        </w:numPr>
        <w:tabs>
          <w:tab w:val="left" w:pos="1134"/>
        </w:tabs>
        <w:spacing w:line="360" w:lineRule="auto"/>
        <w:ind w:left="0" w:leftChars="0" w:hanging="5" w:firstLineChars="0"/>
        <w:rPr>
          <w:rFonts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一、</w:t>
      </w:r>
      <w:r>
        <w:rPr>
          <w:rFonts w:hint="eastAsia" w:ascii="宋体" w:hAnsi="宋体"/>
          <w:color w:val="auto"/>
          <w:sz w:val="28"/>
          <w:szCs w:val="28"/>
          <w:highlight w:val="none"/>
        </w:rPr>
        <w:t>已标价工程量清单（说明：</w:t>
      </w:r>
      <w:r>
        <w:rPr>
          <w:rFonts w:hint="eastAsia" w:ascii="宋体" w:hAnsi="宋体"/>
          <w:color w:val="auto"/>
          <w:spacing w:val="6"/>
          <w:sz w:val="28"/>
          <w:szCs w:val="28"/>
          <w:highlight w:val="none"/>
        </w:rPr>
        <w:t>已标价工程量清单应符合</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文件“第二章</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须知”第2.4.3条关于报价货币及报价要求的相关要求以及工程量清单总说明的相关要求</w:t>
      </w:r>
      <w:r>
        <w:rPr>
          <w:rFonts w:hint="eastAsia" w:ascii="宋体" w:hAnsi="宋体"/>
          <w:color w:val="auto"/>
          <w:sz w:val="28"/>
          <w:szCs w:val="28"/>
          <w:highlight w:val="none"/>
        </w:rPr>
        <w:t>）；</w:t>
      </w:r>
    </w:p>
    <w:p>
      <w:pPr>
        <w:pStyle w:val="6"/>
        <w:numPr>
          <w:ilvl w:val="3"/>
          <w:numId w:val="1"/>
        </w:numPr>
        <w:snapToGrid w:val="0"/>
        <w:spacing w:line="640" w:lineRule="exact"/>
        <w:rPr>
          <w:color w:val="auto"/>
          <w:highlight w:val="none"/>
        </w:rPr>
      </w:pPr>
      <w:r>
        <w:rPr>
          <w:rFonts w:hint="eastAsia"/>
          <w:color w:val="auto"/>
          <w:highlight w:val="none"/>
        </w:rPr>
        <w:t>最后报价</w:t>
      </w:r>
      <w:r>
        <w:rPr>
          <w:rFonts w:hint="eastAsia"/>
          <w:color w:val="auto"/>
          <w:highlight w:val="none"/>
          <w:lang w:eastAsia="zh-CN"/>
        </w:rPr>
        <w:t>表</w:t>
      </w:r>
    </w:p>
    <w:p>
      <w:pPr>
        <w:ind w:firstLine="565" w:firstLineChars="202"/>
        <w:rPr>
          <w:rFonts w:hint="eastAsia" w:eastAsia="宋体"/>
          <w:color w:val="auto"/>
          <w:highlight w:val="none"/>
          <w:lang w:eastAsia="zh-CN"/>
        </w:rPr>
      </w:pPr>
      <w:r>
        <w:rPr>
          <w:rFonts w:hint="eastAsia" w:ascii="宋体" w:hAnsi="宋体"/>
          <w:color w:val="auto"/>
          <w:sz w:val="28"/>
          <w:highlight w:val="none"/>
          <w:lang w:val="en-US" w:eastAsia="zh-CN"/>
        </w:rPr>
        <w:t xml:space="preserve">    </w:t>
      </w:r>
      <w:r>
        <w:rPr>
          <w:rFonts w:hint="eastAsia" w:ascii="宋体" w:hAnsi="宋体"/>
          <w:color w:val="auto"/>
          <w:sz w:val="28"/>
          <w:szCs w:val="28"/>
          <w:highlight w:val="none"/>
        </w:rPr>
        <w:t>参加最后报价的供应商按竞争性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小组提供的《最后报价表》提供最后报价</w:t>
      </w:r>
      <w:r>
        <w:rPr>
          <w:rFonts w:hint="eastAsia" w:ascii="宋体" w:hAnsi="宋体"/>
          <w:color w:val="auto"/>
          <w:sz w:val="28"/>
          <w:highlight w:val="none"/>
          <w:lang w:eastAsia="zh-CN"/>
        </w:rPr>
        <w:t>。</w:t>
      </w:r>
    </w:p>
    <w:bookmarkEnd w:id="20"/>
    <w:p>
      <w:pPr>
        <w:pStyle w:val="6"/>
        <w:snapToGrid w:val="0"/>
        <w:spacing w:line="640" w:lineRule="exact"/>
        <w:rPr>
          <w:color w:val="auto"/>
          <w:highlight w:val="none"/>
        </w:rPr>
      </w:pPr>
      <w:bookmarkStart w:id="22" w:name="_Toc320698727"/>
      <w:r>
        <w:rPr>
          <w:rFonts w:hint="eastAsia"/>
          <w:color w:val="auto"/>
          <w:highlight w:val="none"/>
        </w:rPr>
        <w:t>施工响应文件格式</w:t>
      </w:r>
    </w:p>
    <w:p>
      <w:pPr>
        <w:pStyle w:val="2"/>
        <w:tabs>
          <w:tab w:val="left" w:pos="1134"/>
        </w:tabs>
        <w:snapToGrid w:val="0"/>
        <w:spacing w:after="0" w:line="64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一、供应商应按照</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文件第</w:t>
      </w:r>
      <w:r>
        <w:rPr>
          <w:rFonts w:ascii="宋体" w:hAnsi="宋体"/>
          <w:bCs/>
          <w:color w:val="auto"/>
          <w:sz w:val="28"/>
          <w:szCs w:val="28"/>
          <w:highlight w:val="none"/>
        </w:rPr>
        <w:t>3章中提供的“施工响应文件格式”填写相关内容。</w:t>
      </w:r>
    </w:p>
    <w:p>
      <w:pPr>
        <w:pStyle w:val="2"/>
        <w:tabs>
          <w:tab w:val="left" w:pos="1134"/>
        </w:tabs>
        <w:snapToGrid w:val="0"/>
        <w:spacing w:after="0" w:line="64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二、对于没有格式要求的施工响应文件由供应商自行编写。</w:t>
      </w:r>
    </w:p>
    <w:p>
      <w:pPr>
        <w:pStyle w:val="6"/>
        <w:spacing w:line="600" w:lineRule="exact"/>
        <w:rPr>
          <w:color w:val="auto"/>
          <w:highlight w:val="none"/>
        </w:rPr>
      </w:pPr>
      <w:r>
        <w:rPr>
          <w:rFonts w:hint="eastAsia"/>
          <w:color w:val="auto"/>
          <w:highlight w:val="none"/>
        </w:rPr>
        <w:t>最后报价</w:t>
      </w:r>
      <w:r>
        <w:rPr>
          <w:rFonts w:hint="eastAsia"/>
          <w:color w:val="auto"/>
          <w:highlight w:val="none"/>
          <w:lang w:eastAsia="zh-CN"/>
        </w:rPr>
        <w:t>要求</w:t>
      </w:r>
    </w:p>
    <w:p>
      <w:pPr>
        <w:widowControl w:val="0"/>
        <w:numPr>
          <w:ilvl w:val="0"/>
          <w:numId w:val="15"/>
        </w:numPr>
        <w:tabs>
          <w:tab w:val="left" w:pos="1134"/>
        </w:tabs>
        <w:spacing w:line="600" w:lineRule="exact"/>
        <w:ind w:left="0" w:leftChars="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供应商的最后报价是供应商响应采购项目要求的价格体现，包括供应商完成本项目所需的一切费用。</w:t>
      </w:r>
    </w:p>
    <w:p>
      <w:pPr>
        <w:widowControl w:val="0"/>
        <w:numPr>
          <w:ilvl w:val="0"/>
          <w:numId w:val="15"/>
        </w:numPr>
        <w:tabs>
          <w:tab w:val="left" w:pos="1134"/>
        </w:tabs>
        <w:spacing w:line="600" w:lineRule="exact"/>
        <w:ind w:left="0" w:leftChars="0"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供应商的最后报价只允许有一个报价，任何有选择或可调整的报价将不予接受，并按无效响应处理。</w:t>
      </w:r>
    </w:p>
    <w:p>
      <w:pPr>
        <w:widowControl w:val="0"/>
        <w:numPr>
          <w:ilvl w:val="0"/>
          <w:numId w:val="15"/>
        </w:numPr>
        <w:tabs>
          <w:tab w:val="left" w:pos="1134"/>
        </w:tabs>
        <w:snapToGrid w:val="0"/>
        <w:spacing w:line="640" w:lineRule="exact"/>
        <w:ind w:left="0" w:leftChars="0"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参加最后报价的供应商按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小组提供的《最后报价表》提供最后报价。</w:t>
      </w:r>
    </w:p>
    <w:bookmarkEnd w:id="22"/>
    <w:p>
      <w:pPr>
        <w:pStyle w:val="6"/>
        <w:snapToGrid w:val="0"/>
        <w:spacing w:line="640" w:lineRule="exact"/>
        <w:rPr>
          <w:color w:val="auto"/>
          <w:highlight w:val="none"/>
        </w:rPr>
      </w:pPr>
      <w:bookmarkStart w:id="23" w:name="_Toc320698728"/>
      <w:r>
        <w:rPr>
          <w:rFonts w:hint="eastAsia"/>
          <w:color w:val="auto"/>
          <w:highlight w:val="none"/>
          <w:lang w:eastAsia="zh-CN"/>
        </w:rPr>
        <w:t>磋商</w:t>
      </w:r>
      <w:r>
        <w:rPr>
          <w:rFonts w:hint="eastAsia"/>
          <w:color w:val="auto"/>
          <w:highlight w:val="none"/>
        </w:rPr>
        <w:t>保证金</w:t>
      </w:r>
    </w:p>
    <w:p>
      <w:pPr>
        <w:snapToGrid w:val="0"/>
        <w:spacing w:line="640" w:lineRule="exact"/>
        <w:ind w:left="567"/>
        <w:rPr>
          <w:rFonts w:ascii="宋体" w:hAnsi="宋体" w:cs="宋体"/>
          <w:color w:val="auto"/>
          <w:sz w:val="28"/>
          <w:szCs w:val="28"/>
          <w:highlight w:val="none"/>
        </w:rPr>
      </w:pPr>
      <w:r>
        <w:rPr>
          <w:rFonts w:hint="eastAsia" w:ascii="宋体" w:hAnsi="宋体" w:cs="宋体"/>
          <w:color w:val="auto"/>
          <w:sz w:val="28"/>
          <w:szCs w:val="28"/>
          <w:highlight w:val="none"/>
        </w:rPr>
        <w:t>本项目不收取</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保证金。</w:t>
      </w:r>
    </w:p>
    <w:p>
      <w:pPr>
        <w:pStyle w:val="6"/>
        <w:snapToGrid w:val="0"/>
        <w:spacing w:line="640" w:lineRule="exact"/>
        <w:rPr>
          <w:color w:val="auto"/>
          <w:highlight w:val="none"/>
        </w:rPr>
      </w:pPr>
      <w:r>
        <w:rPr>
          <w:rFonts w:hint="eastAsia"/>
          <w:color w:val="auto"/>
          <w:highlight w:val="none"/>
        </w:rPr>
        <w:t>施工响应文件有效期</w:t>
      </w:r>
      <w:bookmarkEnd w:id="23"/>
    </w:p>
    <w:p>
      <w:pPr>
        <w:snapToGrid w:val="0"/>
        <w:spacing w:line="64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一、</w:t>
      </w:r>
      <w:r>
        <w:rPr>
          <w:rFonts w:hint="eastAsia" w:ascii="仿宋" w:hAnsi="仿宋" w:eastAsia="仿宋"/>
          <w:color w:val="auto"/>
          <w:szCs w:val="21"/>
          <w:highlight w:val="none"/>
          <w:lang w:val="zh-CN"/>
        </w:rPr>
        <w:t>（实质性要求）</w:t>
      </w:r>
      <w:r>
        <w:rPr>
          <w:rFonts w:hint="eastAsia" w:ascii="宋体" w:hAnsi="宋体"/>
          <w:color w:val="auto"/>
          <w:sz w:val="28"/>
          <w:szCs w:val="28"/>
          <w:highlight w:val="none"/>
        </w:rPr>
        <w:t>施工响应文件有效期为递交施工响应文件截止之日起</w:t>
      </w:r>
      <w:r>
        <w:rPr>
          <w:rFonts w:ascii="宋体" w:hAnsi="宋体"/>
          <w:color w:val="auto"/>
          <w:sz w:val="28"/>
          <w:szCs w:val="28"/>
          <w:highlight w:val="none"/>
          <w:u w:val="single"/>
        </w:rPr>
        <w:t>120</w:t>
      </w:r>
      <w:r>
        <w:rPr>
          <w:rFonts w:hint="eastAsia" w:ascii="宋体" w:hAnsi="宋体"/>
          <w:color w:val="auto"/>
          <w:sz w:val="28"/>
          <w:szCs w:val="28"/>
          <w:highlight w:val="none"/>
        </w:rPr>
        <w:t>天。施工响应文件有效期短于此规定期限的或不作响应的，其施工响应文件将按无效施工响应文件处理。</w:t>
      </w:r>
    </w:p>
    <w:p>
      <w:pPr>
        <w:pStyle w:val="65"/>
        <w:widowControl w:val="0"/>
        <w:numPr>
          <w:ilvl w:val="0"/>
          <w:numId w:val="16"/>
        </w:numPr>
        <w:tabs>
          <w:tab w:val="left" w:pos="1134"/>
        </w:tabs>
        <w:snapToGrid w:val="0"/>
        <w:spacing w:line="640" w:lineRule="exact"/>
        <w:ind w:left="0" w:leftChars="0" w:firstLine="560" w:firstLineChars="0"/>
        <w:jc w:val="both"/>
        <w:rPr>
          <w:rFonts w:ascii="宋体" w:hAnsi="宋体"/>
          <w:color w:val="auto"/>
          <w:sz w:val="28"/>
          <w:szCs w:val="28"/>
          <w:highlight w:val="none"/>
        </w:rPr>
      </w:pPr>
      <w:r>
        <w:rPr>
          <w:rFonts w:hint="eastAsia" w:ascii="宋体" w:hAnsi="宋体"/>
          <w:color w:val="auto"/>
          <w:sz w:val="28"/>
          <w:szCs w:val="28"/>
          <w:highlight w:val="none"/>
        </w:rPr>
        <w:t>特殊情况下，采购人可于施工响应文件有效期满之前要求供应商同意延长有效期，要求与答复均应为书面形式。供应商可以拒绝上述要求，其</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保证金不被没收。同意延长施工响应文件有效期的供应商不能修改其施工响应文件，关于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保证金的有关规定在延长的施工响应文件有效期内继续有效。</w:t>
      </w:r>
    </w:p>
    <w:p>
      <w:pPr>
        <w:pStyle w:val="6"/>
        <w:snapToGrid w:val="0"/>
        <w:spacing w:line="640" w:lineRule="exact"/>
        <w:rPr>
          <w:rFonts w:hint="eastAsia" w:eastAsia="宋体"/>
          <w:color w:val="auto"/>
          <w:highlight w:val="none"/>
          <w:lang w:val="en-US" w:eastAsia="zh-CN"/>
        </w:rPr>
      </w:pPr>
      <w:bookmarkStart w:id="24" w:name="_Toc320698729"/>
      <w:r>
        <w:rPr>
          <w:rFonts w:hint="eastAsia"/>
          <w:color w:val="auto"/>
          <w:highlight w:val="none"/>
        </w:rPr>
        <w:t>施工响应文件的印制和签署和装订</w:t>
      </w:r>
    </w:p>
    <w:p>
      <w:pPr>
        <w:pStyle w:val="6"/>
        <w:numPr>
          <w:ilvl w:val="3"/>
          <w:numId w:val="1"/>
        </w:numPr>
        <w:snapToGrid w:val="0"/>
        <w:spacing w:line="640" w:lineRule="exact"/>
        <w:rPr>
          <w:color w:val="auto"/>
          <w:highlight w:val="none"/>
        </w:rPr>
      </w:pPr>
      <w:r>
        <w:rPr>
          <w:rFonts w:hint="eastAsia"/>
          <w:color w:val="auto"/>
          <w:highlight w:val="none"/>
        </w:rPr>
        <w:t>施工响应文件的印制和签署</w:t>
      </w:r>
      <w:r>
        <w:rPr>
          <w:rFonts w:hint="eastAsia" w:ascii="仿宋" w:hAnsi="仿宋" w:eastAsia="仿宋"/>
          <w:color w:val="auto"/>
          <w:szCs w:val="21"/>
          <w:highlight w:val="none"/>
          <w:lang w:val="zh-CN"/>
        </w:rPr>
        <w:t>（实质性要求）</w:t>
      </w:r>
    </w:p>
    <w:bookmarkEnd w:id="24"/>
    <w:p>
      <w:pPr>
        <w:widowControl w:val="0"/>
        <w:numPr>
          <w:ilvl w:val="0"/>
          <w:numId w:val="17"/>
        </w:numPr>
        <w:tabs>
          <w:tab w:val="left" w:pos="1134"/>
        </w:tabs>
        <w:snapToGrid w:val="0"/>
        <w:spacing w:line="640" w:lineRule="exact"/>
        <w:ind w:left="0" w:firstLine="562" w:firstLineChars="200"/>
        <w:jc w:val="both"/>
        <w:rPr>
          <w:rFonts w:ascii="宋体" w:hAnsi="宋体"/>
          <w:color w:val="auto"/>
          <w:sz w:val="28"/>
          <w:szCs w:val="28"/>
          <w:highlight w:val="none"/>
        </w:rPr>
      </w:pPr>
      <w:r>
        <w:rPr>
          <w:rFonts w:hint="eastAsia" w:ascii="宋体" w:hAnsi="宋体"/>
          <w:b/>
          <w:color w:val="auto"/>
          <w:sz w:val="28"/>
          <w:szCs w:val="28"/>
          <w:highlight w:val="none"/>
        </w:rPr>
        <w:t>施工响应文件正本一份副本</w:t>
      </w:r>
      <w:r>
        <w:rPr>
          <w:rFonts w:hint="eastAsia" w:ascii="宋体" w:hAnsi="宋体"/>
          <w:b/>
          <w:color w:val="auto"/>
          <w:sz w:val="28"/>
          <w:szCs w:val="28"/>
          <w:highlight w:val="none"/>
          <w:lang w:val="en-US" w:eastAsia="zh-CN"/>
        </w:rPr>
        <w:t>一</w:t>
      </w:r>
      <w:r>
        <w:rPr>
          <w:rFonts w:hint="eastAsia" w:ascii="宋体" w:hAnsi="宋体"/>
          <w:b/>
          <w:color w:val="auto"/>
          <w:sz w:val="28"/>
          <w:szCs w:val="28"/>
          <w:highlight w:val="none"/>
        </w:rPr>
        <w:t>份，</w:t>
      </w:r>
      <w:r>
        <w:rPr>
          <w:rFonts w:hint="eastAsia" w:ascii="宋体" w:hAnsi="宋体"/>
          <w:color w:val="auto"/>
          <w:sz w:val="28"/>
          <w:szCs w:val="28"/>
          <w:highlight w:val="none"/>
        </w:rPr>
        <w:t>并在其封面上清楚地标明</w:t>
      </w:r>
      <w:r>
        <w:rPr>
          <w:rFonts w:hint="eastAsia" w:ascii="宋体" w:hAnsi="宋体"/>
          <w:b/>
          <w:color w:val="auto"/>
          <w:sz w:val="28"/>
          <w:szCs w:val="28"/>
          <w:highlight w:val="none"/>
        </w:rPr>
        <w:t>施工响应文件、项目名称、项目编号、供应商名称以及“正本”或“副本”字样</w:t>
      </w:r>
      <w:r>
        <w:rPr>
          <w:rFonts w:hint="eastAsia" w:ascii="宋体" w:hAnsi="宋体"/>
          <w:color w:val="auto"/>
          <w:sz w:val="28"/>
          <w:szCs w:val="28"/>
          <w:highlight w:val="none"/>
        </w:rPr>
        <w:t>。若正本和副本有不一致的内容，以正本书面施工响应文件为准。</w:t>
      </w:r>
    </w:p>
    <w:p>
      <w:pPr>
        <w:widowControl w:val="0"/>
        <w:numPr>
          <w:ilvl w:val="0"/>
          <w:numId w:val="1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施工响应文件的正本和副本均需打印或用不褪色的墨水书写。施工响应文件应由供应商法定代表人或经法定代表人正式授权的代理人在</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文件要求的地方签字或加盖公章。</w:t>
      </w:r>
      <w:r>
        <w:rPr>
          <w:rFonts w:ascii="宋体" w:hAnsi="宋体"/>
          <w:b/>
          <w:color w:val="auto"/>
          <w:sz w:val="28"/>
          <w:szCs w:val="28"/>
          <w:highlight w:val="none"/>
        </w:rPr>
        <w:t>[</w:t>
      </w:r>
      <w:r>
        <w:rPr>
          <w:rFonts w:hint="eastAsia" w:ascii="宋体" w:hAnsi="宋体"/>
          <w:b/>
          <w:color w:val="auto"/>
          <w:sz w:val="28"/>
          <w:szCs w:val="28"/>
          <w:highlight w:val="none"/>
        </w:rPr>
        <w:t>注：所有要求盖公章的地方都应加盖供应商（法定名称）</w:t>
      </w:r>
      <w:r>
        <w:rPr>
          <w:rFonts w:hint="eastAsia" w:ascii="宋体" w:hAnsi="宋体"/>
          <w:b/>
          <w:color w:val="auto"/>
          <w:sz w:val="28"/>
          <w:szCs w:val="28"/>
          <w:highlight w:val="none"/>
          <w:lang w:val="en-US" w:eastAsia="zh-CN"/>
        </w:rPr>
        <w:t>公</w:t>
      </w:r>
      <w:r>
        <w:rPr>
          <w:rFonts w:hint="eastAsia" w:ascii="宋体" w:hAnsi="宋体"/>
          <w:b/>
          <w:color w:val="auto"/>
          <w:sz w:val="28"/>
          <w:szCs w:val="28"/>
          <w:highlight w:val="none"/>
        </w:rPr>
        <w:t>章（鲜章），不得使用专用章（如经济合同章、投标专用章等）或下属单位印章代替。</w:t>
      </w:r>
      <w:r>
        <w:rPr>
          <w:rFonts w:ascii="宋体" w:hAnsi="宋体"/>
          <w:b/>
          <w:color w:val="auto"/>
          <w:sz w:val="28"/>
          <w:szCs w:val="28"/>
          <w:highlight w:val="none"/>
        </w:rPr>
        <w:t>]</w:t>
      </w:r>
    </w:p>
    <w:p>
      <w:pPr>
        <w:widowControl w:val="0"/>
        <w:numPr>
          <w:ilvl w:val="0"/>
          <w:numId w:val="1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施工响应文件副本可采用正本的复印件。</w:t>
      </w:r>
    </w:p>
    <w:p>
      <w:pPr>
        <w:widowControl w:val="0"/>
        <w:numPr>
          <w:ilvl w:val="0"/>
          <w:numId w:val="1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施工响应文件的打印和书写应清楚工整，任何行间插字、涂改或增删，必须由供应商的法定代表人或其授权代理人签字。</w:t>
      </w:r>
    </w:p>
    <w:p>
      <w:pPr>
        <w:widowControl w:val="0"/>
        <w:numPr>
          <w:ilvl w:val="0"/>
          <w:numId w:val="1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施工响应文件应根据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文件的要求制作、签署、盖章。（说明：</w:t>
      </w:r>
      <w:r>
        <w:rPr>
          <w:rFonts w:ascii="宋体" w:hAnsi="宋体"/>
          <w:color w:val="auto"/>
          <w:sz w:val="28"/>
          <w:szCs w:val="28"/>
          <w:highlight w:val="none"/>
        </w:rPr>
        <w:t>1、</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文件中要求提供复印件证明材料的，包含原件的影印件或复印件。</w:t>
      </w:r>
      <w:r>
        <w:rPr>
          <w:rFonts w:ascii="宋体" w:hAnsi="宋体"/>
          <w:color w:val="auto"/>
          <w:sz w:val="28"/>
          <w:szCs w:val="28"/>
          <w:highlight w:val="none"/>
        </w:rPr>
        <w:t>2、</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文件中要求提供复印件加盖公章的证明材料的，复印件所在页按要求加盖了公章或复印件为多页但至少有一页按要求加盖了公章的，视为满足复印件加盖公章的要求。</w:t>
      </w:r>
      <w:r>
        <w:rPr>
          <w:rFonts w:ascii="宋体" w:hAnsi="宋体"/>
          <w:color w:val="auto"/>
          <w:sz w:val="28"/>
          <w:szCs w:val="28"/>
          <w:highlight w:val="none"/>
        </w:rPr>
        <w:t>3、</w:t>
      </w:r>
      <w:r>
        <w:rPr>
          <w:rFonts w:ascii="宋体" w:hAnsi="宋体" w:cs="宋体"/>
          <w:color w:val="auto"/>
          <w:sz w:val="28"/>
          <w:szCs w:val="28"/>
          <w:highlight w:val="none"/>
        </w:rPr>
        <w:t>要求提供复印件的证明材料须清晰可辨</w:t>
      </w:r>
      <w:r>
        <w:rPr>
          <w:rFonts w:hint="eastAsia" w:ascii="宋体" w:hAnsi="宋体" w:cs="宋体"/>
          <w:color w:val="auto"/>
          <w:sz w:val="28"/>
          <w:szCs w:val="28"/>
          <w:highlight w:val="none"/>
        </w:rPr>
        <w:t>。</w:t>
      </w:r>
      <w:r>
        <w:rPr>
          <w:rFonts w:hint="eastAsia" w:ascii="宋体" w:hAnsi="宋体"/>
          <w:color w:val="auto"/>
          <w:sz w:val="28"/>
          <w:szCs w:val="28"/>
          <w:highlight w:val="none"/>
        </w:rPr>
        <w:t>）</w:t>
      </w:r>
    </w:p>
    <w:p>
      <w:pPr>
        <w:pStyle w:val="6"/>
        <w:numPr>
          <w:ilvl w:val="3"/>
          <w:numId w:val="1"/>
        </w:numPr>
        <w:snapToGrid w:val="0"/>
        <w:spacing w:line="640" w:lineRule="exact"/>
        <w:rPr>
          <w:color w:val="auto"/>
          <w:highlight w:val="none"/>
        </w:rPr>
      </w:pPr>
      <w:r>
        <w:rPr>
          <w:rFonts w:hint="eastAsia"/>
          <w:color w:val="auto"/>
          <w:highlight w:val="none"/>
        </w:rPr>
        <w:t>施工响应文件的装订</w:t>
      </w:r>
    </w:p>
    <w:p>
      <w:pPr>
        <w:ind w:firstLine="560" w:firstLineChars="200"/>
        <w:rPr>
          <w:color w:val="auto"/>
          <w:highlight w:val="none"/>
        </w:rPr>
      </w:pPr>
      <w:r>
        <w:rPr>
          <w:rFonts w:hint="eastAsia" w:ascii="宋体" w:hAnsi="宋体"/>
          <w:color w:val="auto"/>
          <w:sz w:val="28"/>
          <w:szCs w:val="28"/>
          <w:highlight w:val="none"/>
        </w:rPr>
        <w:t>一、施工响应文件统一用A4幅面纸印制（表、图及证件可以除外）。</w:t>
      </w:r>
    </w:p>
    <w:p>
      <w:pPr>
        <w:ind w:firstLine="560" w:firstLineChars="200"/>
        <w:rPr>
          <w:color w:val="auto"/>
          <w:highlight w:val="none"/>
        </w:rPr>
      </w:pPr>
      <w:r>
        <w:rPr>
          <w:rFonts w:hint="eastAsia" w:ascii="宋体" w:hAnsi="宋体"/>
          <w:color w:val="auto"/>
          <w:sz w:val="28"/>
          <w:szCs w:val="28"/>
          <w:highlight w:val="none"/>
        </w:rPr>
        <w:t>二、施工响应文件的正、副本应装订成册（对施工响应文件的修改或撤回的书面通知除外）。</w:t>
      </w:r>
    </w:p>
    <w:p>
      <w:pPr>
        <w:pStyle w:val="6"/>
        <w:snapToGrid w:val="0"/>
        <w:spacing w:line="640" w:lineRule="exact"/>
        <w:rPr>
          <w:color w:val="auto"/>
          <w:highlight w:val="none"/>
        </w:rPr>
      </w:pPr>
      <w:bookmarkStart w:id="25" w:name="_Toc320698730"/>
      <w:r>
        <w:rPr>
          <w:rFonts w:hint="eastAsia"/>
          <w:color w:val="auto"/>
          <w:highlight w:val="none"/>
        </w:rPr>
        <w:t>施工响应文件的包装和密封、标注</w:t>
      </w:r>
      <w:bookmarkEnd w:id="25"/>
      <w:r>
        <w:rPr>
          <w:rFonts w:hint="eastAsia" w:ascii="仿宋" w:hAnsi="仿宋" w:eastAsia="仿宋"/>
          <w:color w:val="auto"/>
          <w:szCs w:val="21"/>
          <w:highlight w:val="none"/>
          <w:lang w:val="zh-CN"/>
        </w:rPr>
        <w:t>（实质性要求）</w:t>
      </w:r>
    </w:p>
    <w:p>
      <w:pPr>
        <w:widowControl w:val="0"/>
        <w:numPr>
          <w:ilvl w:val="0"/>
          <w:numId w:val="18"/>
        </w:numPr>
        <w:tabs>
          <w:tab w:val="left" w:pos="1200"/>
        </w:tabs>
        <w:snapToGrid w:val="0"/>
        <w:spacing w:line="640" w:lineRule="exact"/>
        <w:ind w:left="0" w:firstLine="562" w:firstLineChars="200"/>
        <w:jc w:val="both"/>
        <w:rPr>
          <w:rFonts w:ascii="宋体" w:hAnsi="宋体"/>
          <w:color w:val="auto"/>
          <w:sz w:val="28"/>
          <w:szCs w:val="28"/>
          <w:highlight w:val="none"/>
        </w:rPr>
      </w:pPr>
      <w:r>
        <w:rPr>
          <w:rFonts w:hint="eastAsia" w:ascii="宋体" w:hAnsi="宋体"/>
          <w:b/>
          <w:color w:val="auto"/>
          <w:sz w:val="28"/>
          <w:szCs w:val="28"/>
          <w:highlight w:val="none"/>
        </w:rPr>
        <w:t>施工响应文件应包装、密封和标注。</w:t>
      </w:r>
    </w:p>
    <w:p>
      <w:pPr>
        <w:widowControl w:val="0"/>
        <w:numPr>
          <w:ilvl w:val="0"/>
          <w:numId w:val="18"/>
        </w:numPr>
        <w:tabs>
          <w:tab w:val="left" w:pos="1200"/>
        </w:tabs>
        <w:snapToGrid w:val="0"/>
        <w:spacing w:line="640" w:lineRule="exact"/>
        <w:ind w:left="0" w:firstLine="560" w:firstLineChars="200"/>
        <w:jc w:val="both"/>
        <w:rPr>
          <w:color w:val="auto"/>
          <w:highlight w:val="none"/>
        </w:rPr>
      </w:pPr>
      <w:r>
        <w:rPr>
          <w:rFonts w:hint="eastAsia" w:ascii="宋体" w:hAnsi="宋体"/>
          <w:color w:val="auto"/>
          <w:sz w:val="28"/>
          <w:szCs w:val="28"/>
          <w:highlight w:val="none"/>
        </w:rPr>
        <w:t>每一个密封包装的最外层应清楚地标明</w:t>
      </w:r>
      <w:r>
        <w:rPr>
          <w:rFonts w:hint="eastAsia" w:ascii="宋体" w:hAnsi="宋体"/>
          <w:b/>
          <w:color w:val="auto"/>
          <w:sz w:val="28"/>
          <w:szCs w:val="28"/>
          <w:highlight w:val="none"/>
        </w:rPr>
        <w:t>项目名称、项目编号、供应商名称以及施工响应文</w:t>
      </w:r>
      <w:r>
        <w:rPr>
          <w:rFonts w:hint="eastAsia" w:ascii="宋体" w:hAnsi="宋体"/>
          <w:b/>
          <w:bCs w:val="0"/>
          <w:color w:val="auto"/>
          <w:sz w:val="28"/>
          <w:szCs w:val="28"/>
          <w:highlight w:val="none"/>
        </w:rPr>
        <w:t>件，并加盖供应商公章。</w:t>
      </w:r>
    </w:p>
    <w:p>
      <w:pPr>
        <w:pStyle w:val="6"/>
        <w:spacing w:line="600" w:lineRule="exact"/>
        <w:rPr>
          <w:color w:val="auto"/>
          <w:highlight w:val="none"/>
        </w:rPr>
      </w:pPr>
      <w:r>
        <w:rPr>
          <w:rFonts w:hint="eastAsia"/>
          <w:color w:val="auto"/>
          <w:highlight w:val="none"/>
        </w:rPr>
        <w:t>施工响应文件的递交</w:t>
      </w:r>
    </w:p>
    <w:p>
      <w:pPr>
        <w:widowControl w:val="0"/>
        <w:numPr>
          <w:ilvl w:val="0"/>
          <w:numId w:val="19"/>
        </w:numPr>
        <w:tabs>
          <w:tab w:val="left" w:pos="1200"/>
        </w:tabs>
        <w:snapToGrid w:val="0"/>
        <w:spacing w:line="640" w:lineRule="exact"/>
        <w:ind w:left="0" w:firstLine="560" w:firstLineChars="200"/>
        <w:jc w:val="both"/>
        <w:rPr>
          <w:rFonts w:ascii="宋体" w:hAnsi="宋体"/>
          <w:color w:val="auto"/>
          <w:sz w:val="28"/>
          <w:szCs w:val="28"/>
          <w:highlight w:val="none"/>
        </w:rPr>
      </w:pPr>
      <w:bookmarkStart w:id="26" w:name="_Toc446487098"/>
      <w:r>
        <w:rPr>
          <w:rFonts w:hint="eastAsia" w:ascii="宋体" w:hAnsi="宋体"/>
          <w:color w:val="auto"/>
          <w:sz w:val="28"/>
          <w:szCs w:val="28"/>
          <w:highlight w:val="none"/>
        </w:rPr>
        <w:t>施工响应文件应于递交施工响应文件截止时间前送达指定地点。截止时间后送达的施工响应文件将被拒绝接收。</w:t>
      </w:r>
    </w:p>
    <w:p>
      <w:pPr>
        <w:widowControl w:val="0"/>
        <w:numPr>
          <w:ilvl w:val="0"/>
          <w:numId w:val="20"/>
        </w:numPr>
        <w:tabs>
          <w:tab w:val="left" w:pos="1134"/>
        </w:tabs>
        <w:spacing w:line="600" w:lineRule="exact"/>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因</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文件的修改推迟递交施工响应文件截止日期的，供应商按</w:t>
      </w:r>
      <w:r>
        <w:rPr>
          <w:rFonts w:hint="eastAsia" w:ascii="宋体" w:hAnsi="宋体"/>
          <w:bCs/>
          <w:color w:val="auto"/>
          <w:sz w:val="28"/>
          <w:szCs w:val="28"/>
          <w:highlight w:val="none"/>
          <w:lang w:eastAsia="zh-CN"/>
        </w:rPr>
        <w:t>区采购中心</w:t>
      </w:r>
      <w:r>
        <w:rPr>
          <w:rFonts w:hint="eastAsia" w:ascii="宋体" w:hAnsi="宋体"/>
          <w:bCs/>
          <w:color w:val="auto"/>
          <w:sz w:val="28"/>
          <w:szCs w:val="28"/>
          <w:highlight w:val="none"/>
        </w:rPr>
        <w:t>在“四川政府采购网”和“</w:t>
      </w:r>
      <w:r>
        <w:rPr>
          <w:rFonts w:hint="eastAsia" w:ascii="宋体" w:hAnsi="宋体"/>
          <w:bCs/>
          <w:color w:val="auto"/>
          <w:sz w:val="28"/>
          <w:szCs w:val="28"/>
          <w:highlight w:val="none"/>
          <w:lang w:eastAsia="zh-CN"/>
        </w:rPr>
        <w:t>成都市公共资源交易服务中心</w:t>
      </w:r>
      <w:r>
        <w:rPr>
          <w:rFonts w:hint="eastAsia" w:ascii="宋体" w:hAnsi="宋体"/>
          <w:bCs/>
          <w:color w:val="auto"/>
          <w:sz w:val="28"/>
          <w:szCs w:val="28"/>
          <w:highlight w:val="none"/>
        </w:rPr>
        <w:t>”网站上发布的澄清公告中修改的时间递交</w:t>
      </w:r>
      <w:r>
        <w:rPr>
          <w:rFonts w:hint="eastAsia" w:ascii="宋体" w:hAnsi="宋体"/>
          <w:bCs/>
          <w:color w:val="auto"/>
          <w:sz w:val="28"/>
          <w:szCs w:val="28"/>
          <w:highlight w:val="none"/>
          <w:lang w:eastAsia="zh-CN"/>
        </w:rPr>
        <w:t>施工响应文件</w:t>
      </w:r>
      <w:r>
        <w:rPr>
          <w:rFonts w:hint="eastAsia" w:ascii="宋体" w:hAnsi="宋体"/>
          <w:bCs/>
          <w:color w:val="auto"/>
          <w:sz w:val="28"/>
          <w:szCs w:val="28"/>
          <w:highlight w:val="none"/>
        </w:rPr>
        <w:t>，同时通过“政府采购云平台”将澄清或者修改的内容告知所有在系统中成功获取磋商文件的潜在供应商。</w:t>
      </w:r>
      <w:r>
        <w:rPr>
          <w:rFonts w:hint="eastAsia" w:ascii="宋体" w:hAnsi="宋体"/>
          <w:color w:val="auto"/>
          <w:sz w:val="28"/>
          <w:szCs w:val="28"/>
          <w:highlight w:val="none"/>
        </w:rPr>
        <w:t>（供应商通过账号或</w:t>
      </w:r>
      <w:r>
        <w:rPr>
          <w:rFonts w:ascii="宋体" w:hAnsi="宋体"/>
          <w:color w:val="auto"/>
          <w:sz w:val="28"/>
          <w:szCs w:val="28"/>
          <w:highlight w:val="none"/>
        </w:rPr>
        <w:t>CA证书登录云平台查看）</w:t>
      </w:r>
      <w:r>
        <w:rPr>
          <w:rFonts w:hint="eastAsia" w:ascii="宋体" w:hAnsi="宋体"/>
          <w:bCs/>
          <w:color w:val="auto"/>
          <w:sz w:val="28"/>
          <w:szCs w:val="28"/>
          <w:highlight w:val="none"/>
        </w:rPr>
        <w:t>，</w:t>
      </w:r>
      <w:r>
        <w:rPr>
          <w:rFonts w:hint="eastAsia" w:ascii="宋体" w:hAnsi="宋体"/>
          <w:color w:val="auto"/>
          <w:sz w:val="28"/>
          <w:szCs w:val="28"/>
          <w:highlight w:val="none"/>
        </w:rPr>
        <w:t>该澄清或者修改的内容为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文件的组成部分。</w:t>
      </w:r>
    </w:p>
    <w:p>
      <w:pPr>
        <w:widowControl w:val="0"/>
        <w:numPr>
          <w:ilvl w:val="0"/>
          <w:numId w:val="19"/>
        </w:numPr>
        <w:tabs>
          <w:tab w:val="left" w:pos="1134"/>
        </w:tabs>
        <w:snapToGrid w:val="0"/>
        <w:spacing w:line="640" w:lineRule="exact"/>
        <w:ind w:left="0" w:firstLine="560" w:firstLineChars="200"/>
        <w:jc w:val="both"/>
        <w:rPr>
          <w:rFonts w:ascii="宋体" w:hAnsi="宋体"/>
          <w:bCs/>
          <w:color w:val="auto"/>
          <w:sz w:val="28"/>
          <w:szCs w:val="28"/>
          <w:highlight w:val="none"/>
        </w:rPr>
      </w:pPr>
      <w:r>
        <w:rPr>
          <w:rFonts w:hint="eastAsia" w:cs="Arial"/>
          <w:color w:val="auto"/>
          <w:sz w:val="28"/>
          <w:szCs w:val="28"/>
          <w:highlight w:val="none"/>
        </w:rPr>
        <w:t>采购人或者</w:t>
      </w:r>
      <w:r>
        <w:rPr>
          <w:rFonts w:hint="eastAsia" w:cs="Arial"/>
          <w:color w:val="auto"/>
          <w:sz w:val="28"/>
          <w:szCs w:val="28"/>
          <w:highlight w:val="none"/>
          <w:lang w:eastAsia="zh-CN"/>
        </w:rPr>
        <w:t>区采购中心</w:t>
      </w:r>
      <w:r>
        <w:rPr>
          <w:rFonts w:hint="eastAsia" w:cs="Arial"/>
          <w:color w:val="auto"/>
          <w:sz w:val="28"/>
          <w:szCs w:val="28"/>
          <w:highlight w:val="none"/>
        </w:rPr>
        <w:t>收到施工响应文件后，应当如实记载施工响应文件的送达时间和密封情况，签收保存。任何单位和个人不得在</w:t>
      </w:r>
      <w:r>
        <w:rPr>
          <w:rFonts w:hint="eastAsia" w:cs="Arial"/>
          <w:color w:val="auto"/>
          <w:sz w:val="28"/>
          <w:szCs w:val="28"/>
          <w:highlight w:val="none"/>
          <w:lang w:eastAsia="zh-CN"/>
        </w:rPr>
        <w:t>磋商</w:t>
      </w:r>
      <w:r>
        <w:rPr>
          <w:rFonts w:hint="eastAsia" w:cs="Arial"/>
          <w:color w:val="auto"/>
          <w:sz w:val="28"/>
          <w:szCs w:val="28"/>
          <w:highlight w:val="none"/>
        </w:rPr>
        <w:t>前开启施工响应文件</w:t>
      </w:r>
      <w:r>
        <w:rPr>
          <w:rFonts w:hint="eastAsia" w:ascii="宋体" w:hAnsi="宋体"/>
          <w:bCs/>
          <w:color w:val="auto"/>
          <w:sz w:val="28"/>
          <w:szCs w:val="28"/>
          <w:highlight w:val="none"/>
        </w:rPr>
        <w:t>。</w:t>
      </w:r>
    </w:p>
    <w:p>
      <w:pPr>
        <w:widowControl w:val="0"/>
        <w:numPr>
          <w:ilvl w:val="0"/>
          <w:numId w:val="19"/>
        </w:numPr>
        <w:tabs>
          <w:tab w:val="left" w:pos="1134"/>
        </w:tabs>
        <w:snapToGrid w:val="0"/>
        <w:spacing w:line="640" w:lineRule="exact"/>
        <w:ind w:left="0" w:firstLine="560" w:firstLineChars="200"/>
        <w:jc w:val="both"/>
        <w:rPr>
          <w:rFonts w:ascii="宋体" w:hAnsi="宋体"/>
          <w:bCs/>
          <w:color w:val="auto"/>
          <w:sz w:val="28"/>
          <w:szCs w:val="28"/>
          <w:highlight w:val="none"/>
        </w:rPr>
      </w:pPr>
      <w:r>
        <w:rPr>
          <w:rFonts w:hint="eastAsia" w:cs="Arial"/>
          <w:color w:val="auto"/>
          <w:sz w:val="28"/>
          <w:szCs w:val="28"/>
          <w:highlight w:val="none"/>
        </w:rPr>
        <w:t>出现下列情形的，供应商的施工响应文件将被拒绝接收：</w:t>
      </w:r>
    </w:p>
    <w:p>
      <w:pPr>
        <w:tabs>
          <w:tab w:val="left" w:pos="0"/>
        </w:tabs>
        <w:snapToGrid w:val="0"/>
        <w:spacing w:line="64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（一）递交施工响应文件截止时间后送达的施工响应文件；</w:t>
      </w:r>
    </w:p>
    <w:p>
      <w:pPr>
        <w:tabs>
          <w:tab w:val="left" w:pos="0"/>
        </w:tabs>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（三）未按</w:t>
      </w:r>
      <w:r>
        <w:rPr>
          <w:rFonts w:ascii="宋体" w:hAnsi="宋体"/>
          <w:color w:val="auto"/>
          <w:sz w:val="28"/>
          <w:szCs w:val="28"/>
          <w:highlight w:val="none"/>
        </w:rPr>
        <w:t>2.4.1</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rPr>
        <w:t>进行包装、密封、标注的施工响应文件。</w:t>
      </w:r>
    </w:p>
    <w:p>
      <w:pPr>
        <w:widowControl w:val="0"/>
        <w:numPr>
          <w:ilvl w:val="0"/>
          <w:numId w:val="19"/>
        </w:numPr>
        <w:tabs>
          <w:tab w:val="left" w:pos="1134"/>
        </w:tabs>
        <w:snapToGrid w:val="0"/>
        <w:spacing w:line="640" w:lineRule="exact"/>
        <w:ind w:left="0" w:firstLine="560" w:firstLineChars="200"/>
        <w:jc w:val="both"/>
        <w:rPr>
          <w:rFonts w:ascii="宋体" w:hAnsi="宋体"/>
          <w:color w:val="auto"/>
          <w:sz w:val="28"/>
          <w:szCs w:val="28"/>
          <w:highlight w:val="none"/>
        </w:rPr>
      </w:pPr>
      <w:r>
        <w:rPr>
          <w:rFonts w:ascii="宋体" w:hAnsi="宋体"/>
          <w:color w:val="auto"/>
          <w:sz w:val="28"/>
          <w:szCs w:val="28"/>
          <w:highlight w:val="none"/>
        </w:rPr>
        <w:t>项目</w:t>
      </w:r>
      <w:r>
        <w:rPr>
          <w:rFonts w:hint="eastAsia" w:ascii="宋体" w:hAnsi="宋体"/>
          <w:color w:val="auto"/>
          <w:sz w:val="28"/>
          <w:szCs w:val="28"/>
          <w:highlight w:val="none"/>
        </w:rPr>
        <w:t>技术</w:t>
      </w:r>
      <w:r>
        <w:rPr>
          <w:rFonts w:ascii="宋体" w:hAnsi="宋体"/>
          <w:color w:val="auto"/>
          <w:sz w:val="28"/>
          <w:szCs w:val="28"/>
          <w:highlight w:val="none"/>
        </w:rPr>
        <w:t>、</w:t>
      </w:r>
      <w:r>
        <w:rPr>
          <w:rFonts w:hint="eastAsia" w:ascii="宋体" w:hAnsi="宋体"/>
          <w:color w:val="auto"/>
          <w:sz w:val="28"/>
          <w:szCs w:val="28"/>
          <w:highlight w:val="none"/>
        </w:rPr>
        <w:t>服务及其他</w:t>
      </w:r>
      <w:r>
        <w:rPr>
          <w:rFonts w:ascii="宋体" w:hAnsi="宋体"/>
          <w:color w:val="auto"/>
          <w:sz w:val="28"/>
          <w:szCs w:val="28"/>
          <w:highlight w:val="none"/>
        </w:rPr>
        <w:t>要求</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结束后，供应商按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小组提供的《最后报价表》提交最后报价。</w:t>
      </w:r>
    </w:p>
    <w:p>
      <w:pPr>
        <w:pStyle w:val="6"/>
        <w:snapToGrid w:val="0"/>
        <w:spacing w:line="640" w:lineRule="exact"/>
        <w:rPr>
          <w:color w:val="auto"/>
          <w:highlight w:val="none"/>
        </w:rPr>
      </w:pPr>
      <w:r>
        <w:rPr>
          <w:rFonts w:hint="eastAsia"/>
          <w:color w:val="auto"/>
          <w:highlight w:val="none"/>
        </w:rPr>
        <w:t>施工响应文件的补充、修改和撤回</w:t>
      </w:r>
      <w:r>
        <w:rPr>
          <w:rFonts w:hint="eastAsia" w:ascii="仿宋" w:hAnsi="仿宋" w:eastAsia="仿宋"/>
          <w:color w:val="auto"/>
          <w:szCs w:val="21"/>
          <w:highlight w:val="none"/>
          <w:lang w:val="zh-CN"/>
        </w:rPr>
        <w:t>（实质性要求）</w:t>
      </w:r>
    </w:p>
    <w:p>
      <w:pPr>
        <w:widowControl w:val="0"/>
        <w:numPr>
          <w:ilvl w:val="0"/>
          <w:numId w:val="21"/>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供应商在提交施工响应文件后可对其施工响应文件进行补充、修改或者撤回，但该补充、修改或撤回的书面通知须在递交施工响应文件截止时间之前送达指定地点。补充、修改的内容为施工响应文件的组成部分，补充、修改的内容与施工响应文件不一致的，以补充、修改的内容为准。</w:t>
      </w:r>
    </w:p>
    <w:p>
      <w:pPr>
        <w:widowControl w:val="0"/>
        <w:numPr>
          <w:ilvl w:val="0"/>
          <w:numId w:val="21"/>
        </w:numPr>
        <w:tabs>
          <w:tab w:val="left" w:pos="1134"/>
        </w:tabs>
        <w:snapToGrid w:val="0"/>
        <w:spacing w:line="640" w:lineRule="exact"/>
        <w:ind w:left="0" w:firstLine="567"/>
        <w:jc w:val="both"/>
        <w:rPr>
          <w:color w:val="auto"/>
          <w:highlight w:val="none"/>
        </w:rPr>
      </w:pPr>
      <w:r>
        <w:rPr>
          <w:rFonts w:hint="eastAsia" w:ascii="宋体" w:hAnsi="宋体"/>
          <w:color w:val="auto"/>
          <w:sz w:val="28"/>
          <w:szCs w:val="28"/>
          <w:highlight w:val="none"/>
        </w:rPr>
        <w:t>补充、修改或撤回的书面通知，应由其法定代表人或授权代理人签署并盖供应商公章。补充、修改的书面通知应按第</w:t>
      </w:r>
      <w:r>
        <w:rPr>
          <w:rFonts w:ascii="宋体" w:hAnsi="宋体"/>
          <w:color w:val="auto"/>
          <w:sz w:val="28"/>
          <w:szCs w:val="28"/>
          <w:highlight w:val="none"/>
        </w:rPr>
        <w:t>2.4.1</w:t>
      </w:r>
      <w:r>
        <w:rPr>
          <w:rFonts w:hint="eastAsia" w:ascii="宋体" w:hAnsi="宋体"/>
          <w:color w:val="auto"/>
          <w:sz w:val="28"/>
          <w:szCs w:val="28"/>
          <w:highlight w:val="none"/>
          <w:lang w:val="en-US" w:eastAsia="zh-CN"/>
        </w:rPr>
        <w:t>1</w:t>
      </w:r>
      <w:r>
        <w:rPr>
          <w:rFonts w:hint="eastAsia" w:ascii="宋体" w:hAnsi="宋体"/>
          <w:color w:val="auto"/>
          <w:sz w:val="28"/>
          <w:szCs w:val="28"/>
          <w:highlight w:val="none"/>
        </w:rPr>
        <w:t>条、第</w:t>
      </w:r>
      <w:r>
        <w:rPr>
          <w:rFonts w:ascii="宋体" w:hAnsi="宋体"/>
          <w:color w:val="auto"/>
          <w:sz w:val="28"/>
          <w:szCs w:val="28"/>
          <w:highlight w:val="none"/>
        </w:rPr>
        <w:t>2.4.1</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rPr>
        <w:t>条的要求进行签署、密封、标注，并在密封包装的最外层标明“补充、修改施工响应文件”。补充、修改的内容为施工响应文件的组成部分。补充、修改的内容与施工响应文件不一致的，以补充、修改的内容为准。</w:t>
      </w:r>
    </w:p>
    <w:bookmarkEnd w:id="26"/>
    <w:p>
      <w:pPr>
        <w:pStyle w:val="5"/>
        <w:snapToGrid w:val="0"/>
        <w:spacing w:line="640" w:lineRule="exact"/>
        <w:rPr>
          <w:color w:val="auto"/>
          <w:highlight w:val="none"/>
        </w:rPr>
      </w:pPr>
      <w:bookmarkStart w:id="27" w:name="_Toc60078194"/>
      <w:bookmarkStart w:id="28" w:name="_Toc21415"/>
      <w:r>
        <w:rPr>
          <w:rFonts w:hint="eastAsia"/>
          <w:color w:val="auto"/>
          <w:highlight w:val="none"/>
        </w:rPr>
        <w:t>资格</w:t>
      </w:r>
      <w:r>
        <w:rPr>
          <w:color w:val="auto"/>
          <w:highlight w:val="none"/>
        </w:rPr>
        <w:t>预审和评审</w:t>
      </w:r>
      <w:bookmarkEnd w:id="27"/>
      <w:bookmarkEnd w:id="28"/>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w:t>
      </w:r>
      <w:r>
        <w:rPr>
          <w:rFonts w:hint="eastAsia" w:ascii="宋体" w:hAnsi="宋体"/>
          <w:color w:val="auto"/>
          <w:sz w:val="28"/>
          <w:szCs w:val="28"/>
          <w:highlight w:val="none"/>
        </w:rPr>
        <w:t>本项目资格预审已按资格预审文件完成。</w:t>
      </w:r>
    </w:p>
    <w:p>
      <w:pPr>
        <w:ind w:firstLine="560" w:firstLineChars="200"/>
        <w:rPr>
          <w:color w:val="auto"/>
          <w:highlight w:val="none"/>
        </w:rPr>
      </w:pPr>
      <w:r>
        <w:rPr>
          <w:rFonts w:hint="eastAsia" w:ascii="宋体" w:hAnsi="宋体"/>
          <w:color w:val="auto"/>
          <w:sz w:val="28"/>
          <w:szCs w:val="28"/>
          <w:highlight w:val="none"/>
        </w:rPr>
        <w:t>二、</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小组的组建及其评审工作按照有关法律制度和本文件第五章的规定进行。</w:t>
      </w:r>
    </w:p>
    <w:p>
      <w:pPr>
        <w:pStyle w:val="5"/>
        <w:snapToGrid w:val="0"/>
        <w:spacing w:line="640" w:lineRule="exact"/>
        <w:rPr>
          <w:rFonts w:cs="宋体"/>
          <w:color w:val="auto"/>
          <w:highlight w:val="none"/>
        </w:rPr>
      </w:pPr>
      <w:bookmarkStart w:id="29" w:name="_Toc18026"/>
      <w:r>
        <w:rPr>
          <w:rFonts w:cs="宋体"/>
          <w:color w:val="auto"/>
          <w:highlight w:val="none"/>
        </w:rPr>
        <w:t>成交通知书</w:t>
      </w:r>
      <w:bookmarkEnd w:id="29"/>
    </w:p>
    <w:p>
      <w:pPr>
        <w:snapToGrid w:val="0"/>
        <w:spacing w:line="640" w:lineRule="exact"/>
        <w:ind w:right="210" w:firstLine="560" w:firstLineChars="200"/>
        <w:rPr>
          <w:rFonts w:ascii="宋体" w:hAnsi="宋体"/>
          <w:color w:val="auto"/>
          <w:sz w:val="28"/>
          <w:szCs w:val="28"/>
          <w:highlight w:val="none"/>
        </w:rPr>
      </w:pPr>
      <w:r>
        <w:rPr>
          <w:rFonts w:hint="eastAsia" w:ascii="宋体" w:hAnsi="宋体"/>
          <w:color w:val="auto"/>
          <w:sz w:val="28"/>
          <w:szCs w:val="28"/>
          <w:highlight w:val="none"/>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二、成交通知书对采购人和成交供应商均具有法律效力。成交通知书发出后，采购人改变成交结果，或者成交供应商无正当理由放弃成交的，应当承担相应的法律责任。</w:t>
      </w:r>
    </w:p>
    <w:p>
      <w:pPr>
        <w:snapToGrid w:val="0"/>
        <w:spacing w:line="640" w:lineRule="exact"/>
        <w:ind w:firstLine="560" w:firstLineChars="200"/>
        <w:rPr>
          <w:rFonts w:hint="eastAsia"/>
          <w:color w:val="auto"/>
          <w:highlight w:val="none"/>
          <w:lang w:val="zh-CN" w:eastAsia="zh-CN"/>
        </w:rPr>
      </w:pPr>
      <w:r>
        <w:rPr>
          <w:rFonts w:hint="eastAsia" w:ascii="宋体" w:hAnsi="宋体"/>
          <w:color w:val="auto"/>
          <w:sz w:val="28"/>
          <w:szCs w:val="28"/>
          <w:highlight w:val="none"/>
        </w:rPr>
        <w:t>三、</w:t>
      </w:r>
      <w:r>
        <w:rPr>
          <w:rFonts w:hint="eastAsia" w:ascii="宋体" w:hAnsi="宋体" w:cs="宋体"/>
          <w:color w:val="auto"/>
          <w:sz w:val="28"/>
          <w:szCs w:val="28"/>
          <w:highlight w:val="none"/>
          <w:lang w:val="zh-CN"/>
        </w:rPr>
        <w:t>成交公告在四川政府采购网上公告后，成交供应商自行登录云平台下载成交通知书。</w:t>
      </w:r>
    </w:p>
    <w:p>
      <w:pPr>
        <w:pStyle w:val="5"/>
        <w:snapToGrid w:val="0"/>
        <w:spacing w:line="640" w:lineRule="exact"/>
        <w:rPr>
          <w:rFonts w:ascii="Times New Roman" w:hAnsi="Times New Roman" w:eastAsia="宋体" w:cs="Times New Roman"/>
          <w:color w:val="auto"/>
          <w:sz w:val="24"/>
          <w:szCs w:val="24"/>
          <w:highlight w:val="none"/>
          <w:lang w:val="en-US" w:eastAsia="zh-CN" w:bidi="ar-SA"/>
        </w:rPr>
      </w:pPr>
      <w:bookmarkStart w:id="30" w:name="_Toc17899"/>
      <w:bookmarkStart w:id="31" w:name="_Toc287623650"/>
      <w:r>
        <w:rPr>
          <w:rFonts w:hint="eastAsia"/>
          <w:color w:val="auto"/>
          <w:highlight w:val="none"/>
        </w:rPr>
        <w:t>签订及履行合同和验收</w:t>
      </w:r>
      <w:bookmarkEnd w:id="30"/>
    </w:p>
    <w:p>
      <w:pPr>
        <w:pStyle w:val="6"/>
        <w:snapToGrid w:val="0"/>
        <w:spacing w:line="640" w:lineRule="exact"/>
        <w:rPr>
          <w:color w:val="auto"/>
          <w:highlight w:val="none"/>
        </w:rPr>
      </w:pPr>
      <w:r>
        <w:rPr>
          <w:rFonts w:hint="eastAsia"/>
          <w:color w:val="auto"/>
          <w:highlight w:val="none"/>
        </w:rPr>
        <w:t>签订合同</w:t>
      </w:r>
      <w:bookmarkEnd w:id="31"/>
    </w:p>
    <w:p>
      <w:pPr>
        <w:numPr>
          <w:ilvl w:val="0"/>
          <w:numId w:val="22"/>
        </w:numPr>
        <w:tabs>
          <w:tab w:val="left" w:pos="1134"/>
        </w:tabs>
        <w:snapToGrid w:val="0"/>
        <w:spacing w:line="640" w:lineRule="exact"/>
        <w:ind w:left="0" w:firstLine="567"/>
        <w:rPr>
          <w:rFonts w:ascii="宋体" w:hAnsi="宋体" w:cs="宋体"/>
          <w:color w:val="auto"/>
          <w:sz w:val="28"/>
          <w:szCs w:val="28"/>
          <w:highlight w:val="none"/>
        </w:rPr>
      </w:pPr>
      <w:bookmarkStart w:id="32" w:name="_Toc217446069"/>
      <w:r>
        <w:rPr>
          <w:rFonts w:ascii="宋体" w:hAnsi="宋体" w:cs="宋体"/>
          <w:color w:val="auto"/>
          <w:sz w:val="28"/>
          <w:szCs w:val="28"/>
          <w:highlight w:val="none"/>
        </w:rPr>
        <w:t>成交</w:t>
      </w:r>
      <w:r>
        <w:rPr>
          <w:rFonts w:hint="eastAsia" w:ascii="宋体" w:hAnsi="宋体" w:cs="宋体"/>
          <w:color w:val="auto"/>
          <w:sz w:val="28"/>
          <w:szCs w:val="28"/>
          <w:highlight w:val="none"/>
        </w:rPr>
        <w:t>供应商在收到</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发出的成交通知书</w:t>
      </w:r>
      <w:r>
        <w:rPr>
          <w:rFonts w:hint="eastAsia" w:ascii="宋体" w:hAnsi="宋体"/>
          <w:color w:val="auto"/>
          <w:sz w:val="28"/>
          <w:szCs w:val="28"/>
          <w:highlight w:val="none"/>
          <w:lang w:val="en-US" w:eastAsia="zh-CN"/>
        </w:rPr>
        <w:t>30天</w:t>
      </w:r>
      <w:r>
        <w:rPr>
          <w:rFonts w:hint="eastAsia" w:ascii="宋体" w:hAnsi="宋体"/>
          <w:color w:val="auto"/>
          <w:sz w:val="28"/>
          <w:szCs w:val="28"/>
          <w:highlight w:val="none"/>
        </w:rPr>
        <w:t>内</w:t>
      </w:r>
      <w:r>
        <w:rPr>
          <w:rFonts w:ascii="宋体" w:hAnsi="宋体" w:cs="宋体"/>
          <w:color w:val="auto"/>
          <w:sz w:val="28"/>
          <w:szCs w:val="28"/>
          <w:highlight w:val="none"/>
        </w:rPr>
        <w:t>与采购人签订采购合同。</w:t>
      </w:r>
      <w:r>
        <w:rPr>
          <w:rFonts w:hint="eastAsia" w:ascii="宋体" w:hAnsi="宋体"/>
          <w:color w:val="auto"/>
          <w:sz w:val="28"/>
          <w:szCs w:val="28"/>
          <w:highlight w:val="none"/>
        </w:rPr>
        <w:t>因成交供应商的原因</w:t>
      </w:r>
      <w:r>
        <w:rPr>
          <w:rFonts w:ascii="宋体" w:hAnsi="宋体"/>
          <w:color w:val="auto"/>
          <w:sz w:val="28"/>
          <w:szCs w:val="28"/>
          <w:highlight w:val="none"/>
        </w:rPr>
        <w:t>在</w:t>
      </w:r>
      <w:r>
        <w:rPr>
          <w:rFonts w:hint="eastAsia" w:ascii="宋体" w:hAnsi="宋体"/>
          <w:color w:val="auto"/>
          <w:sz w:val="28"/>
          <w:szCs w:val="28"/>
          <w:highlight w:val="none"/>
        </w:rPr>
        <w:t>成交通知书发出之日起</w:t>
      </w:r>
      <w:r>
        <w:rPr>
          <w:rFonts w:ascii="宋体" w:hAnsi="宋体"/>
          <w:color w:val="auto"/>
          <w:sz w:val="28"/>
          <w:szCs w:val="28"/>
          <w:highlight w:val="none"/>
        </w:rPr>
        <w:t>30日</w:t>
      </w:r>
      <w:r>
        <w:rPr>
          <w:rFonts w:hint="eastAsia" w:ascii="宋体" w:hAnsi="宋体"/>
          <w:color w:val="auto"/>
          <w:sz w:val="28"/>
          <w:szCs w:val="28"/>
          <w:highlight w:val="none"/>
        </w:rPr>
        <w:t>内未与采购人签订采购合同或者成交供应商拒绝与采购人签订合同的，采购人可以按照评审报告推荐的</w:t>
      </w:r>
      <w:r>
        <w:rPr>
          <w:rFonts w:ascii="宋体" w:hAnsi="宋体" w:cs="宋体"/>
          <w:color w:val="auto"/>
          <w:sz w:val="28"/>
          <w:szCs w:val="28"/>
          <w:highlight w:val="none"/>
        </w:rPr>
        <w:t>成交</w:t>
      </w:r>
      <w:r>
        <w:rPr>
          <w:rFonts w:hint="eastAsia" w:ascii="宋体" w:hAnsi="宋体" w:cs="宋体"/>
          <w:color w:val="auto"/>
          <w:sz w:val="28"/>
          <w:szCs w:val="28"/>
          <w:highlight w:val="none"/>
        </w:rPr>
        <w:t>供应商</w:t>
      </w:r>
      <w:r>
        <w:rPr>
          <w:rFonts w:hint="eastAsia" w:ascii="宋体" w:hAnsi="宋体"/>
          <w:color w:val="auto"/>
          <w:sz w:val="28"/>
          <w:szCs w:val="28"/>
          <w:highlight w:val="none"/>
        </w:rPr>
        <w:t>候选人名单排序，确定下一候选人为</w:t>
      </w:r>
      <w:r>
        <w:rPr>
          <w:rFonts w:ascii="宋体" w:hAnsi="宋体" w:cs="宋体"/>
          <w:color w:val="auto"/>
          <w:sz w:val="28"/>
          <w:szCs w:val="28"/>
          <w:highlight w:val="none"/>
        </w:rPr>
        <w:t>成交</w:t>
      </w:r>
      <w:r>
        <w:rPr>
          <w:rFonts w:hint="eastAsia" w:ascii="宋体" w:hAnsi="宋体" w:cs="宋体"/>
          <w:color w:val="auto"/>
          <w:sz w:val="28"/>
          <w:szCs w:val="28"/>
          <w:highlight w:val="none"/>
        </w:rPr>
        <w:t>供应商</w:t>
      </w:r>
      <w:r>
        <w:rPr>
          <w:rFonts w:hint="eastAsia" w:ascii="宋体" w:hAnsi="宋体"/>
          <w:color w:val="auto"/>
          <w:sz w:val="28"/>
          <w:szCs w:val="28"/>
          <w:highlight w:val="none"/>
        </w:rPr>
        <w:t>，也可以重新开展政府采购活动。</w:t>
      </w:r>
    </w:p>
    <w:p>
      <w:pPr>
        <w:numPr>
          <w:ilvl w:val="0"/>
          <w:numId w:val="22"/>
        </w:numPr>
        <w:tabs>
          <w:tab w:val="left" w:pos="1134"/>
        </w:tabs>
        <w:snapToGrid w:val="0"/>
        <w:spacing w:line="640" w:lineRule="exact"/>
        <w:ind w:left="0" w:firstLine="567"/>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成交供应商应携带成交通知书及以下材料与采购人签订合同：</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有效的行政主管部门颁发的建筑工程施工总承包三级及以上资质</w:t>
      </w:r>
      <w:r>
        <w:rPr>
          <w:rFonts w:hint="eastAsia" w:ascii="宋体" w:hAnsi="宋体" w:cs="Times New Roman"/>
          <w:color w:val="auto"/>
          <w:sz w:val="28"/>
          <w:szCs w:val="28"/>
          <w:highlight w:val="none"/>
          <w:lang w:eastAsia="zh-CN"/>
        </w:rPr>
        <w:t>；</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有效的《安全生产许可证》；</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供应商为本项目配备的项目项目经理</w:t>
      </w:r>
      <w:r>
        <w:rPr>
          <w:rFonts w:hint="eastAsia" w:ascii="宋体" w:hAnsi="宋体" w:eastAsia="宋体" w:cs="Times New Roman"/>
          <w:color w:val="auto"/>
          <w:sz w:val="28"/>
          <w:szCs w:val="28"/>
          <w:highlight w:val="none"/>
          <w:lang w:val="en-US" w:eastAsia="zh-CN"/>
        </w:rPr>
        <w:t>应</w:t>
      </w:r>
      <w:r>
        <w:rPr>
          <w:rFonts w:hint="eastAsia" w:ascii="宋体" w:hAnsi="宋体" w:eastAsia="宋体" w:cs="Times New Roman"/>
          <w:color w:val="auto"/>
          <w:sz w:val="28"/>
          <w:szCs w:val="28"/>
          <w:highlight w:val="none"/>
        </w:rPr>
        <w:t>具备建筑工程专业二级或以上建造师执业资格；</w:t>
      </w:r>
    </w:p>
    <w:p>
      <w:pPr>
        <w:pStyle w:val="65"/>
        <w:widowControl w:val="0"/>
        <w:numPr>
          <w:ilvl w:val="0"/>
          <w:numId w:val="23"/>
        </w:numPr>
        <w:tabs>
          <w:tab w:val="left" w:pos="567"/>
          <w:tab w:val="left" w:pos="846"/>
          <w:tab w:val="left" w:pos="960"/>
          <w:tab w:val="left" w:pos="1276"/>
        </w:tabs>
        <w:spacing w:line="600" w:lineRule="exact"/>
        <w:ind w:left="567" w:leftChars="0"/>
        <w:jc w:val="both"/>
        <w:rPr>
          <w:rFonts w:hint="eastAsia" w:eastAsia="宋体"/>
          <w:color w:val="auto"/>
          <w:highlight w:val="none"/>
          <w:lang w:val="en-US" w:eastAsia="zh-CN"/>
        </w:rPr>
      </w:pPr>
      <w:r>
        <w:rPr>
          <w:rFonts w:hint="eastAsia" w:ascii="宋体" w:hAnsi="宋体" w:eastAsia="宋体" w:cs="Times New Roman"/>
          <w:color w:val="auto"/>
          <w:sz w:val="28"/>
          <w:szCs w:val="28"/>
          <w:highlight w:val="none"/>
        </w:rPr>
        <w:t>供应商为本项目配备的项目技术负责人应具备建筑工程类专业中级或以上职称。</w:t>
      </w:r>
    </w:p>
    <w:p>
      <w:pPr>
        <w:pStyle w:val="65"/>
        <w:widowControl w:val="0"/>
        <w:numPr>
          <w:ilvl w:val="0"/>
          <w:numId w:val="0"/>
        </w:numPr>
        <w:tabs>
          <w:tab w:val="left" w:pos="567"/>
          <w:tab w:val="left" w:pos="846"/>
          <w:tab w:val="left" w:pos="960"/>
          <w:tab w:val="left" w:pos="1276"/>
        </w:tabs>
        <w:spacing w:line="600" w:lineRule="exact"/>
        <w:ind w:leftChars="200"/>
        <w:jc w:val="both"/>
        <w:rPr>
          <w:rFonts w:ascii="宋体" w:hAnsi="宋体" w:cs="宋体"/>
          <w:color w:val="auto"/>
          <w:sz w:val="28"/>
          <w:szCs w:val="28"/>
          <w:highlight w:val="none"/>
        </w:rPr>
      </w:pPr>
      <w:r>
        <w:rPr>
          <w:rFonts w:hint="eastAsia" w:ascii="宋体" w:hAnsi="宋体" w:cs="Times New Roman"/>
          <w:color w:val="auto"/>
          <w:sz w:val="28"/>
          <w:szCs w:val="28"/>
          <w:highlight w:val="none"/>
          <w:lang w:val="en-US" w:eastAsia="zh-CN"/>
        </w:rPr>
        <w:t xml:space="preserve">    </w:t>
      </w:r>
      <w:r>
        <w:rPr>
          <w:rFonts w:hint="eastAsia" w:ascii="宋体" w:hAnsi="宋体" w:cs="Times New Roman"/>
          <w:color w:val="auto"/>
          <w:sz w:val="28"/>
          <w:szCs w:val="28"/>
          <w:highlight w:val="none"/>
          <w:lang w:eastAsia="zh-CN"/>
        </w:rPr>
        <w:t>以上资料验原件、留存加盖公章的复印件。</w:t>
      </w:r>
    </w:p>
    <w:p>
      <w:pPr>
        <w:numPr>
          <w:ilvl w:val="0"/>
          <w:numId w:val="22"/>
        </w:numPr>
        <w:tabs>
          <w:tab w:val="left" w:pos="1134"/>
        </w:tabs>
        <w:snapToGrid w:val="0"/>
        <w:spacing w:line="640" w:lineRule="exact"/>
        <w:ind w:left="0" w:firstLine="567"/>
        <w:rPr>
          <w:rFonts w:ascii="宋体" w:hAnsi="宋体" w:cs="宋体"/>
          <w:color w:val="auto"/>
          <w:sz w:val="28"/>
          <w:szCs w:val="28"/>
          <w:highlight w:val="none"/>
        </w:rPr>
      </w:pPr>
      <w:bookmarkStart w:id="33" w:name="_Toc217446066"/>
      <w:r>
        <w:rPr>
          <w:rFonts w:hint="eastAsia" w:ascii="宋体" w:hAnsi="宋体"/>
          <w:color w:val="auto"/>
          <w:sz w:val="28"/>
          <w:szCs w:val="28"/>
          <w:highlight w:val="none"/>
        </w:rPr>
        <w:t>合同签订后，采购人应在</w:t>
      </w:r>
      <w:r>
        <w:rPr>
          <w:rFonts w:ascii="宋体" w:hAnsi="宋体"/>
          <w:color w:val="auto"/>
          <w:sz w:val="28"/>
          <w:szCs w:val="28"/>
          <w:highlight w:val="none"/>
        </w:rPr>
        <w:t>7</w:t>
      </w:r>
      <w:r>
        <w:rPr>
          <w:rFonts w:hint="eastAsia" w:ascii="宋体" w:hAnsi="宋体"/>
          <w:color w:val="auto"/>
          <w:sz w:val="28"/>
          <w:szCs w:val="28"/>
          <w:highlight w:val="none"/>
        </w:rPr>
        <w:t>个工作日内按照</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财政局的要求完成合同备案工作。</w:t>
      </w:r>
    </w:p>
    <w:p>
      <w:pPr>
        <w:numPr>
          <w:ilvl w:val="0"/>
          <w:numId w:val="22"/>
        </w:numPr>
        <w:tabs>
          <w:tab w:val="left" w:pos="1134"/>
        </w:tabs>
        <w:snapToGrid w:val="0"/>
        <w:spacing w:line="640" w:lineRule="exact"/>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采购人不得向</w:t>
      </w:r>
      <w:r>
        <w:rPr>
          <w:rFonts w:ascii="宋体" w:hAnsi="宋体" w:cs="宋体"/>
          <w:color w:val="auto"/>
          <w:sz w:val="28"/>
          <w:szCs w:val="28"/>
          <w:highlight w:val="none"/>
        </w:rPr>
        <w:t>成交</w:t>
      </w:r>
      <w:r>
        <w:rPr>
          <w:rFonts w:hint="eastAsia" w:ascii="宋体" w:hAnsi="宋体" w:cs="宋体"/>
          <w:color w:val="auto"/>
          <w:sz w:val="28"/>
          <w:szCs w:val="28"/>
          <w:highlight w:val="none"/>
        </w:rPr>
        <w:t>供应商提出任何不合理的要求作为签订合同的条件，不得与</w:t>
      </w:r>
      <w:r>
        <w:rPr>
          <w:rFonts w:ascii="宋体" w:hAnsi="宋体" w:cs="宋体"/>
          <w:color w:val="auto"/>
          <w:sz w:val="28"/>
          <w:szCs w:val="28"/>
          <w:highlight w:val="none"/>
        </w:rPr>
        <w:t>成交</w:t>
      </w:r>
      <w:r>
        <w:rPr>
          <w:rFonts w:hint="eastAsia" w:ascii="宋体" w:hAnsi="宋体" w:cs="宋体"/>
          <w:color w:val="auto"/>
          <w:sz w:val="28"/>
          <w:szCs w:val="28"/>
          <w:highlight w:val="none"/>
        </w:rPr>
        <w:t>供应商私下订立背离合同实质性内容的任何协议，所签订的合同不得对</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文件和</w:t>
      </w:r>
      <w:r>
        <w:rPr>
          <w:rFonts w:ascii="宋体" w:hAnsi="宋体" w:cs="宋体"/>
          <w:color w:val="auto"/>
          <w:sz w:val="28"/>
          <w:szCs w:val="28"/>
          <w:highlight w:val="none"/>
        </w:rPr>
        <w:t>成交</w:t>
      </w:r>
      <w:r>
        <w:rPr>
          <w:rFonts w:hint="eastAsia" w:ascii="宋体" w:hAnsi="宋体" w:cs="宋体"/>
          <w:color w:val="auto"/>
          <w:sz w:val="28"/>
          <w:szCs w:val="28"/>
          <w:highlight w:val="none"/>
        </w:rPr>
        <w:t>供应商施工响应文件作实质性修改。</w:t>
      </w:r>
    </w:p>
    <w:p>
      <w:pPr>
        <w:numPr>
          <w:ilvl w:val="0"/>
          <w:numId w:val="22"/>
        </w:numPr>
        <w:tabs>
          <w:tab w:val="left" w:pos="1134"/>
        </w:tabs>
        <w:snapToGrid w:val="0"/>
        <w:spacing w:line="640" w:lineRule="exact"/>
        <w:ind w:left="0" w:firstLine="567"/>
        <w:rPr>
          <w:rFonts w:ascii="宋体" w:hAnsi="宋体" w:cs="宋体"/>
          <w:i/>
          <w:color w:val="auto"/>
          <w:sz w:val="28"/>
          <w:szCs w:val="28"/>
          <w:highlight w:val="none"/>
        </w:rPr>
      </w:pP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w:t>
      </w:r>
      <w:r>
        <w:rPr>
          <w:rFonts w:ascii="宋体" w:hAnsi="宋体" w:cs="宋体"/>
          <w:color w:val="auto"/>
          <w:sz w:val="28"/>
          <w:szCs w:val="28"/>
          <w:highlight w:val="none"/>
        </w:rPr>
        <w:t>、</w:t>
      </w:r>
      <w:r>
        <w:rPr>
          <w:rFonts w:hint="eastAsia" w:ascii="宋体" w:hAnsi="宋体" w:cs="宋体"/>
          <w:color w:val="auto"/>
          <w:sz w:val="28"/>
          <w:szCs w:val="28"/>
          <w:highlight w:val="none"/>
        </w:rPr>
        <w:t>响应</w:t>
      </w:r>
      <w:r>
        <w:rPr>
          <w:rFonts w:ascii="宋体" w:hAnsi="宋体" w:cs="宋体"/>
          <w:color w:val="auto"/>
          <w:sz w:val="28"/>
          <w:szCs w:val="28"/>
          <w:highlight w:val="none"/>
        </w:rPr>
        <w:t>文件、</w:t>
      </w:r>
      <w:r>
        <w:rPr>
          <w:rFonts w:hint="eastAsia" w:ascii="宋体" w:hAnsi="宋体" w:cs="宋体"/>
          <w:color w:val="auto"/>
          <w:sz w:val="28"/>
          <w:szCs w:val="28"/>
          <w:highlight w:val="none"/>
        </w:rPr>
        <w:t>成交</w:t>
      </w:r>
      <w:r>
        <w:rPr>
          <w:rFonts w:ascii="宋体" w:hAnsi="宋体" w:cs="宋体"/>
          <w:color w:val="auto"/>
          <w:sz w:val="28"/>
          <w:szCs w:val="28"/>
          <w:highlight w:val="none"/>
        </w:rPr>
        <w:t>通知书</w:t>
      </w:r>
      <w:r>
        <w:rPr>
          <w:rFonts w:hint="eastAsia" w:ascii="宋体" w:hAnsi="宋体" w:cs="宋体"/>
          <w:color w:val="auto"/>
          <w:sz w:val="28"/>
          <w:szCs w:val="28"/>
          <w:highlight w:val="none"/>
        </w:rPr>
        <w:t>等</w:t>
      </w:r>
      <w:r>
        <w:rPr>
          <w:rFonts w:hint="eastAsia" w:ascii="宋体" w:hAnsi="宋体"/>
          <w:color w:val="auto"/>
          <w:sz w:val="28"/>
          <w:szCs w:val="28"/>
          <w:highlight w:val="none"/>
        </w:rPr>
        <w:t>一切与本项目评审结果有关且经责任主体确认的资料</w:t>
      </w:r>
      <w:r>
        <w:rPr>
          <w:rFonts w:ascii="宋体" w:hAnsi="宋体" w:cs="宋体"/>
          <w:color w:val="auto"/>
          <w:sz w:val="28"/>
          <w:szCs w:val="28"/>
          <w:highlight w:val="none"/>
        </w:rPr>
        <w:t>均成为有法律约束力的合同组成内容。</w:t>
      </w:r>
    </w:p>
    <w:p>
      <w:pPr>
        <w:numPr>
          <w:ilvl w:val="0"/>
          <w:numId w:val="22"/>
        </w:numPr>
        <w:tabs>
          <w:tab w:val="left" w:pos="1134"/>
        </w:tabs>
        <w:snapToGrid w:val="0"/>
        <w:spacing w:line="640" w:lineRule="exact"/>
        <w:ind w:left="0" w:firstLine="567"/>
        <w:rPr>
          <w:rFonts w:ascii="宋体" w:hAnsi="宋体" w:cs="宋体"/>
          <w:color w:val="auto"/>
          <w:sz w:val="28"/>
          <w:szCs w:val="28"/>
          <w:highlight w:val="none"/>
        </w:rPr>
      </w:pPr>
      <w:r>
        <w:rPr>
          <w:rFonts w:ascii="宋体" w:hAnsi="宋体"/>
          <w:color w:val="auto"/>
          <w:sz w:val="28"/>
          <w:szCs w:val="28"/>
          <w:highlight w:val="none"/>
        </w:rPr>
        <w:t>询问或者质疑事项可能影响成交结果的，采购人应当暂停签订合同，已经签订合同的，应当中止履行合同。</w:t>
      </w:r>
    </w:p>
    <w:p>
      <w:pPr>
        <w:pStyle w:val="6"/>
        <w:snapToGrid w:val="0"/>
        <w:spacing w:line="640" w:lineRule="exact"/>
        <w:rPr>
          <w:color w:val="auto"/>
          <w:highlight w:val="none"/>
        </w:rPr>
      </w:pPr>
      <w:r>
        <w:rPr>
          <w:rFonts w:hint="eastAsia"/>
          <w:color w:val="auto"/>
          <w:highlight w:val="none"/>
        </w:rPr>
        <w:t>合同分包</w:t>
      </w:r>
      <w:bookmarkEnd w:id="33"/>
      <w:r>
        <w:rPr>
          <w:rFonts w:hint="eastAsia"/>
          <w:color w:val="auto"/>
          <w:highlight w:val="none"/>
        </w:rPr>
        <w:t>和转包</w:t>
      </w:r>
      <w:r>
        <w:rPr>
          <w:rFonts w:hint="eastAsia" w:ascii="仿宋" w:hAnsi="仿宋" w:eastAsia="仿宋"/>
          <w:color w:val="auto"/>
          <w:szCs w:val="21"/>
          <w:highlight w:val="none"/>
          <w:lang w:val="zh-CN"/>
        </w:rPr>
        <w:t>（实质性要求）</w:t>
      </w:r>
    </w:p>
    <w:p>
      <w:pPr>
        <w:pStyle w:val="6"/>
        <w:numPr>
          <w:ilvl w:val="3"/>
          <w:numId w:val="1"/>
        </w:numPr>
        <w:snapToGrid w:val="0"/>
        <w:spacing w:line="640" w:lineRule="exact"/>
        <w:ind w:left="709"/>
        <w:rPr>
          <w:color w:val="auto"/>
          <w:highlight w:val="none"/>
        </w:rPr>
      </w:pPr>
      <w:r>
        <w:rPr>
          <w:rFonts w:hint="eastAsia"/>
          <w:color w:val="auto"/>
          <w:highlight w:val="none"/>
        </w:rPr>
        <w:t>合同分包</w:t>
      </w:r>
    </w:p>
    <w:p>
      <w:pPr>
        <w:snapToGrid w:val="0"/>
        <w:spacing w:line="640" w:lineRule="exact"/>
        <w:ind w:firstLine="700" w:firstLineChars="250"/>
        <w:rPr>
          <w:rFonts w:hint="eastAsia"/>
          <w:color w:val="auto"/>
          <w:sz w:val="28"/>
          <w:szCs w:val="28"/>
          <w:highlight w:val="none"/>
        </w:rPr>
      </w:pPr>
      <w:r>
        <w:rPr>
          <w:rFonts w:hint="eastAsia"/>
          <w:color w:val="auto"/>
          <w:sz w:val="28"/>
          <w:szCs w:val="28"/>
          <w:highlight w:val="none"/>
        </w:rPr>
        <w:t>不允许分包。</w:t>
      </w:r>
    </w:p>
    <w:p>
      <w:pPr>
        <w:pStyle w:val="6"/>
        <w:numPr>
          <w:ilvl w:val="3"/>
          <w:numId w:val="1"/>
        </w:numPr>
        <w:snapToGrid w:val="0"/>
        <w:spacing w:line="640" w:lineRule="exact"/>
        <w:ind w:left="709"/>
        <w:rPr>
          <w:strike/>
          <w:color w:val="auto"/>
          <w:highlight w:val="none"/>
        </w:rPr>
      </w:pPr>
      <w:r>
        <w:rPr>
          <w:rFonts w:hint="eastAsia"/>
          <w:color w:val="auto"/>
          <w:highlight w:val="none"/>
        </w:rPr>
        <w:t>合同转包</w:t>
      </w:r>
    </w:p>
    <w:p>
      <w:pPr>
        <w:snapToGrid w:val="0"/>
        <w:spacing w:line="640" w:lineRule="exact"/>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一、严禁成交供应商将本项目转包。本项目所称转包，是指</w:t>
      </w:r>
      <w:r>
        <w:rPr>
          <w:rFonts w:ascii="宋体" w:hAnsi="宋体" w:cs="宋体"/>
          <w:color w:val="auto"/>
          <w:sz w:val="28"/>
          <w:szCs w:val="28"/>
          <w:highlight w:val="none"/>
        </w:rPr>
        <w:t>将本项目转给他人或者将本项目全部肢解以后以分包的名义分别转给他人</w:t>
      </w:r>
      <w:r>
        <w:rPr>
          <w:rFonts w:hint="eastAsia" w:ascii="宋体" w:hAnsi="宋体" w:cs="宋体"/>
          <w:color w:val="auto"/>
          <w:sz w:val="28"/>
          <w:szCs w:val="28"/>
          <w:highlight w:val="none"/>
        </w:rPr>
        <w:t>的</w:t>
      </w:r>
      <w:r>
        <w:rPr>
          <w:rFonts w:ascii="宋体" w:hAnsi="宋体" w:cs="宋体"/>
          <w:color w:val="auto"/>
          <w:sz w:val="28"/>
          <w:szCs w:val="28"/>
          <w:highlight w:val="none"/>
        </w:rPr>
        <w:t xml:space="preserve">行为。 </w:t>
      </w:r>
    </w:p>
    <w:p>
      <w:pPr>
        <w:snapToGrid w:val="0"/>
        <w:spacing w:line="640" w:lineRule="exact"/>
        <w:ind w:firstLine="495"/>
        <w:rPr>
          <w:rFonts w:ascii="宋体" w:hAnsi="宋体"/>
          <w:color w:val="auto"/>
          <w:sz w:val="28"/>
          <w:szCs w:val="28"/>
          <w:highlight w:val="none"/>
        </w:rPr>
      </w:pPr>
      <w:r>
        <w:rPr>
          <w:rFonts w:hint="eastAsia" w:ascii="宋体" w:hAnsi="宋体"/>
          <w:color w:val="auto"/>
          <w:sz w:val="28"/>
          <w:szCs w:val="28"/>
          <w:highlight w:val="none"/>
        </w:rPr>
        <w:t>二、成交供应商转包的，视同拒绝履行政府采购合同，将依法追究法律责任。</w:t>
      </w:r>
    </w:p>
    <w:p>
      <w:pPr>
        <w:pStyle w:val="6"/>
        <w:snapToGrid w:val="0"/>
        <w:spacing w:line="640" w:lineRule="exact"/>
        <w:rPr>
          <w:color w:val="auto"/>
          <w:highlight w:val="none"/>
        </w:rPr>
      </w:pPr>
      <w:bookmarkStart w:id="34" w:name="_Toc217446067"/>
      <w:r>
        <w:rPr>
          <w:rFonts w:hint="eastAsia"/>
          <w:color w:val="auto"/>
          <w:highlight w:val="none"/>
        </w:rPr>
        <w:t>采购人增加合同标的的权</w:t>
      </w:r>
      <w:bookmarkEnd w:id="34"/>
      <w:r>
        <w:rPr>
          <w:rFonts w:hint="eastAsia"/>
          <w:color w:val="auto"/>
          <w:highlight w:val="none"/>
        </w:rPr>
        <w:t>利</w:t>
      </w:r>
    </w:p>
    <w:p>
      <w:pPr>
        <w:snapToGrid w:val="0"/>
        <w:spacing w:line="640" w:lineRule="exact"/>
        <w:ind w:firstLine="495"/>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napToGrid w:val="0"/>
        <w:spacing w:line="640" w:lineRule="exact"/>
        <w:rPr>
          <w:color w:val="auto"/>
          <w:highlight w:val="none"/>
        </w:rPr>
      </w:pPr>
      <w:bookmarkStart w:id="35" w:name="_Toc217446068"/>
      <w:r>
        <w:rPr>
          <w:rFonts w:hint="eastAsia"/>
          <w:color w:val="auto"/>
          <w:highlight w:val="none"/>
        </w:rPr>
        <w:t>履约保证金</w:t>
      </w:r>
      <w:bookmarkEnd w:id="35"/>
      <w:r>
        <w:rPr>
          <w:rFonts w:hint="eastAsia" w:ascii="仿宋" w:hAnsi="仿宋" w:eastAsia="仿宋"/>
          <w:color w:val="auto"/>
          <w:szCs w:val="21"/>
          <w:highlight w:val="none"/>
          <w:lang w:val="zh-CN"/>
        </w:rPr>
        <w:t>（实质性要求）</w:t>
      </w:r>
    </w:p>
    <w:p>
      <w:pPr>
        <w:ind w:firstLine="480" w:firstLineChars="200"/>
        <w:rPr>
          <w:color w:val="auto"/>
          <w:highlight w:val="none"/>
        </w:rPr>
      </w:pP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履约</w:t>
      </w:r>
      <w:r>
        <w:rPr>
          <w:rFonts w:hint="eastAsia" w:ascii="宋体" w:hAnsi="宋体"/>
          <w:color w:val="auto"/>
          <w:sz w:val="28"/>
          <w:szCs w:val="28"/>
          <w:highlight w:val="none"/>
          <w:lang w:eastAsia="zh-CN"/>
        </w:rPr>
        <w:t>保证</w:t>
      </w:r>
      <w:r>
        <w:rPr>
          <w:rFonts w:hint="eastAsia" w:ascii="宋体" w:hAnsi="宋体" w:eastAsia="宋体"/>
          <w:color w:val="auto"/>
          <w:sz w:val="28"/>
          <w:szCs w:val="28"/>
          <w:highlight w:val="none"/>
        </w:rPr>
        <w:t>金金额：履约保证金金额为</w:t>
      </w:r>
      <w:r>
        <w:rPr>
          <w:rFonts w:hint="eastAsia" w:ascii="宋体" w:hAnsi="宋体" w:eastAsia="宋体"/>
          <w:color w:val="auto"/>
          <w:sz w:val="28"/>
          <w:szCs w:val="28"/>
          <w:highlight w:val="none"/>
          <w:lang w:val="zh-CN"/>
        </w:rPr>
        <w:t>成交金额的</w:t>
      </w:r>
      <w:r>
        <w:rPr>
          <w:rFonts w:hint="eastAsia" w:ascii="宋体" w:hAnsi="宋体" w:eastAsia="宋体"/>
          <w:color w:val="auto"/>
          <w:sz w:val="28"/>
          <w:szCs w:val="28"/>
          <w:highlight w:val="none"/>
        </w:rPr>
        <w:t>金额的</w:t>
      </w:r>
      <w:r>
        <w:rPr>
          <w:rFonts w:hint="eastAsia" w:ascii="宋体" w:hAnsi="宋体"/>
          <w:color w:val="auto"/>
          <w:sz w:val="28"/>
          <w:szCs w:val="28"/>
          <w:highlight w:val="none"/>
          <w:lang w:val="en-US" w:eastAsia="zh-CN"/>
        </w:rPr>
        <w:t>5</w:t>
      </w:r>
      <w:r>
        <w:rPr>
          <w:rFonts w:hint="eastAsia" w:ascii="宋体" w:hAnsi="宋体" w:eastAsia="宋体"/>
          <w:color w:val="auto"/>
          <w:sz w:val="28"/>
          <w:szCs w:val="28"/>
          <w:highlight w:val="none"/>
        </w:rPr>
        <w:t>%</w:t>
      </w:r>
      <w:r>
        <w:rPr>
          <w:rFonts w:hint="eastAsia" w:ascii="宋体" w:hAnsi="宋体" w:eastAsia="宋体"/>
          <w:color w:val="auto"/>
          <w:sz w:val="28"/>
          <w:szCs w:val="28"/>
          <w:highlight w:val="none"/>
          <w:lang w:val="en-US" w:eastAsia="zh-CN"/>
        </w:rPr>
        <w:t>。</w:t>
      </w: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交款方式：政府采购合同签订前。履约保证金以支票、汇票、本票或者金融机构出具的保函等非现金形式缴纳。供应商未按照磋商文件要求缴纳履约保证金的，采购人有权拒绝与其签订采购合同。履约保证金作为违约金的一部分及用于补偿采购人因供应商不能履行合同义务而蒙受的损失。</w:t>
      </w:r>
    </w:p>
    <w:p>
      <w:pPr>
        <w:adjustRightInd w:val="0"/>
        <w:snapToGrid w:val="0"/>
        <w:spacing w:line="360" w:lineRule="auto"/>
        <w:jc w:val="left"/>
        <w:rPr>
          <w:rFonts w:hint="eastAsia" w:ascii="宋体" w:hAnsi="宋体" w:eastAsia="宋体" w:cs="Times New Roman"/>
          <w:color w:val="auto"/>
          <w:sz w:val="28"/>
          <w:szCs w:val="28"/>
          <w:highlight w:val="none"/>
          <w:lang w:val="en-US" w:eastAsia="zh-CN" w:bidi="ar-SA"/>
        </w:rPr>
      </w:pPr>
      <w:r>
        <w:rPr>
          <w:rFonts w:hint="eastAsia" w:ascii="宋体" w:hAnsi="宋体" w:eastAsia="宋体"/>
          <w:color w:val="auto"/>
          <w:sz w:val="28"/>
          <w:szCs w:val="28"/>
          <w:highlight w:val="none"/>
        </w:rPr>
        <w:t>履</w:t>
      </w:r>
      <w:r>
        <w:rPr>
          <w:rFonts w:hint="eastAsia" w:ascii="宋体" w:hAnsi="宋体" w:eastAsia="宋体" w:cs="Times New Roman"/>
          <w:color w:val="auto"/>
          <w:sz w:val="28"/>
          <w:szCs w:val="28"/>
          <w:highlight w:val="none"/>
          <w:lang w:val="en-US" w:eastAsia="zh-CN" w:bidi="ar-SA"/>
        </w:rPr>
        <w:t>约保证金退还：供应商向采购人递交履约保证金退付凭证资料文件，在采购人确认本项目的竣工验收后5个日历天内一次性退还；供应商履约不合格的，履约保证金不予退还。</w:t>
      </w:r>
    </w:p>
    <w:p>
      <w:pPr>
        <w:pStyle w:val="65"/>
        <w:widowControl w:val="0"/>
        <w:numPr>
          <w:ilvl w:val="0"/>
          <w:numId w:val="24"/>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履约保证金汇入的银行及账号</w:t>
      </w:r>
    </w:p>
    <w:p>
      <w:pPr>
        <w:pStyle w:val="128"/>
        <w:widowControl w:val="0"/>
        <w:tabs>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lang w:val="zh-CN"/>
        </w:rPr>
        <w:t>收款单位： 成都市田家炳中学</w:t>
      </w:r>
    </w:p>
    <w:p>
      <w:pPr>
        <w:pStyle w:val="128"/>
        <w:widowControl w:val="0"/>
        <w:tabs>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lang w:val="zh-CN"/>
        </w:rPr>
        <w:t>纳税人识别号：12510104450752509L</w:t>
      </w:r>
    </w:p>
    <w:p>
      <w:pPr>
        <w:pStyle w:val="128"/>
        <w:widowControl w:val="0"/>
        <w:tabs>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lang w:val="zh-CN"/>
        </w:rPr>
        <w:t>开 户 行：成都银行锦江支行</w:t>
      </w:r>
    </w:p>
    <w:p>
      <w:pPr>
        <w:pStyle w:val="128"/>
        <w:widowControl w:val="0"/>
        <w:tabs>
          <w:tab w:val="left" w:pos="1134"/>
        </w:tabs>
        <w:spacing w:after="200" w:line="600" w:lineRule="exact"/>
        <w:ind w:left="566" w:firstLine="0" w:firstLineChars="0"/>
        <w:jc w:val="both"/>
        <w:rPr>
          <w:rFonts w:ascii="宋体" w:hAnsi="宋体"/>
          <w:color w:val="auto"/>
          <w:sz w:val="28"/>
          <w:szCs w:val="28"/>
          <w:highlight w:val="none"/>
        </w:rPr>
      </w:pPr>
      <w:r>
        <w:rPr>
          <w:rFonts w:hint="eastAsia" w:ascii="宋体" w:hAnsi="宋体"/>
          <w:color w:val="auto"/>
          <w:sz w:val="28"/>
          <w:szCs w:val="28"/>
          <w:highlight w:val="none"/>
        </w:rPr>
        <w:t>银行账号：</w:t>
      </w:r>
      <w:r>
        <w:rPr>
          <w:rFonts w:hint="eastAsia" w:ascii="宋体" w:hAnsi="宋体"/>
          <w:color w:val="auto"/>
          <w:sz w:val="28"/>
          <w:szCs w:val="28"/>
          <w:highlight w:val="none"/>
          <w:lang w:val="zh-CN"/>
        </w:rPr>
        <w:t xml:space="preserve">1001300000453732 </w:t>
      </w:r>
    </w:p>
    <w:p>
      <w:pPr>
        <w:pStyle w:val="2"/>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交款时间：成交通知书发放后 ，政府采购合同签订前向采购人提交规定金额的履约保证金。</w:t>
      </w:r>
    </w:p>
    <w:p>
      <w:pPr>
        <w:pStyle w:val="65"/>
        <w:widowControl w:val="0"/>
        <w:numPr>
          <w:ilvl w:val="0"/>
          <w:numId w:val="24"/>
        </w:numPr>
        <w:tabs>
          <w:tab w:val="left" w:pos="1134"/>
        </w:tabs>
        <w:spacing w:after="200" w:line="600" w:lineRule="exact"/>
        <w:ind w:left="0" w:firstLine="566"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履约保证金不予退还情形：未能履行合同规定的部分或全部义务。履约保证金不予退还的，将按照有关规定上缴国库。</w:t>
      </w:r>
    </w:p>
    <w:p>
      <w:pPr>
        <w:pStyle w:val="65"/>
        <w:widowControl w:val="0"/>
        <w:numPr>
          <w:ilvl w:val="0"/>
          <w:numId w:val="24"/>
        </w:numPr>
        <w:tabs>
          <w:tab w:val="left" w:pos="1134"/>
        </w:tabs>
        <w:spacing w:after="200" w:line="600" w:lineRule="exact"/>
        <w:ind w:left="0" w:firstLine="566" w:firstLineChars="0"/>
        <w:jc w:val="both"/>
        <w:rPr>
          <w:rFonts w:ascii="宋体" w:hAnsi="宋体" w:eastAsia="宋体"/>
          <w:color w:val="auto"/>
          <w:sz w:val="28"/>
          <w:szCs w:val="28"/>
          <w:highlight w:val="none"/>
        </w:rPr>
      </w:pPr>
      <w:r>
        <w:rPr>
          <w:rFonts w:ascii="宋体" w:hAnsi="宋体" w:eastAsia="宋体"/>
          <w:color w:val="auto"/>
          <w:sz w:val="28"/>
          <w:szCs w:val="28"/>
          <w:highlight w:val="none"/>
        </w:rPr>
        <w:t>如</w:t>
      </w:r>
      <w:r>
        <w:rPr>
          <w:rFonts w:hint="eastAsia" w:ascii="宋体" w:hAnsi="宋体" w:eastAsia="宋体"/>
          <w:color w:val="auto"/>
          <w:sz w:val="28"/>
          <w:szCs w:val="28"/>
          <w:highlight w:val="none"/>
        </w:rPr>
        <w:t>供应商</w:t>
      </w:r>
      <w:r>
        <w:rPr>
          <w:rFonts w:ascii="宋体" w:hAnsi="宋体" w:eastAsia="宋体"/>
          <w:color w:val="auto"/>
          <w:sz w:val="28"/>
          <w:szCs w:val="28"/>
          <w:highlight w:val="none"/>
        </w:rPr>
        <w:t>未按时足额向采购人交纳履约保证金，采购人有权按照评审报告确定的</w:t>
      </w:r>
      <w:r>
        <w:rPr>
          <w:rFonts w:hint="eastAsia" w:ascii="宋体" w:hAnsi="宋体" w:eastAsia="宋体"/>
          <w:color w:val="auto"/>
          <w:sz w:val="28"/>
          <w:szCs w:val="28"/>
          <w:highlight w:val="none"/>
        </w:rPr>
        <w:t>成交</w:t>
      </w:r>
      <w:r>
        <w:rPr>
          <w:rFonts w:ascii="宋体" w:hAnsi="宋体" w:eastAsia="宋体"/>
          <w:color w:val="auto"/>
          <w:sz w:val="28"/>
          <w:szCs w:val="28"/>
          <w:highlight w:val="none"/>
        </w:rPr>
        <w:t>候选</w:t>
      </w:r>
      <w:r>
        <w:rPr>
          <w:rFonts w:hint="eastAsia" w:ascii="宋体" w:hAnsi="宋体" w:eastAsia="宋体"/>
          <w:color w:val="auto"/>
          <w:sz w:val="28"/>
          <w:szCs w:val="28"/>
          <w:highlight w:val="none"/>
        </w:rPr>
        <w:t>供应商</w:t>
      </w:r>
      <w:r>
        <w:rPr>
          <w:rFonts w:ascii="宋体" w:hAnsi="宋体" w:eastAsia="宋体"/>
          <w:color w:val="auto"/>
          <w:sz w:val="28"/>
          <w:szCs w:val="28"/>
          <w:highlight w:val="none"/>
        </w:rPr>
        <w:t>名单顺序，确定下一候选人为</w:t>
      </w:r>
      <w:r>
        <w:rPr>
          <w:rFonts w:hint="eastAsia" w:ascii="宋体" w:hAnsi="宋体" w:eastAsia="宋体"/>
          <w:color w:val="auto"/>
          <w:sz w:val="28"/>
          <w:szCs w:val="28"/>
          <w:highlight w:val="none"/>
        </w:rPr>
        <w:t>成交</w:t>
      </w:r>
      <w:r>
        <w:rPr>
          <w:rFonts w:ascii="宋体" w:hAnsi="宋体" w:eastAsia="宋体"/>
          <w:color w:val="auto"/>
          <w:sz w:val="28"/>
          <w:szCs w:val="28"/>
          <w:highlight w:val="none"/>
        </w:rPr>
        <w:t>供应商，或重新开展政府采购活动。</w:t>
      </w:r>
    </w:p>
    <w:p>
      <w:pPr>
        <w:pStyle w:val="6"/>
        <w:tabs>
          <w:tab w:val="left" w:pos="720"/>
        </w:tabs>
        <w:snapToGrid w:val="0"/>
        <w:spacing w:line="640" w:lineRule="exact"/>
        <w:rPr>
          <w:rFonts w:hint="eastAsia"/>
          <w:color w:val="auto"/>
          <w:highlight w:val="none"/>
          <w:lang w:eastAsia="zh-CN"/>
        </w:rPr>
      </w:pPr>
      <w:r>
        <w:rPr>
          <w:rFonts w:hint="eastAsia"/>
          <w:color w:val="auto"/>
          <w:highlight w:val="none"/>
          <w:lang w:eastAsia="zh-CN"/>
        </w:rPr>
        <w:t>质量保证金</w:t>
      </w:r>
      <w:r>
        <w:rPr>
          <w:rFonts w:hint="eastAsia" w:ascii="仿宋" w:hAnsi="仿宋" w:eastAsia="仿宋"/>
          <w:color w:val="auto"/>
          <w:szCs w:val="21"/>
          <w:highlight w:val="none"/>
          <w:lang w:val="zh-CN"/>
        </w:rPr>
        <w:t>（实质性要求）</w:t>
      </w:r>
    </w:p>
    <w:p>
      <w:pPr>
        <w:pStyle w:val="65"/>
        <w:widowControl w:val="0"/>
        <w:numPr>
          <w:ilvl w:val="0"/>
          <w:numId w:val="25"/>
        </w:numPr>
        <w:tabs>
          <w:tab w:val="left" w:pos="720"/>
          <w:tab w:val="left" w:pos="1134"/>
        </w:tabs>
        <w:spacing w:after="200" w:line="600" w:lineRule="exact"/>
        <w:ind w:left="82" w:leftChars="34" w:firstLine="394" w:firstLineChars="141"/>
        <w:jc w:val="both"/>
        <w:rPr>
          <w:rFonts w:hint="eastAsia" w:ascii="宋体" w:hAnsi="宋体" w:eastAsia="宋体"/>
          <w:color w:val="auto"/>
          <w:sz w:val="28"/>
          <w:szCs w:val="28"/>
          <w:highlight w:val="none"/>
          <w:lang w:val="zh-CN" w:eastAsia="zh-CN"/>
        </w:rPr>
      </w:pPr>
      <w:r>
        <w:rPr>
          <w:rFonts w:hint="eastAsia" w:ascii="宋体" w:hAnsi="宋体" w:eastAsia="宋体"/>
          <w:color w:val="auto"/>
          <w:sz w:val="28"/>
          <w:szCs w:val="28"/>
          <w:highlight w:val="none"/>
          <w:lang w:val="en-US" w:eastAsia="zh-CN"/>
        </w:rPr>
        <w:t>质量保</w:t>
      </w:r>
      <w:r>
        <w:rPr>
          <w:rFonts w:hint="eastAsia" w:ascii="宋体" w:hAnsi="宋体"/>
          <w:color w:val="auto"/>
          <w:sz w:val="28"/>
          <w:szCs w:val="28"/>
          <w:highlight w:val="none"/>
          <w:lang w:val="en-US" w:eastAsia="zh-CN"/>
        </w:rPr>
        <w:t>证金金额：</w:t>
      </w:r>
      <w:r>
        <w:rPr>
          <w:rFonts w:hint="eastAsia" w:ascii="宋体" w:hAnsi="宋体"/>
          <w:color w:val="auto"/>
          <w:sz w:val="28"/>
          <w:szCs w:val="28"/>
          <w:highlight w:val="none"/>
          <w:lang w:val="zh-CN"/>
        </w:rPr>
        <w:t>质量保证金为履约验收后确认金额的3%。</w:t>
      </w:r>
    </w:p>
    <w:p>
      <w:pPr>
        <w:pStyle w:val="65"/>
        <w:widowControl w:val="0"/>
        <w:numPr>
          <w:ilvl w:val="0"/>
          <w:numId w:val="25"/>
        </w:numPr>
        <w:tabs>
          <w:tab w:val="left" w:pos="720"/>
          <w:tab w:val="left" w:pos="1134"/>
        </w:tabs>
        <w:spacing w:after="200" w:line="600" w:lineRule="exact"/>
        <w:ind w:left="79" w:leftChars="33" w:firstLine="397" w:firstLineChars="142"/>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交款方式：</w:t>
      </w:r>
      <w:r>
        <w:rPr>
          <w:rFonts w:hint="eastAsia" w:ascii="宋体" w:hAnsi="宋体" w:eastAsia="宋体"/>
          <w:color w:val="auto"/>
          <w:sz w:val="28"/>
          <w:szCs w:val="28"/>
          <w:highlight w:val="none"/>
          <w:lang w:eastAsia="zh-CN"/>
        </w:rPr>
        <w:t>质量</w:t>
      </w:r>
      <w:r>
        <w:rPr>
          <w:rFonts w:hint="eastAsia" w:ascii="宋体" w:hAnsi="宋体" w:eastAsia="宋体"/>
          <w:color w:val="auto"/>
          <w:sz w:val="28"/>
          <w:szCs w:val="28"/>
          <w:highlight w:val="none"/>
        </w:rPr>
        <w:t>保证金以支票、汇票、本票或者金融机构出具的保函等非现金形式缴纳。</w:t>
      </w:r>
    </w:p>
    <w:p>
      <w:pPr>
        <w:pStyle w:val="65"/>
        <w:widowControl w:val="0"/>
        <w:numPr>
          <w:ilvl w:val="0"/>
          <w:numId w:val="25"/>
        </w:numPr>
        <w:tabs>
          <w:tab w:val="left" w:pos="720"/>
          <w:tab w:val="left" w:pos="1134"/>
        </w:tabs>
        <w:spacing w:after="200" w:line="600" w:lineRule="exact"/>
        <w:ind w:left="82" w:leftChars="34" w:firstLine="394" w:firstLineChars="141"/>
        <w:jc w:val="both"/>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质量</w:t>
      </w:r>
      <w:r>
        <w:rPr>
          <w:rFonts w:hint="eastAsia" w:ascii="宋体" w:hAnsi="宋体" w:eastAsia="宋体"/>
          <w:color w:val="auto"/>
          <w:sz w:val="28"/>
          <w:szCs w:val="28"/>
          <w:highlight w:val="none"/>
          <w:lang w:val="en-US" w:eastAsia="zh-CN"/>
        </w:rPr>
        <w:t>保证金退还：</w:t>
      </w:r>
      <w:r>
        <w:rPr>
          <w:rFonts w:hint="eastAsia" w:ascii="宋体" w:hAnsi="宋体" w:eastAsia="宋体"/>
          <w:color w:val="auto"/>
          <w:sz w:val="28"/>
          <w:szCs w:val="28"/>
          <w:highlight w:val="none"/>
          <w:lang w:val="zh-CN"/>
        </w:rPr>
        <w:t>质保期</w:t>
      </w:r>
      <w:r>
        <w:rPr>
          <w:rFonts w:hint="eastAsia" w:ascii="宋体" w:hAnsi="宋体"/>
          <w:color w:val="auto"/>
          <w:sz w:val="28"/>
          <w:szCs w:val="28"/>
          <w:highlight w:val="none"/>
          <w:lang w:val="en-US" w:eastAsia="zh-CN"/>
        </w:rPr>
        <w:t>为</w:t>
      </w:r>
      <w:r>
        <w:rPr>
          <w:rFonts w:hint="eastAsia" w:ascii="宋体" w:hAnsi="宋体" w:eastAsia="宋体"/>
          <w:color w:val="auto"/>
          <w:sz w:val="28"/>
          <w:szCs w:val="28"/>
          <w:highlight w:val="none"/>
          <w:lang w:val="zh-CN"/>
        </w:rPr>
        <w:t>是2年，待质保期满验收无质量问题后，项目业主把</w:t>
      </w:r>
      <w:r>
        <w:rPr>
          <w:rFonts w:hint="eastAsia" w:ascii="宋体" w:hAnsi="宋体"/>
          <w:color w:val="auto"/>
          <w:sz w:val="28"/>
          <w:szCs w:val="28"/>
          <w:highlight w:val="none"/>
          <w:lang w:val="zh-CN"/>
        </w:rPr>
        <w:t>质量保金</w:t>
      </w:r>
      <w:r>
        <w:rPr>
          <w:rFonts w:hint="eastAsia" w:ascii="宋体" w:hAnsi="宋体" w:eastAsia="宋体"/>
          <w:color w:val="auto"/>
          <w:sz w:val="28"/>
          <w:szCs w:val="28"/>
          <w:highlight w:val="none"/>
          <w:lang w:val="zh-CN"/>
        </w:rPr>
        <w:t>按期退还给施工单位。</w:t>
      </w:r>
    </w:p>
    <w:p>
      <w:pPr>
        <w:pStyle w:val="65"/>
        <w:widowControl w:val="0"/>
        <w:numPr>
          <w:ilvl w:val="0"/>
          <w:numId w:val="0"/>
        </w:numPr>
        <w:tabs>
          <w:tab w:val="left" w:pos="720"/>
          <w:tab w:val="left" w:pos="1134"/>
        </w:tabs>
        <w:spacing w:after="200" w:line="600" w:lineRule="exact"/>
        <w:ind w:left="324" w:leftChars="0" w:hanging="324" w:hangingChars="116"/>
        <w:jc w:val="both"/>
        <w:rPr>
          <w:rFonts w:hint="eastAsia" w:ascii="宋体" w:hAnsi="宋体" w:eastAsia="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四、质量</w:t>
      </w:r>
      <w:r>
        <w:rPr>
          <w:rFonts w:hint="eastAsia" w:ascii="宋体" w:hAnsi="宋体" w:eastAsia="宋体"/>
          <w:color w:val="auto"/>
          <w:sz w:val="28"/>
          <w:szCs w:val="28"/>
          <w:highlight w:val="none"/>
        </w:rPr>
        <w:t>保证金汇入的银行及账号</w:t>
      </w:r>
    </w:p>
    <w:p>
      <w:pPr>
        <w:pStyle w:val="128"/>
        <w:widowControl w:val="0"/>
        <w:tabs>
          <w:tab w:val="left" w:pos="720"/>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rPr>
        <w:t>收款单位：</w:t>
      </w:r>
      <w:r>
        <w:rPr>
          <w:rFonts w:hint="eastAsia" w:ascii="宋体" w:hAnsi="宋体"/>
          <w:color w:val="auto"/>
          <w:sz w:val="28"/>
          <w:szCs w:val="28"/>
          <w:highlight w:val="none"/>
          <w:lang w:val="zh-CN"/>
        </w:rPr>
        <w:t>成都市田家炳中学</w:t>
      </w:r>
    </w:p>
    <w:p>
      <w:pPr>
        <w:pStyle w:val="128"/>
        <w:widowControl w:val="0"/>
        <w:tabs>
          <w:tab w:val="left" w:pos="720"/>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lang w:val="zh-CN"/>
        </w:rPr>
        <w:t>纳税人识别号：12510104450752509L</w:t>
      </w:r>
    </w:p>
    <w:p>
      <w:pPr>
        <w:pStyle w:val="128"/>
        <w:widowControl w:val="0"/>
        <w:tabs>
          <w:tab w:val="left" w:pos="720"/>
          <w:tab w:val="left" w:pos="1134"/>
        </w:tabs>
        <w:spacing w:after="200" w:line="600" w:lineRule="exact"/>
        <w:ind w:left="566" w:firstLine="0" w:firstLineChars="0"/>
        <w:jc w:val="both"/>
        <w:rPr>
          <w:rFonts w:ascii="宋体" w:hAnsi="宋体"/>
          <w:color w:val="auto"/>
          <w:sz w:val="28"/>
          <w:szCs w:val="28"/>
          <w:highlight w:val="none"/>
          <w:lang w:val="zh-CN"/>
        </w:rPr>
      </w:pPr>
      <w:r>
        <w:rPr>
          <w:rFonts w:hint="eastAsia" w:ascii="宋体" w:hAnsi="宋体"/>
          <w:color w:val="auto"/>
          <w:sz w:val="28"/>
          <w:szCs w:val="28"/>
          <w:highlight w:val="none"/>
          <w:lang w:val="zh-CN"/>
        </w:rPr>
        <w:t>开 户 行：成都银行锦江支行</w:t>
      </w:r>
    </w:p>
    <w:p>
      <w:pPr>
        <w:pStyle w:val="128"/>
        <w:widowControl w:val="0"/>
        <w:tabs>
          <w:tab w:val="left" w:pos="720"/>
          <w:tab w:val="left" w:pos="1134"/>
        </w:tabs>
        <w:spacing w:after="200" w:line="600" w:lineRule="exact"/>
        <w:ind w:left="566" w:firstLine="0" w:firstLineChars="0"/>
        <w:jc w:val="both"/>
        <w:rPr>
          <w:rFonts w:ascii="宋体" w:hAnsi="宋体"/>
          <w:color w:val="auto"/>
          <w:sz w:val="28"/>
          <w:szCs w:val="28"/>
          <w:highlight w:val="none"/>
        </w:rPr>
      </w:pPr>
      <w:r>
        <w:rPr>
          <w:rFonts w:hint="eastAsia" w:ascii="宋体" w:hAnsi="宋体"/>
          <w:color w:val="auto"/>
          <w:sz w:val="28"/>
          <w:szCs w:val="28"/>
          <w:highlight w:val="none"/>
        </w:rPr>
        <w:t>银行账号：</w:t>
      </w:r>
      <w:r>
        <w:rPr>
          <w:rFonts w:hint="eastAsia" w:ascii="宋体" w:hAnsi="宋体"/>
          <w:color w:val="auto"/>
          <w:sz w:val="28"/>
          <w:szCs w:val="28"/>
          <w:highlight w:val="none"/>
          <w:lang w:val="zh-CN"/>
        </w:rPr>
        <w:t>1001300000453732</w:t>
      </w:r>
    </w:p>
    <w:p>
      <w:pPr>
        <w:pStyle w:val="2"/>
        <w:tabs>
          <w:tab w:val="left" w:pos="720"/>
        </w:tabs>
        <w:ind w:left="0" w:leftChars="0" w:firstLine="238" w:firstLineChars="85"/>
        <w:rPr>
          <w:rFonts w:ascii="宋体" w:hAnsi="宋体" w:eastAsia="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五、</w:t>
      </w:r>
      <w:r>
        <w:rPr>
          <w:rFonts w:hint="eastAsia" w:ascii="宋体" w:hAnsi="宋体" w:eastAsia="宋体"/>
          <w:color w:val="auto"/>
          <w:sz w:val="28"/>
          <w:szCs w:val="28"/>
          <w:highlight w:val="none"/>
        </w:rPr>
        <w:t>交款时间：</w:t>
      </w:r>
      <w:r>
        <w:rPr>
          <w:rFonts w:hint="eastAsia" w:ascii="宋体" w:hAnsi="宋体" w:eastAsia="宋体"/>
          <w:color w:val="auto"/>
          <w:sz w:val="28"/>
          <w:szCs w:val="28"/>
          <w:highlight w:val="none"/>
          <w:lang w:val="zh-CN"/>
        </w:rPr>
        <w:t>由</w:t>
      </w:r>
      <w:r>
        <w:rPr>
          <w:rFonts w:hint="eastAsia" w:ascii="宋体" w:hAnsi="宋体"/>
          <w:color w:val="auto"/>
          <w:sz w:val="28"/>
          <w:szCs w:val="28"/>
          <w:highlight w:val="none"/>
          <w:lang w:val="en-US" w:eastAsia="zh-CN"/>
        </w:rPr>
        <w:t>施工单位</w:t>
      </w:r>
      <w:r>
        <w:rPr>
          <w:rFonts w:hint="eastAsia" w:ascii="宋体" w:hAnsi="宋体" w:eastAsia="宋体"/>
          <w:color w:val="auto"/>
          <w:sz w:val="28"/>
          <w:szCs w:val="28"/>
          <w:highlight w:val="none"/>
          <w:lang w:val="zh-CN"/>
        </w:rPr>
        <w:t>在</w:t>
      </w:r>
      <w:r>
        <w:rPr>
          <w:rFonts w:hint="eastAsia" w:ascii="宋体" w:hAnsi="宋体"/>
          <w:color w:val="auto"/>
          <w:sz w:val="28"/>
          <w:szCs w:val="28"/>
          <w:highlight w:val="none"/>
          <w:lang w:val="en-US" w:eastAsia="zh-CN"/>
        </w:rPr>
        <w:t>申请</w:t>
      </w:r>
      <w:r>
        <w:rPr>
          <w:rFonts w:hint="eastAsia" w:ascii="宋体" w:hAnsi="宋体" w:eastAsia="宋体"/>
          <w:color w:val="auto"/>
          <w:sz w:val="28"/>
          <w:szCs w:val="28"/>
          <w:highlight w:val="none"/>
          <w:lang w:val="zh-CN"/>
        </w:rPr>
        <w:t>第三笔</w:t>
      </w:r>
      <w:r>
        <w:rPr>
          <w:rFonts w:hint="eastAsia" w:ascii="宋体" w:hAnsi="宋体"/>
          <w:color w:val="auto"/>
          <w:sz w:val="28"/>
          <w:szCs w:val="28"/>
          <w:highlight w:val="none"/>
          <w:lang w:val="en-US" w:eastAsia="zh-CN"/>
        </w:rPr>
        <w:t>付</w:t>
      </w:r>
      <w:r>
        <w:rPr>
          <w:rFonts w:hint="eastAsia" w:ascii="宋体" w:hAnsi="宋体" w:eastAsia="宋体"/>
          <w:color w:val="auto"/>
          <w:sz w:val="28"/>
          <w:szCs w:val="28"/>
          <w:highlight w:val="none"/>
          <w:lang w:val="zh-CN"/>
        </w:rPr>
        <w:t>款时先行支付给项目业主。</w:t>
      </w:r>
    </w:p>
    <w:p>
      <w:pPr>
        <w:pStyle w:val="6"/>
        <w:snapToGrid w:val="0"/>
        <w:spacing w:line="640" w:lineRule="exact"/>
        <w:rPr>
          <w:color w:val="auto"/>
          <w:highlight w:val="none"/>
        </w:rPr>
      </w:pPr>
      <w:r>
        <w:rPr>
          <w:color w:val="auto"/>
          <w:highlight w:val="none"/>
        </w:rPr>
        <w:t>合同公告</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w:t>
      </w:r>
      <w:r>
        <w:rPr>
          <w:rFonts w:ascii="宋体" w:hAnsi="宋体"/>
          <w:color w:val="auto"/>
          <w:sz w:val="28"/>
          <w:szCs w:val="28"/>
          <w:highlight w:val="none"/>
        </w:rPr>
        <w:t>2个工作日内，</w:t>
      </w:r>
      <w:r>
        <w:rPr>
          <w:rFonts w:hint="eastAsia" w:ascii="宋体" w:hAnsi="宋体"/>
          <w:color w:val="auto"/>
          <w:sz w:val="28"/>
          <w:szCs w:val="28"/>
          <w:highlight w:val="none"/>
        </w:rPr>
        <w:t>将政府采购合同在四川政府采购网上公告，但政府采购合同中涉及国家秘密、商业秘密的内容除外。</w:t>
      </w:r>
    </w:p>
    <w:p>
      <w:pPr>
        <w:pStyle w:val="6"/>
        <w:snapToGrid w:val="0"/>
        <w:spacing w:line="640" w:lineRule="exact"/>
        <w:rPr>
          <w:color w:val="auto"/>
          <w:highlight w:val="none"/>
        </w:rPr>
      </w:pPr>
      <w:r>
        <w:rPr>
          <w:color w:val="auto"/>
          <w:highlight w:val="none"/>
        </w:rPr>
        <w:t>合同备案</w:t>
      </w:r>
    </w:p>
    <w:p>
      <w:pPr>
        <w:tabs>
          <w:tab w:val="left" w:pos="1134"/>
        </w:tabs>
        <w:snapToGrid w:val="0"/>
        <w:spacing w:line="640" w:lineRule="exact"/>
        <w:ind w:firstLine="560" w:firstLineChars="200"/>
        <w:rPr>
          <w:rFonts w:hint="eastAsia" w:ascii="宋体" w:hAnsi="宋体"/>
          <w:color w:val="auto"/>
          <w:sz w:val="28"/>
          <w:szCs w:val="28"/>
          <w:highlight w:val="none"/>
          <w:lang w:eastAsia="zh-CN"/>
        </w:rPr>
      </w:pPr>
      <w:r>
        <w:rPr>
          <w:rFonts w:hint="eastAsia" w:ascii="宋体" w:hAnsi="宋体"/>
          <w:color w:val="auto"/>
          <w:sz w:val="28"/>
          <w:szCs w:val="28"/>
          <w:highlight w:val="none"/>
        </w:rPr>
        <w:t>合同签订后，采购人应在7个工作日内按照</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财政局的要求完成合同备案工作。</w:t>
      </w:r>
    </w:p>
    <w:bookmarkEnd w:id="32"/>
    <w:p>
      <w:pPr>
        <w:pStyle w:val="6"/>
        <w:snapToGrid w:val="0"/>
        <w:spacing w:line="640" w:lineRule="exact"/>
        <w:rPr>
          <w:color w:val="auto"/>
          <w:highlight w:val="none"/>
        </w:rPr>
      </w:pPr>
      <w:bookmarkStart w:id="36" w:name="_Toc217446070"/>
      <w:r>
        <w:rPr>
          <w:rFonts w:hint="eastAsia" w:cs="宋体"/>
          <w:color w:val="auto"/>
          <w:highlight w:val="none"/>
        </w:rPr>
        <w:t>履行</w:t>
      </w:r>
      <w:r>
        <w:rPr>
          <w:rFonts w:hint="eastAsia"/>
          <w:color w:val="auto"/>
          <w:highlight w:val="none"/>
        </w:rPr>
        <w:t>合同</w:t>
      </w:r>
    </w:p>
    <w:p>
      <w:pPr>
        <w:widowControl w:val="0"/>
        <w:numPr>
          <w:ilvl w:val="0"/>
          <w:numId w:val="26"/>
        </w:numPr>
        <w:tabs>
          <w:tab w:val="left" w:pos="1134"/>
        </w:tabs>
        <w:snapToGrid w:val="0"/>
        <w:spacing w:line="64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合同一经签订，双方应严格履行合同规定的义务。</w:t>
      </w:r>
    </w:p>
    <w:p>
      <w:pPr>
        <w:widowControl w:val="0"/>
        <w:numPr>
          <w:ilvl w:val="0"/>
          <w:numId w:val="26"/>
        </w:numPr>
        <w:tabs>
          <w:tab w:val="left" w:pos="1134"/>
        </w:tabs>
        <w:snapToGrid w:val="0"/>
        <w:spacing w:line="640" w:lineRule="exact"/>
        <w:ind w:left="0" w:firstLine="565" w:firstLineChars="202"/>
        <w:jc w:val="both"/>
        <w:rPr>
          <w:color w:val="auto"/>
          <w:highlight w:val="none"/>
        </w:rPr>
      </w:pPr>
      <w:r>
        <w:rPr>
          <w:rFonts w:hint="eastAsia" w:ascii="宋体" w:hAnsi="宋体"/>
          <w:color w:val="auto"/>
          <w:sz w:val="28"/>
          <w:szCs w:val="28"/>
          <w:highlight w:val="none"/>
        </w:rPr>
        <w:t>在合同履行过程中，如发生合同纠纷，合同双方应按照《中华人民</w:t>
      </w:r>
      <w:r>
        <w:rPr>
          <w:rFonts w:ascii="宋体" w:hAnsi="宋体"/>
          <w:color w:val="auto"/>
          <w:sz w:val="28"/>
          <w:szCs w:val="28"/>
          <w:highlight w:val="none"/>
        </w:rPr>
        <w:t>共和国民法典</w:t>
      </w:r>
      <w:r>
        <w:rPr>
          <w:rFonts w:hint="eastAsia" w:ascii="宋体" w:hAnsi="宋体"/>
          <w:color w:val="auto"/>
          <w:sz w:val="28"/>
          <w:szCs w:val="28"/>
          <w:highlight w:val="none"/>
        </w:rPr>
        <w:t>》及合同条款的有关规定进行处理。</w:t>
      </w:r>
    </w:p>
    <w:p>
      <w:pPr>
        <w:pStyle w:val="6"/>
        <w:snapToGrid w:val="0"/>
        <w:spacing w:line="640" w:lineRule="exact"/>
        <w:rPr>
          <w:color w:val="auto"/>
          <w:highlight w:val="none"/>
        </w:rPr>
      </w:pPr>
      <w:r>
        <w:rPr>
          <w:rFonts w:hint="eastAsia"/>
          <w:color w:val="auto"/>
          <w:highlight w:val="none"/>
        </w:rPr>
        <w:t>验收</w:t>
      </w:r>
      <w:bookmarkEnd w:id="36"/>
    </w:p>
    <w:p>
      <w:pPr>
        <w:widowControl w:val="0"/>
        <w:numPr>
          <w:ilvl w:val="0"/>
          <w:numId w:val="0"/>
        </w:numPr>
        <w:tabs>
          <w:tab w:val="left" w:pos="1134"/>
        </w:tabs>
        <w:snapToGrid w:val="0"/>
        <w:spacing w:line="640" w:lineRule="exact"/>
        <w:ind w:leftChars="202"/>
        <w:jc w:val="both"/>
        <w:rPr>
          <w:rFonts w:hint="eastAsia" w:ascii="宋体" w:hAnsi="宋体"/>
          <w:color w:val="auto"/>
          <w:sz w:val="28"/>
          <w:szCs w:val="28"/>
          <w:highlight w:val="none"/>
        </w:rPr>
      </w:pPr>
      <w:r>
        <w:rPr>
          <w:rFonts w:hint="eastAsia" w:ascii="宋体" w:hAnsi="宋体"/>
          <w:color w:val="auto"/>
          <w:sz w:val="28"/>
          <w:szCs w:val="28"/>
          <w:highlight w:val="none"/>
        </w:rPr>
        <w:t>采购人严格按照国家相关法律法规的要求组织验收或考核。</w:t>
      </w:r>
    </w:p>
    <w:p>
      <w:pPr>
        <w:pStyle w:val="6"/>
        <w:snapToGrid w:val="0"/>
        <w:spacing w:line="640" w:lineRule="exact"/>
        <w:rPr>
          <w:color w:val="auto"/>
          <w:highlight w:val="none"/>
        </w:rPr>
      </w:pPr>
      <w:r>
        <w:rPr>
          <w:rFonts w:hint="eastAsia"/>
          <w:color w:val="auto"/>
          <w:highlight w:val="none"/>
        </w:rPr>
        <w:t>资金支付</w:t>
      </w:r>
    </w:p>
    <w:p>
      <w:pPr>
        <w:pStyle w:val="30"/>
        <w:snapToGrid w:val="0"/>
        <w:spacing w:line="64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采购人按财政部门的有关规定及采购合同的约定进行支付。</w:t>
      </w:r>
    </w:p>
    <w:p>
      <w:pPr>
        <w:pStyle w:val="5"/>
        <w:snapToGrid w:val="0"/>
        <w:spacing w:line="640" w:lineRule="exact"/>
        <w:rPr>
          <w:color w:val="auto"/>
          <w:highlight w:val="none"/>
        </w:rPr>
      </w:pPr>
      <w:bookmarkStart w:id="37" w:name="_Toc12603"/>
      <w:r>
        <w:rPr>
          <w:rFonts w:hint="eastAsia"/>
          <w:color w:val="auto"/>
          <w:highlight w:val="none"/>
        </w:rPr>
        <w:t>竞争性</w:t>
      </w:r>
      <w:r>
        <w:rPr>
          <w:rFonts w:hint="eastAsia"/>
          <w:color w:val="auto"/>
          <w:highlight w:val="none"/>
          <w:lang w:eastAsia="zh-CN"/>
        </w:rPr>
        <w:t>磋商</w:t>
      </w:r>
      <w:r>
        <w:rPr>
          <w:rFonts w:hint="eastAsia"/>
          <w:color w:val="auto"/>
          <w:highlight w:val="none"/>
        </w:rPr>
        <w:t>工作纪律及要求</w:t>
      </w:r>
      <w:bookmarkEnd w:id="37"/>
    </w:p>
    <w:p>
      <w:pPr>
        <w:pStyle w:val="6"/>
        <w:snapToGrid w:val="0"/>
        <w:spacing w:line="640" w:lineRule="exact"/>
        <w:ind w:left="0" w:firstLine="0"/>
        <w:rPr>
          <w:color w:val="auto"/>
          <w:highlight w:val="none"/>
        </w:rPr>
      </w:pPr>
      <w:bookmarkStart w:id="38" w:name="_Toc217446075"/>
      <w:r>
        <w:rPr>
          <w:rFonts w:hint="eastAsia"/>
          <w:color w:val="auto"/>
          <w:highlight w:val="none"/>
        </w:rPr>
        <w:t>供应商不得具有的情形</w:t>
      </w:r>
      <w:bookmarkEnd w:id="38"/>
    </w:p>
    <w:p>
      <w:pPr>
        <w:pStyle w:val="17"/>
        <w:snapToGrid w:val="0"/>
        <w:spacing w:line="640" w:lineRule="exact"/>
        <w:ind w:firstLine="560"/>
        <w:rPr>
          <w:rFonts w:ascii="宋体" w:hAnsi="宋体"/>
          <w:color w:val="auto"/>
          <w:sz w:val="28"/>
          <w:szCs w:val="28"/>
          <w:highlight w:val="none"/>
        </w:rPr>
      </w:pPr>
      <w:r>
        <w:rPr>
          <w:rFonts w:hint="eastAsia" w:ascii="宋体" w:hAnsi="宋体"/>
          <w:color w:val="auto"/>
          <w:sz w:val="28"/>
          <w:szCs w:val="28"/>
          <w:highlight w:val="none"/>
        </w:rPr>
        <w:t>供应商参加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不得有下列情形：</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有下列情形之一的，视为供应商串通参加本次竞争性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（一）不同供应商的施工响应文件由同一单位或者个人编制；</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（二）不同供应商委托同一单位或者个人办理</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事宜；</w:t>
      </w:r>
    </w:p>
    <w:p>
      <w:pPr>
        <w:tabs>
          <w:tab w:val="left" w:pos="1134"/>
        </w:tabs>
        <w:snapToGrid w:val="0"/>
        <w:spacing w:line="640" w:lineRule="exact"/>
        <w:ind w:firstLine="537" w:firstLineChars="192"/>
        <w:rPr>
          <w:rFonts w:ascii="宋体" w:hAnsi="宋体"/>
          <w:color w:val="auto"/>
          <w:sz w:val="28"/>
          <w:szCs w:val="28"/>
          <w:highlight w:val="none"/>
        </w:rPr>
      </w:pPr>
      <w:r>
        <w:rPr>
          <w:rFonts w:hint="eastAsia" w:ascii="宋体" w:hAnsi="宋体"/>
          <w:color w:val="auto"/>
          <w:sz w:val="28"/>
          <w:szCs w:val="28"/>
          <w:highlight w:val="none"/>
        </w:rPr>
        <w:t>（三）不同供应商的施工响应文件载明的项目管理成员或者联系人员为同一人；</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（四）不同供应商的施工响应文件异常一致或者最后报价呈规律性差异；</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（五）不同供应商的施工响应文件相互混装；</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（六）不同供应商的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保证金从同一单位或者个人的账户转出；</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提供虚假材料谋取成交；</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采取不正当手段诋毁、排挤其他供应商；</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、其他供应商恶意串通；</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小组成员行贿或者提供其他不正当利益；</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lang w:val="en-US" w:eastAsia="zh-CN"/>
        </w:rPr>
        <w:t>成交</w:t>
      </w:r>
      <w:r>
        <w:rPr>
          <w:rFonts w:hint="eastAsia" w:ascii="宋体" w:hAnsi="宋体"/>
          <w:color w:val="auto"/>
          <w:sz w:val="28"/>
          <w:szCs w:val="28"/>
          <w:highlight w:val="none"/>
        </w:rPr>
        <w:t>后无正当理由拒不与采购人签订政府采购合同；</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提供假冒伪劣产品；</w:t>
      </w:r>
    </w:p>
    <w:p>
      <w:pPr>
        <w:widowControl w:val="0"/>
        <w:numPr>
          <w:ilvl w:val="1"/>
          <w:numId w:val="2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被列入失信被执行人、重大税收违法案件当事人名单、政府采购严重违法失信行为记录名单。参加政府采购活动前三年内，在经营活动中有重大违法记录</w:t>
      </w:r>
      <w:r>
        <w:rPr>
          <w:rFonts w:ascii="宋体" w:hAnsi="宋体"/>
          <w:color w:val="auto"/>
          <w:sz w:val="28"/>
          <w:szCs w:val="28"/>
          <w:highlight w:val="none"/>
        </w:rPr>
        <w:t>；</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在行贿犯罪信息查询期限内，根据中国裁判文书网（</w:t>
      </w:r>
      <w:r>
        <w:rPr>
          <w:rFonts w:ascii="宋体" w:hAnsi="宋体"/>
          <w:color w:val="auto"/>
          <w:sz w:val="28"/>
          <w:szCs w:val="28"/>
          <w:highlight w:val="none"/>
        </w:rPr>
        <w:t>http://wenshu.court.gov.cn</w:t>
      </w:r>
      <w:r>
        <w:rPr>
          <w:rFonts w:hint="eastAsia" w:ascii="宋体" w:hAnsi="宋体"/>
          <w:color w:val="auto"/>
          <w:sz w:val="28"/>
          <w:szCs w:val="28"/>
          <w:highlight w:val="none"/>
        </w:rPr>
        <w:t>）查询结果供应商及其现任法定代表人、主要负责人有行贿犯罪记录。</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处于被行政部门禁止参与政府采购活动的期限内；</w:t>
      </w:r>
    </w:p>
    <w:p>
      <w:pPr>
        <w:widowControl w:val="0"/>
        <w:numPr>
          <w:ilvl w:val="1"/>
          <w:numId w:val="27"/>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拒绝有关部门的监督检查或者向监督检查部门提供虚假情况；</w:t>
      </w:r>
    </w:p>
    <w:p>
      <w:pPr>
        <w:widowControl w:val="0"/>
        <w:numPr>
          <w:ilvl w:val="1"/>
          <w:numId w:val="27"/>
        </w:numPr>
        <w:tabs>
          <w:tab w:val="left" w:pos="1134"/>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法律法规规定的其他情形。</w:t>
      </w:r>
    </w:p>
    <w:p>
      <w:pPr>
        <w:pStyle w:val="17"/>
        <w:snapToGrid w:val="0"/>
        <w:spacing w:line="640" w:lineRule="exact"/>
        <w:ind w:firstLine="568" w:firstLineChars="202"/>
        <w:rPr>
          <w:rFonts w:ascii="宋体" w:hAnsi="宋体"/>
          <w:b/>
          <w:bCs/>
          <w:color w:val="auto"/>
          <w:sz w:val="28"/>
          <w:szCs w:val="28"/>
          <w:highlight w:val="none"/>
        </w:rPr>
      </w:pPr>
      <w:r>
        <w:rPr>
          <w:rFonts w:hint="eastAsia" w:ascii="宋体" w:hAnsi="宋体"/>
          <w:b/>
          <w:bCs/>
          <w:color w:val="auto"/>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6"/>
        <w:snapToGrid w:val="0"/>
        <w:spacing w:line="640" w:lineRule="exact"/>
        <w:ind w:left="0" w:firstLine="0"/>
        <w:rPr>
          <w:color w:val="auto"/>
          <w:highlight w:val="none"/>
        </w:rPr>
      </w:pPr>
      <w:bookmarkStart w:id="39" w:name="_Toc314574786"/>
      <w:r>
        <w:rPr>
          <w:rFonts w:hint="eastAsia"/>
          <w:color w:val="auto"/>
          <w:highlight w:val="none"/>
        </w:rPr>
        <w:t>保密</w:t>
      </w:r>
      <w:bookmarkEnd w:id="39"/>
    </w:p>
    <w:p>
      <w:pPr>
        <w:pStyle w:val="17"/>
        <w:numPr>
          <w:ilvl w:val="0"/>
          <w:numId w:val="28"/>
        </w:numPr>
        <w:tabs>
          <w:tab w:val="left" w:pos="1134"/>
        </w:tabs>
        <w:snapToGrid w:val="0"/>
        <w:spacing w:line="64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不得透露有关供应商的任何情况。</w:t>
      </w:r>
    </w:p>
    <w:p>
      <w:pPr>
        <w:pStyle w:val="17"/>
        <w:numPr>
          <w:ilvl w:val="0"/>
          <w:numId w:val="28"/>
        </w:numPr>
        <w:tabs>
          <w:tab w:val="left" w:pos="1134"/>
        </w:tabs>
        <w:snapToGrid w:val="0"/>
        <w:spacing w:line="64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有关施工响应文件的审查、澄清、评估和比较以及合同授予意向等情况都不得对外透露。</w:t>
      </w:r>
    </w:p>
    <w:p>
      <w:pPr>
        <w:pStyle w:val="6"/>
        <w:snapToGrid w:val="0"/>
        <w:spacing w:line="640" w:lineRule="exact"/>
        <w:ind w:left="0" w:firstLine="0"/>
        <w:rPr>
          <w:color w:val="auto"/>
          <w:highlight w:val="none"/>
        </w:rPr>
      </w:pPr>
      <w:r>
        <w:rPr>
          <w:rFonts w:hint="eastAsia"/>
          <w:color w:val="auto"/>
          <w:highlight w:val="none"/>
        </w:rPr>
        <w:t>回避</w:t>
      </w:r>
    </w:p>
    <w:p>
      <w:pPr>
        <w:pStyle w:val="42"/>
        <w:snapToGrid w:val="0"/>
        <w:spacing w:before="0" w:beforeAutospacing="0" w:after="0" w:afterAutospacing="0" w:line="640" w:lineRule="exact"/>
        <w:ind w:firstLine="560" w:firstLineChars="200"/>
        <w:rPr>
          <w:rFonts w:cs="Helvetica"/>
          <w:color w:val="auto"/>
          <w:sz w:val="28"/>
          <w:szCs w:val="28"/>
          <w:highlight w:val="none"/>
        </w:rPr>
      </w:pPr>
      <w:r>
        <w:rPr>
          <w:rFonts w:cs="Helvetica"/>
          <w:color w:val="auto"/>
          <w:sz w:val="28"/>
          <w:szCs w:val="28"/>
          <w:highlight w:val="none"/>
        </w:rPr>
        <w:t>在政府采购活动中，采购人员</w:t>
      </w:r>
      <w:r>
        <w:rPr>
          <w:rFonts w:hint="eastAsia" w:cs="Helvetica"/>
          <w:color w:val="auto"/>
          <w:sz w:val="28"/>
          <w:szCs w:val="28"/>
          <w:highlight w:val="none"/>
        </w:rPr>
        <w:t>（</w:t>
      </w:r>
      <w:r>
        <w:rPr>
          <w:color w:val="auto"/>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color w:val="auto"/>
          <w:sz w:val="28"/>
          <w:szCs w:val="28"/>
          <w:highlight w:val="none"/>
        </w:rPr>
        <w:t>）</w:t>
      </w:r>
      <w:r>
        <w:rPr>
          <w:rFonts w:cs="Helvetica"/>
          <w:color w:val="auto"/>
          <w:sz w:val="28"/>
          <w:szCs w:val="28"/>
          <w:highlight w:val="none"/>
        </w:rPr>
        <w:t>及相关人员与供应商有下列利害关系之一的，应当回避：</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（一）参加采购活动前3年内与供应商存在劳动关系；</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（二）参加采购活动前3年内担任供应商的董事、监事；</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（三）参加采购活动前3年内是供应商的控股股东或者实际控制人；</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（四）与供应商的法定代表人或者负责人有夫妻、直系血亲、三代以内旁系血亲或者近姻亲关系；</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（五）与供应商有其他可能影响政府采购活动公平、公正进行的关系。</w:t>
      </w:r>
    </w:p>
    <w:p>
      <w:pPr>
        <w:snapToGrid w:val="0"/>
        <w:spacing w:line="640" w:lineRule="exact"/>
        <w:ind w:firstLine="565" w:firstLineChars="202"/>
        <w:rPr>
          <w:rFonts w:cs="Helvetica"/>
          <w:color w:val="auto"/>
          <w:sz w:val="28"/>
          <w:szCs w:val="28"/>
          <w:highlight w:val="none"/>
        </w:rPr>
      </w:pPr>
      <w:r>
        <w:rPr>
          <w:rFonts w:hint="eastAsia" w:cs="Helvetica"/>
          <w:color w:val="auto"/>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napToGrid w:val="0"/>
        <w:spacing w:line="640" w:lineRule="exact"/>
        <w:rPr>
          <w:color w:val="auto"/>
          <w:highlight w:val="none"/>
        </w:rPr>
      </w:pPr>
      <w:bookmarkStart w:id="40" w:name="_Toc405886181"/>
      <w:bookmarkStart w:id="41" w:name="_Toc7753"/>
      <w:r>
        <w:rPr>
          <w:rFonts w:hint="eastAsia"/>
          <w:color w:val="auto"/>
          <w:highlight w:val="none"/>
        </w:rPr>
        <w:t>询问、质疑</w:t>
      </w:r>
      <w:bookmarkEnd w:id="40"/>
      <w:r>
        <w:rPr>
          <w:rFonts w:hint="eastAsia"/>
          <w:color w:val="auto"/>
          <w:highlight w:val="none"/>
        </w:rPr>
        <w:t>和投诉</w:t>
      </w:r>
      <w:bookmarkEnd w:id="41"/>
    </w:p>
    <w:p>
      <w:pPr>
        <w:pStyle w:val="30"/>
        <w:numPr>
          <w:ilvl w:val="0"/>
          <w:numId w:val="29"/>
        </w:numPr>
        <w:tabs>
          <w:tab w:val="left" w:pos="1134"/>
        </w:tabs>
        <w:snapToGrid w:val="0"/>
        <w:spacing w:line="640" w:lineRule="exact"/>
        <w:ind w:left="0" w:leftChars="0" w:firstLine="420" w:firstLineChars="0"/>
        <w:rPr>
          <w:rFonts w:ascii="宋体" w:hAnsi="宋体" w:cs="宋体"/>
          <w:color w:val="auto"/>
          <w:sz w:val="28"/>
          <w:szCs w:val="28"/>
          <w:highlight w:val="none"/>
        </w:rPr>
      </w:pPr>
      <w:r>
        <w:rPr>
          <w:rFonts w:hint="eastAsia" w:ascii="宋体" w:hAnsi="宋体" w:cs="宋体"/>
          <w:color w:val="auto"/>
          <w:sz w:val="28"/>
          <w:szCs w:val="28"/>
          <w:highlight w:val="none"/>
        </w:rPr>
        <w:t>供应商认为</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过程和成交结果使自己的合法权益受到损害的，可以依法进行质疑。</w:t>
      </w:r>
    </w:p>
    <w:p>
      <w:pPr>
        <w:pStyle w:val="30"/>
        <w:numPr>
          <w:ilvl w:val="0"/>
          <w:numId w:val="29"/>
        </w:numPr>
        <w:tabs>
          <w:tab w:val="left" w:pos="1134"/>
        </w:tabs>
        <w:snapToGrid w:val="0"/>
        <w:spacing w:line="640" w:lineRule="exact"/>
        <w:ind w:left="0" w:leftChars="0" w:firstLine="420" w:firstLineChars="0"/>
        <w:rPr>
          <w:rFonts w:ascii="宋体" w:hAnsi="宋体" w:cs="宋体"/>
          <w:color w:val="auto"/>
          <w:sz w:val="28"/>
          <w:szCs w:val="28"/>
          <w:highlight w:val="none"/>
        </w:rPr>
      </w:pPr>
      <w:r>
        <w:rPr>
          <w:rFonts w:hint="eastAsia" w:ascii="宋体" w:hAnsi="宋体" w:eastAsiaTheme="minorEastAsia" w:cstheme="minorBidi"/>
          <w:color w:val="auto"/>
          <w:sz w:val="28"/>
          <w:szCs w:val="28"/>
          <w:highlight w:val="none"/>
        </w:rPr>
        <w:t>询问、质疑、投诉的接收和处理严格按照《中华人民共和国</w:t>
      </w:r>
      <w:r>
        <w:rPr>
          <w:rFonts w:hint="eastAsia" w:ascii="宋体" w:hAnsi="宋体"/>
          <w:color w:val="auto"/>
          <w:sz w:val="28"/>
          <w:szCs w:val="28"/>
          <w:highlight w:val="none"/>
        </w:rPr>
        <w:t>政府采购法》《中华人民共和国政府采购法实施条例》和《政府采购质疑和投诉办法》（财政部94号令）的规定办理。</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供应商询问、质疑的对象</w:t>
      </w:r>
    </w:p>
    <w:p>
      <w:pPr>
        <w:pStyle w:val="30"/>
        <w:tabs>
          <w:tab w:val="left" w:pos="1134"/>
          <w:tab w:val="left" w:pos="1276"/>
        </w:tabs>
        <w:snapToGrid w:val="0"/>
        <w:spacing w:line="640" w:lineRule="exact"/>
        <w:ind w:firstLineChars="0"/>
        <w:rPr>
          <w:rFonts w:ascii="宋体" w:hAnsi="宋体"/>
          <w:color w:val="auto"/>
          <w:sz w:val="28"/>
          <w:szCs w:val="28"/>
          <w:highlight w:val="none"/>
        </w:rPr>
      </w:pPr>
      <w:r>
        <w:rPr>
          <w:rFonts w:hint="eastAsia" w:ascii="宋体" w:hAnsi="宋体"/>
          <w:color w:val="auto"/>
          <w:sz w:val="28"/>
          <w:szCs w:val="28"/>
          <w:highlight w:val="none"/>
        </w:rPr>
        <w:t>（一）供应商对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文件中供应商参加本次政府采购活动应当具备的条件、项目技术、服务</w:t>
      </w:r>
      <w:r>
        <w:rPr>
          <w:rFonts w:hint="eastAsia" w:ascii="宋体" w:hAnsi="宋体"/>
          <w:color w:val="auto"/>
          <w:sz w:val="28"/>
          <w:szCs w:val="28"/>
          <w:highlight w:val="none"/>
          <w:lang w:eastAsia="zh-CN"/>
        </w:rPr>
        <w:t>、商务</w:t>
      </w:r>
      <w:r>
        <w:rPr>
          <w:rFonts w:hint="eastAsia" w:ascii="宋体" w:hAnsi="宋体"/>
          <w:color w:val="auto"/>
          <w:sz w:val="28"/>
          <w:szCs w:val="28"/>
          <w:highlight w:val="none"/>
        </w:rPr>
        <w:t>及其他要求</w:t>
      </w:r>
      <w:r>
        <w:rPr>
          <w:rFonts w:hint="eastAsia" w:ascii="宋体" w:hAnsi="宋体"/>
          <w:color w:val="auto"/>
          <w:sz w:val="28"/>
          <w:szCs w:val="28"/>
          <w:highlight w:val="none"/>
          <w:lang w:eastAsia="zh-CN"/>
        </w:rPr>
        <w:t>，评分细则及标准</w:t>
      </w:r>
      <w:r>
        <w:rPr>
          <w:rFonts w:hint="eastAsia" w:ascii="宋体" w:hAnsi="宋体"/>
          <w:color w:val="auto"/>
          <w:sz w:val="28"/>
          <w:szCs w:val="28"/>
          <w:highlight w:val="none"/>
        </w:rPr>
        <w:t>提出询问或质疑的，应向采购人提出；</w:t>
      </w:r>
    </w:p>
    <w:p>
      <w:pPr>
        <w:pStyle w:val="30"/>
        <w:tabs>
          <w:tab w:val="left" w:pos="1134"/>
          <w:tab w:val="left" w:pos="1276"/>
        </w:tabs>
        <w:snapToGrid w:val="0"/>
        <w:spacing w:line="640" w:lineRule="exact"/>
        <w:ind w:firstLineChars="0"/>
        <w:rPr>
          <w:rFonts w:ascii="宋体" w:hAnsi="宋体"/>
          <w:color w:val="auto"/>
          <w:sz w:val="28"/>
          <w:szCs w:val="28"/>
          <w:highlight w:val="none"/>
        </w:rPr>
      </w:pPr>
      <w:r>
        <w:rPr>
          <w:rFonts w:hint="eastAsia" w:ascii="宋体" w:hAnsi="宋体"/>
          <w:color w:val="auto"/>
          <w:sz w:val="28"/>
          <w:szCs w:val="28"/>
          <w:highlight w:val="none"/>
        </w:rPr>
        <w:t>（二）供应商对除上述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文件中的其他内容、采购过程及成交结果提出询问或质疑的，应向</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提出。</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pStyle w:val="30"/>
        <w:numPr>
          <w:ilvl w:val="0"/>
          <w:numId w:val="29"/>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质疑书1份</w:t>
      </w:r>
      <w:r>
        <w:rPr>
          <w:rFonts w:hint="eastAsia" w:ascii="宋体" w:hAnsi="宋体"/>
          <w:color w:val="auto"/>
          <w:sz w:val="28"/>
          <w:szCs w:val="28"/>
          <w:highlight w:val="none"/>
        </w:rPr>
        <w:t>（加盖公章）；</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（二）</w:t>
      </w:r>
      <w:r>
        <w:rPr>
          <w:rFonts w:hint="eastAsia" w:cs="Helvetica"/>
          <w:color w:val="auto"/>
          <w:sz w:val="28"/>
          <w:szCs w:val="28"/>
          <w:highlight w:val="none"/>
        </w:rPr>
        <w:t>委托代理人办理质疑事宜的需提供：法定代表人授权委托书1份（加盖公章）</w:t>
      </w:r>
      <w:r>
        <w:rPr>
          <w:rFonts w:hint="eastAsia" w:ascii="宋体" w:hAnsi="宋体"/>
          <w:color w:val="auto"/>
          <w:sz w:val="28"/>
          <w:szCs w:val="28"/>
          <w:highlight w:val="none"/>
        </w:rPr>
        <w:t>；</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（三）</w:t>
      </w:r>
      <w:r>
        <w:rPr>
          <w:rFonts w:hint="eastAsia" w:cs="Helvetica"/>
          <w:color w:val="auto"/>
          <w:sz w:val="28"/>
          <w:szCs w:val="28"/>
          <w:highlight w:val="none"/>
        </w:rPr>
        <w:t>营业执照或法人证书复印件1份</w:t>
      </w:r>
      <w:r>
        <w:rPr>
          <w:rFonts w:hint="eastAsia" w:ascii="宋体" w:hAnsi="宋体"/>
          <w:color w:val="auto"/>
          <w:sz w:val="28"/>
          <w:szCs w:val="28"/>
          <w:highlight w:val="none"/>
        </w:rPr>
        <w:t>；</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（四）法定代表人身份证复印件</w:t>
      </w:r>
      <w:r>
        <w:rPr>
          <w:rFonts w:ascii="宋体" w:hAnsi="宋体"/>
          <w:color w:val="auto"/>
          <w:sz w:val="28"/>
          <w:szCs w:val="28"/>
          <w:highlight w:val="none"/>
        </w:rPr>
        <w:t>1份；</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（五）委托代理人身份证复印件</w:t>
      </w:r>
      <w:r>
        <w:rPr>
          <w:rFonts w:ascii="宋体" w:hAnsi="宋体"/>
          <w:color w:val="auto"/>
          <w:sz w:val="28"/>
          <w:szCs w:val="28"/>
          <w:highlight w:val="none"/>
        </w:rPr>
        <w:t>1份（委托代理人办理质疑事宜的需提供）；</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（六）针对质疑事项必要的证明材料。</w:t>
      </w:r>
    </w:p>
    <w:p>
      <w:pPr>
        <w:pStyle w:val="30"/>
        <w:numPr>
          <w:ilvl w:val="0"/>
          <w:numId w:val="0"/>
        </w:numPr>
        <w:tabs>
          <w:tab w:val="left" w:pos="1134"/>
        </w:tabs>
        <w:snapToGrid w:val="0"/>
        <w:spacing w:line="640" w:lineRule="exact"/>
        <w:ind w:left="0" w:leftChars="0" w:firstLine="420" w:firstLineChars="150"/>
        <w:rPr>
          <w:color w:val="auto"/>
          <w:highlight w:val="none"/>
        </w:rPr>
      </w:pPr>
      <w:r>
        <w:rPr>
          <w:rFonts w:hint="eastAsia" w:ascii="宋体" w:hAnsi="宋体"/>
          <w:color w:val="auto"/>
          <w:sz w:val="28"/>
          <w:szCs w:val="28"/>
          <w:highlight w:val="none"/>
          <w:lang w:eastAsia="zh-CN"/>
        </w:rPr>
        <w:t>七、</w:t>
      </w:r>
      <w:r>
        <w:rPr>
          <w:rFonts w:hint="eastAsia" w:ascii="宋体" w:hAnsi="宋体"/>
          <w:color w:val="auto"/>
          <w:sz w:val="28"/>
          <w:szCs w:val="28"/>
          <w:highlight w:val="none"/>
        </w:rPr>
        <w:t>供应商对采购人、集中代理机构的质疑答复不满意，或者采购人、集中代理机构未在规定期限内作出答复的，供应商可以在答复期满后</w:t>
      </w:r>
      <w:r>
        <w:rPr>
          <w:rFonts w:ascii="宋体" w:hAnsi="宋体"/>
          <w:color w:val="auto"/>
          <w:sz w:val="28"/>
          <w:szCs w:val="28"/>
          <w:highlight w:val="none"/>
        </w:rPr>
        <w:t>15个工作日内向同级财政部门提起投诉。</w:t>
      </w:r>
    </w:p>
    <w:p>
      <w:pPr>
        <w:pStyle w:val="5"/>
        <w:snapToGrid w:val="0"/>
        <w:spacing w:line="640" w:lineRule="exact"/>
        <w:rPr>
          <w:color w:val="auto"/>
          <w:highlight w:val="none"/>
        </w:rPr>
      </w:pPr>
      <w:bookmarkStart w:id="42" w:name="_Toc376425021"/>
      <w:bookmarkEnd w:id="42"/>
      <w:bookmarkStart w:id="43" w:name="_Toc375126477"/>
      <w:bookmarkStart w:id="44" w:name="_Toc17616"/>
      <w:r>
        <w:rPr>
          <w:rFonts w:hint="eastAsia"/>
          <w:color w:val="auto"/>
          <w:highlight w:val="none"/>
        </w:rPr>
        <w:t>中小企业信用担保融资</w:t>
      </w:r>
      <w:bookmarkEnd w:id="43"/>
      <w:bookmarkEnd w:id="44"/>
    </w:p>
    <w:p>
      <w:pPr>
        <w:widowControl w:val="0"/>
        <w:numPr>
          <w:ilvl w:val="2"/>
          <w:numId w:val="30"/>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参与本次采购活动成交的中小企业无需提供财产抵押或第三方担保，凭借政府采购合同可向融资机构申请融资。</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lang w:eastAsia="zh-CN"/>
        </w:rPr>
        <w:t>二、</w:t>
      </w:r>
      <w:r>
        <w:rPr>
          <w:rFonts w:ascii="宋体" w:hAnsi="宋体"/>
          <w:color w:val="auto"/>
          <w:sz w:val="28"/>
          <w:szCs w:val="28"/>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highlight w:val="none"/>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pStyle w:val="5"/>
        <w:snapToGrid w:val="0"/>
        <w:spacing w:line="640" w:lineRule="exact"/>
        <w:rPr>
          <w:color w:val="auto"/>
          <w:highlight w:val="none"/>
        </w:rPr>
      </w:pPr>
      <w:bookmarkStart w:id="45" w:name="_Toc22547"/>
      <w:r>
        <w:rPr>
          <w:rFonts w:hint="eastAsia"/>
          <w:color w:val="auto"/>
          <w:highlight w:val="none"/>
        </w:rPr>
        <w:t>其他</w:t>
      </w:r>
      <w:bookmarkEnd w:id="45"/>
    </w:p>
    <w:p>
      <w:pPr>
        <w:tabs>
          <w:tab w:val="left" w:pos="1134"/>
        </w:tabs>
        <w:spacing w:after="200" w:line="600" w:lineRule="exact"/>
        <w:ind w:firstLine="484" w:firstLineChars="202"/>
        <w:rPr>
          <w:rFonts w:ascii="宋体" w:hAnsi="宋体"/>
          <w:color w:val="auto"/>
          <w:sz w:val="28"/>
          <w:szCs w:val="28"/>
          <w:highlight w:val="none"/>
        </w:rPr>
        <w:sectPr>
          <w:pgSz w:w="11906" w:h="16838"/>
          <w:pgMar w:top="1134" w:right="1274" w:bottom="1440" w:left="2138" w:header="851" w:footer="992" w:gutter="0"/>
          <w:cols w:space="720" w:num="1"/>
          <w:titlePg/>
          <w:docGrid w:type="lines" w:linePitch="312" w:charSpace="0"/>
        </w:sectPr>
      </w:pPr>
      <w:r>
        <w:rPr>
          <w:rFonts w:hint="eastAsia" w:ascii="仿宋" w:hAnsi="仿宋" w:eastAsia="仿宋"/>
          <w:color w:val="auto"/>
          <w:szCs w:val="21"/>
          <w:highlight w:val="none"/>
          <w:lang w:val="zh-CN"/>
        </w:rPr>
        <w:t>（实质性要求）</w:t>
      </w:r>
      <w:r>
        <w:rPr>
          <w:rFonts w:hint="eastAsia" w:ascii="宋体" w:hAnsi="宋体"/>
          <w:color w:val="auto"/>
          <w:sz w:val="28"/>
          <w:szCs w:val="28"/>
          <w:highlight w:val="none"/>
        </w:rPr>
        <w:t>国家或行业主管部门对工程项目的技术标准、质量标准等有强制性规定的，必须符合其要求。</w:t>
      </w:r>
    </w:p>
    <w:p>
      <w:pPr>
        <w:pStyle w:val="4"/>
        <w:numPr>
          <w:ilvl w:val="0"/>
          <w:numId w:val="1"/>
        </w:numPr>
        <w:snapToGrid w:val="0"/>
        <w:spacing w:before="0" w:after="0"/>
        <w:ind w:left="0" w:firstLine="0"/>
        <w:rPr>
          <w:color w:val="auto"/>
          <w:highlight w:val="none"/>
        </w:rPr>
      </w:pPr>
      <w:bookmarkStart w:id="46" w:name="_Toc23030"/>
      <w:r>
        <w:rPr>
          <w:rFonts w:hint="eastAsia"/>
          <w:color w:val="auto"/>
          <w:highlight w:val="none"/>
        </w:rPr>
        <w:t>施工响应文件格式</w:t>
      </w:r>
      <w:bookmarkEnd w:id="46"/>
    </w:p>
    <w:p>
      <w:pPr>
        <w:pStyle w:val="5"/>
        <w:snapToGrid w:val="0"/>
        <w:rPr>
          <w:color w:val="auto"/>
          <w:highlight w:val="none"/>
        </w:rPr>
      </w:pPr>
      <w:bookmarkStart w:id="47" w:name="_Toc448403805"/>
      <w:bookmarkStart w:id="48" w:name="_Toc28854"/>
      <w:bookmarkStart w:id="49" w:name="_Toc320698765"/>
      <w:r>
        <w:rPr>
          <w:rFonts w:hint="eastAsia"/>
          <w:color w:val="auto"/>
          <w:highlight w:val="none"/>
        </w:rPr>
        <w:t>施工响应文件格式</w:t>
      </w:r>
      <w:bookmarkEnd w:id="47"/>
      <w:bookmarkEnd w:id="48"/>
    </w:p>
    <w:p>
      <w:pPr>
        <w:pStyle w:val="6"/>
        <w:tabs>
          <w:tab w:val="left" w:pos="709"/>
        </w:tabs>
        <w:ind w:left="1135" w:hanging="1135"/>
        <w:jc w:val="left"/>
        <w:rPr>
          <w:color w:val="auto"/>
          <w:highlight w:val="none"/>
        </w:rPr>
      </w:pPr>
      <w:r>
        <w:rPr>
          <w:rFonts w:hint="eastAsia"/>
          <w:color w:val="auto"/>
          <w:highlight w:val="none"/>
        </w:rPr>
        <w:t>施工响应文件封面格式</w:t>
      </w:r>
    </w:p>
    <w:p>
      <w:pPr>
        <w:rPr>
          <w:rFonts w:hint="eastAsia"/>
          <w:color w:val="auto"/>
          <w:highlight w:val="none"/>
        </w:rPr>
      </w:pPr>
    </w:p>
    <w:p>
      <w:pPr>
        <w:spacing w:line="360" w:lineRule="auto"/>
        <w:jc w:val="center"/>
        <w:rPr>
          <w:rFonts w:hint="eastAsia" w:ascii="宋体" w:hAnsi="宋体"/>
          <w:color w:val="auto"/>
          <w:spacing w:val="78"/>
          <w:sz w:val="96"/>
          <w:szCs w:val="120"/>
          <w:highlight w:val="none"/>
        </w:rPr>
      </w:pPr>
    </w:p>
    <w:p>
      <w:pPr>
        <w:spacing w:line="360" w:lineRule="auto"/>
        <w:jc w:val="center"/>
        <w:rPr>
          <w:rFonts w:hint="eastAsia" w:ascii="宋体" w:hAnsi="宋体"/>
          <w:color w:val="auto"/>
          <w:spacing w:val="78"/>
          <w:sz w:val="96"/>
          <w:szCs w:val="120"/>
          <w:highlight w:val="none"/>
        </w:rPr>
      </w:pPr>
      <w:r>
        <w:rPr>
          <w:rFonts w:hint="eastAsia" w:ascii="宋体" w:hAnsi="宋体"/>
          <w:color w:val="auto"/>
          <w:spacing w:val="78"/>
          <w:sz w:val="96"/>
          <w:szCs w:val="120"/>
          <w:highlight w:val="none"/>
        </w:rPr>
        <w:t>施工响应文件</w:t>
      </w:r>
    </w:p>
    <w:p>
      <w:pPr>
        <w:pStyle w:val="2"/>
        <w:rPr>
          <w:rFonts w:hint="eastAsia" w:ascii="宋体" w:hAnsi="宋体"/>
          <w:color w:val="auto"/>
          <w:spacing w:val="78"/>
          <w:sz w:val="96"/>
          <w:szCs w:val="120"/>
          <w:highlight w:val="none"/>
        </w:rPr>
      </w:pPr>
    </w:p>
    <w:p>
      <w:pPr>
        <w:rPr>
          <w:rFonts w:hint="eastAsia"/>
          <w:color w:val="auto"/>
          <w:highlight w:val="none"/>
        </w:rPr>
      </w:pPr>
    </w:p>
    <w:p>
      <w:pPr>
        <w:rPr>
          <w:rFonts w:hint="eastAsia" w:ascii="宋体" w:hAnsi="宋体"/>
          <w:color w:val="auto"/>
          <w:spacing w:val="78"/>
          <w:sz w:val="96"/>
          <w:szCs w:val="120"/>
          <w:highlight w:val="none"/>
        </w:rPr>
      </w:pPr>
    </w:p>
    <w:p>
      <w:pPr>
        <w:pStyle w:val="2"/>
        <w:rPr>
          <w:rFonts w:hint="eastAsia"/>
          <w:color w:val="auto"/>
          <w:highlight w:val="none"/>
        </w:rPr>
      </w:pP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成都市田家炳中学初中部食堂改造工程采购项目</w:t>
      </w:r>
    </w:p>
    <w:p>
      <w:pPr>
        <w:snapToGrid w:val="0"/>
        <w:spacing w:line="360" w:lineRule="auto"/>
        <w:rPr>
          <w:rFonts w:ascii="宋体" w:hAnsi="宋体"/>
          <w:b/>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锦江政采（2021）A0003号</w:t>
      </w:r>
    </w:p>
    <w:p>
      <w:pPr>
        <w:spacing w:line="360" w:lineRule="auto"/>
        <w:ind w:firstLine="630" w:firstLineChars="196"/>
        <w:rPr>
          <w:rFonts w:hint="eastAsia" w:ascii="宋体" w:hAnsi="宋体"/>
          <w:b/>
          <w:bCs/>
          <w:color w:val="auto"/>
          <w:sz w:val="32"/>
          <w:szCs w:val="32"/>
          <w:highlight w:val="none"/>
        </w:rPr>
      </w:pPr>
    </w:p>
    <w:p>
      <w:pPr>
        <w:spacing w:line="360" w:lineRule="auto"/>
        <w:ind w:firstLine="630" w:firstLineChars="196"/>
        <w:rPr>
          <w:rFonts w:hint="eastAsia" w:ascii="宋体" w:hAnsi="宋体"/>
          <w:b/>
          <w:bCs/>
          <w:color w:val="auto"/>
          <w:sz w:val="32"/>
          <w:szCs w:val="32"/>
          <w:highlight w:val="none"/>
        </w:rPr>
      </w:pPr>
    </w:p>
    <w:p>
      <w:pPr>
        <w:spacing w:line="360" w:lineRule="auto"/>
        <w:ind w:firstLine="630" w:firstLineChars="196"/>
        <w:rPr>
          <w:rFonts w:hint="eastAsia" w:ascii="宋体" w:hAnsi="宋体"/>
          <w:b/>
          <w:bCs/>
          <w:color w:val="auto"/>
          <w:sz w:val="32"/>
          <w:szCs w:val="32"/>
          <w:highlight w:val="none"/>
        </w:rPr>
      </w:pPr>
    </w:p>
    <w:p>
      <w:pPr>
        <w:spacing w:line="360" w:lineRule="auto"/>
        <w:ind w:left="0" w:leftChars="0" w:firstLine="0" w:firstLineChars="0"/>
        <w:rPr>
          <w:rFonts w:ascii="宋体" w:hAnsi="宋体"/>
          <w:b/>
          <w:bCs/>
          <w:color w:val="auto"/>
          <w:sz w:val="32"/>
          <w:szCs w:val="32"/>
          <w:highlight w:val="none"/>
        </w:rPr>
      </w:pPr>
      <w:r>
        <w:rPr>
          <w:rFonts w:hint="eastAsia" w:ascii="宋体" w:hAnsi="宋体"/>
          <w:b/>
          <w:bCs/>
          <w:color w:val="auto"/>
          <w:sz w:val="32"/>
          <w:szCs w:val="32"/>
          <w:highlight w:val="none"/>
        </w:rPr>
        <w:t>供应商名称：XXXX</w:t>
      </w:r>
    </w:p>
    <w:p>
      <w:pPr>
        <w:spacing w:line="360" w:lineRule="auto"/>
        <w:ind w:left="0" w:leftChars="0" w:firstLine="0" w:firstLineChars="0"/>
        <w:rPr>
          <w:rFonts w:hint="eastAsia" w:ascii="宋体" w:hAnsi="宋体"/>
          <w:b/>
          <w:bCs/>
          <w:color w:val="auto"/>
          <w:sz w:val="32"/>
          <w:szCs w:val="32"/>
          <w:highlight w:val="none"/>
        </w:rPr>
      </w:pPr>
      <w:r>
        <w:rPr>
          <w:rFonts w:hint="eastAsia" w:ascii="宋体" w:hAnsi="宋体"/>
          <w:b/>
          <w:bCs/>
          <w:color w:val="auto"/>
          <w:sz w:val="32"/>
          <w:szCs w:val="32"/>
          <w:highlight w:val="none"/>
        </w:rPr>
        <w:t>日      期：202X年XX月XX日</w:t>
      </w:r>
    </w:p>
    <w:p>
      <w:pPr>
        <w:spacing w:line="360" w:lineRule="auto"/>
        <w:ind w:left="0" w:leftChars="0" w:firstLine="0" w:firstLineChars="0"/>
        <w:rPr>
          <w:rFonts w:hint="eastAsia" w:ascii="宋体" w:hAnsi="宋体"/>
          <w:b/>
          <w:bCs/>
          <w:color w:val="auto"/>
          <w:sz w:val="32"/>
          <w:szCs w:val="32"/>
          <w:highlight w:val="none"/>
        </w:rPr>
      </w:pPr>
      <w:r>
        <w:rPr>
          <w:rFonts w:hint="eastAsia" w:ascii="宋体" w:hAnsi="宋体"/>
          <w:b/>
          <w:bCs/>
          <w:color w:val="auto"/>
          <w:sz w:val="32"/>
          <w:szCs w:val="32"/>
          <w:highlight w:val="none"/>
        </w:rPr>
        <w:br w:type="page"/>
      </w:r>
    </w:p>
    <w:p>
      <w:pPr>
        <w:pStyle w:val="6"/>
        <w:tabs>
          <w:tab w:val="left" w:pos="709"/>
        </w:tabs>
        <w:ind w:left="1135" w:hanging="1135"/>
        <w:jc w:val="left"/>
        <w:rPr>
          <w:color w:val="auto"/>
          <w:highlight w:val="none"/>
        </w:rPr>
      </w:pPr>
      <w:r>
        <w:rPr>
          <w:rFonts w:hint="eastAsia"/>
          <w:color w:val="auto"/>
          <w:highlight w:val="none"/>
        </w:rPr>
        <w:t>商务技术响应文件</w:t>
      </w:r>
    </w:p>
    <w:p>
      <w:pPr>
        <w:pStyle w:val="6"/>
        <w:numPr>
          <w:ilvl w:val="3"/>
          <w:numId w:val="1"/>
        </w:numPr>
        <w:tabs>
          <w:tab w:val="left" w:pos="709"/>
        </w:tabs>
        <w:jc w:val="left"/>
        <w:rPr>
          <w:color w:val="auto"/>
          <w:highlight w:val="none"/>
        </w:rPr>
      </w:pPr>
      <w:r>
        <w:rPr>
          <w:rFonts w:hint="eastAsia"/>
          <w:color w:val="auto"/>
          <w:highlight w:val="none"/>
          <w:lang w:eastAsia="zh-CN"/>
        </w:rPr>
        <w:t>报价函</w:t>
      </w: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成都市田家炳中学初中部食堂改造工程采购项目</w:t>
      </w:r>
    </w:p>
    <w:p>
      <w:pPr>
        <w:snapToGrid w:val="0"/>
        <w:spacing w:line="360" w:lineRule="auto"/>
        <w:rPr>
          <w:rFonts w:ascii="宋体" w:hAnsi="宋体"/>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锦江政采（2021）A0003号</w:t>
      </w:r>
    </w:p>
    <w:p>
      <w:pPr>
        <w:rPr>
          <w:color w:val="auto"/>
          <w:highlight w:val="none"/>
        </w:rPr>
      </w:pPr>
    </w:p>
    <w:p>
      <w:pPr>
        <w:spacing w:line="588" w:lineRule="exact"/>
        <w:rPr>
          <w:rFonts w:ascii="宋体" w:hAnsi="宋体"/>
          <w:color w:val="auto"/>
          <w:spacing w:val="6"/>
          <w:sz w:val="28"/>
          <w:szCs w:val="28"/>
          <w:highlight w:val="none"/>
        </w:rPr>
      </w:pPr>
      <w:r>
        <w:rPr>
          <w:rFonts w:hint="eastAsia" w:ascii="宋体" w:hAnsi="宋体"/>
          <w:color w:val="auto"/>
          <w:spacing w:val="6"/>
          <w:sz w:val="28"/>
          <w:szCs w:val="28"/>
          <w:highlight w:val="none"/>
          <w:lang w:eastAsia="zh-CN"/>
        </w:rPr>
        <w:t>成都市锦江区政府采购中心</w:t>
      </w:r>
      <w:r>
        <w:rPr>
          <w:rFonts w:ascii="宋体" w:hAnsi="宋体"/>
          <w:color w:val="auto"/>
          <w:spacing w:val="6"/>
          <w:sz w:val="28"/>
          <w:szCs w:val="28"/>
          <w:highlight w:val="none"/>
        </w:rPr>
        <w:t xml:space="preserve">: </w:t>
      </w:r>
    </w:p>
    <w:p>
      <w:pPr>
        <w:snapToGrid w:val="0"/>
        <w:spacing w:line="360" w:lineRule="auto"/>
        <w:rPr>
          <w:rFonts w:ascii="宋体" w:hAnsi="宋体"/>
          <w:color w:val="auto"/>
          <w:spacing w:val="6"/>
          <w:sz w:val="28"/>
          <w:szCs w:val="28"/>
          <w:highlight w:val="none"/>
        </w:rPr>
      </w:pP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我方全面研究了“</w:t>
      </w:r>
      <w:r>
        <w:rPr>
          <w:rFonts w:hint="eastAsia" w:ascii="宋体" w:hAnsi="宋体"/>
          <w:b/>
          <w:color w:val="auto"/>
          <w:sz w:val="28"/>
          <w:szCs w:val="28"/>
          <w:highlight w:val="none"/>
          <w:u w:val="single"/>
          <w:lang w:eastAsia="zh-CN"/>
        </w:rPr>
        <w:t>成都市田家炳中学初中部食堂改造工程采购项目</w:t>
      </w:r>
      <w:r>
        <w:rPr>
          <w:rFonts w:hint="eastAsia" w:ascii="宋体" w:hAnsi="宋体"/>
          <w:b/>
          <w:bCs/>
          <w:color w:val="auto"/>
          <w:sz w:val="28"/>
          <w:szCs w:val="28"/>
          <w:highlight w:val="none"/>
        </w:rPr>
        <w:t>”</w:t>
      </w:r>
      <w:r>
        <w:rPr>
          <w:rFonts w:hint="eastAsia" w:ascii="宋体" w:hAnsi="宋体"/>
          <w:b/>
          <w:bCs/>
          <w:color w:val="auto"/>
          <w:sz w:val="28"/>
          <w:szCs w:val="28"/>
          <w:highlight w:val="none"/>
          <w:u w:val="single"/>
        </w:rPr>
        <w:t>（项目编号：</w:t>
      </w:r>
      <w:r>
        <w:rPr>
          <w:rFonts w:hint="eastAsia" w:ascii="宋体" w:hAnsi="宋体"/>
          <w:b/>
          <w:color w:val="auto"/>
          <w:sz w:val="28"/>
          <w:szCs w:val="28"/>
          <w:highlight w:val="none"/>
          <w:u w:val="single"/>
          <w:lang w:eastAsia="zh-CN"/>
        </w:rPr>
        <w:t>锦江政采（2021）A0003号</w:t>
      </w:r>
      <w:r>
        <w:rPr>
          <w:rFonts w:hint="eastAsia" w:ascii="宋体" w:hAnsi="宋体"/>
          <w:b/>
          <w:bCs/>
          <w:color w:val="auto"/>
          <w:sz w:val="28"/>
          <w:szCs w:val="28"/>
          <w:highlight w:val="none"/>
        </w:rPr>
        <w:t>）</w:t>
      </w:r>
      <w:r>
        <w:rPr>
          <w:rFonts w:hint="eastAsia" w:ascii="宋体" w:hAnsi="宋体"/>
          <w:bCs/>
          <w:color w:val="auto"/>
          <w:sz w:val="28"/>
          <w:szCs w:val="28"/>
          <w:highlight w:val="none"/>
        </w:rPr>
        <w:t>的</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文件，决定参加贵单位组织的本项目的</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。我方授权</w:t>
      </w:r>
      <w:r>
        <w:rPr>
          <w:rFonts w:ascii="宋体" w:hAnsi="宋体"/>
          <w:bCs/>
          <w:color w:val="auto"/>
          <w:sz w:val="28"/>
          <w:szCs w:val="28"/>
          <w:highlight w:val="none"/>
          <w:u w:val="single"/>
        </w:rPr>
        <w:t>XXX（姓名、职务）</w:t>
      </w:r>
      <w:r>
        <w:rPr>
          <w:rFonts w:hint="eastAsia" w:ascii="宋体" w:hAnsi="宋体"/>
          <w:bCs/>
          <w:color w:val="auto"/>
          <w:sz w:val="28"/>
          <w:szCs w:val="28"/>
          <w:highlight w:val="none"/>
        </w:rPr>
        <w:t>代表我方</w:t>
      </w:r>
      <w:r>
        <w:rPr>
          <w:rFonts w:ascii="宋体" w:hAnsi="宋体"/>
          <w:bCs/>
          <w:color w:val="auto"/>
          <w:sz w:val="28"/>
          <w:szCs w:val="28"/>
          <w:highlight w:val="none"/>
          <w:u w:val="single"/>
        </w:rPr>
        <w:t>XXXXXXX（</w:t>
      </w:r>
      <w:r>
        <w:rPr>
          <w:rFonts w:hint="eastAsia" w:ascii="宋体" w:hAnsi="宋体"/>
          <w:bCs/>
          <w:color w:val="auto"/>
          <w:sz w:val="28"/>
          <w:szCs w:val="28"/>
          <w:highlight w:val="none"/>
          <w:u w:val="single"/>
        </w:rPr>
        <w:t>供应商名称）</w:t>
      </w:r>
      <w:r>
        <w:rPr>
          <w:rFonts w:hint="eastAsia" w:ascii="宋体" w:hAnsi="宋体"/>
          <w:bCs/>
          <w:color w:val="auto"/>
          <w:sz w:val="28"/>
          <w:szCs w:val="28"/>
          <w:highlight w:val="none"/>
        </w:rPr>
        <w:t>全权处理本项目</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的有关事宜。</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我方已知晓全部</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文件的内容，包括修改文件（如有）以及全部相关资料和有关附件，并对上述文件均无异议，愿意以</w:t>
      </w:r>
      <w:r>
        <w:rPr>
          <w:rFonts w:hint="eastAsia" w:ascii="宋体" w:hAnsi="宋体"/>
          <w:b/>
          <w:bCs/>
          <w:color w:val="auto"/>
          <w:sz w:val="28"/>
          <w:szCs w:val="28"/>
          <w:highlight w:val="none"/>
        </w:rPr>
        <w:t>人民币（大写）</w:t>
      </w:r>
      <w:r>
        <w:rPr>
          <w:rFonts w:hint="eastAsia" w:ascii="宋体" w:hAnsi="宋体"/>
          <w:b/>
          <w:bCs/>
          <w:color w:val="auto"/>
          <w:sz w:val="28"/>
          <w:szCs w:val="28"/>
          <w:highlight w:val="none"/>
          <w:u w:val="single"/>
        </w:rPr>
        <w:t>　</w:t>
      </w:r>
      <w:r>
        <w:rPr>
          <w:rFonts w:ascii="宋体" w:hAnsi="宋体"/>
          <w:b/>
          <w:bCs/>
          <w:color w:val="auto"/>
          <w:sz w:val="28"/>
          <w:szCs w:val="28"/>
          <w:highlight w:val="none"/>
          <w:u w:val="single"/>
        </w:rPr>
        <w:t>XX</w:t>
      </w:r>
      <w:r>
        <w:rPr>
          <w:rFonts w:hint="eastAsia" w:ascii="宋体" w:hAnsi="宋体"/>
          <w:b/>
          <w:bCs/>
          <w:color w:val="auto"/>
          <w:sz w:val="28"/>
          <w:szCs w:val="28"/>
          <w:highlight w:val="none"/>
          <w:u w:val="single"/>
        </w:rPr>
        <w:t>　</w:t>
      </w:r>
      <w:r>
        <w:rPr>
          <w:rFonts w:hint="eastAsia" w:ascii="宋体" w:hAnsi="宋体"/>
          <w:b/>
          <w:bCs/>
          <w:color w:val="auto"/>
          <w:sz w:val="28"/>
          <w:szCs w:val="28"/>
          <w:highlight w:val="none"/>
        </w:rPr>
        <w:t>（￥）的总报价，工期</w:t>
      </w:r>
      <w:r>
        <w:rPr>
          <w:rFonts w:hint="eastAsia" w:ascii="宋体" w:hAnsi="宋体"/>
          <w:b/>
          <w:bCs/>
          <w:color w:val="auto"/>
          <w:sz w:val="28"/>
          <w:szCs w:val="28"/>
          <w:highlight w:val="none"/>
          <w:u w:val="single"/>
        </w:rPr>
        <w:t>　</w:t>
      </w:r>
      <w:r>
        <w:rPr>
          <w:rFonts w:ascii="宋体" w:hAnsi="宋体"/>
          <w:b/>
          <w:bCs/>
          <w:color w:val="auto"/>
          <w:sz w:val="28"/>
          <w:szCs w:val="28"/>
          <w:highlight w:val="none"/>
          <w:u w:val="single"/>
        </w:rPr>
        <w:t>XX</w:t>
      </w:r>
      <w:r>
        <w:rPr>
          <w:rFonts w:hint="eastAsia" w:ascii="宋体" w:hAnsi="宋体"/>
          <w:b/>
          <w:bCs/>
          <w:color w:val="auto"/>
          <w:sz w:val="28"/>
          <w:szCs w:val="28"/>
          <w:highlight w:val="none"/>
          <w:u w:val="single"/>
        </w:rPr>
        <w:t>　</w:t>
      </w:r>
      <w:r>
        <w:rPr>
          <w:rFonts w:hint="eastAsia" w:ascii="宋体" w:hAnsi="宋体"/>
          <w:b/>
          <w:bCs/>
          <w:color w:val="auto"/>
          <w:sz w:val="28"/>
          <w:szCs w:val="28"/>
          <w:highlight w:val="none"/>
        </w:rPr>
        <w:t>日历天</w:t>
      </w:r>
      <w:r>
        <w:rPr>
          <w:rFonts w:hint="eastAsia" w:ascii="宋体" w:hAnsi="宋体"/>
          <w:color w:val="auto"/>
          <w:sz w:val="28"/>
          <w:szCs w:val="28"/>
          <w:highlight w:val="none"/>
        </w:rPr>
        <w:t>，按合同约定实施和完成承包工程，修补工程中的任何缺陷，工程质量达到规定要求标准。</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施工响应文件有效期为从递交施工响应文件截止之日起</w:t>
      </w:r>
      <w:r>
        <w:rPr>
          <w:rFonts w:ascii="宋体" w:hAnsi="宋体"/>
          <w:color w:val="auto"/>
          <w:sz w:val="28"/>
          <w:szCs w:val="28"/>
          <w:highlight w:val="none"/>
        </w:rPr>
        <w:t>120天。</w:t>
      </w:r>
      <w:r>
        <w:rPr>
          <w:rFonts w:hint="eastAsia" w:ascii="宋体" w:hAnsi="宋体"/>
          <w:color w:val="auto"/>
          <w:sz w:val="28"/>
          <w:szCs w:val="28"/>
          <w:highlight w:val="none"/>
        </w:rPr>
        <w:t>我方承诺在施工响应文件有效期天内不修改、撤销施工响应文件。</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我方愿意提供贵中心可能另外要求的，与本项目有关的文件资料，并保证我方已提供和将要提供的文件资料是真实、准确的，并对此承担一切法律后果。</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我方同意本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文件依据《四川省政府采购当事人诚信管理办法》（川财采〔</w:t>
      </w:r>
      <w:r>
        <w:rPr>
          <w:rFonts w:ascii="宋体" w:hAnsi="宋体"/>
          <w:color w:val="auto"/>
          <w:sz w:val="28"/>
          <w:szCs w:val="28"/>
          <w:highlight w:val="none"/>
        </w:rPr>
        <w:t>2015</w:t>
      </w:r>
      <w:r>
        <w:rPr>
          <w:rFonts w:hint="eastAsia" w:ascii="宋体" w:hAnsi="宋体"/>
          <w:color w:val="auto"/>
          <w:sz w:val="28"/>
          <w:szCs w:val="28"/>
          <w:highlight w:val="none"/>
        </w:rPr>
        <w:t>〕</w:t>
      </w:r>
      <w:r>
        <w:rPr>
          <w:rFonts w:ascii="宋体" w:hAnsi="宋体"/>
          <w:color w:val="auto"/>
          <w:sz w:val="28"/>
          <w:szCs w:val="28"/>
          <w:highlight w:val="none"/>
        </w:rPr>
        <w:t>33</w:t>
      </w:r>
      <w:r>
        <w:rPr>
          <w:rFonts w:hint="eastAsia" w:ascii="宋体" w:hAnsi="宋体"/>
          <w:color w:val="auto"/>
          <w:sz w:val="28"/>
          <w:szCs w:val="28"/>
          <w:highlight w:val="none"/>
        </w:rPr>
        <w:t>号文件）对我方可能存在的失信行为进行惩戒。</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如我方成交：</w:t>
      </w:r>
    </w:p>
    <w:p>
      <w:pPr>
        <w:pStyle w:val="65"/>
        <w:numPr>
          <w:ilvl w:val="0"/>
          <w:numId w:val="32"/>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我方承诺在收到成交通知书后，在规定的期限内与采购人签订合同。</w:t>
      </w:r>
    </w:p>
    <w:p>
      <w:pPr>
        <w:pStyle w:val="65"/>
        <w:numPr>
          <w:ilvl w:val="0"/>
          <w:numId w:val="32"/>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我方承诺按照</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文件规定的金额和方式向采购人缴纳履约保证金。</w:t>
      </w:r>
    </w:p>
    <w:p>
      <w:pPr>
        <w:pStyle w:val="65"/>
        <w:numPr>
          <w:ilvl w:val="0"/>
          <w:numId w:val="32"/>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我方将严格履行政府采购合同规定的责任和义务。</w:t>
      </w:r>
    </w:p>
    <w:p>
      <w:pPr>
        <w:pStyle w:val="65"/>
        <w:numPr>
          <w:ilvl w:val="0"/>
          <w:numId w:val="32"/>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我方愿意提供贵单位可能另外要求的，与</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报价有关的文件资料，并保证我方已提供和将要提供的文件资料是真实、准确的。</w:t>
      </w:r>
    </w:p>
    <w:p>
      <w:pPr>
        <w:pStyle w:val="65"/>
        <w:numPr>
          <w:ilvl w:val="0"/>
          <w:numId w:val="32"/>
        </w:numPr>
        <w:shd w:val="clea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我方自愿按照</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文件规定的各项要求完成工程建设项目，最后报价以《最后报价表》为准，接受采购人按照政府采购合同约定金额支付采购资金。</w:t>
      </w:r>
    </w:p>
    <w:p>
      <w:pPr>
        <w:pStyle w:val="65"/>
        <w:numPr>
          <w:ilvl w:val="3"/>
          <w:numId w:val="31"/>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我单位联系方式：</w:t>
      </w:r>
    </w:p>
    <w:p>
      <w:pPr>
        <w:pStyle w:val="30"/>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地址：</w:t>
      </w:r>
      <w:r>
        <w:rPr>
          <w:rFonts w:ascii="宋体" w:hAnsi="宋体"/>
          <w:color w:val="auto"/>
          <w:sz w:val="28"/>
          <w:szCs w:val="28"/>
          <w:highlight w:val="none"/>
          <w:u w:val="single"/>
        </w:rPr>
        <w:t>XXXX</w:t>
      </w:r>
    </w:p>
    <w:p>
      <w:pPr>
        <w:pStyle w:val="30"/>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传真：</w:t>
      </w:r>
      <w:r>
        <w:rPr>
          <w:rFonts w:ascii="宋体" w:hAnsi="宋体"/>
          <w:color w:val="auto"/>
          <w:sz w:val="28"/>
          <w:szCs w:val="28"/>
          <w:highlight w:val="none"/>
          <w:u w:val="single"/>
        </w:rPr>
        <w:t>XXXX</w:t>
      </w:r>
    </w:p>
    <w:p>
      <w:pPr>
        <w:pStyle w:val="30"/>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邮政编码：</w:t>
      </w:r>
      <w:r>
        <w:rPr>
          <w:rFonts w:ascii="宋体" w:hAnsi="宋体"/>
          <w:color w:val="auto"/>
          <w:sz w:val="28"/>
          <w:szCs w:val="28"/>
          <w:highlight w:val="none"/>
          <w:u w:val="single"/>
        </w:rPr>
        <w:t>XXXX</w:t>
      </w:r>
    </w:p>
    <w:p>
      <w:pPr>
        <w:pStyle w:val="30"/>
        <w:snapToGrid w:val="0"/>
        <w:spacing w:line="620" w:lineRule="exact"/>
        <w:ind w:firstLine="560" w:firstLineChars="200"/>
        <w:rPr>
          <w:rFonts w:ascii="宋体" w:hAnsi="宋体"/>
          <w:bCs/>
          <w:color w:val="auto"/>
          <w:sz w:val="28"/>
          <w:szCs w:val="28"/>
          <w:highlight w:val="none"/>
          <w:u w:val="single"/>
        </w:rPr>
      </w:pPr>
      <w:r>
        <w:rPr>
          <w:rFonts w:hint="eastAsia" w:ascii="宋体" w:hAnsi="宋体"/>
          <w:bCs/>
          <w:color w:val="auto"/>
          <w:sz w:val="28"/>
          <w:szCs w:val="28"/>
          <w:highlight w:val="none"/>
        </w:rPr>
        <w:t>供应商名称：</w:t>
      </w:r>
      <w:r>
        <w:rPr>
          <w:rFonts w:ascii="宋体" w:hAnsi="宋体"/>
          <w:bCs/>
          <w:color w:val="auto"/>
          <w:sz w:val="28"/>
          <w:szCs w:val="28"/>
          <w:highlight w:val="none"/>
          <w:u w:val="single"/>
        </w:rPr>
        <w:t>XXXXXXXXXX</w:t>
      </w:r>
    </w:p>
    <w:p>
      <w:pPr>
        <w:pStyle w:val="30"/>
        <w:snapToGrid w:val="0"/>
        <w:spacing w:line="62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法定代表人或代理人：</w:t>
      </w:r>
      <w:r>
        <w:rPr>
          <w:rFonts w:ascii="宋体" w:hAnsi="宋体"/>
          <w:bCs/>
          <w:color w:val="auto"/>
          <w:sz w:val="28"/>
          <w:szCs w:val="28"/>
          <w:highlight w:val="none"/>
          <w:u w:val="single"/>
        </w:rPr>
        <w:t>XXXXX</w:t>
      </w:r>
      <w:r>
        <w:rPr>
          <w:rFonts w:hint="eastAsia" w:ascii="宋体" w:hAnsi="宋体"/>
          <w:bCs/>
          <w:color w:val="auto"/>
          <w:sz w:val="28"/>
          <w:szCs w:val="28"/>
          <w:highlight w:val="none"/>
        </w:rPr>
        <w:t>（签字）</w:t>
      </w:r>
    </w:p>
    <w:p>
      <w:pPr>
        <w:snapToGrid w:val="0"/>
        <w:spacing w:line="62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日期：</w:t>
      </w:r>
      <w:r>
        <w:rPr>
          <w:rFonts w:ascii="宋体" w:hAnsi="宋体"/>
          <w:color w:val="auto"/>
          <w:sz w:val="28"/>
          <w:szCs w:val="28"/>
          <w:highlight w:val="none"/>
          <w:u w:val="single"/>
        </w:rPr>
        <w:t>XX</w:t>
      </w:r>
      <w:r>
        <w:rPr>
          <w:rFonts w:hint="eastAsia" w:ascii="宋体" w:hAnsi="宋体"/>
          <w:color w:val="auto"/>
          <w:sz w:val="28"/>
          <w:szCs w:val="28"/>
          <w:highlight w:val="none"/>
        </w:rPr>
        <w:t>年</w:t>
      </w:r>
      <w:r>
        <w:rPr>
          <w:rFonts w:ascii="宋体" w:hAnsi="宋体"/>
          <w:color w:val="auto"/>
          <w:sz w:val="28"/>
          <w:szCs w:val="28"/>
          <w:highlight w:val="none"/>
          <w:u w:val="single"/>
        </w:rPr>
        <w:t>XX</w:t>
      </w:r>
      <w:r>
        <w:rPr>
          <w:rFonts w:hint="eastAsia" w:ascii="宋体" w:hAnsi="宋体"/>
          <w:color w:val="auto"/>
          <w:sz w:val="28"/>
          <w:szCs w:val="28"/>
          <w:highlight w:val="none"/>
        </w:rPr>
        <w:t>月</w:t>
      </w:r>
      <w:r>
        <w:rPr>
          <w:rFonts w:ascii="宋体" w:hAnsi="宋体"/>
          <w:color w:val="auto"/>
          <w:sz w:val="28"/>
          <w:szCs w:val="28"/>
          <w:highlight w:val="none"/>
          <w:u w:val="single"/>
        </w:rPr>
        <w:t>XX</w:t>
      </w:r>
      <w:r>
        <w:rPr>
          <w:rFonts w:hint="eastAsia" w:ascii="宋体" w:hAnsi="宋体"/>
          <w:color w:val="auto"/>
          <w:sz w:val="28"/>
          <w:szCs w:val="28"/>
          <w:highlight w:val="none"/>
        </w:rPr>
        <w:t>日</w:t>
      </w:r>
    </w:p>
    <w:p>
      <w:pPr>
        <w:snapToGrid w:val="0"/>
        <w:spacing w:line="62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br w:type="page"/>
      </w:r>
    </w:p>
    <w:p>
      <w:pPr>
        <w:pStyle w:val="6"/>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u w:val="single"/>
          <w:lang w:val="zh-CN"/>
        </w:rPr>
        <w:t xml:space="preserve">       （法定代表人姓名）       </w:t>
      </w:r>
      <w:r>
        <w:rPr>
          <w:rFonts w:hint="eastAsia" w:ascii="宋体" w:hAnsi="宋体"/>
          <w:color w:val="auto"/>
          <w:sz w:val="28"/>
          <w:szCs w:val="28"/>
          <w:highlight w:val="none"/>
          <w:lang w:val="zh-CN"/>
        </w:rPr>
        <w:t>在</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处任</w:t>
      </w:r>
      <w:r>
        <w:rPr>
          <w:rFonts w:hint="eastAsia" w:ascii="宋体" w:hAnsi="宋体"/>
          <w:color w:val="auto"/>
          <w:sz w:val="28"/>
          <w:szCs w:val="28"/>
          <w:highlight w:val="none"/>
          <w:u w:val="single"/>
          <w:lang w:val="zh-CN"/>
        </w:rPr>
        <w:t xml:space="preserve">       （职务名称）       </w:t>
      </w:r>
      <w:r>
        <w:rPr>
          <w:rFonts w:hint="eastAsia" w:ascii="宋体" w:hAnsi="宋体"/>
          <w:color w:val="auto"/>
          <w:sz w:val="28"/>
          <w:szCs w:val="28"/>
          <w:highlight w:val="none"/>
          <w:lang w:val="zh-CN"/>
        </w:rPr>
        <w:t>职务，是</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的法定代表人。</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lang w:val="zh-CN"/>
        </w:rPr>
        <w:t>特此证明。</w:t>
      </w: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spacing w:line="360" w:lineRule="auto"/>
        <w:rPr>
          <w:rFonts w:ascii="宋体" w:hAnsi="宋体"/>
          <w:color w:val="auto"/>
          <w:sz w:val="28"/>
          <w:szCs w:val="28"/>
          <w:highlight w:val="none"/>
          <w:lang w:val="zh-CN"/>
        </w:rPr>
      </w:pPr>
      <w:r>
        <w:rPr>
          <w:rFonts w:hint="eastAsia" w:ascii="宋体" w:hAnsi="宋体"/>
          <w:color w:val="auto"/>
          <w:sz w:val="28"/>
          <w:szCs w:val="28"/>
          <w:highlight w:val="none"/>
          <w:lang w:val="zh-CN"/>
        </w:rPr>
        <w:t>供应商名称：</w:t>
      </w:r>
      <w:r>
        <w:rPr>
          <w:rFonts w:hint="eastAsia" w:ascii="宋体" w:hAnsi="宋体"/>
          <w:color w:val="auto"/>
          <w:sz w:val="28"/>
          <w:szCs w:val="28"/>
          <w:highlight w:val="none"/>
          <w:u w:val="single"/>
          <w:lang w:val="zh-CN"/>
        </w:rPr>
        <w:t>XXXX</w:t>
      </w:r>
    </w:p>
    <w:p>
      <w:pPr>
        <w:spacing w:line="500" w:lineRule="exact"/>
        <w:ind w:right="560"/>
        <w:rPr>
          <w:rFonts w:ascii="宋体" w:hAnsi="宋体"/>
          <w:color w:val="auto"/>
          <w:sz w:val="28"/>
          <w:szCs w:val="28"/>
          <w:highlight w:val="none"/>
        </w:rPr>
      </w:pPr>
      <w:r>
        <w:rPr>
          <w:rFonts w:hint="eastAsia" w:ascii="宋体" w:hAnsi="宋体"/>
          <w:color w:val="auto"/>
          <w:sz w:val="28"/>
          <w:szCs w:val="28"/>
          <w:highlight w:val="none"/>
        </w:rPr>
        <w:t>日      期：</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年</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月</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日</w:t>
      </w:r>
    </w:p>
    <w:p>
      <w:pPr>
        <w:spacing w:line="360" w:lineRule="auto"/>
        <w:rPr>
          <w:rFonts w:ascii="宋体" w:hAnsi="宋体"/>
          <w:color w:val="auto"/>
          <w:sz w:val="28"/>
          <w:szCs w:val="28"/>
          <w:highlight w:val="none"/>
          <w:lang w:val="zh-CN"/>
        </w:rPr>
      </w:pPr>
    </w:p>
    <w:p>
      <w:pPr>
        <w:spacing w:line="360" w:lineRule="auto"/>
        <w:ind w:firstLine="568" w:firstLineChars="202"/>
        <w:rPr>
          <w:rFonts w:ascii="宋体" w:hAnsi="宋体"/>
          <w:b/>
          <w:color w:val="auto"/>
          <w:sz w:val="28"/>
          <w:szCs w:val="28"/>
          <w:highlight w:val="none"/>
          <w:lang w:val="zh-CN"/>
        </w:rPr>
      </w:pPr>
      <w:r>
        <w:rPr>
          <w:rFonts w:hint="eastAsia" w:ascii="宋体" w:hAnsi="宋体"/>
          <w:b/>
          <w:color w:val="auto"/>
          <w:sz w:val="28"/>
          <w:szCs w:val="28"/>
          <w:highlight w:val="none"/>
          <w:lang w:val="zh-CN"/>
        </w:rPr>
        <w:t>说明：上述证明文件在施工响应文件中附有法定代表人身份证复印件（</w:t>
      </w:r>
      <w:r>
        <w:rPr>
          <w:rFonts w:ascii="宋体" w:hAnsi="宋体"/>
          <w:b/>
          <w:color w:val="auto"/>
          <w:sz w:val="28"/>
          <w:highlight w:val="none"/>
          <w:lang w:val="zh-CN"/>
        </w:rPr>
        <w:t>身份证</w:t>
      </w:r>
      <w:r>
        <w:rPr>
          <w:rFonts w:hint="eastAsia" w:ascii="宋体" w:hAnsi="宋体"/>
          <w:b/>
          <w:color w:val="auto"/>
          <w:sz w:val="28"/>
          <w:highlight w:val="none"/>
          <w:lang w:val="zh-CN"/>
        </w:rPr>
        <w:t>两面均应复印</w:t>
      </w:r>
      <w:r>
        <w:rPr>
          <w:rFonts w:hint="eastAsia" w:ascii="宋体" w:hAnsi="宋体"/>
          <w:b/>
          <w:color w:val="auto"/>
          <w:sz w:val="28"/>
          <w:szCs w:val="28"/>
          <w:highlight w:val="none"/>
          <w:lang w:val="zh-CN"/>
        </w:rPr>
        <w:t>）或护照复印件（供应商的法定代表人为外籍人士的，则提供护照复印件）时才能生效。</w:t>
      </w:r>
    </w:p>
    <w:p>
      <w:pPr>
        <w:pStyle w:val="2"/>
        <w:rPr>
          <w:color w:val="auto"/>
          <w:highlight w:val="none"/>
          <w:lang w:val="zh-CN"/>
        </w:rPr>
      </w:pPr>
    </w:p>
    <w:p>
      <w:pPr>
        <w:rPr>
          <w:color w:val="auto"/>
          <w:highlight w:val="none"/>
          <w:lang w:val="zh-CN"/>
        </w:rPr>
      </w:pPr>
      <w:r>
        <w:rPr>
          <w:color w:val="auto"/>
          <w:highlight w:val="none"/>
          <w:lang w:val="zh-CN"/>
        </w:rPr>
        <w:br w:type="page"/>
      </w:r>
    </w:p>
    <w:p>
      <w:pPr>
        <w:pStyle w:val="6"/>
        <w:numPr>
          <w:ilvl w:val="3"/>
          <w:numId w:val="1"/>
        </w:numPr>
        <w:tabs>
          <w:tab w:val="left" w:pos="709"/>
        </w:tabs>
        <w:jc w:val="left"/>
        <w:rPr>
          <w:color w:val="auto"/>
          <w:highlight w:val="none"/>
        </w:rPr>
      </w:pPr>
      <w:r>
        <w:rPr>
          <w:rFonts w:hint="eastAsia"/>
          <w:color w:val="auto"/>
          <w:highlight w:val="none"/>
          <w:lang w:eastAsia="zh-CN"/>
        </w:rPr>
        <w:t>承诺函</w:t>
      </w: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成都市田家炳中学初中部食堂改造工程采购项目</w:t>
      </w:r>
    </w:p>
    <w:p>
      <w:pPr>
        <w:snapToGrid w:val="0"/>
        <w:spacing w:line="360" w:lineRule="auto"/>
        <w:rPr>
          <w:rFonts w:ascii="宋体" w:hAnsi="宋体"/>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锦江政采（2021）A0003号</w:t>
      </w:r>
    </w:p>
    <w:p>
      <w:pPr>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我公司作为参加</w:t>
      </w:r>
      <w:r>
        <w:rPr>
          <w:rFonts w:hint="eastAsia" w:ascii="宋体" w:hAnsi="宋体"/>
          <w:b/>
          <w:color w:val="auto"/>
          <w:sz w:val="28"/>
          <w:highlight w:val="none"/>
          <w:u w:val="single"/>
          <w:lang w:eastAsia="zh-CN"/>
        </w:rPr>
        <w:t>成都市田家炳中学初中部食堂改造工程采购项目</w:t>
      </w:r>
      <w:r>
        <w:rPr>
          <w:rFonts w:hint="eastAsia" w:ascii="宋体" w:hAnsi="宋体"/>
          <w:color w:val="auto"/>
          <w:sz w:val="28"/>
          <w:highlight w:val="none"/>
        </w:rPr>
        <w:t>的竞争性</w:t>
      </w:r>
      <w:r>
        <w:rPr>
          <w:rFonts w:hint="eastAsia" w:ascii="宋体" w:hAnsi="宋体"/>
          <w:color w:val="auto"/>
          <w:sz w:val="28"/>
          <w:highlight w:val="none"/>
          <w:lang w:eastAsia="zh-CN"/>
        </w:rPr>
        <w:t>磋商</w:t>
      </w:r>
      <w:r>
        <w:rPr>
          <w:rFonts w:hint="eastAsia" w:ascii="宋体" w:hAnsi="宋体"/>
          <w:color w:val="auto"/>
          <w:sz w:val="28"/>
          <w:highlight w:val="none"/>
        </w:rPr>
        <w:t>的供应商，在此郑重承诺：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为本项目提供的所有产品、辅材中</w:t>
      </w:r>
      <w:r>
        <w:rPr>
          <w:rFonts w:cs="仿宋" w:asciiTheme="minorEastAsia" w:hAnsiTheme="minorEastAsia" w:eastAsiaTheme="minorEastAsia"/>
          <w:color w:val="auto"/>
          <w:sz w:val="28"/>
          <w:szCs w:val="28"/>
          <w:highlight w:val="none"/>
        </w:rPr>
        <w:t>属于《国家强制性产品认证目录》范围内产品的，均通过国家强制性产品认证并取得认证证书。</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为本项目提供的所有产品、辅材等符合现行的强制性国家相关标准、行业标准。</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我方为本项目提供的所有产品中属于节能产品政府采购品目清单中的政府强制采购产品的，均具有国家确定的认证机构出具的有效期内的节能产品认证证书。</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我方承诺为本工程项目实施涉及的商品包装和快递包装，均符合财政部等三部门联合印发商品包装和快递包装政府采购需求标准（试行）（财办库[2020]123号）的要求。</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我方承诺为本项目提供的工程、货物及服务均为本国工程、货物及服务。</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我方承诺严格按照工程量清单、工程量清单编制说明、设计图纸进行施工，工程施工满足当地建设行政主管部门对工程建设的有关规定，并按经批准的施工组织设计实施，并符合施工规范及验收标准的相关要求。</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我单位具有《四川省政府采购当事人诚信管理办法》（川财采</w:t>
      </w:r>
      <w:r>
        <w:rPr>
          <w:rFonts w:cs="仿宋" w:asciiTheme="minorEastAsia" w:hAnsiTheme="minorEastAsia" w:eastAsiaTheme="minorEastAsia"/>
          <w:color w:val="auto"/>
          <w:sz w:val="28"/>
          <w:szCs w:val="28"/>
          <w:highlight w:val="none"/>
        </w:rPr>
        <w:t>[2015]33</w:t>
      </w:r>
      <w:r>
        <w:rPr>
          <w:rFonts w:hint="eastAsia" w:cs="仿宋" w:asciiTheme="minorEastAsia" w:hAnsiTheme="minorEastAsia" w:eastAsiaTheme="minorEastAsia"/>
          <w:color w:val="auto"/>
          <w:sz w:val="28"/>
          <w:szCs w:val="28"/>
          <w:highlight w:val="none"/>
        </w:rPr>
        <w:t>号）所规定的失信行为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b/>
          <w:color w:val="auto"/>
          <w:sz w:val="28"/>
          <w:szCs w:val="28"/>
          <w:highlight w:val="none"/>
        </w:rPr>
        <w:t>次</w:t>
      </w:r>
      <w:r>
        <w:rPr>
          <w:rFonts w:hint="eastAsia" w:cs="仿宋" w:asciiTheme="minorEastAsia" w:hAnsiTheme="minorEastAsia" w:eastAsiaTheme="minorEastAsia"/>
          <w:color w:val="auto"/>
          <w:sz w:val="28"/>
          <w:szCs w:val="28"/>
          <w:highlight w:val="none"/>
        </w:rPr>
        <w:t>。（说明：（１）填写失信行为的次数时，建议使用大写数字，如零、壹、贰、叁、肆等。（２）仅限递交施工响应文件截止当日仍在有效期的次数）</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在参加本次采购活动中，不存在与单位负责人为同一人或者存在直接控股、管理关系的其他供应商参与同一合同项下的政府采购活动的行为。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在参加本次采购活动中，不存在和其他供应商在同一合同项下的采购项目中，同时委托同一个自然人、同一家庭的人员、同一单位的人员作为代理人的行为。</w:t>
      </w:r>
    </w:p>
    <w:p>
      <w:pPr>
        <w:pStyle w:val="65"/>
        <w:numPr>
          <w:ilvl w:val="0"/>
          <w:numId w:val="33"/>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我单位承诺中标后为本项目</w:t>
      </w:r>
      <w:r>
        <w:rPr>
          <w:rFonts w:cs="仿宋" w:asciiTheme="minorEastAsia" w:hAnsiTheme="minorEastAsia" w:eastAsiaTheme="minorEastAsia"/>
          <w:color w:val="auto"/>
          <w:sz w:val="28"/>
          <w:szCs w:val="28"/>
          <w:highlight w:val="none"/>
        </w:rPr>
        <w:t>提供</w:t>
      </w:r>
      <w:r>
        <w:rPr>
          <w:rFonts w:hint="eastAsia" w:cs="仿宋" w:asciiTheme="minorEastAsia" w:hAnsiTheme="minorEastAsia" w:eastAsiaTheme="minorEastAsia"/>
          <w:color w:val="auto"/>
          <w:sz w:val="28"/>
          <w:szCs w:val="28"/>
          <w:highlight w:val="none"/>
        </w:rPr>
        <w:t>项目经理的</w:t>
      </w:r>
      <w:r>
        <w:rPr>
          <w:rFonts w:cs="仿宋" w:asciiTheme="minorEastAsia" w:hAnsiTheme="minorEastAsia" w:eastAsiaTheme="minorEastAsia"/>
          <w:color w:val="auto"/>
          <w:sz w:val="28"/>
          <w:szCs w:val="28"/>
          <w:highlight w:val="none"/>
        </w:rPr>
        <w:t>注册资格证书原件后</w:t>
      </w:r>
      <w:r>
        <w:rPr>
          <w:rFonts w:hint="eastAsia" w:cs="仿宋" w:asciiTheme="minorEastAsia" w:hAnsiTheme="minorEastAsia" w:eastAsiaTheme="minorEastAsia"/>
          <w:color w:val="auto"/>
          <w:sz w:val="28"/>
          <w:szCs w:val="28"/>
          <w:highlight w:val="none"/>
        </w:rPr>
        <w:t>再</w:t>
      </w:r>
      <w:r>
        <w:rPr>
          <w:rFonts w:cs="仿宋" w:asciiTheme="minorEastAsia" w:hAnsiTheme="minorEastAsia" w:eastAsiaTheme="minorEastAsia"/>
          <w:color w:val="auto"/>
          <w:sz w:val="28"/>
          <w:szCs w:val="28"/>
          <w:highlight w:val="none"/>
        </w:rPr>
        <w:t>签订合同，至合同标的的主体工程完工后才能退还。</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如果有《四川省政府采购当事人诚信管理办法》（川财采</w:t>
      </w:r>
      <w:r>
        <w:rPr>
          <w:rFonts w:cs="仿宋" w:asciiTheme="minorEastAsia" w:hAnsiTheme="minorEastAsia" w:eastAsiaTheme="minorEastAsia"/>
          <w:color w:val="auto"/>
          <w:sz w:val="28"/>
          <w:szCs w:val="28"/>
          <w:highlight w:val="none"/>
        </w:rPr>
        <w:t>[2015]33</w:t>
      </w:r>
      <w:r>
        <w:rPr>
          <w:rFonts w:hint="eastAsia" w:cs="仿宋" w:asciiTheme="minorEastAsia" w:hAnsiTheme="minorEastAsia" w:eastAsiaTheme="minorEastAsia"/>
          <w:color w:val="auto"/>
          <w:sz w:val="28"/>
          <w:szCs w:val="28"/>
          <w:highlight w:val="none"/>
        </w:rPr>
        <w:t>号）规定的记入诚信档案的失信行为，将在施工响应文件中全面如实反映。</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施工响应文件中提供的任何资料和技术、服务、商务等响应承诺情况都是真实的、有效的、合法的。</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如本项目</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采购过程中需要提供样品，则我方提供的样品即为成交后将要提供的成交产品，我方对提供样品的性能和质量负责，因样品存在缺陷或者不符合</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文件要求导致未能成交的，我方愿意承担相应不利后果。</w:t>
      </w:r>
    </w:p>
    <w:p>
      <w:pPr>
        <w:pStyle w:val="65"/>
        <w:numPr>
          <w:ilvl w:val="0"/>
          <w:numId w:val="33"/>
        </w:numPr>
        <w:tabs>
          <w:tab w:val="left" w:pos="1418"/>
        </w:tabs>
        <w:snapToGrid w:val="0"/>
        <w:spacing w:line="360" w:lineRule="auto"/>
        <w:ind w:left="0" w:firstLine="560" w:firstLineChars="0"/>
        <w:rPr>
          <w:rFonts w:hint="eastAsia"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国家或行业主管部门对工程项目的技术标准、质量标准和资格资质条件等有强制性规定的，我方承诺符合其要求。</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参加本次采购活动，我方完全同意</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文件第二章关于“</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费用”、“合同分包”、“合同转包”、“履约保证金”的实质性要求，并承诺严格按照</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文件要求履行。</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与我方存在直接控股关系的单位为：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w:t>
      </w:r>
      <w:r>
        <w:rPr>
          <w:rFonts w:hint="eastAsia" w:ascii="宋体" w:hAnsi="宋体" w:cs="仿宋"/>
          <w:b/>
          <w:color w:val="auto"/>
          <w:sz w:val="28"/>
          <w:szCs w:val="28"/>
          <w:highlight w:val="none"/>
          <w:u w:val="single"/>
          <w:lang w:eastAsia="zh-CN"/>
        </w:rPr>
        <w:t>（</w:t>
      </w:r>
      <w:r>
        <w:rPr>
          <w:rFonts w:hint="eastAsia" w:ascii="宋体" w:hAnsi="宋体" w:cs="仿宋"/>
          <w:b/>
          <w:color w:val="auto"/>
          <w:sz w:val="28"/>
          <w:szCs w:val="28"/>
          <w:highlight w:val="none"/>
          <w:u w:val="single"/>
          <w:lang w:val="en-US" w:eastAsia="zh-CN"/>
        </w:rPr>
        <w:t>加</w:t>
      </w:r>
      <w:r>
        <w:rPr>
          <w:rFonts w:hint="eastAsia" w:ascii="宋体" w:hAnsi="宋体" w:cs="仿宋"/>
          <w:b/>
          <w:color w:val="auto"/>
          <w:sz w:val="28"/>
          <w:szCs w:val="28"/>
          <w:highlight w:val="none"/>
          <w:u w:val="single"/>
          <w:lang w:eastAsia="zh-CN"/>
        </w:rPr>
        <w:t>）</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color w:val="auto"/>
          <w:sz w:val="28"/>
          <w:szCs w:val="28"/>
          <w:highlight w:val="none"/>
        </w:rPr>
        <w:t>；存在管理关系单位为：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color w:val="auto"/>
          <w:sz w:val="28"/>
          <w:szCs w:val="28"/>
          <w:highlight w:val="none"/>
        </w:rPr>
        <w:t>。</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ascii="宋体" w:hAnsi="宋体" w:eastAsia="宋体" w:cs="仿宋"/>
          <w:color w:val="auto"/>
          <w:spacing w:val="-6"/>
          <w:sz w:val="28"/>
          <w:szCs w:val="28"/>
          <w:highlight w:val="none"/>
        </w:rPr>
        <w:t>我方承诺负责施工现场安全并承担施工期间一切安全责任。</w:t>
      </w:r>
    </w:p>
    <w:p>
      <w:pPr>
        <w:pStyle w:val="65"/>
        <w:numPr>
          <w:ilvl w:val="0"/>
          <w:numId w:val="33"/>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我方承诺针对本项目的施工，达到国家及行业现行技术规范标准，符合国家及行业验收合格标准。</w:t>
      </w:r>
    </w:p>
    <w:p>
      <w:pPr>
        <w:pStyle w:val="65"/>
        <w:numPr>
          <w:ilvl w:val="0"/>
          <w:numId w:val="33"/>
        </w:numPr>
        <w:tabs>
          <w:tab w:val="left" w:pos="1418"/>
        </w:tabs>
        <w:snapToGrid w:val="0"/>
        <w:spacing w:line="360" w:lineRule="auto"/>
        <w:ind w:left="0" w:leftChars="0" w:firstLine="72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我方承诺成交通知书发出后</w:t>
      </w:r>
      <w:r>
        <w:rPr>
          <w:rFonts w:hint="eastAsia" w:cs="仿宋" w:asciiTheme="minorEastAsia" w:hAnsiTheme="minorEastAsia" w:eastAsiaTheme="minorEastAsia"/>
          <w:color w:val="auto"/>
          <w:sz w:val="28"/>
          <w:szCs w:val="28"/>
          <w:highlight w:val="none"/>
          <w:lang w:val="en-US" w:eastAsia="zh-CN"/>
        </w:rPr>
        <w:t>30天</w:t>
      </w:r>
      <w:r>
        <w:rPr>
          <w:rFonts w:hint="eastAsia" w:cs="仿宋" w:asciiTheme="minorEastAsia" w:hAnsiTheme="minorEastAsia" w:eastAsiaTheme="minorEastAsia"/>
          <w:color w:val="auto"/>
          <w:sz w:val="28"/>
          <w:szCs w:val="28"/>
          <w:highlight w:val="none"/>
        </w:rPr>
        <w:t>内，我方与采购人签订合同(逾期视为我方放弃本次成交资格，采购人有权按照评审报告确定的成交候选供应商名单顺序，确定下一候选人为成交供应商，或重新开展政府采购活动)。</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rPr>
        <w:t>特此承诺。</w:t>
      </w:r>
      <w:r>
        <w:rPr>
          <w:rFonts w:hint="eastAsia" w:ascii="宋体" w:hAnsi="宋体"/>
          <w:color w:val="auto"/>
          <w:sz w:val="28"/>
          <w:szCs w:val="28"/>
          <w:highlight w:val="none"/>
          <w:lang w:val="en-US" w:eastAsia="zh-CN"/>
        </w:rPr>
        <w:t xml:space="preserve">       </w:t>
      </w:r>
    </w:p>
    <w:p>
      <w:pPr>
        <w:snapToGrid w:val="0"/>
        <w:spacing w:line="360" w:lineRule="auto"/>
        <w:ind w:firstLine="560" w:firstLineChars="200"/>
        <w:rPr>
          <w:rFonts w:hint="eastAsia"/>
          <w:color w:val="auto"/>
          <w:sz w:val="28"/>
          <w:szCs w:val="28"/>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供应商名称：</w:t>
      </w:r>
      <w:r>
        <w:rPr>
          <w:rFonts w:ascii="宋体" w:hAnsi="宋体"/>
          <w:color w:val="auto"/>
          <w:sz w:val="28"/>
          <w:szCs w:val="28"/>
          <w:highlight w:val="none"/>
          <w:u w:val="single"/>
        </w:rPr>
        <w:t>XXXXXXXXX</w:t>
      </w:r>
      <w:r>
        <w:rPr>
          <w:rFonts w:hint="eastAsia"/>
          <w:color w:val="auto"/>
          <w:sz w:val="28"/>
          <w:szCs w:val="28"/>
          <w:highlight w:val="none"/>
          <w:lang w:val="en-US" w:eastAsia="zh-CN"/>
        </w:rPr>
        <w:t xml:space="preserve">                         </w:t>
      </w:r>
    </w:p>
    <w:p>
      <w:pPr>
        <w:snapToGrid w:val="0"/>
        <w:spacing w:line="360" w:lineRule="auto"/>
        <w:ind w:firstLine="560" w:firstLineChars="200"/>
        <w:rPr>
          <w:color w:val="auto"/>
          <w:sz w:val="28"/>
          <w:szCs w:val="28"/>
          <w:highlight w:val="none"/>
        </w:rPr>
      </w:pPr>
      <w:r>
        <w:rPr>
          <w:rFonts w:hint="eastAsia"/>
          <w:color w:val="auto"/>
          <w:sz w:val="28"/>
          <w:szCs w:val="28"/>
          <w:highlight w:val="none"/>
          <w:lang w:val="en-US" w:eastAsia="zh-CN"/>
        </w:rPr>
        <w:t xml:space="preserve">    </w:t>
      </w:r>
      <w:r>
        <w:rPr>
          <w:color w:val="auto"/>
          <w:sz w:val="28"/>
          <w:szCs w:val="28"/>
          <w:highlight w:val="none"/>
        </w:rPr>
        <w:t>日期：XX年XX月XX日</w:t>
      </w:r>
    </w:p>
    <w:p>
      <w:pPr>
        <w:snapToGrid w:val="0"/>
        <w:spacing w:line="360" w:lineRule="auto"/>
        <w:ind w:firstLine="560" w:firstLineChars="200"/>
        <w:rPr>
          <w:color w:val="auto"/>
          <w:sz w:val="28"/>
          <w:szCs w:val="28"/>
          <w:highlight w:val="none"/>
        </w:rPr>
      </w:pPr>
      <w:r>
        <w:rPr>
          <w:color w:val="auto"/>
          <w:sz w:val="28"/>
          <w:szCs w:val="28"/>
          <w:highlight w:val="none"/>
        </w:rPr>
        <w:br w:type="page"/>
      </w:r>
    </w:p>
    <w:p>
      <w:pPr>
        <w:pStyle w:val="2"/>
        <w:rPr>
          <w:color w:val="auto"/>
          <w:highlight w:val="none"/>
        </w:rPr>
      </w:pPr>
    </w:p>
    <w:p>
      <w:pPr>
        <w:pStyle w:val="6"/>
        <w:numPr>
          <w:ilvl w:val="3"/>
          <w:numId w:val="1"/>
        </w:numPr>
        <w:tabs>
          <w:tab w:val="left" w:pos="709"/>
        </w:tabs>
        <w:jc w:val="left"/>
        <w:rPr>
          <w:color w:val="auto"/>
          <w:highlight w:val="none"/>
        </w:rPr>
      </w:pPr>
      <w:r>
        <w:rPr>
          <w:rFonts w:hint="eastAsia"/>
          <w:color w:val="auto"/>
          <w:highlight w:val="none"/>
          <w:lang w:eastAsia="zh-CN"/>
        </w:rPr>
        <w:t>技术</w:t>
      </w:r>
      <w:r>
        <w:rPr>
          <w:rFonts w:hint="eastAsia"/>
          <w:color w:val="auto"/>
          <w:highlight w:val="none"/>
        </w:rPr>
        <w:t>、服务、合同条款要求应答表</w:t>
      </w:r>
    </w:p>
    <w:tbl>
      <w:tblPr>
        <w:tblStyle w:val="50"/>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val="0"/>
                <w:bCs/>
                <w:color w:val="auto"/>
                <w:sz w:val="21"/>
                <w:szCs w:val="21"/>
                <w:highlight w:val="none"/>
              </w:rPr>
            </w:pPr>
            <w:r>
              <w:rPr>
                <w:rFonts w:hint="eastAsia" w:ascii="宋体" w:hAnsi="宋体"/>
                <w:b w:val="0"/>
                <w:bCs/>
                <w:color w:val="auto"/>
                <w:sz w:val="21"/>
                <w:szCs w:val="21"/>
                <w:highlight w:val="none"/>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highlight w:val="none"/>
              </w:rPr>
            </w:pPr>
            <w:r>
              <w:rPr>
                <w:rFonts w:ascii="宋体" w:hAnsi="宋体" w:cs="仿宋"/>
                <w:color w:val="auto"/>
                <w:highlight w:val="none"/>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b w:val="0"/>
                <w:bCs/>
                <w:color w:val="auto"/>
                <w:sz w:val="21"/>
                <w:szCs w:val="21"/>
                <w:highlight w:val="none"/>
              </w:rPr>
            </w:pPr>
            <w:r>
              <w:rPr>
                <w:rFonts w:hint="eastAsia" w:ascii="宋体" w:hAnsi="宋体"/>
                <w:b w:val="0"/>
                <w:bCs/>
                <w:color w:val="auto"/>
                <w:sz w:val="21"/>
                <w:szCs w:val="21"/>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宋体" w:hAnsi="宋体" w:eastAsia="宋体"/>
                <w:color w:val="auto"/>
                <w:highlight w:val="none"/>
                <w:lang w:val="en-US" w:eastAsia="zh-CN"/>
              </w:rPr>
            </w:pPr>
            <w:r>
              <w:rPr>
                <w:rFonts w:hint="eastAsia" w:ascii="宋体" w:hAnsi="宋体" w:eastAsia="宋体" w:cs="Times New Roman"/>
                <w:color w:val="auto"/>
                <w:szCs w:val="21"/>
                <w:highlight w:val="none"/>
                <w:lang w:val="zh-CN"/>
              </w:rPr>
              <w:t>合同签订之日起</w:t>
            </w:r>
            <w:r>
              <w:rPr>
                <w:rFonts w:hint="eastAsia" w:ascii="宋体" w:hAnsi="宋体" w:cs="Times New Roman"/>
                <w:color w:val="auto"/>
                <w:szCs w:val="21"/>
                <w:highlight w:val="none"/>
                <w:u w:val="single"/>
                <w:lang w:val="en-US" w:eastAsia="zh-CN"/>
              </w:rPr>
              <w:t>XX</w:t>
            </w:r>
            <w:r>
              <w:rPr>
                <w:rFonts w:hint="eastAsia" w:ascii="宋体" w:hAnsi="宋体" w:eastAsia="宋体" w:cs="Times New Roman"/>
                <w:color w:val="auto"/>
                <w:szCs w:val="21"/>
                <w:highlight w:val="none"/>
              </w:rPr>
              <w:t>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微软雅黑"/>
                <w:color w:val="auto"/>
                <w:highlight w:val="none"/>
                <w:u w:val="single"/>
                <w:lang w:val="en-US" w:eastAsia="zh-CN"/>
              </w:rPr>
              <w:t>XX</w:t>
            </w:r>
            <w:r>
              <w:rPr>
                <w:rFonts w:hint="eastAsia" w:ascii="宋体" w:hAnsi="宋体" w:cs="仿宋"/>
                <w:color w:val="auto"/>
                <w:highlight w:val="none"/>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cs="MingLiU"/>
                <w:b w:val="0"/>
                <w:bCs/>
                <w:color w:val="auto"/>
                <w:sz w:val="21"/>
                <w:szCs w:val="21"/>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质</w:t>
            </w:r>
            <w:r>
              <w:rPr>
                <w:rFonts w:hint="eastAsia" w:ascii="宋体" w:hAnsi="宋体"/>
                <w:b w:val="0"/>
                <w:bCs/>
                <w:color w:val="auto"/>
                <w:sz w:val="21"/>
                <w:szCs w:val="21"/>
                <w:highlight w:val="none"/>
                <w:lang w:eastAsia="zh-CN"/>
              </w:rPr>
              <w:t>量</w:t>
            </w:r>
            <w:r>
              <w:rPr>
                <w:rFonts w:hint="eastAsia" w:ascii="宋体" w:hAnsi="宋体"/>
                <w:b w:val="0"/>
                <w:bCs/>
                <w:color w:val="auto"/>
                <w:sz w:val="21"/>
                <w:szCs w:val="21"/>
                <w:highlight w:val="none"/>
              </w:rPr>
              <w:t>保</w:t>
            </w:r>
            <w:r>
              <w:rPr>
                <w:rFonts w:hint="eastAsia" w:ascii="宋体" w:hAnsi="宋体"/>
                <w:b w:val="0"/>
                <w:bCs/>
                <w:color w:val="auto"/>
                <w:sz w:val="21"/>
                <w:szCs w:val="21"/>
                <w:highlight w:val="none"/>
                <w:lang w:eastAsia="zh-CN"/>
              </w:rPr>
              <w:t>证</w:t>
            </w:r>
            <w:r>
              <w:rPr>
                <w:rFonts w:hint="eastAsia" w:ascii="宋体" w:hAnsi="宋体"/>
                <w:b w:val="0"/>
                <w:bCs/>
                <w:color w:val="auto"/>
                <w:sz w:val="21"/>
                <w:szCs w:val="21"/>
                <w:highlight w:val="none"/>
              </w:rPr>
              <w:t>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b w:val="0"/>
                <w:bCs/>
                <w:color w:val="auto"/>
                <w:sz w:val="21"/>
                <w:szCs w:val="21"/>
                <w:highlight w:val="none"/>
              </w:rPr>
            </w:pPr>
            <w:r>
              <w:rPr>
                <w:rFonts w:hint="eastAsia" w:ascii="宋体" w:hAnsi="宋体" w:cs="MingLiU"/>
                <w:b w:val="0"/>
                <w:bCs/>
                <w:color w:val="auto"/>
                <w:sz w:val="21"/>
                <w:szCs w:val="21"/>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b w:val="0"/>
                <w:bCs/>
                <w:color w:val="auto"/>
                <w:sz w:val="21"/>
                <w:szCs w:val="21"/>
                <w:highlight w:val="none"/>
              </w:rPr>
            </w:pPr>
            <w:r>
              <w:rPr>
                <w:rFonts w:hint="eastAsia" w:ascii="宋体" w:hAnsi="宋体" w:cs="MingLiU"/>
                <w:b w:val="0"/>
                <w:bCs/>
                <w:color w:val="auto"/>
                <w:sz w:val="21"/>
                <w:szCs w:val="21"/>
                <w:highlight w:val="none"/>
              </w:rPr>
              <w:t>质保期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b w:val="0"/>
                <w:bCs/>
                <w:color w:val="auto"/>
                <w:sz w:val="21"/>
                <w:szCs w:val="21"/>
                <w:highlight w:val="none"/>
                <w:lang w:eastAsia="zh-CN"/>
              </w:rPr>
            </w:pPr>
            <w:r>
              <w:rPr>
                <w:rFonts w:hint="eastAsia" w:ascii="宋体" w:hAnsi="宋体" w:cs="仿宋"/>
                <w:color w:val="auto"/>
                <w:highlight w:val="none"/>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w:t>
            </w:r>
          </w:p>
        </w:tc>
      </w:tr>
    </w:tbl>
    <w:p>
      <w:pPr>
        <w:snapToGrid w:val="0"/>
        <w:spacing w:line="360" w:lineRule="auto"/>
        <w:ind w:firstLine="584" w:firstLineChars="200"/>
        <w:rPr>
          <w:rFonts w:hint="eastAsia"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color w:val="auto"/>
          <w:spacing w:val="6"/>
          <w:sz w:val="28"/>
          <w:szCs w:val="28"/>
          <w:highlight w:val="none"/>
        </w:rPr>
      </w:pPr>
    </w:p>
    <w:p>
      <w:pPr>
        <w:pStyle w:val="2"/>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p>
    <w:p>
      <w:pPr>
        <w:snapToGrid w:val="0"/>
        <w:spacing w:line="360" w:lineRule="auto"/>
        <w:ind w:firstLine="584" w:firstLineChars="200"/>
        <w:rPr>
          <w:rFonts w:hint="eastAsia"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r>
        <w:rPr>
          <w:rFonts w:hint="eastAsia" w:ascii="宋体" w:hAnsi="宋体"/>
          <w:color w:val="auto"/>
          <w:spacing w:val="6"/>
          <w:sz w:val="28"/>
          <w:szCs w:val="28"/>
          <w:highlight w:val="none"/>
        </w:rPr>
        <w:br w:type="page"/>
      </w:r>
    </w:p>
    <w:p>
      <w:pPr>
        <w:pStyle w:val="6"/>
        <w:numPr>
          <w:ilvl w:val="3"/>
          <w:numId w:val="1"/>
        </w:numPr>
        <w:tabs>
          <w:tab w:val="left" w:pos="709"/>
        </w:tabs>
        <w:jc w:val="left"/>
        <w:rPr>
          <w:color w:val="auto"/>
          <w:highlight w:val="none"/>
        </w:rPr>
      </w:pPr>
      <w:r>
        <w:rPr>
          <w:rFonts w:hint="eastAsia"/>
          <w:color w:val="auto"/>
          <w:highlight w:val="none"/>
          <w:lang w:eastAsia="zh-CN"/>
        </w:rPr>
        <w:t>项目管理机构组成表</w:t>
      </w:r>
    </w:p>
    <w:tbl>
      <w:tblPr>
        <w:tblStyle w:val="50"/>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项目负责人</w:t>
            </w:r>
          </w:p>
          <w:p>
            <w:pPr>
              <w:spacing w:line="360" w:lineRule="auto"/>
              <w:jc w:val="center"/>
              <w:rPr>
                <w:rFonts w:ascii="宋体" w:hAnsi="宋体"/>
                <w:color w:val="auto"/>
                <w:highlight w:val="none"/>
              </w:rPr>
            </w:pPr>
            <w:r>
              <w:rPr>
                <w:rFonts w:hint="eastAsia" w:ascii="宋体" w:hAnsi="宋体" w:cs="仿宋"/>
                <w:color w:val="auto"/>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s="仿宋"/>
                <w:color w:val="auto"/>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bl>
    <w:p>
      <w:pPr>
        <w:spacing w:line="360" w:lineRule="auto"/>
        <w:ind w:left="410" w:leftChars="171"/>
        <w:rPr>
          <w:rFonts w:ascii="宋体" w:hAnsi="宋体"/>
          <w:color w:val="auto"/>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p>
    <w:p>
      <w:pPr>
        <w:spacing w:line="360" w:lineRule="auto"/>
        <w:rPr>
          <w:rFonts w:ascii="宋体" w:hAnsi="宋体" w:cs="仿宋"/>
          <w:color w:val="auto"/>
          <w:highlight w:val="none"/>
        </w:rPr>
      </w:pPr>
    </w:p>
    <w:p>
      <w:pPr>
        <w:spacing w:line="360" w:lineRule="auto"/>
        <w:rPr>
          <w:rFonts w:hint="eastAsia" w:ascii="宋体" w:hAnsi="宋体" w:cs="仿宋"/>
          <w:color w:val="auto"/>
          <w:highlight w:val="none"/>
        </w:rPr>
      </w:pPr>
      <w:r>
        <w:rPr>
          <w:rFonts w:hint="eastAsia" w:ascii="宋体" w:hAnsi="宋体" w:cs="仿宋"/>
          <w:b/>
          <w:color w:val="auto"/>
          <w:highlight w:val="none"/>
        </w:rPr>
        <w:t>注：</w:t>
      </w:r>
      <w:r>
        <w:rPr>
          <w:rFonts w:hint="eastAsia" w:ascii="宋体" w:hAnsi="宋体" w:cs="仿宋"/>
          <w:color w:val="auto"/>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宋体" w:hAnsi="宋体" w:cs="仿宋"/>
          <w:color w:val="auto"/>
          <w:highlight w:val="none"/>
        </w:rPr>
      </w:pPr>
      <w:r>
        <w:rPr>
          <w:rFonts w:hint="eastAsia" w:ascii="宋体" w:hAnsi="宋体" w:cs="仿宋"/>
          <w:color w:val="auto"/>
          <w:highlight w:val="none"/>
        </w:rPr>
        <w:br w:type="page"/>
      </w:r>
    </w:p>
    <w:p>
      <w:pPr>
        <w:pStyle w:val="6"/>
        <w:numPr>
          <w:ilvl w:val="3"/>
          <w:numId w:val="1"/>
        </w:numPr>
        <w:tabs>
          <w:tab w:val="left" w:pos="709"/>
        </w:tabs>
        <w:jc w:val="left"/>
        <w:rPr>
          <w:color w:val="auto"/>
          <w:highlight w:val="none"/>
        </w:rPr>
      </w:pPr>
      <w:r>
        <w:rPr>
          <w:rFonts w:hint="eastAsia"/>
          <w:color w:val="auto"/>
          <w:highlight w:val="none"/>
          <w:lang w:eastAsia="zh-CN"/>
        </w:rPr>
        <w:t>相关</w:t>
      </w:r>
      <w:r>
        <w:rPr>
          <w:rFonts w:hint="eastAsia"/>
          <w:color w:val="auto"/>
          <w:highlight w:val="none"/>
        </w:rPr>
        <w:t>管理机构主要人员简历表</w:t>
      </w:r>
    </w:p>
    <w:tbl>
      <w:tblPr>
        <w:tblStyle w:val="50"/>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color w:val="auto"/>
                <w:highlight w:val="none"/>
              </w:rPr>
            </w:pPr>
            <w:r>
              <w:rPr>
                <w:rFonts w:hint="eastAsia" w:ascii="宋体" w:hAnsi="宋体" w:cs="仿宋"/>
                <w:color w:val="auto"/>
                <w:highlight w:val="none"/>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bl>
    <w:p>
      <w:pPr>
        <w:spacing w:line="360" w:lineRule="auto"/>
        <w:ind w:left="120" w:hanging="120" w:hangingChars="50"/>
        <w:rPr>
          <w:rFonts w:ascii="宋体" w:hAnsi="宋体"/>
          <w:b/>
          <w:color w:val="auto"/>
          <w:highlight w:val="none"/>
        </w:rPr>
      </w:pPr>
      <w:r>
        <w:rPr>
          <w:rFonts w:hint="eastAsia" w:ascii="宋体" w:hAnsi="宋体" w:cs="仿宋"/>
          <w:b/>
          <w:color w:val="auto"/>
          <w:highlight w:val="none"/>
        </w:rPr>
        <w:t>注：</w:t>
      </w:r>
    </w:p>
    <w:p>
      <w:pPr>
        <w:spacing w:line="360" w:lineRule="auto"/>
        <w:ind w:left="120" w:hanging="120" w:hangingChars="50"/>
        <w:rPr>
          <w:rFonts w:ascii="宋体" w:hAnsi="宋体"/>
          <w:color w:val="auto"/>
          <w:highlight w:val="none"/>
        </w:rPr>
      </w:pPr>
      <w:r>
        <w:rPr>
          <w:rFonts w:ascii="宋体" w:hAnsi="宋体" w:cs="仿宋"/>
          <w:color w:val="auto"/>
          <w:highlight w:val="none"/>
        </w:rPr>
        <w:t>1</w:t>
      </w:r>
      <w:r>
        <w:rPr>
          <w:rFonts w:hint="eastAsia" w:ascii="宋体" w:hAnsi="宋体" w:cs="仿宋"/>
          <w:color w:val="auto"/>
          <w:highlight w:val="none"/>
        </w:rPr>
        <w:t>、人员应附身份证复印件。</w:t>
      </w:r>
    </w:p>
    <w:p>
      <w:pPr>
        <w:spacing w:line="360" w:lineRule="auto"/>
        <w:ind w:left="120" w:hanging="120" w:hangingChars="50"/>
        <w:rPr>
          <w:color w:val="auto"/>
          <w:highlight w:val="none"/>
        </w:rPr>
      </w:pPr>
      <w:r>
        <w:rPr>
          <w:rFonts w:ascii="宋体" w:hAnsi="宋体" w:cs="仿宋"/>
          <w:color w:val="auto"/>
          <w:highlight w:val="none"/>
        </w:rPr>
        <w:t>2</w:t>
      </w:r>
      <w:r>
        <w:rPr>
          <w:rFonts w:hint="eastAsia" w:ascii="宋体" w:hAnsi="宋体" w:cs="仿宋"/>
          <w:color w:val="auto"/>
          <w:highlight w:val="none"/>
        </w:rPr>
        <w:t>、人员应附执业或职业资格证或上岗证或职称证复印件。</w:t>
      </w:r>
      <w:r>
        <w:rPr>
          <w:rFonts w:hint="eastAsia" w:ascii="宋体" w:hAnsi="宋体" w:cs="仿宋"/>
          <w:color w:val="auto"/>
          <w:highlight w:val="none"/>
        </w:rPr>
        <w:br w:type="page"/>
      </w:r>
    </w:p>
    <w:p>
      <w:pPr>
        <w:rPr>
          <w:color w:val="auto"/>
          <w:highlight w:val="none"/>
        </w:rPr>
      </w:pPr>
    </w:p>
    <w:p>
      <w:pPr>
        <w:pStyle w:val="6"/>
        <w:numPr>
          <w:ilvl w:val="3"/>
          <w:numId w:val="1"/>
        </w:numPr>
        <w:tabs>
          <w:tab w:val="left" w:pos="709"/>
        </w:tabs>
        <w:jc w:val="left"/>
        <w:rPr>
          <w:color w:val="auto"/>
          <w:highlight w:val="none"/>
        </w:rPr>
      </w:pPr>
      <w:r>
        <w:rPr>
          <w:rFonts w:hint="eastAsia"/>
          <w:color w:val="auto"/>
          <w:highlight w:val="none"/>
          <w:lang w:eastAsia="zh-CN"/>
        </w:rPr>
        <w:t>中小企业申明函</w:t>
      </w:r>
    </w:p>
    <w:p>
      <w:pPr>
        <w:snapToGrid w:val="0"/>
        <w:spacing w:line="360" w:lineRule="auto"/>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本公司郑重声明，根据《政府采购促进中小企业发展管理办法》（财库﹝2020﹞46号）的规定，本公司参加</w:t>
      </w:r>
      <w:r>
        <w:rPr>
          <w:rFonts w:hint="eastAsia" w:ascii="宋体" w:hAnsi="宋体"/>
          <w:b/>
          <w:color w:val="auto"/>
          <w:sz w:val="28"/>
          <w:szCs w:val="28"/>
          <w:highlight w:val="none"/>
          <w:u w:val="single"/>
          <w:lang w:eastAsia="zh-CN"/>
        </w:rPr>
        <w:t>成都市田家炳中学初中部食堂改造工程采购项目</w:t>
      </w:r>
      <w:r>
        <w:rPr>
          <w:rFonts w:ascii="宋体" w:hAnsi="宋体"/>
          <w:color w:val="auto"/>
          <w:spacing w:val="6"/>
          <w:sz w:val="28"/>
          <w:szCs w:val="28"/>
          <w:highlight w:val="none"/>
        </w:rPr>
        <w:t>采购活动，工程的施工单位全部为符合政策要求的中小企业。相关企业的具体情况如下：</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1.</w:t>
      </w:r>
      <w:r>
        <w:rPr>
          <w:rFonts w:hint="eastAsia" w:ascii="宋体" w:hAnsi="宋体"/>
          <w:b/>
          <w:color w:val="auto"/>
          <w:sz w:val="28"/>
          <w:szCs w:val="28"/>
          <w:highlight w:val="none"/>
          <w:u w:val="single"/>
          <w:lang w:eastAsia="zh-CN"/>
        </w:rPr>
        <w:t>成都市田家炳中学初中部食堂改造工程</w:t>
      </w:r>
      <w:r>
        <w:rPr>
          <w:rFonts w:ascii="宋体" w:hAnsi="宋体"/>
          <w:color w:val="auto"/>
          <w:spacing w:val="6"/>
          <w:sz w:val="28"/>
          <w:szCs w:val="28"/>
          <w:highlight w:val="none"/>
        </w:rPr>
        <w:t>，属于</w:t>
      </w:r>
      <w:r>
        <w:rPr>
          <w:rFonts w:ascii="宋体" w:hAnsi="宋体"/>
          <w:b/>
          <w:color w:val="auto"/>
          <w:sz w:val="28"/>
          <w:szCs w:val="28"/>
          <w:highlight w:val="none"/>
          <w:u w:val="single"/>
        </w:rPr>
        <w:t>建筑业</w:t>
      </w:r>
      <w:r>
        <w:rPr>
          <w:rFonts w:ascii="宋体" w:hAnsi="宋体"/>
          <w:color w:val="auto"/>
          <w:spacing w:val="6"/>
          <w:sz w:val="28"/>
          <w:szCs w:val="28"/>
          <w:highlight w:val="none"/>
        </w:rPr>
        <w:t>；承建（承接）企业为</w:t>
      </w:r>
      <w:r>
        <w:rPr>
          <w:rFonts w:hint="eastAsia" w:ascii="宋体" w:hAnsi="宋体"/>
          <w:color w:val="auto"/>
          <w:spacing w:val="6"/>
          <w:sz w:val="28"/>
          <w:szCs w:val="28"/>
          <w:highlight w:val="none"/>
          <w:u w:val="single"/>
        </w:rPr>
        <w:t xml:space="preserve">  XXX</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u w:val="single"/>
        </w:rPr>
        <w:t>供应商</w:t>
      </w:r>
      <w:r>
        <w:rPr>
          <w:rFonts w:ascii="宋体" w:hAnsi="宋体"/>
          <w:color w:val="auto"/>
          <w:spacing w:val="6"/>
          <w:sz w:val="28"/>
          <w:szCs w:val="28"/>
          <w:highlight w:val="none"/>
          <w:u w:val="single"/>
        </w:rPr>
        <w:t>名称）</w:t>
      </w:r>
      <w:r>
        <w:rPr>
          <w:rFonts w:ascii="宋体" w:hAnsi="宋体"/>
          <w:color w:val="auto"/>
          <w:spacing w:val="6"/>
          <w:sz w:val="28"/>
          <w:szCs w:val="28"/>
          <w:highlight w:val="none"/>
        </w:rPr>
        <w:t>，从业人员</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人，营业收入为</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万元，资产总额为</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万元</w:t>
      </w:r>
      <w:r>
        <w:rPr>
          <w:rFonts w:hint="eastAsia" w:ascii="宋体" w:hAnsi="宋体"/>
          <w:color w:val="auto"/>
          <w:spacing w:val="6"/>
          <w:sz w:val="28"/>
          <w:szCs w:val="28"/>
          <w:highlight w:val="none"/>
          <w:vertAlign w:val="superscript"/>
        </w:rPr>
        <w:t>1</w:t>
      </w:r>
      <w:r>
        <w:rPr>
          <w:rFonts w:ascii="宋体" w:hAnsi="宋体"/>
          <w:color w:val="auto"/>
          <w:spacing w:val="6"/>
          <w:sz w:val="28"/>
          <w:szCs w:val="28"/>
          <w:highlight w:val="none"/>
        </w:rPr>
        <w:t>，属于</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u w:val="single"/>
        </w:rPr>
        <w:t>说明：填写“</w:t>
      </w:r>
      <w:r>
        <w:rPr>
          <w:rFonts w:ascii="宋体" w:hAnsi="宋体"/>
          <w:color w:val="auto"/>
          <w:spacing w:val="6"/>
          <w:sz w:val="28"/>
          <w:szCs w:val="28"/>
          <w:highlight w:val="none"/>
          <w:u w:val="single"/>
        </w:rPr>
        <w:t>中型企业</w:t>
      </w:r>
      <w:r>
        <w:rPr>
          <w:rFonts w:hint="eastAsia" w:ascii="宋体" w:hAnsi="宋体"/>
          <w:color w:val="auto"/>
          <w:spacing w:val="6"/>
          <w:sz w:val="28"/>
          <w:szCs w:val="28"/>
          <w:highlight w:val="none"/>
          <w:u w:val="single"/>
        </w:rPr>
        <w:t>”或“</w:t>
      </w:r>
      <w:r>
        <w:rPr>
          <w:rFonts w:ascii="宋体" w:hAnsi="宋体"/>
          <w:color w:val="auto"/>
          <w:spacing w:val="6"/>
          <w:sz w:val="28"/>
          <w:szCs w:val="28"/>
          <w:highlight w:val="none"/>
          <w:u w:val="single"/>
        </w:rPr>
        <w:t>小型企业</w:t>
      </w:r>
      <w:r>
        <w:rPr>
          <w:rFonts w:hint="eastAsia" w:ascii="宋体" w:hAnsi="宋体"/>
          <w:color w:val="auto"/>
          <w:spacing w:val="6"/>
          <w:sz w:val="28"/>
          <w:szCs w:val="28"/>
          <w:highlight w:val="none"/>
          <w:u w:val="single"/>
        </w:rPr>
        <w:t>”或“</w:t>
      </w:r>
      <w:r>
        <w:rPr>
          <w:rFonts w:ascii="宋体" w:hAnsi="宋体"/>
          <w:color w:val="auto"/>
          <w:spacing w:val="6"/>
          <w:sz w:val="28"/>
          <w:szCs w:val="28"/>
          <w:highlight w:val="none"/>
          <w:u w:val="single"/>
        </w:rPr>
        <w:t>微型企业</w:t>
      </w:r>
      <w:r>
        <w:rPr>
          <w:rFonts w:hint="eastAsia" w:ascii="宋体" w:hAnsi="宋体"/>
          <w:color w:val="auto"/>
          <w:spacing w:val="6"/>
          <w:sz w:val="28"/>
          <w:szCs w:val="28"/>
          <w:highlight w:val="none"/>
          <w:u w:val="single"/>
        </w:rPr>
        <w:t>”</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rPr>
        <w:t>。</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以上企业，不属于大企业的分支机构，不存在控股股东为大企业的情形，也不存在与大企业的负责人为同一人的情形。</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 xml:space="preserve">本企业对上述声明内容的真实性负责。如有虚假，将依法承担相应责任。 </w:t>
      </w:r>
    </w:p>
    <w:p>
      <w:pPr>
        <w:spacing w:line="360" w:lineRule="auto"/>
        <w:ind w:firstLine="689" w:firstLineChars="236"/>
        <w:rPr>
          <w:rFonts w:ascii="宋体" w:hAnsi="宋体"/>
          <w:color w:val="auto"/>
          <w:spacing w:val="6"/>
          <w:sz w:val="28"/>
          <w:szCs w:val="28"/>
          <w:highlight w:val="none"/>
        </w:rPr>
      </w:pPr>
      <w:r>
        <w:rPr>
          <w:rFonts w:hint="eastAsia" w:ascii="宋体" w:hAnsi="宋体"/>
          <w:color w:val="auto"/>
          <w:spacing w:val="6"/>
          <w:sz w:val="28"/>
          <w:szCs w:val="28"/>
          <w:highlight w:val="none"/>
        </w:rPr>
        <w:t>供应商</w:t>
      </w:r>
      <w:r>
        <w:rPr>
          <w:rFonts w:ascii="宋体" w:hAnsi="宋体"/>
          <w:color w:val="auto"/>
          <w:spacing w:val="6"/>
          <w:sz w:val="28"/>
          <w:szCs w:val="28"/>
          <w:highlight w:val="none"/>
        </w:rPr>
        <w:t>名称</w:t>
      </w:r>
      <w:r>
        <w:rPr>
          <w:rFonts w:hint="eastAsia" w:ascii="宋体" w:hAnsi="宋体"/>
          <w:color w:val="auto"/>
          <w:spacing w:val="6"/>
          <w:sz w:val="28"/>
          <w:szCs w:val="28"/>
          <w:highlight w:val="none"/>
        </w:rPr>
        <w:t>：</w:t>
      </w:r>
      <w:r>
        <w:rPr>
          <w:rFonts w:hint="eastAsia" w:ascii="宋体" w:hAnsi="宋体"/>
          <w:color w:val="auto"/>
          <w:spacing w:val="6"/>
          <w:sz w:val="28"/>
          <w:szCs w:val="28"/>
          <w:highlight w:val="none"/>
          <w:u w:val="single"/>
        </w:rPr>
        <w:t xml:space="preserve">  XXXXXX  </w:t>
      </w:r>
    </w:p>
    <w:p>
      <w:pPr>
        <w:spacing w:line="360" w:lineRule="auto"/>
        <w:ind w:firstLine="689" w:firstLineChars="236"/>
        <w:rPr>
          <w:rFonts w:ascii="宋体" w:hAnsi="宋体"/>
          <w:bCs/>
          <w:color w:val="auto"/>
          <w:sz w:val="28"/>
          <w:highlight w:val="none"/>
        </w:rPr>
      </w:pPr>
      <w:r>
        <w:rPr>
          <w:rFonts w:ascii="宋体" w:hAnsi="宋体"/>
          <w:color w:val="auto"/>
          <w:spacing w:val="6"/>
          <w:sz w:val="28"/>
          <w:szCs w:val="28"/>
          <w:highlight w:val="none"/>
        </w:rPr>
        <w:t>日 期：</w:t>
      </w:r>
      <w:r>
        <w:rPr>
          <w:rFonts w:ascii="宋体" w:hAnsi="宋体"/>
          <w:bCs/>
          <w:color w:val="auto"/>
          <w:sz w:val="28"/>
          <w:highlight w:val="none"/>
          <w:u w:val="single"/>
        </w:rPr>
        <w:t>XX</w:t>
      </w:r>
      <w:r>
        <w:rPr>
          <w:rFonts w:hint="eastAsia" w:ascii="宋体" w:hAnsi="宋体"/>
          <w:bCs/>
          <w:color w:val="auto"/>
          <w:sz w:val="28"/>
          <w:highlight w:val="none"/>
        </w:rPr>
        <w:t>年</w:t>
      </w:r>
      <w:r>
        <w:rPr>
          <w:rFonts w:ascii="宋体" w:hAnsi="宋体"/>
          <w:bCs/>
          <w:color w:val="auto"/>
          <w:sz w:val="28"/>
          <w:highlight w:val="none"/>
          <w:u w:val="single"/>
        </w:rPr>
        <w:t>XX</w:t>
      </w:r>
      <w:r>
        <w:rPr>
          <w:rFonts w:hint="eastAsia" w:ascii="宋体" w:hAnsi="宋体"/>
          <w:bCs/>
          <w:color w:val="auto"/>
          <w:sz w:val="28"/>
          <w:highlight w:val="none"/>
        </w:rPr>
        <w:t>月</w:t>
      </w:r>
      <w:r>
        <w:rPr>
          <w:rFonts w:ascii="宋体" w:hAnsi="宋体"/>
          <w:bCs/>
          <w:color w:val="auto"/>
          <w:sz w:val="28"/>
          <w:highlight w:val="none"/>
          <w:u w:val="single"/>
        </w:rPr>
        <w:t>XX</w:t>
      </w:r>
      <w:r>
        <w:rPr>
          <w:rFonts w:hint="eastAsia" w:ascii="宋体" w:hAnsi="宋体"/>
          <w:bCs/>
          <w:color w:val="auto"/>
          <w:sz w:val="28"/>
          <w:highlight w:val="none"/>
        </w:rPr>
        <w:t>日</w:t>
      </w:r>
    </w:p>
    <w:p>
      <w:pPr>
        <w:spacing w:line="360" w:lineRule="auto"/>
        <w:ind w:firstLine="660" w:firstLineChars="236"/>
        <w:rPr>
          <w:rFonts w:ascii="宋体" w:hAnsi="宋体"/>
          <w:bCs/>
          <w:color w:val="auto"/>
          <w:sz w:val="28"/>
          <w:highlight w:val="none"/>
        </w:rPr>
      </w:pPr>
    </w:p>
    <w:p>
      <w:pPr>
        <w:spacing w:line="360" w:lineRule="auto"/>
        <w:ind w:firstLine="689" w:firstLineChars="236"/>
        <w:rPr>
          <w:rFonts w:ascii="宋体" w:hAnsi="宋体"/>
          <w:color w:val="auto"/>
          <w:spacing w:val="6"/>
          <w:sz w:val="28"/>
          <w:szCs w:val="28"/>
          <w:highlight w:val="none"/>
        </w:rPr>
      </w:pPr>
      <w:r>
        <w:rPr>
          <w:rFonts w:hint="eastAsia" w:ascii="宋体" w:hAnsi="宋体"/>
          <w:color w:val="auto"/>
          <w:spacing w:val="6"/>
          <w:sz w:val="28"/>
          <w:szCs w:val="28"/>
          <w:highlight w:val="none"/>
        </w:rPr>
        <w:t>说明：</w:t>
      </w:r>
      <w:r>
        <w:rPr>
          <w:rFonts w:ascii="宋体" w:hAnsi="宋体"/>
          <w:color w:val="auto"/>
          <w:spacing w:val="6"/>
          <w:sz w:val="28"/>
          <w:szCs w:val="28"/>
          <w:highlight w:val="none"/>
          <w:vertAlign w:val="superscript"/>
        </w:rPr>
        <w:t>1</w:t>
      </w:r>
      <w:r>
        <w:rPr>
          <w:rFonts w:ascii="宋体" w:hAnsi="宋体"/>
          <w:color w:val="auto"/>
          <w:spacing w:val="6"/>
          <w:sz w:val="28"/>
          <w:szCs w:val="28"/>
          <w:highlight w:val="none"/>
        </w:rPr>
        <w:t>从业人员、营业收入、资产总额填报上一年度数据，无上一年度数据的新成立企业可不填报。</w:t>
      </w:r>
    </w:p>
    <w:p>
      <w:pPr>
        <w:spacing w:line="360" w:lineRule="auto"/>
        <w:ind w:firstLine="689" w:firstLineChars="236"/>
        <w:rPr>
          <w:rFonts w:asciiTheme="minorEastAsia" w:hAnsiTheme="minorEastAsia" w:eastAsiaTheme="minorEastAsia"/>
          <w:color w:val="auto"/>
          <w:spacing w:val="6"/>
          <w:sz w:val="28"/>
          <w:szCs w:val="28"/>
          <w:highlight w:val="none"/>
        </w:rPr>
      </w:pPr>
    </w:p>
    <w:p>
      <w:pPr>
        <w:spacing w:line="360" w:lineRule="auto"/>
        <w:ind w:firstLine="689" w:firstLineChars="236"/>
        <w:rPr>
          <w:rFonts w:asciiTheme="minorEastAsia" w:hAnsiTheme="minorEastAsia" w:eastAsiaTheme="minorEastAsia"/>
          <w:color w:val="auto"/>
          <w:spacing w:val="6"/>
          <w:sz w:val="28"/>
          <w:szCs w:val="28"/>
          <w:highlight w:val="none"/>
        </w:rPr>
      </w:pPr>
      <w:r>
        <w:rPr>
          <w:rFonts w:asciiTheme="minorEastAsia" w:hAnsiTheme="minorEastAsia" w:eastAsiaTheme="minorEastAsia"/>
          <w:color w:val="auto"/>
          <w:spacing w:val="6"/>
          <w:sz w:val="28"/>
          <w:szCs w:val="28"/>
          <w:highlight w:val="none"/>
        </w:rPr>
        <w:br w:type="page"/>
      </w:r>
    </w:p>
    <w:p>
      <w:pPr>
        <w:pStyle w:val="6"/>
        <w:numPr>
          <w:ilvl w:val="3"/>
          <w:numId w:val="1"/>
        </w:numPr>
        <w:tabs>
          <w:tab w:val="left" w:pos="709"/>
        </w:tabs>
        <w:jc w:val="left"/>
        <w:rPr>
          <w:color w:val="auto"/>
          <w:highlight w:val="none"/>
        </w:rPr>
      </w:pPr>
      <w:r>
        <w:rPr>
          <w:rFonts w:hint="eastAsia"/>
          <w:color w:val="auto"/>
          <w:highlight w:val="none"/>
          <w:lang w:eastAsia="zh-CN"/>
        </w:rPr>
        <w:t>残疾人福利性单位声明函</w:t>
      </w:r>
    </w:p>
    <w:p>
      <w:pPr>
        <w:spacing w:line="588"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残疾人福利性单位声明函</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中国残疾人联合会关于促进残疾人就业政府采购政策的通知》（财库〔2017〕141号）的规定，本单位参加</w:t>
      </w:r>
      <w:r>
        <w:rPr>
          <w:rFonts w:hint="eastAsia" w:ascii="宋体" w:hAnsi="宋体"/>
          <w:b/>
          <w:color w:val="auto"/>
          <w:sz w:val="28"/>
          <w:szCs w:val="28"/>
          <w:highlight w:val="none"/>
          <w:u w:val="single"/>
          <w:lang w:eastAsia="zh-CN"/>
        </w:rPr>
        <w:t>成都市田家炳中学初中部食堂改造工程采购项目</w:t>
      </w:r>
      <w:r>
        <w:rPr>
          <w:rFonts w:hint="eastAsia" w:ascii="宋体" w:hAnsi="宋体"/>
          <w:color w:val="auto"/>
          <w:spacing w:val="6"/>
          <w:sz w:val="28"/>
          <w:szCs w:val="28"/>
          <w:highlight w:val="none"/>
        </w:rPr>
        <w:t>采购活动由</w:t>
      </w:r>
      <w:r>
        <w:rPr>
          <w:rFonts w:ascii="宋体" w:hAnsi="宋体"/>
          <w:color w:val="auto"/>
          <w:spacing w:val="6"/>
          <w:sz w:val="28"/>
          <w:szCs w:val="28"/>
          <w:highlight w:val="none"/>
        </w:rPr>
        <w:t>本单位承担工程</w:t>
      </w:r>
      <w:r>
        <w:rPr>
          <w:rFonts w:hint="eastAsia" w:ascii="宋体" w:hAnsi="宋体"/>
          <w:color w:val="auto"/>
          <w:spacing w:val="6"/>
          <w:sz w:val="28"/>
          <w:szCs w:val="28"/>
          <w:highlight w:val="none"/>
        </w:rPr>
        <w:t>。</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spacing w:line="588" w:lineRule="exact"/>
        <w:ind w:firstLine="584" w:firstLineChars="200"/>
        <w:rPr>
          <w:rFonts w:ascii="宋体" w:hAnsi="宋体"/>
          <w:color w:val="auto"/>
          <w:spacing w:val="6"/>
          <w:sz w:val="28"/>
          <w:szCs w:val="28"/>
          <w:highlight w:val="none"/>
        </w:rPr>
      </w:pPr>
    </w:p>
    <w:p>
      <w:pPr>
        <w:pStyle w:val="2"/>
        <w:spacing w:before="312"/>
        <w:rPr>
          <w:rFonts w:ascii="宋体" w:hAnsi="宋体"/>
          <w:color w:val="auto"/>
          <w:highlight w:val="none"/>
        </w:rPr>
      </w:pPr>
    </w:p>
    <w:p>
      <w:pPr>
        <w:tabs>
          <w:tab w:val="left" w:pos="3969"/>
        </w:tabs>
        <w:spacing w:line="588" w:lineRule="exact"/>
        <w:ind w:right="-58"/>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xml:space="preserve">  XXXXXX  </w:t>
      </w:r>
    </w:p>
    <w:p>
      <w:pPr>
        <w:tabs>
          <w:tab w:val="left" w:pos="3969"/>
        </w:tabs>
        <w:spacing w:line="588" w:lineRule="exact"/>
        <w:ind w:right="-58"/>
        <w:rPr>
          <w:rFonts w:ascii="宋体" w:hAnsi="宋体"/>
          <w:color w:val="auto"/>
          <w:spacing w:val="6"/>
          <w:sz w:val="28"/>
          <w:szCs w:val="28"/>
          <w:highlight w:val="none"/>
        </w:rPr>
      </w:pPr>
      <w:r>
        <w:rPr>
          <w:rFonts w:hint="eastAsia" w:ascii="宋体" w:hAnsi="宋体"/>
          <w:color w:val="auto"/>
          <w:spacing w:val="6"/>
          <w:sz w:val="28"/>
          <w:szCs w:val="28"/>
          <w:highlight w:val="none"/>
        </w:rPr>
        <w:t>日  期：</w:t>
      </w:r>
      <w:r>
        <w:rPr>
          <w:rFonts w:hint="eastAsia" w:ascii="宋体" w:hAnsi="宋体"/>
          <w:bCs/>
          <w:color w:val="auto"/>
          <w:sz w:val="28"/>
          <w:highlight w:val="none"/>
        </w:rPr>
        <w:t>20XX年XX月XX日</w:t>
      </w:r>
    </w:p>
    <w:p>
      <w:pPr>
        <w:spacing w:line="360" w:lineRule="auto"/>
        <w:ind w:firstLine="561"/>
        <w:rPr>
          <w:rFonts w:ascii="宋体" w:hAnsi="宋体"/>
          <w:b/>
          <w:color w:val="auto"/>
          <w:spacing w:val="6"/>
          <w:sz w:val="28"/>
          <w:szCs w:val="28"/>
          <w:highlight w:val="none"/>
        </w:rPr>
      </w:pPr>
    </w:p>
    <w:p>
      <w:pPr>
        <w:tabs>
          <w:tab w:val="left" w:pos="3969"/>
        </w:tabs>
        <w:snapToGrid w:val="0"/>
        <w:spacing w:line="360" w:lineRule="auto"/>
        <w:ind w:right="-58"/>
        <w:rPr>
          <w:rFonts w:ascii="宋体" w:hAnsi="宋体"/>
          <w:color w:val="auto"/>
          <w:spacing w:val="6"/>
          <w:highlight w:val="none"/>
        </w:rPr>
      </w:pPr>
      <w:r>
        <w:rPr>
          <w:rFonts w:hint="eastAsia" w:ascii="宋体" w:hAnsi="宋体"/>
          <w:b/>
          <w:color w:val="auto"/>
          <w:spacing w:val="6"/>
          <w:sz w:val="28"/>
          <w:szCs w:val="28"/>
          <w:highlight w:val="none"/>
        </w:rPr>
        <w:t>说明：（1）供应商为中小型企业、监狱</w:t>
      </w:r>
      <w:r>
        <w:rPr>
          <w:rFonts w:ascii="宋体" w:hAnsi="宋体"/>
          <w:b/>
          <w:color w:val="auto"/>
          <w:spacing w:val="6"/>
          <w:sz w:val="28"/>
          <w:szCs w:val="28"/>
          <w:highlight w:val="none"/>
        </w:rPr>
        <w:t>企业</w:t>
      </w:r>
      <w:r>
        <w:rPr>
          <w:rFonts w:hint="eastAsia" w:ascii="宋体" w:hAnsi="宋体"/>
          <w:b/>
          <w:color w:val="auto"/>
          <w:spacing w:val="6"/>
          <w:sz w:val="28"/>
          <w:szCs w:val="28"/>
          <w:highlight w:val="none"/>
        </w:rPr>
        <w:t>的不需提供。（2）残疾人福利性单位视同小型和微型企业。</w:t>
      </w:r>
    </w:p>
    <w:p>
      <w:pPr>
        <w:snapToGrid w:val="0"/>
        <w:spacing w:line="360" w:lineRule="auto"/>
        <w:ind w:firstLine="563"/>
        <w:rPr>
          <w:rFonts w:ascii="宋体" w:hAnsi="宋体"/>
          <w:color w:val="auto"/>
          <w:sz w:val="28"/>
          <w:szCs w:val="28"/>
          <w:highlight w:val="none"/>
        </w:rPr>
      </w:pPr>
    </w:p>
    <w:p>
      <w:pPr>
        <w:rPr>
          <w:rFonts w:ascii="宋体" w:hAnsi="宋体"/>
          <w:color w:val="auto"/>
          <w:sz w:val="28"/>
          <w:szCs w:val="28"/>
          <w:highlight w:val="none"/>
        </w:rPr>
      </w:pPr>
      <w:r>
        <w:rPr>
          <w:rFonts w:ascii="宋体" w:hAnsi="宋体"/>
          <w:color w:val="auto"/>
          <w:sz w:val="28"/>
          <w:szCs w:val="28"/>
          <w:highlight w:val="none"/>
        </w:rPr>
        <w:br w:type="page"/>
      </w:r>
      <w:bookmarkEnd w:id="49"/>
      <w:bookmarkStart w:id="50" w:name="_Toc320698766"/>
      <w:bookmarkStart w:id="51" w:name="_Toc386099146"/>
    </w:p>
    <w:p>
      <w:pPr>
        <w:pStyle w:val="6"/>
        <w:tabs>
          <w:tab w:val="left" w:pos="709"/>
        </w:tabs>
        <w:snapToGrid w:val="0"/>
        <w:rPr>
          <w:color w:val="auto"/>
          <w:highlight w:val="none"/>
        </w:rPr>
      </w:pPr>
      <w:r>
        <w:rPr>
          <w:rFonts w:hint="eastAsia"/>
          <w:color w:val="auto"/>
          <w:highlight w:val="none"/>
        </w:rPr>
        <w:t>已标价工程量清单、施工组织设计（实施方案）</w:t>
      </w:r>
    </w:p>
    <w:p>
      <w:pPr>
        <w:snapToGrid w:val="0"/>
        <w:spacing w:line="360" w:lineRule="auto"/>
        <w:ind w:firstLine="584" w:firstLineChars="200"/>
        <w:rPr>
          <w:rFonts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一、已标价工程量清单应符合</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文件“第二章</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须知”第2.4.3条报价货币及报价要求的相关要求以及工程量清单总说明的相关要求。</w:t>
      </w: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p>
      <w:pPr>
        <w:snapToGrid w:val="0"/>
        <w:spacing w:line="360" w:lineRule="auto"/>
        <w:rPr>
          <w:rFonts w:ascii="宋体" w:hAnsi="宋体"/>
          <w:color w:val="auto"/>
          <w:sz w:val="28"/>
          <w:szCs w:val="28"/>
          <w:highlight w:val="none"/>
        </w:rPr>
      </w:pPr>
    </w:p>
    <w:p>
      <w:pPr>
        <w:snapToGrid w:val="0"/>
        <w:spacing w:line="360" w:lineRule="auto"/>
        <w:ind w:firstLine="563"/>
        <w:rPr>
          <w:rFonts w:ascii="宋体" w:hAnsi="宋体"/>
          <w:color w:val="auto"/>
          <w:sz w:val="28"/>
          <w:szCs w:val="28"/>
          <w:highlight w:val="none"/>
        </w:rPr>
      </w:pPr>
    </w:p>
    <w:bookmarkEnd w:id="50"/>
    <w:bookmarkEnd w:id="51"/>
    <w:p>
      <w:pPr>
        <w:rPr>
          <w:rFonts w:asciiTheme="minorEastAsia" w:hAnsiTheme="minorEastAsia" w:eastAsiaTheme="minorEastAsia"/>
          <w:color w:val="auto"/>
          <w:kern w:val="2"/>
          <w:highlight w:val="none"/>
        </w:rPr>
      </w:pPr>
      <w:r>
        <w:rPr>
          <w:b/>
          <w:bCs w:val="0"/>
          <w:color w:val="auto"/>
          <w:kern w:val="2"/>
          <w:sz w:val="28"/>
          <w:szCs w:val="28"/>
          <w:highlight w:val="none"/>
        </w:rPr>
        <w:br w:type="page"/>
      </w:r>
      <w:r>
        <w:rPr>
          <w:rFonts w:cs="仿宋" w:asciiTheme="minorEastAsia" w:hAnsiTheme="minorEastAsia" w:eastAsiaTheme="minorEastAsia"/>
          <w:color w:val="auto"/>
          <w:highlight w:val="none"/>
        </w:rPr>
        <w:t xml:space="preserve"> </w:t>
      </w:r>
    </w:p>
    <w:p>
      <w:pPr>
        <w:pStyle w:val="4"/>
        <w:numPr>
          <w:ilvl w:val="0"/>
          <w:numId w:val="1"/>
        </w:numPr>
        <w:snapToGrid w:val="0"/>
        <w:spacing w:before="0" w:after="0"/>
        <w:ind w:left="0" w:firstLine="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 </w:t>
      </w:r>
      <w:bookmarkStart w:id="52" w:name="_Toc72938441"/>
      <w:r>
        <w:rPr>
          <w:rFonts w:hint="eastAsia" w:asciiTheme="minorEastAsia" w:hAnsiTheme="minorEastAsia" w:eastAsiaTheme="minorEastAsia"/>
          <w:color w:val="auto"/>
          <w:highlight w:val="none"/>
          <w:lang w:val="en-US" w:eastAsia="zh-CN"/>
        </w:rPr>
        <w:t xml:space="preserve">  </w:t>
      </w:r>
      <w:bookmarkStart w:id="53" w:name="_Toc10475"/>
      <w:r>
        <w:rPr>
          <w:rFonts w:hint="eastAsia"/>
          <w:color w:val="auto"/>
          <w:highlight w:val="none"/>
        </w:rPr>
        <w:t>技术、服务、商务及其他要求</w:t>
      </w:r>
      <w:bookmarkEnd w:id="52"/>
      <w:bookmarkEnd w:id="53"/>
    </w:p>
    <w:p>
      <w:pPr>
        <w:ind w:firstLine="480" w:firstLineChars="200"/>
        <w:rPr>
          <w:rFonts w:ascii="仿宋" w:hAnsi="仿宋" w:eastAsia="仿宋"/>
          <w:color w:val="auto"/>
          <w:highlight w:val="none"/>
        </w:rPr>
      </w:pPr>
    </w:p>
    <w:p>
      <w:pPr>
        <w:ind w:firstLine="562" w:firstLineChars="200"/>
        <w:rPr>
          <w:rFonts w:ascii="宋体" w:hAnsi="宋体"/>
          <w:b/>
          <w:color w:val="auto"/>
          <w:sz w:val="28"/>
          <w:szCs w:val="28"/>
          <w:highlight w:val="none"/>
        </w:rPr>
      </w:pPr>
      <w:r>
        <w:rPr>
          <w:rFonts w:ascii="宋体" w:hAnsi="宋体"/>
          <w:b/>
          <w:color w:val="auto"/>
          <w:sz w:val="28"/>
          <w:szCs w:val="28"/>
          <w:highlight w:val="none"/>
        </w:rPr>
        <w:t>本章采购需求中标注“</w:t>
      </w:r>
      <w:r>
        <w:rPr>
          <w:rFonts w:hint="eastAsia" w:ascii="宋体" w:hAnsi="宋体"/>
          <w:b/>
          <w:color w:val="auto"/>
          <w:sz w:val="28"/>
          <w:szCs w:val="28"/>
          <w:highlight w:val="none"/>
        </w:rPr>
        <w:t>★</w:t>
      </w:r>
      <w:r>
        <w:rPr>
          <w:rFonts w:ascii="宋体" w:hAnsi="宋体"/>
          <w:b/>
          <w:color w:val="auto"/>
          <w:sz w:val="28"/>
          <w:szCs w:val="28"/>
          <w:highlight w:val="none"/>
        </w:rPr>
        <w:t>”号的条款为本次采购项目的实质性要求，供应商</w:t>
      </w:r>
      <w:r>
        <w:rPr>
          <w:rFonts w:hint="eastAsia" w:ascii="宋体" w:hAnsi="宋体"/>
          <w:b/>
          <w:color w:val="auto"/>
          <w:sz w:val="28"/>
          <w:szCs w:val="28"/>
          <w:highlight w:val="none"/>
        </w:rPr>
        <w:t>在</w:t>
      </w:r>
      <w:r>
        <w:rPr>
          <w:rFonts w:hint="eastAsia" w:ascii="宋体" w:hAnsi="宋体"/>
          <w:b/>
          <w:color w:val="auto"/>
          <w:sz w:val="28"/>
          <w:szCs w:val="28"/>
          <w:highlight w:val="none"/>
          <w:lang w:eastAsia="zh-CN"/>
        </w:rPr>
        <w:t>磋商</w:t>
      </w:r>
      <w:r>
        <w:rPr>
          <w:rFonts w:ascii="宋体" w:hAnsi="宋体"/>
          <w:b/>
          <w:color w:val="auto"/>
          <w:sz w:val="28"/>
          <w:szCs w:val="28"/>
          <w:highlight w:val="none"/>
        </w:rPr>
        <w:t>结束后应全部满足</w:t>
      </w:r>
      <w:r>
        <w:rPr>
          <w:rFonts w:hint="eastAsia" w:ascii="宋体" w:hAnsi="宋体"/>
          <w:b/>
          <w:color w:val="auto"/>
          <w:sz w:val="28"/>
          <w:szCs w:val="28"/>
          <w:highlight w:val="none"/>
        </w:rPr>
        <w:t>。</w:t>
      </w:r>
    </w:p>
    <w:p>
      <w:pPr>
        <w:pStyle w:val="5"/>
        <w:tabs>
          <w:tab w:val="left" w:pos="0"/>
          <w:tab w:val="left" w:pos="576"/>
          <w:tab w:val="left" w:pos="786"/>
          <w:tab w:val="clear" w:pos="567"/>
        </w:tabs>
        <w:spacing w:before="260" w:after="260" w:line="416" w:lineRule="auto"/>
        <w:ind w:left="0" w:firstLine="0"/>
        <w:rPr>
          <w:color w:val="auto"/>
          <w:highlight w:val="none"/>
        </w:rPr>
      </w:pPr>
      <w:bookmarkStart w:id="54" w:name="_Toc21978"/>
      <w:bookmarkStart w:id="55" w:name="_Toc321334066"/>
      <w:bookmarkStart w:id="56" w:name="_Toc496702872"/>
      <w:r>
        <w:rPr>
          <w:rFonts w:hint="eastAsia"/>
          <w:color w:val="auto"/>
          <w:highlight w:val="none"/>
          <w:lang w:eastAsia="zh-CN"/>
        </w:rPr>
        <w:t>项目介绍</w:t>
      </w:r>
      <w:bookmarkEnd w:id="54"/>
    </w:p>
    <w:p>
      <w:pPr>
        <w:tabs>
          <w:tab w:val="left" w:pos="1134"/>
        </w:tabs>
        <w:snapToGrid w:val="0"/>
        <w:spacing w:line="620" w:lineRule="exact"/>
        <w:ind w:firstLine="840" w:firstLineChars="300"/>
        <w:rPr>
          <w:rFonts w:hint="eastAsia" w:ascii="宋体" w:hAnsi="宋体"/>
          <w:color w:val="auto"/>
          <w:sz w:val="28"/>
          <w:szCs w:val="28"/>
          <w:highlight w:val="none"/>
          <w:lang w:val="zh-CN"/>
        </w:rPr>
      </w:pPr>
      <w:r>
        <w:rPr>
          <w:rFonts w:hint="eastAsia" w:ascii="宋体" w:hAnsi="宋体"/>
          <w:color w:val="auto"/>
          <w:sz w:val="28"/>
          <w:szCs w:val="28"/>
          <w:highlight w:val="none"/>
          <w:lang w:val="zh-CN"/>
        </w:rPr>
        <w:t>成都市田家炳中学初中部食堂改造及门卫室改造。原有食堂为钢筋混凝土结构，地上一层，改造总面积约327.35㎡，新增面积约40.60㎡，新建部分为钢结构。主要包含建筑工程、装饰工程、安装工程等建设内容，详见施工图。</w:t>
      </w:r>
    </w:p>
    <w:p>
      <w:pPr>
        <w:pStyle w:val="5"/>
        <w:tabs>
          <w:tab w:val="left" w:pos="0"/>
          <w:tab w:val="left" w:pos="576"/>
          <w:tab w:val="left" w:pos="786"/>
          <w:tab w:val="clear" w:pos="567"/>
        </w:tabs>
        <w:spacing w:before="260" w:after="260" w:line="416" w:lineRule="auto"/>
        <w:ind w:left="0" w:firstLine="0"/>
        <w:rPr>
          <w:color w:val="auto"/>
          <w:highlight w:val="none"/>
        </w:rPr>
      </w:pPr>
      <w:bookmarkStart w:id="57" w:name="_Toc11668"/>
      <w:r>
        <w:rPr>
          <w:rFonts w:hint="eastAsia"/>
          <w:color w:val="auto"/>
          <w:highlight w:val="none"/>
          <w:lang w:eastAsia="zh-CN"/>
        </w:rPr>
        <w:t>工程内容</w:t>
      </w:r>
      <w:bookmarkEnd w:id="57"/>
    </w:p>
    <w:p>
      <w:pPr>
        <w:tabs>
          <w:tab w:val="left" w:pos="1134"/>
        </w:tabs>
        <w:snapToGrid w:val="0"/>
        <w:spacing w:line="620" w:lineRule="exact"/>
        <w:ind w:firstLine="840" w:firstLineChars="300"/>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val="zh-CN"/>
        </w:rPr>
        <w:t>成都市田家炳中学初中部食堂改造及门卫室改造。原有食堂为钢筋混凝土结构，地上一层，改造总面积约327.35㎡，新增面积约40.60㎡，新建部分为钢结构。主要包含建筑工程、装饰工程、安装工程等建设内容，详见施工图。</w:t>
      </w:r>
    </w:p>
    <w:p>
      <w:pPr>
        <w:pStyle w:val="5"/>
        <w:tabs>
          <w:tab w:val="left" w:pos="0"/>
          <w:tab w:val="left" w:pos="576"/>
          <w:tab w:val="left" w:pos="786"/>
          <w:tab w:val="clear" w:pos="567"/>
        </w:tabs>
        <w:spacing w:before="260" w:after="260" w:line="416" w:lineRule="auto"/>
        <w:ind w:left="0" w:firstLine="0"/>
        <w:rPr>
          <w:rFonts w:hint="eastAsia"/>
          <w:color w:val="auto"/>
          <w:highlight w:val="none"/>
        </w:rPr>
      </w:pPr>
      <w:bookmarkStart w:id="58" w:name="_Toc11590"/>
      <w:r>
        <w:rPr>
          <w:rFonts w:hint="eastAsia"/>
          <w:color w:val="auto"/>
          <w:highlight w:val="none"/>
        </w:rPr>
        <w:t>技术、服务、合同</w:t>
      </w:r>
      <w:r>
        <w:rPr>
          <w:color w:val="auto"/>
          <w:highlight w:val="none"/>
        </w:rPr>
        <w:t>条款</w:t>
      </w:r>
      <w:r>
        <w:rPr>
          <w:rFonts w:hint="eastAsia"/>
          <w:color w:val="auto"/>
          <w:highlight w:val="none"/>
        </w:rPr>
        <w:t>要求</w:t>
      </w:r>
      <w:bookmarkEnd w:id="58"/>
    </w:p>
    <w:tbl>
      <w:tblPr>
        <w:tblStyle w:val="50"/>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color w:val="auto"/>
                <w:sz w:val="28"/>
                <w:szCs w:val="28"/>
                <w:highlight w:val="none"/>
              </w:rPr>
            </w:pPr>
            <w:r>
              <w:rPr>
                <w:rFonts w:hint="eastAsia" w:ascii="宋体" w:hAnsi="宋体"/>
                <w:color w:val="auto"/>
                <w:sz w:val="28"/>
                <w:szCs w:val="28"/>
                <w:highlight w:val="none"/>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sz w:val="28"/>
                <w:szCs w:val="28"/>
                <w:highlight w:val="none"/>
              </w:rPr>
            </w:pPr>
            <w:r>
              <w:rPr>
                <w:rFonts w:hint="eastAsia" w:ascii="宋体" w:hAnsi="宋体"/>
                <w:color w:val="auto"/>
                <w:sz w:val="28"/>
                <w:szCs w:val="28"/>
                <w:highlight w:val="none"/>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jc w:val="center"/>
              <w:rPr>
                <w:rFonts w:hint="eastAsia" w:ascii="宋体" w:hAnsi="宋体" w:eastAsia="宋体"/>
                <w:b/>
                <w:color w:val="auto"/>
                <w:sz w:val="28"/>
                <w:szCs w:val="28"/>
                <w:highlight w:val="none"/>
                <w:lang w:val="en-US" w:eastAsia="zh-CN"/>
              </w:rPr>
            </w:pPr>
            <w:r>
              <w:rPr>
                <w:rFonts w:hint="eastAsia" w:ascii="宋体" w:hAnsi="宋体" w:eastAsia="宋体" w:cs="Times New Roman"/>
                <w:color w:val="auto"/>
                <w:szCs w:val="21"/>
                <w:highlight w:val="none"/>
                <w:lang w:val="zh-CN"/>
              </w:rPr>
              <w:t>合同签订之日起</w:t>
            </w:r>
            <w:r>
              <w:rPr>
                <w:rFonts w:hint="eastAsia" w:ascii="宋体" w:hAnsi="宋体" w:eastAsia="宋体" w:cs="Times New Roman"/>
                <w:color w:val="auto"/>
                <w:szCs w:val="21"/>
                <w:highlight w:val="none"/>
              </w:rPr>
              <w:t>30日历天。</w:t>
            </w:r>
          </w:p>
        </w:tc>
      </w:tr>
      <w:tr>
        <w:tblPrEx>
          <w:tblLayout w:type="fixed"/>
          <w:tblCellMar>
            <w:top w:w="0" w:type="dxa"/>
            <w:left w:w="108" w:type="dxa"/>
            <w:bottom w:w="0" w:type="dxa"/>
            <w:right w:w="108" w:type="dxa"/>
          </w:tblCellMar>
        </w:tblPrEx>
        <w:trPr>
          <w:trHeight w:val="87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highlight w:val="none"/>
              </w:rPr>
            </w:pPr>
            <w:r>
              <w:rPr>
                <w:rFonts w:hint="eastAsia" w:ascii="宋体" w:hAnsi="宋体"/>
                <w:b/>
                <w:color w:val="auto"/>
                <w:sz w:val="28"/>
                <w:szCs w:val="28"/>
                <w:highlight w:val="none"/>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b/>
                <w:color w:val="auto"/>
                <w:sz w:val="28"/>
                <w:szCs w:val="28"/>
                <w:highlight w:val="none"/>
              </w:rPr>
              <w:t>★</w:t>
            </w:r>
            <w:r>
              <w:rPr>
                <w:rFonts w:hint="eastAsia" w:ascii="宋体" w:hAnsi="宋体"/>
                <w:color w:val="auto"/>
                <w:sz w:val="28"/>
                <w:szCs w:val="28"/>
                <w:highlight w:val="none"/>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市场价格波动不调整合同价格。</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highlight w:val="none"/>
              </w:rPr>
            </w:pPr>
            <w:r>
              <w:rPr>
                <w:rFonts w:hint="eastAsia" w:ascii="宋体" w:hAnsi="宋体"/>
                <w:color w:val="auto"/>
                <w:sz w:val="28"/>
                <w:szCs w:val="28"/>
                <w:highlight w:val="none"/>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highlight w:val="none"/>
              </w:rPr>
            </w:pPr>
            <w:r>
              <w:rPr>
                <w:rFonts w:hint="eastAsia" w:ascii="宋体" w:hAnsi="宋体"/>
                <w:b/>
                <w:color w:val="auto"/>
                <w:sz w:val="28"/>
                <w:szCs w:val="28"/>
                <w:highlight w:val="none"/>
              </w:rPr>
              <w:t>★</w:t>
            </w:r>
            <w:r>
              <w:rPr>
                <w:rFonts w:hint="eastAsia" w:ascii="宋体" w:hAnsi="宋体" w:cs="MingLiU"/>
                <w:color w:val="auto"/>
                <w:sz w:val="28"/>
                <w:szCs w:val="28"/>
                <w:highlight w:val="none"/>
              </w:rPr>
              <w:t>履约保证金</w:t>
            </w:r>
          </w:p>
        </w:tc>
        <w:tc>
          <w:tcPr>
            <w:tcW w:w="5954"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1、</w:t>
            </w:r>
            <w:r>
              <w:rPr>
                <w:rFonts w:hint="eastAsia" w:ascii="宋体" w:hAnsi="宋体"/>
                <w:color w:val="auto"/>
                <w:sz w:val="28"/>
                <w:szCs w:val="28"/>
                <w:highlight w:val="none"/>
                <w:lang w:val="zh-CN"/>
              </w:rPr>
              <w:t>履约保证金</w:t>
            </w:r>
            <w:r>
              <w:rPr>
                <w:rFonts w:hint="eastAsia" w:ascii="宋体" w:hAnsi="宋体"/>
                <w:color w:val="auto"/>
                <w:sz w:val="28"/>
                <w:szCs w:val="28"/>
                <w:highlight w:val="none"/>
                <w:lang w:val="en-US" w:eastAsia="zh-CN"/>
              </w:rPr>
              <w:t>为成交</w:t>
            </w:r>
            <w:r>
              <w:rPr>
                <w:rFonts w:hint="eastAsia" w:ascii="宋体" w:hAnsi="宋体"/>
                <w:color w:val="auto"/>
                <w:sz w:val="28"/>
                <w:szCs w:val="28"/>
                <w:highlight w:val="none"/>
                <w:lang w:val="zh-CN"/>
              </w:rPr>
              <w:t>金额的 5 %；</w:t>
            </w:r>
          </w:p>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zh-CN"/>
              </w:rPr>
              <w:t>供应商交纳时间</w:t>
            </w:r>
            <w:r>
              <w:rPr>
                <w:rFonts w:hint="eastAsia" w:ascii="宋体" w:hAnsi="宋体"/>
                <w:color w:val="auto"/>
                <w:sz w:val="28"/>
                <w:szCs w:val="28"/>
                <w:highlight w:val="none"/>
                <w:lang w:val="en-US" w:eastAsia="zh-CN"/>
              </w:rPr>
              <w:t>履约保证金为</w:t>
            </w:r>
            <w:r>
              <w:rPr>
                <w:rFonts w:hint="eastAsia" w:ascii="宋体" w:hAnsi="宋体"/>
                <w:color w:val="auto"/>
                <w:sz w:val="28"/>
                <w:szCs w:val="28"/>
                <w:highlight w:val="none"/>
                <w:lang w:val="zh-CN"/>
              </w:rPr>
              <w:t>成交通知书发放后，签订施工合同之前；</w:t>
            </w:r>
          </w:p>
          <w:p>
            <w:pPr>
              <w:tabs>
                <w:tab w:val="left" w:pos="1134"/>
              </w:tabs>
              <w:snapToGrid w:val="0"/>
              <w:spacing w:line="620" w:lineRule="exact"/>
              <w:rPr>
                <w:rFonts w:ascii="宋体" w:hAnsi="宋体"/>
                <w:b/>
                <w:color w:val="auto"/>
                <w:sz w:val="28"/>
                <w:szCs w:val="28"/>
                <w:highlight w:val="none"/>
              </w:rPr>
            </w:pP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zh-CN"/>
              </w:rPr>
              <w:t>采购人验收后5个日历天内一次性退还 。</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highlight w:val="none"/>
              </w:rPr>
            </w:pPr>
            <w:r>
              <w:rPr>
                <w:rFonts w:hint="eastAsia" w:ascii="宋体" w:hAnsi="宋体"/>
                <w:color w:val="auto"/>
                <w:sz w:val="28"/>
                <w:szCs w:val="28"/>
                <w:highlight w:val="none"/>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highlight w:val="none"/>
              </w:rPr>
            </w:pPr>
            <w:r>
              <w:rPr>
                <w:rFonts w:hint="eastAsia" w:ascii="宋体" w:hAnsi="宋体"/>
                <w:b/>
                <w:color w:val="auto"/>
                <w:sz w:val="28"/>
                <w:szCs w:val="28"/>
                <w:highlight w:val="none"/>
              </w:rPr>
              <w:t>★</w:t>
            </w:r>
            <w:r>
              <w:rPr>
                <w:rFonts w:hint="eastAsia" w:ascii="宋体" w:hAnsi="宋体"/>
                <w:color w:val="auto"/>
                <w:sz w:val="28"/>
                <w:szCs w:val="28"/>
                <w:highlight w:val="none"/>
              </w:rPr>
              <w:t>质</w:t>
            </w:r>
            <w:r>
              <w:rPr>
                <w:rFonts w:hint="eastAsia" w:ascii="宋体" w:hAnsi="宋体"/>
                <w:color w:val="auto"/>
                <w:sz w:val="28"/>
                <w:szCs w:val="28"/>
                <w:highlight w:val="none"/>
                <w:lang w:eastAsia="zh-CN"/>
              </w:rPr>
              <w:t>量</w:t>
            </w:r>
            <w:r>
              <w:rPr>
                <w:rFonts w:hint="eastAsia" w:ascii="宋体" w:hAnsi="宋体"/>
                <w:color w:val="auto"/>
                <w:sz w:val="28"/>
                <w:szCs w:val="28"/>
                <w:highlight w:val="none"/>
              </w:rPr>
              <w:t>保</w:t>
            </w:r>
            <w:r>
              <w:rPr>
                <w:rFonts w:hint="eastAsia" w:ascii="宋体" w:hAnsi="宋体"/>
                <w:color w:val="auto"/>
                <w:sz w:val="28"/>
                <w:szCs w:val="28"/>
                <w:highlight w:val="none"/>
                <w:lang w:eastAsia="zh-CN"/>
              </w:rPr>
              <w:t>证</w:t>
            </w:r>
            <w:r>
              <w:rPr>
                <w:rFonts w:hint="eastAsia" w:ascii="宋体" w:hAnsi="宋体"/>
                <w:color w:val="auto"/>
                <w:sz w:val="28"/>
                <w:szCs w:val="28"/>
                <w:highlight w:val="none"/>
              </w:rPr>
              <w:t>金</w:t>
            </w:r>
          </w:p>
        </w:tc>
        <w:tc>
          <w:tcPr>
            <w:tcW w:w="5954" w:type="dxa"/>
            <w:tcBorders>
              <w:top w:val="single" w:color="auto" w:sz="4" w:space="0"/>
              <w:left w:val="nil"/>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宋体" w:hAnsi="宋体"/>
                <w:color w:val="auto"/>
                <w:sz w:val="28"/>
                <w:szCs w:val="28"/>
                <w:highlight w:val="none"/>
                <w:lang w:val="zh-CN"/>
              </w:rPr>
              <w:t>质量保证金为履约验收后确认金额的3%。</w:t>
            </w:r>
            <w:r>
              <w:rPr>
                <w:rFonts w:hint="eastAsia" w:ascii="宋体" w:hAnsi="宋体" w:eastAsia="宋体" w:cs="宋体"/>
                <w:color w:val="auto"/>
                <w:sz w:val="24"/>
                <w:szCs w:val="24"/>
                <w:highlight w:val="none"/>
                <w:lang w:val="zh-CN" w:eastAsia="zh-CN"/>
              </w:rPr>
              <w:t>，由</w:t>
            </w:r>
            <w:r>
              <w:rPr>
                <w:rFonts w:hint="eastAsia" w:ascii="宋体" w:hAnsi="宋体" w:eastAsia="宋体" w:cs="宋体"/>
                <w:color w:val="auto"/>
                <w:sz w:val="24"/>
                <w:szCs w:val="24"/>
                <w:highlight w:val="none"/>
                <w:lang w:val="en-US" w:eastAsia="zh-CN"/>
              </w:rPr>
              <w:t>施工单位</w:t>
            </w:r>
            <w:r>
              <w:rPr>
                <w:rFonts w:hint="eastAsia" w:ascii="宋体" w:hAnsi="宋体" w:eastAsia="宋体" w:cs="宋体"/>
                <w:color w:val="auto"/>
                <w:sz w:val="24"/>
                <w:szCs w:val="24"/>
                <w:highlight w:val="none"/>
                <w:lang w:val="zh-CN" w:eastAsia="zh-CN"/>
              </w:rPr>
              <w:t>在</w:t>
            </w:r>
            <w:r>
              <w:rPr>
                <w:rFonts w:hint="eastAsia" w:ascii="宋体" w:hAnsi="宋体" w:eastAsia="宋体" w:cs="宋体"/>
                <w:color w:val="auto"/>
                <w:sz w:val="24"/>
                <w:szCs w:val="24"/>
                <w:highlight w:val="none"/>
                <w:lang w:val="en-US" w:eastAsia="zh-CN"/>
              </w:rPr>
              <w:t>申请</w:t>
            </w:r>
            <w:r>
              <w:rPr>
                <w:rFonts w:hint="eastAsia" w:ascii="宋体" w:hAnsi="宋体" w:eastAsia="宋体" w:cs="宋体"/>
                <w:color w:val="auto"/>
                <w:sz w:val="24"/>
                <w:szCs w:val="24"/>
                <w:highlight w:val="none"/>
                <w:lang w:val="zh-CN" w:eastAsia="zh-CN"/>
              </w:rPr>
              <w:t>第三笔</w:t>
            </w:r>
            <w:r>
              <w:rPr>
                <w:rFonts w:hint="eastAsia" w:ascii="宋体" w:hAnsi="宋体" w:eastAsia="宋体" w:cs="宋体"/>
                <w:color w:val="auto"/>
                <w:sz w:val="24"/>
                <w:szCs w:val="24"/>
                <w:highlight w:val="none"/>
                <w:lang w:val="en-US" w:eastAsia="zh-CN"/>
              </w:rPr>
              <w:t>付</w:t>
            </w:r>
            <w:r>
              <w:rPr>
                <w:rFonts w:hint="eastAsia" w:ascii="宋体" w:hAnsi="宋体" w:eastAsia="宋体" w:cs="宋体"/>
                <w:color w:val="auto"/>
                <w:sz w:val="24"/>
                <w:szCs w:val="24"/>
                <w:highlight w:val="none"/>
                <w:lang w:val="zh-CN" w:eastAsia="zh-CN"/>
              </w:rPr>
              <w:t>款时先行支付给项目业主。有防水项目的分两笔支付，即非防水项目质量保金和防水项目质量保金，具体金额由清单编制单位、施工单位和项目业主共同拆分确定。待质保期满验收无质量问题后，项目业主把质量保金按期退还给施工单位。</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9</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color w:val="auto"/>
                <w:sz w:val="28"/>
                <w:szCs w:val="28"/>
                <w:highlight w:val="none"/>
              </w:rPr>
            </w:pPr>
            <w:r>
              <w:rPr>
                <w:rFonts w:hint="eastAsia" w:ascii="宋体" w:hAnsi="宋体"/>
                <w:b/>
                <w:color w:val="auto"/>
                <w:sz w:val="28"/>
                <w:szCs w:val="28"/>
                <w:highlight w:val="none"/>
              </w:rPr>
              <w:t>★</w:t>
            </w:r>
            <w:r>
              <w:rPr>
                <w:rFonts w:hint="eastAsia" w:ascii="宋体" w:hAnsi="宋体" w:cs="MingLiU"/>
                <w:color w:val="auto"/>
                <w:sz w:val="28"/>
                <w:szCs w:val="28"/>
                <w:highlight w:val="none"/>
              </w:rPr>
              <w:t>付款方式</w:t>
            </w:r>
          </w:p>
        </w:tc>
        <w:tc>
          <w:tcPr>
            <w:tcW w:w="5954" w:type="dxa"/>
            <w:tcBorders>
              <w:top w:val="single" w:color="auto" w:sz="4" w:space="0"/>
              <w:left w:val="nil"/>
              <w:bottom w:val="single" w:color="auto" w:sz="4" w:space="0"/>
              <w:right w:val="single" w:color="auto" w:sz="4" w:space="0"/>
            </w:tcBorders>
            <w:vAlign w:val="center"/>
          </w:tcPr>
          <w:p>
            <w:pPr>
              <w:adjustRightInd w:val="0"/>
              <w:snapToGrid w:val="0"/>
              <w:spacing w:line="240" w:lineRule="atLeast"/>
              <w:jc w:val="left"/>
              <w:rPr>
                <w:rFonts w:ascii="宋体" w:hAnsi="宋体" w:eastAsia="宋体" w:cs="宋体"/>
                <w:color w:val="auto"/>
                <w:sz w:val="24"/>
                <w:szCs w:val="24"/>
                <w:highlight w:val="none"/>
              </w:rPr>
            </w:pPr>
            <w:r>
              <w:rPr>
                <w:rFonts w:ascii="宋体" w:hAnsi="宋体" w:eastAsia="宋体" w:cs="Times New Roman"/>
                <w:color w:val="auto"/>
                <w:szCs w:val="21"/>
                <w:highlight w:val="none"/>
              </w:rPr>
              <w:t>签订施工合同并进场施工，支付合同金额30%的预付款；工程竣工验收合格，支付合同金额40%的工程款；工程竣工结算审计后，支付至审定金额</w:t>
            </w:r>
            <w:r>
              <w:rPr>
                <w:rFonts w:hint="eastAsia" w:ascii="宋体" w:hAnsi="宋体" w:eastAsia="宋体" w:cs="Times New Roman"/>
                <w:color w:val="auto"/>
                <w:szCs w:val="21"/>
                <w:highlight w:val="none"/>
              </w:rPr>
              <w:t>97%的</w:t>
            </w:r>
            <w:r>
              <w:rPr>
                <w:rFonts w:ascii="宋体" w:hAnsi="宋体" w:eastAsia="宋体" w:cs="Times New Roman"/>
                <w:color w:val="auto"/>
                <w:szCs w:val="21"/>
                <w:highlight w:val="none"/>
              </w:rPr>
              <w:t>工程款</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审计总额的3%预留质量保证金，质保期满验收无质量问题后支付。所有工程款支付</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成交供应商必须提供正规票据后</w:t>
            </w:r>
            <w:r>
              <w:rPr>
                <w:rFonts w:hint="eastAsia" w:ascii="宋体" w:hAnsi="宋体" w:eastAsia="宋体" w:cs="Times New Roman"/>
                <w:color w:val="auto"/>
                <w:szCs w:val="21"/>
                <w:highlight w:val="none"/>
              </w:rPr>
              <w:t>，</w:t>
            </w:r>
            <w:r>
              <w:rPr>
                <w:rFonts w:ascii="宋体" w:hAnsi="宋体" w:eastAsia="宋体" w:cs="Times New Roman"/>
                <w:color w:val="auto"/>
                <w:szCs w:val="21"/>
                <w:highlight w:val="none"/>
              </w:rPr>
              <w:t>方可付款</w:t>
            </w:r>
            <w:r>
              <w:rPr>
                <w:rFonts w:hint="eastAsia" w:ascii="宋体" w:hAnsi="宋体" w:eastAsia="宋体" w:cs="Times New Roman"/>
                <w:color w:val="auto"/>
                <w:szCs w:val="21"/>
                <w:highlight w:val="none"/>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sz w:val="28"/>
                <w:szCs w:val="28"/>
                <w:highlight w:val="none"/>
              </w:rPr>
            </w:pPr>
            <w:r>
              <w:rPr>
                <w:rFonts w:hint="eastAsia" w:ascii="宋体" w:hAnsi="宋体" w:cs="仿宋"/>
                <w:color w:val="auto"/>
                <w:sz w:val="28"/>
                <w:szCs w:val="28"/>
                <w:highlight w:val="none"/>
              </w:rPr>
              <w:t>10</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highlight w:val="none"/>
              </w:rPr>
            </w:pPr>
            <w:r>
              <w:rPr>
                <w:rFonts w:hint="eastAsia" w:ascii="宋体" w:hAnsi="宋体"/>
                <w:b/>
                <w:color w:val="auto"/>
                <w:sz w:val="28"/>
                <w:szCs w:val="28"/>
                <w:highlight w:val="none"/>
              </w:rPr>
              <w:t>★</w:t>
            </w:r>
            <w:r>
              <w:rPr>
                <w:rFonts w:hint="eastAsia" w:ascii="宋体" w:hAnsi="宋体" w:cs="MingLiU"/>
                <w:color w:val="auto"/>
                <w:sz w:val="28"/>
                <w:szCs w:val="28"/>
                <w:highlight w:val="none"/>
              </w:rPr>
              <w:t>质保期</w:t>
            </w:r>
          </w:p>
        </w:tc>
        <w:tc>
          <w:tcPr>
            <w:tcW w:w="5954" w:type="dxa"/>
            <w:tcBorders>
              <w:top w:val="single" w:color="auto" w:sz="4" w:space="0"/>
              <w:left w:val="nil"/>
              <w:bottom w:val="single" w:color="auto" w:sz="4" w:space="0"/>
              <w:right w:val="single" w:color="auto" w:sz="4" w:space="0"/>
            </w:tcBorders>
            <w:vAlign w:val="center"/>
          </w:tcPr>
          <w:p>
            <w:pPr>
              <w:pStyle w:val="42"/>
              <w:shd w:val="clear" w:color="auto" w:fill="FFFFFF"/>
              <w:spacing w:before="156" w:after="156"/>
              <w:ind w:firstLine="420"/>
              <w:rPr>
                <w:rFonts w:cs="仿宋"/>
                <w:b/>
                <w:color w:val="auto"/>
                <w:sz w:val="28"/>
                <w:szCs w:val="28"/>
                <w:highlight w:val="none"/>
              </w:rPr>
            </w:pPr>
            <w:r>
              <w:rPr>
                <w:rFonts w:hint="eastAsia" w:ascii="宋体" w:hAnsi="宋体"/>
                <w:color w:val="auto"/>
                <w:sz w:val="28"/>
                <w:szCs w:val="28"/>
                <w:highlight w:val="none"/>
                <w:lang w:val="zh-CN"/>
              </w:rPr>
              <w:t>两年</w:t>
            </w:r>
          </w:p>
        </w:tc>
      </w:tr>
    </w:tbl>
    <w:p>
      <w:pPr>
        <w:pStyle w:val="5"/>
        <w:tabs>
          <w:tab w:val="left" w:pos="0"/>
          <w:tab w:val="left" w:pos="786"/>
        </w:tabs>
        <w:spacing w:before="260" w:after="260" w:line="416" w:lineRule="auto"/>
        <w:ind w:left="0" w:firstLine="0"/>
        <w:rPr>
          <w:rFonts w:cs="仿宋" w:asciiTheme="minorEastAsia" w:hAnsiTheme="minorEastAsia" w:eastAsiaTheme="minorEastAsia"/>
          <w:b w:val="0"/>
          <w:color w:val="auto"/>
          <w:highlight w:val="none"/>
        </w:rPr>
      </w:pPr>
      <w:r>
        <w:rPr>
          <w:rFonts w:hint="eastAsia" w:cs="仿宋" w:asciiTheme="minorEastAsia" w:hAnsiTheme="minorEastAsia" w:eastAsiaTheme="minorEastAsia"/>
          <w:b w:val="0"/>
          <w:color w:val="auto"/>
          <w:highlight w:val="none"/>
        </w:rPr>
        <w:t xml:space="preserve"> </w:t>
      </w:r>
      <w:bookmarkStart w:id="59" w:name="_Toc29252"/>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rPr>
        <w:t>漏项工程处理</w:t>
      </w:r>
      <w:bookmarkEnd w:id="59"/>
    </w:p>
    <w:p>
      <w:pPr>
        <w:tabs>
          <w:tab w:val="left" w:pos="1134"/>
        </w:tabs>
        <w:snapToGrid w:val="0"/>
        <w:spacing w:line="620" w:lineRule="exact"/>
        <w:ind w:firstLine="565" w:firstLineChars="202"/>
        <w:rPr>
          <w:rFonts w:hint="eastAsia" w:ascii="宋体" w:hAnsi="宋体"/>
          <w:color w:val="auto"/>
          <w:sz w:val="28"/>
          <w:szCs w:val="28"/>
          <w:highlight w:val="none"/>
        </w:rPr>
      </w:pPr>
      <w:r>
        <w:rPr>
          <w:rFonts w:hint="eastAsia" w:ascii="宋体" w:hAnsi="宋体"/>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highlight w:val="none"/>
          <w:lang w:eastAsia="zh-CN"/>
        </w:rPr>
      </w:pPr>
      <w:r>
        <w:rPr>
          <w:rFonts w:hint="eastAsia" w:ascii="仿宋" w:hAnsi="仿宋" w:eastAsia="仿宋" w:cs="仿宋"/>
          <w:color w:val="auto"/>
          <w:sz w:val="24"/>
          <w:highlight w:val="none"/>
        </w:rPr>
        <w:t xml:space="preserve"> </w:t>
      </w:r>
      <w:bookmarkStart w:id="60" w:name="_Toc3323"/>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工程量清单及图纸</w:t>
      </w:r>
      <w:bookmarkEnd w:id="60"/>
    </w:p>
    <w:p>
      <w:pPr>
        <w:widowControl w:val="0"/>
        <w:tabs>
          <w:tab w:val="left" w:pos="1134"/>
        </w:tabs>
        <w:snapToGrid w:val="0"/>
        <w:spacing w:line="620" w:lineRule="exact"/>
        <w:ind w:firstLine="565" w:firstLineChars="202"/>
        <w:jc w:val="both"/>
        <w:rPr>
          <w:color w:val="auto"/>
          <w:highlight w:val="none"/>
        </w:rPr>
      </w:pPr>
      <w:r>
        <w:rPr>
          <w:rFonts w:hint="eastAsia" w:ascii="宋体" w:hAnsi="宋体"/>
          <w:color w:val="auto"/>
          <w:sz w:val="28"/>
          <w:szCs w:val="28"/>
          <w:highlight w:val="none"/>
        </w:rPr>
        <w:t>根据工程量清单、工程量清单编制说明、设计图纸进行施工。工程施工应满足当地建设行政主管部门对工程建设的有关规定，并按经批准的施工组织设计实施，并要符合施工规范及验收标准的相关要求。</w:t>
      </w:r>
    </w:p>
    <w:p>
      <w:pPr>
        <w:pStyle w:val="5"/>
        <w:tabs>
          <w:tab w:val="left" w:pos="0"/>
          <w:tab w:val="left" w:pos="786"/>
        </w:tabs>
        <w:spacing w:before="260" w:after="260" w:line="416" w:lineRule="auto"/>
        <w:ind w:left="0" w:firstLine="0"/>
        <w:rPr>
          <w:rFonts w:ascii="仿宋" w:hAnsi="仿宋" w:eastAsia="仿宋" w:cs="仿宋"/>
          <w:color w:val="auto"/>
          <w:sz w:val="24"/>
          <w:highlight w:val="none"/>
        </w:rPr>
      </w:pPr>
      <w:bookmarkStart w:id="61" w:name="_Toc7665"/>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工程质量</w:t>
      </w:r>
      <w:bookmarkEnd w:id="61"/>
    </w:p>
    <w:p>
      <w:pPr>
        <w:tabs>
          <w:tab w:val="left" w:pos="1134"/>
        </w:tabs>
        <w:snapToGrid w:val="0"/>
        <w:spacing w:line="62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供应商针对本项目的施工，必须达到国家及行业现行技术规范标准，符合国家及行业验收合格标准</w:t>
      </w:r>
      <w:r>
        <w:rPr>
          <w:rFonts w:hint="eastAsia" w:ascii="宋体" w:hAnsi="宋体"/>
          <w:color w:val="auto"/>
          <w:sz w:val="28"/>
          <w:szCs w:val="28"/>
          <w:highlight w:val="none"/>
          <w:lang w:val="en-US" w:eastAsia="zh-CN"/>
        </w:rPr>
        <w:t>,</w:t>
      </w:r>
      <w:r>
        <w:rPr>
          <w:rFonts w:hint="eastAsia" w:ascii="宋体" w:hAnsi="宋体"/>
          <w:color w:val="auto"/>
          <w:sz w:val="28"/>
          <w:szCs w:val="28"/>
          <w:highlight w:val="none"/>
          <w:lang w:val="zh-CN"/>
        </w:rPr>
        <w:t>《建筑工程施工质量验收统一标准》合格标准</w:t>
      </w:r>
      <w:r>
        <w:rPr>
          <w:rFonts w:hint="eastAsia" w:ascii="宋体" w:hAnsi="宋体"/>
          <w:color w:val="auto"/>
          <w:sz w:val="28"/>
          <w:szCs w:val="28"/>
          <w:highlight w:val="none"/>
        </w:rPr>
        <w:t>。</w:t>
      </w:r>
    </w:p>
    <w:p>
      <w:pPr>
        <w:pStyle w:val="5"/>
        <w:tabs>
          <w:tab w:val="left" w:pos="0"/>
          <w:tab w:val="left" w:pos="786"/>
        </w:tabs>
        <w:spacing w:before="260" w:after="260" w:line="416" w:lineRule="auto"/>
        <w:ind w:left="0" w:firstLine="0"/>
        <w:rPr>
          <w:rFonts w:hint="eastAsia" w:eastAsiaTheme="minorEastAsia"/>
          <w:b/>
          <w:bCs w:val="0"/>
          <w:color w:val="auto"/>
          <w:highlight w:val="none"/>
          <w:lang w:eastAsia="zh-CN"/>
        </w:rPr>
      </w:pPr>
      <w:r>
        <w:rPr>
          <w:rFonts w:hint="eastAsia" w:cs="仿宋" w:asciiTheme="minorEastAsia" w:hAnsiTheme="minorEastAsia" w:eastAsiaTheme="minorEastAsia"/>
          <w:b w:val="0"/>
          <w:color w:val="auto"/>
          <w:highlight w:val="none"/>
        </w:rPr>
        <w:t xml:space="preserve"> </w:t>
      </w:r>
      <w:bookmarkStart w:id="62" w:name="_Toc11568"/>
      <w:r>
        <w:rPr>
          <w:rFonts w:hint="eastAsia" w:ascii="仿宋" w:hAnsi="仿宋" w:eastAsia="仿宋"/>
          <w:b/>
          <w:bCs/>
          <w:color w:val="auto"/>
          <w:highlight w:val="none"/>
        </w:rPr>
        <w:t>★</w:t>
      </w:r>
      <w:r>
        <w:rPr>
          <w:rFonts w:hint="eastAsia" w:cs="仿宋" w:asciiTheme="minorEastAsia" w:hAnsiTheme="minorEastAsia" w:eastAsiaTheme="minorEastAsia"/>
          <w:b/>
          <w:bCs/>
          <w:color w:val="auto"/>
          <w:highlight w:val="none"/>
          <w:lang w:eastAsia="zh-CN"/>
        </w:rPr>
        <w:t>材料要求</w:t>
      </w:r>
      <w:bookmarkEnd w:id="62"/>
    </w:p>
    <w:p>
      <w:pPr>
        <w:tabs>
          <w:tab w:val="left" w:pos="1134"/>
        </w:tabs>
        <w:snapToGrid w:val="0"/>
        <w:spacing w:line="620" w:lineRule="exact"/>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按要求供应所需材料，所有材料均为符合国家质检部门及生产厂商的质量要求的全新货物；主要材料须经采购人及监理方现场验收确认质量后方可进场使用。</w:t>
      </w:r>
    </w:p>
    <w:p>
      <w:pPr>
        <w:pStyle w:val="5"/>
        <w:tabs>
          <w:tab w:val="left" w:pos="0"/>
          <w:tab w:val="left" w:pos="786"/>
        </w:tabs>
        <w:spacing w:before="260" w:after="260" w:line="416" w:lineRule="auto"/>
        <w:ind w:left="0" w:firstLine="0"/>
        <w:rPr>
          <w:rFonts w:hint="eastAsia" w:eastAsiaTheme="minorEastAsia"/>
          <w:b/>
          <w:bCs w:val="0"/>
          <w:color w:val="auto"/>
          <w:highlight w:val="none"/>
          <w:lang w:eastAsia="zh-CN"/>
        </w:rPr>
      </w:pPr>
      <w:bookmarkStart w:id="63" w:name="_Toc18627"/>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质量保修期</w:t>
      </w:r>
      <w:bookmarkEnd w:id="63"/>
    </w:p>
    <w:p>
      <w:pPr>
        <w:adjustRightInd w:val="0"/>
        <w:snapToGrid w:val="0"/>
        <w:spacing w:line="240" w:lineRule="atLeast"/>
        <w:jc w:val="left"/>
        <w:rPr>
          <w:rFonts w:hint="eastAsia" w:ascii="宋体" w:hAnsi="宋体"/>
          <w:color w:val="auto"/>
          <w:sz w:val="28"/>
          <w:szCs w:val="28"/>
          <w:highlight w:val="none"/>
          <w:lang w:val="zh-CN"/>
        </w:rPr>
      </w:pPr>
      <w:r>
        <w:rPr>
          <w:rFonts w:hint="eastAsia" w:ascii="宋体" w:hAnsi="宋体"/>
          <w:color w:val="auto"/>
          <w:sz w:val="28"/>
          <w:szCs w:val="28"/>
          <w:highlight w:val="none"/>
          <w:lang w:val="zh-CN"/>
        </w:rPr>
        <w:t>两年。</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highlight w:val="none"/>
          <w:lang w:eastAsia="zh-CN"/>
        </w:rPr>
      </w:pPr>
      <w:bookmarkStart w:id="64" w:name="_Toc11018"/>
      <w:r>
        <w:rPr>
          <w:rFonts w:hint="eastAsia" w:cs="仿宋" w:asciiTheme="minorEastAsia" w:hAnsiTheme="minorEastAsia" w:eastAsiaTheme="minorEastAsia"/>
          <w:b/>
          <w:bCs w:val="0"/>
          <w:color w:val="auto"/>
          <w:highlight w:val="none"/>
          <w:lang w:eastAsia="zh-CN"/>
        </w:rPr>
        <w:t>★安全责任</w:t>
      </w:r>
      <w:bookmarkEnd w:id="64"/>
    </w:p>
    <w:p>
      <w:pPr>
        <w:adjustRightInd w:val="0"/>
        <w:snapToGrid w:val="0"/>
        <w:spacing w:line="240" w:lineRule="atLeast"/>
        <w:jc w:val="left"/>
        <w:rPr>
          <w:rFonts w:hint="eastAsia" w:ascii="宋体" w:hAnsi="宋体"/>
          <w:color w:val="auto"/>
          <w:sz w:val="28"/>
          <w:szCs w:val="28"/>
          <w:highlight w:val="none"/>
          <w:lang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建设工程在运输、安装、调试等整个工程活动期间，在工程实施地点范围内，所有安全责任均由施工方负责</w:t>
      </w:r>
      <w:r>
        <w:rPr>
          <w:rFonts w:hint="eastAsia" w:ascii="宋体" w:hAnsi="宋体"/>
          <w:color w:val="auto"/>
          <w:sz w:val="28"/>
          <w:szCs w:val="28"/>
          <w:highlight w:val="none"/>
          <w:lang w:eastAsia="zh-CN"/>
        </w:rPr>
        <w:t>。</w:t>
      </w:r>
    </w:p>
    <w:p>
      <w:pPr>
        <w:pStyle w:val="5"/>
        <w:tabs>
          <w:tab w:val="left" w:pos="0"/>
          <w:tab w:val="left" w:pos="786"/>
        </w:tabs>
        <w:spacing w:before="260" w:after="260" w:line="416" w:lineRule="auto"/>
        <w:ind w:left="0" w:firstLine="0"/>
        <w:rPr>
          <w:rFonts w:hint="eastAsia" w:eastAsiaTheme="minorEastAsia"/>
          <w:b/>
          <w:bCs w:val="0"/>
          <w:color w:val="auto"/>
          <w:highlight w:val="none"/>
          <w:lang w:eastAsia="zh-CN"/>
        </w:rPr>
      </w:pPr>
      <w:bookmarkStart w:id="65" w:name="_Toc29279"/>
      <w:r>
        <w:rPr>
          <w:rFonts w:hint="eastAsia" w:ascii="仿宋" w:hAnsi="仿宋" w:eastAsia="仿宋"/>
          <w:b/>
          <w:color w:val="auto"/>
          <w:highlight w:val="none"/>
        </w:rPr>
        <w:t>★</w:t>
      </w:r>
      <w:r>
        <w:rPr>
          <w:rFonts w:hint="eastAsia" w:eastAsiaTheme="minorEastAsia"/>
          <w:b/>
          <w:bCs w:val="0"/>
          <w:color w:val="auto"/>
          <w:highlight w:val="none"/>
          <w:lang w:eastAsia="zh-CN"/>
        </w:rPr>
        <w:t>现场踏勘</w:t>
      </w:r>
      <w:bookmarkEnd w:id="65"/>
    </w:p>
    <w:p>
      <w:pPr>
        <w:ind w:firstLine="420" w:firstLineChars="0"/>
        <w:rPr>
          <w:rFonts w:hint="eastAsia" w:cs="仿宋" w:asciiTheme="minorEastAsia" w:hAnsiTheme="minorEastAsia" w:eastAsiaTheme="minorEastAsia"/>
          <w:b w:val="0"/>
          <w:bCs/>
          <w:iCs/>
          <w:color w:val="auto"/>
          <w:sz w:val="28"/>
          <w:szCs w:val="28"/>
          <w:highlight w:val="none"/>
          <w:lang w:val="zh-CN" w:eastAsia="zh-CN" w:bidi="ar-SA"/>
        </w:rPr>
      </w:pPr>
      <w:r>
        <w:rPr>
          <w:rFonts w:hint="eastAsia"/>
          <w:color w:val="auto"/>
          <w:highlight w:val="none"/>
          <w:lang w:val="en-US" w:eastAsia="zh-CN"/>
        </w:rPr>
        <w:t xml:space="preserve"> </w:t>
      </w:r>
      <w:r>
        <w:rPr>
          <w:rFonts w:hint="eastAsia" w:cs="仿宋" w:asciiTheme="minorEastAsia" w:hAnsiTheme="minorEastAsia" w:eastAsiaTheme="minorEastAsia"/>
          <w:b w:val="0"/>
          <w:bCs/>
          <w:iCs/>
          <w:color w:val="auto"/>
          <w:sz w:val="28"/>
          <w:szCs w:val="28"/>
          <w:highlight w:val="none"/>
          <w:lang w:val="zh-CN" w:eastAsia="zh-CN" w:bidi="ar-SA"/>
        </w:rPr>
        <w:t>供应商自行前往现场踏勘，发生费用自理。</w:t>
      </w:r>
    </w:p>
    <w:p>
      <w:pPr>
        <w:pStyle w:val="5"/>
        <w:tabs>
          <w:tab w:val="left" w:pos="0"/>
          <w:tab w:val="left" w:pos="786"/>
        </w:tabs>
        <w:spacing w:before="260" w:after="260" w:line="416" w:lineRule="auto"/>
        <w:ind w:left="0" w:firstLine="0"/>
        <w:rPr>
          <w:rFonts w:hint="eastAsia" w:cs="仿宋" w:asciiTheme="minorEastAsia" w:hAnsiTheme="minorEastAsia" w:eastAsiaTheme="minorEastAsia"/>
          <w:b/>
          <w:bCs w:val="0"/>
          <w:color w:val="auto"/>
          <w:sz w:val="24"/>
          <w:szCs w:val="24"/>
          <w:highlight w:val="none"/>
          <w:lang w:val="en-US" w:eastAsia="zh-CN" w:bidi="ar-SA"/>
        </w:rPr>
      </w:pPr>
      <w:r>
        <w:rPr>
          <w:rFonts w:hint="eastAsia"/>
          <w:color w:val="auto"/>
          <w:highlight w:val="none"/>
        </w:rPr>
        <w:t xml:space="preserve"> </w:t>
      </w:r>
      <w:bookmarkStart w:id="66" w:name="_Toc27214"/>
      <w:r>
        <w:rPr>
          <w:rFonts w:hint="eastAsia" w:ascii="仿宋" w:hAnsi="仿宋" w:eastAsia="仿宋"/>
          <w:b/>
          <w:color w:val="auto"/>
          <w:sz w:val="28"/>
          <w:szCs w:val="28"/>
          <w:highlight w:val="none"/>
        </w:rPr>
        <w:t>★</w:t>
      </w:r>
      <w:r>
        <w:rPr>
          <w:rFonts w:hint="eastAsia" w:cs="仿宋" w:asciiTheme="minorEastAsia" w:hAnsiTheme="minorEastAsia" w:eastAsiaTheme="minorEastAsia"/>
          <w:b/>
          <w:bCs w:val="0"/>
          <w:color w:val="auto"/>
          <w:sz w:val="28"/>
          <w:szCs w:val="28"/>
          <w:highlight w:val="none"/>
        </w:rPr>
        <w:t>针对本项目的其他技术服务要求</w:t>
      </w:r>
      <w:bookmarkEnd w:id="66"/>
    </w:p>
    <w:p>
      <w:pPr>
        <w:tabs>
          <w:tab w:val="left" w:pos="0"/>
        </w:tabs>
        <w:jc w:val="left"/>
        <w:rPr>
          <w:rFonts w:hint="eastAsia" w:eastAsia="宋体"/>
          <w:color w:val="auto"/>
          <w:highlight w:val="none"/>
          <w:lang w:eastAsia="zh-CN"/>
        </w:rPr>
      </w:pPr>
      <w:r>
        <w:rPr>
          <w:rFonts w:hint="eastAsia" w:cs="仿宋" w:asciiTheme="minorEastAsia" w:hAnsiTheme="minorEastAsia" w:eastAsiaTheme="minorEastAsia"/>
          <w:b w:val="0"/>
          <w:color w:val="auto"/>
          <w:highlight w:val="none"/>
          <w:lang w:val="en-US" w:eastAsia="zh-CN"/>
        </w:rPr>
        <w:tab/>
      </w:r>
      <w:r>
        <w:rPr>
          <w:rFonts w:hint="eastAsia" w:cs="仿宋" w:asciiTheme="minorEastAsia" w:hAnsiTheme="minorEastAsia" w:eastAsiaTheme="minorEastAsia"/>
          <w:b w:val="0"/>
          <w:color w:val="auto"/>
          <w:highlight w:val="none"/>
          <w:lang w:val="en-US" w:eastAsia="zh-CN"/>
        </w:rPr>
        <w:t xml:space="preserve"> </w:t>
      </w:r>
      <w:r>
        <w:rPr>
          <w:rFonts w:hint="eastAsia" w:cs="仿宋" w:asciiTheme="minorEastAsia" w:hAnsiTheme="minorEastAsia" w:eastAsiaTheme="minorEastAsia"/>
          <w:b w:val="0"/>
          <w:bCs/>
          <w:iCs/>
          <w:color w:val="auto"/>
          <w:sz w:val="28"/>
          <w:szCs w:val="28"/>
          <w:highlight w:val="none"/>
          <w:lang w:val="en-US" w:eastAsia="zh-CN" w:bidi="ar-SA"/>
        </w:rPr>
        <w:t>本项目</w:t>
      </w:r>
      <w:r>
        <w:rPr>
          <w:rFonts w:hint="default" w:cs="仿宋" w:asciiTheme="minorEastAsia" w:hAnsiTheme="minorEastAsia" w:eastAsiaTheme="minorEastAsia"/>
          <w:b w:val="0"/>
          <w:bCs/>
          <w:iCs/>
          <w:color w:val="auto"/>
          <w:sz w:val="28"/>
          <w:szCs w:val="28"/>
          <w:highlight w:val="none"/>
          <w:lang w:val="zh-CN" w:eastAsia="zh-CN" w:bidi="ar-SA"/>
        </w:rPr>
        <w:t>材料及技术规范</w:t>
      </w:r>
      <w:r>
        <w:rPr>
          <w:rFonts w:hint="eastAsia" w:cs="仿宋" w:asciiTheme="minorEastAsia" w:hAnsiTheme="minorEastAsia" w:eastAsiaTheme="minorEastAsia"/>
          <w:b w:val="0"/>
          <w:bCs/>
          <w:iCs/>
          <w:color w:val="auto"/>
          <w:sz w:val="28"/>
          <w:szCs w:val="28"/>
          <w:highlight w:val="none"/>
          <w:lang w:val="en-US" w:eastAsia="zh-CN" w:bidi="ar-SA"/>
        </w:rPr>
        <w:t>严格按照</w:t>
      </w:r>
      <w:r>
        <w:rPr>
          <w:rFonts w:hint="eastAsia" w:cs="仿宋" w:asciiTheme="minorEastAsia" w:hAnsiTheme="minorEastAsia" w:eastAsiaTheme="minorEastAsia"/>
          <w:b w:val="0"/>
          <w:bCs/>
          <w:iCs/>
          <w:color w:val="auto"/>
          <w:sz w:val="28"/>
          <w:szCs w:val="28"/>
          <w:highlight w:val="none"/>
          <w:lang w:val="zh-CN" w:eastAsia="zh-CN" w:bidi="ar-SA"/>
        </w:rPr>
        <w:t>中华人民共和国现行</w:t>
      </w:r>
      <w:r>
        <w:rPr>
          <w:rFonts w:hint="eastAsia" w:cs="仿宋" w:asciiTheme="minorEastAsia" w:hAnsiTheme="minorEastAsia" w:eastAsiaTheme="minorEastAsia"/>
          <w:b w:val="0"/>
          <w:bCs/>
          <w:iCs/>
          <w:color w:val="auto"/>
          <w:sz w:val="28"/>
          <w:szCs w:val="28"/>
          <w:highlight w:val="none"/>
          <w:lang w:val="en-US" w:eastAsia="zh-CN" w:bidi="ar-SA"/>
        </w:rPr>
        <w:t>有关</w:t>
      </w:r>
      <w:r>
        <w:rPr>
          <w:rFonts w:hint="default" w:cs="仿宋" w:asciiTheme="minorEastAsia" w:hAnsiTheme="minorEastAsia" w:eastAsiaTheme="minorEastAsia"/>
          <w:b w:val="0"/>
          <w:bCs/>
          <w:iCs/>
          <w:color w:val="auto"/>
          <w:sz w:val="28"/>
          <w:szCs w:val="28"/>
          <w:highlight w:val="none"/>
          <w:lang w:val="zh-CN" w:eastAsia="zh-CN" w:bidi="ar-SA"/>
        </w:rPr>
        <w:t>材料及技术规范要求</w:t>
      </w:r>
      <w:r>
        <w:rPr>
          <w:rFonts w:hint="eastAsia" w:cs="仿宋" w:asciiTheme="minorEastAsia" w:hAnsiTheme="minorEastAsia" w:eastAsiaTheme="minorEastAsia"/>
          <w:b w:val="0"/>
          <w:bCs/>
          <w:iCs/>
          <w:color w:val="auto"/>
          <w:sz w:val="28"/>
          <w:szCs w:val="28"/>
          <w:highlight w:val="none"/>
          <w:lang w:val="en-US" w:eastAsia="zh-CN" w:bidi="ar-SA"/>
        </w:rPr>
        <w:t>执行</w:t>
      </w:r>
      <w:r>
        <w:rPr>
          <w:rFonts w:hint="eastAsia" w:cs="仿宋" w:asciiTheme="minorEastAsia" w:hAnsiTheme="minorEastAsia" w:eastAsiaTheme="minorEastAsia"/>
          <w:b w:val="0"/>
          <w:bCs/>
          <w:iCs/>
          <w:color w:val="auto"/>
          <w:sz w:val="28"/>
          <w:szCs w:val="28"/>
          <w:highlight w:val="none"/>
          <w:lang w:val="zh-CN" w:eastAsia="zh-CN" w:bidi="ar-SA"/>
        </w:rPr>
        <w:t>。</w:t>
      </w:r>
    </w:p>
    <w:p>
      <w:pPr>
        <w:pStyle w:val="5"/>
        <w:tabs>
          <w:tab w:val="left" w:pos="0"/>
          <w:tab w:val="left" w:pos="786"/>
        </w:tabs>
        <w:spacing w:before="260" w:after="260" w:line="416" w:lineRule="auto"/>
        <w:ind w:left="0" w:firstLine="0"/>
        <w:rPr>
          <w:color w:val="auto"/>
          <w:highlight w:val="none"/>
        </w:rPr>
      </w:pPr>
      <w:bookmarkStart w:id="67" w:name="_Toc3943"/>
      <w:r>
        <w:rPr>
          <w:rFonts w:hint="eastAsia" w:ascii="仿宋" w:hAnsi="仿宋" w:eastAsia="仿宋"/>
          <w:b/>
          <w:color w:val="auto"/>
          <w:highlight w:val="none"/>
        </w:rPr>
        <w:t>★</w:t>
      </w:r>
      <w:r>
        <w:rPr>
          <w:rFonts w:hint="eastAsia"/>
          <w:color w:val="auto"/>
          <w:highlight w:val="none"/>
          <w:lang w:eastAsia="zh-CN"/>
        </w:rPr>
        <w:t>验收标准和方法</w:t>
      </w:r>
      <w:bookmarkEnd w:id="67"/>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jc w:val="left"/>
        <w:textAlignment w:val="auto"/>
        <w:rPr>
          <w:rFonts w:hint="eastAsia" w:cs="仿宋" w:asciiTheme="minorEastAsia" w:hAnsiTheme="minorEastAsia" w:eastAsiaTheme="minorEastAsia"/>
          <w:b w:val="0"/>
          <w:bCs/>
          <w:iCs/>
          <w:color w:val="auto"/>
          <w:sz w:val="28"/>
          <w:szCs w:val="28"/>
          <w:highlight w:val="none"/>
          <w:lang w:val="zh-CN" w:eastAsia="zh-CN" w:bidi="ar-SA"/>
        </w:rPr>
      </w:pPr>
      <w:r>
        <w:rPr>
          <w:rFonts w:hint="eastAsia" w:cs="仿宋" w:asciiTheme="minorEastAsia" w:hAnsiTheme="minorEastAsia" w:eastAsiaTheme="minorEastAsia"/>
          <w:b w:val="0"/>
          <w:bCs/>
          <w:iCs/>
          <w:color w:val="auto"/>
          <w:sz w:val="28"/>
          <w:szCs w:val="28"/>
          <w:highlight w:val="none"/>
          <w:lang w:val="en-US" w:eastAsia="zh-CN" w:bidi="ar-SA"/>
        </w:rPr>
        <w:t xml:space="preserve"> </w:t>
      </w:r>
      <w:r>
        <w:rPr>
          <w:rFonts w:hint="eastAsia" w:cs="仿宋" w:asciiTheme="minorEastAsia" w:hAnsiTheme="minorEastAsia" w:eastAsiaTheme="minorEastAsia"/>
          <w:b w:val="0"/>
          <w:bCs/>
          <w:iCs/>
          <w:color w:val="auto"/>
          <w:sz w:val="28"/>
          <w:szCs w:val="28"/>
          <w:highlight w:val="none"/>
          <w:lang w:val="zh-CN" w:eastAsia="zh-CN" w:bidi="ar-SA"/>
        </w:rPr>
        <w:t>按照按磋商文件要求、成交供应商的响应文件及承诺、签订的施工合同、财政部关于进一步加强政府采购需求和履约验收管理的指导意见（财库〔2016〕205号）要求进行验收。</w:t>
      </w:r>
    </w:p>
    <w:p>
      <w:pPr>
        <w:pStyle w:val="5"/>
        <w:tabs>
          <w:tab w:val="left" w:pos="0"/>
          <w:tab w:val="left" w:pos="786"/>
        </w:tabs>
        <w:spacing w:before="260" w:after="260" w:line="416" w:lineRule="auto"/>
        <w:ind w:left="0" w:firstLine="0"/>
        <w:rPr>
          <w:color w:val="auto"/>
          <w:highlight w:val="none"/>
        </w:rPr>
      </w:pPr>
      <w:bookmarkStart w:id="68" w:name="_Toc54948228"/>
      <w:bookmarkStart w:id="69" w:name="_Toc21850"/>
      <w:r>
        <w:rPr>
          <w:rFonts w:hint="eastAsia"/>
          <w:color w:val="auto"/>
          <w:highlight w:val="none"/>
        </w:rPr>
        <w:t>满足采购需求的最低要求</w:t>
      </w:r>
      <w:bookmarkEnd w:id="68"/>
      <w:bookmarkEnd w:id="69"/>
    </w:p>
    <w:p>
      <w:pPr>
        <w:widowControl w:val="0"/>
        <w:tabs>
          <w:tab w:val="left" w:pos="1134"/>
        </w:tabs>
        <w:snapToGrid w:val="0"/>
        <w:spacing w:line="620" w:lineRule="exact"/>
        <w:ind w:firstLine="568" w:firstLineChars="202"/>
        <w:jc w:val="both"/>
        <w:rPr>
          <w:rFonts w:ascii="宋体" w:hAnsi="宋体"/>
          <w:color w:val="auto"/>
          <w:sz w:val="28"/>
          <w:szCs w:val="28"/>
          <w:highlight w:val="none"/>
        </w:rPr>
      </w:pPr>
      <w:r>
        <w:rPr>
          <w:rFonts w:hint="eastAsia" w:ascii="宋体" w:hAnsi="宋体"/>
          <w:b/>
          <w:color w:val="auto"/>
          <w:sz w:val="28"/>
          <w:szCs w:val="20"/>
          <w:highlight w:val="none"/>
        </w:rPr>
        <w:t>技术、服务、商务及其他要求中加★号的要求为满足采购需求的最低要求。</w:t>
      </w:r>
    </w:p>
    <w:bookmarkEnd w:id="55"/>
    <w:bookmarkEnd w:id="56"/>
    <w:p>
      <w:pPr>
        <w:rPr>
          <w:rFonts w:ascii="宋体" w:hAnsi="宋体"/>
          <w:b/>
          <w:color w:val="auto"/>
          <w:sz w:val="28"/>
          <w:szCs w:val="28"/>
          <w:highlight w:val="none"/>
        </w:rPr>
      </w:pPr>
    </w:p>
    <w:p>
      <w:pPr>
        <w:pStyle w:val="2"/>
        <w:rPr>
          <w:rFonts w:ascii="宋体" w:hAnsi="宋体"/>
          <w:b/>
          <w:color w:val="auto"/>
          <w:sz w:val="28"/>
          <w:szCs w:val="28"/>
          <w:highlight w:val="none"/>
        </w:rPr>
      </w:pPr>
      <w:r>
        <w:rPr>
          <w:rFonts w:ascii="宋体" w:hAnsi="宋体"/>
          <w:b/>
          <w:color w:val="auto"/>
          <w:sz w:val="28"/>
          <w:szCs w:val="28"/>
          <w:highlight w:val="none"/>
        </w:rPr>
        <w:br w:type="page"/>
      </w:r>
    </w:p>
    <w:p>
      <w:pPr>
        <w:rPr>
          <w:rFonts w:ascii="Times New Roman" w:hAnsi="Times New Roman" w:eastAsia="宋体" w:cs="Times New Roman"/>
          <w:color w:val="auto"/>
          <w:sz w:val="24"/>
          <w:szCs w:val="24"/>
          <w:highlight w:val="none"/>
          <w:lang w:val="en-US" w:eastAsia="zh-CN" w:bidi="ar-SA"/>
        </w:rPr>
      </w:pPr>
    </w:p>
    <w:p>
      <w:pPr>
        <w:pStyle w:val="4"/>
        <w:numPr>
          <w:ilvl w:val="0"/>
          <w:numId w:val="1"/>
        </w:numPr>
        <w:snapToGrid w:val="0"/>
        <w:spacing w:before="0" w:after="0"/>
        <w:ind w:left="0" w:firstLine="0"/>
        <w:rPr>
          <w:color w:val="auto"/>
          <w:highlight w:val="none"/>
        </w:rPr>
      </w:pPr>
      <w:bookmarkStart w:id="70" w:name="_Toc4089"/>
      <w:bookmarkStart w:id="71" w:name="_Toc360696963"/>
      <w:bookmarkStart w:id="72" w:name="_Toc236285891"/>
      <w:bookmarkStart w:id="73" w:name="_Toc238273564"/>
      <w:bookmarkStart w:id="74" w:name="_Toc205604899"/>
      <w:r>
        <w:rPr>
          <w:rFonts w:hint="eastAsia"/>
          <w:color w:val="auto"/>
          <w:highlight w:val="none"/>
          <w:lang w:eastAsia="zh-CN"/>
        </w:rPr>
        <w:t>磋商办法</w:t>
      </w:r>
      <w:bookmarkEnd w:id="70"/>
    </w:p>
    <w:p>
      <w:pPr>
        <w:rPr>
          <w:color w:val="auto"/>
          <w:highlight w:val="none"/>
        </w:rPr>
      </w:pPr>
    </w:p>
    <w:p>
      <w:pPr>
        <w:pStyle w:val="5"/>
        <w:numPr>
          <w:ilvl w:val="1"/>
          <w:numId w:val="1"/>
        </w:numPr>
        <w:tabs>
          <w:tab w:val="left" w:pos="993"/>
          <w:tab w:val="clear" w:pos="426"/>
          <w:tab w:val="clear" w:pos="567"/>
        </w:tabs>
        <w:spacing w:before="0" w:after="0"/>
        <w:ind w:left="0" w:firstLine="0"/>
        <w:jc w:val="both"/>
        <w:rPr>
          <w:color w:val="auto"/>
          <w:highlight w:val="none"/>
        </w:rPr>
      </w:pPr>
      <w:bookmarkStart w:id="75" w:name="_Toc61004790"/>
      <w:bookmarkStart w:id="76" w:name="_Toc30245"/>
      <w:r>
        <w:rPr>
          <w:rFonts w:hint="eastAsia"/>
          <w:color w:val="auto"/>
          <w:highlight w:val="none"/>
        </w:rPr>
        <w:t>总则</w:t>
      </w:r>
      <w:bookmarkEnd w:id="75"/>
      <w:bookmarkEnd w:id="76"/>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根据《中华人民共和国政府采购法》、《中华人民共和国政府采购法实施条例》和《政府采购竞争性磋商采购方式管理暂行办法》等法律规章，结合采购项目特点制定本办法。</w:t>
      </w:r>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磋商工作由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负责组织，具体评审事务由采购人和</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依法组建的磋商小组负责。磋商小组由采购人代表和评审专家组成。</w:t>
      </w:r>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磋商工作应遵循公平、公正、科学及择优的原则，并以相同的评审程序和标准对待所有的供应商。</w:t>
      </w:r>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磋商小组按照磋商文件规定的磋商程序、评分方法和标准进行独立评审，并独立履行下列职责：</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熟悉和理解</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商文件，确定</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商文件内容是否违反国家有关强制性规定或者</w:t>
      </w:r>
      <w:r>
        <w:rPr>
          <w:rFonts w:hint="eastAsia" w:ascii="宋体" w:hAnsi="宋体" w:cs="宋体"/>
          <w:color w:val="auto"/>
          <w:sz w:val="28"/>
          <w:szCs w:val="28"/>
          <w:highlight w:val="none"/>
          <w:lang w:eastAsia="zh-CN"/>
        </w:rPr>
        <w:t>磋</w:t>
      </w:r>
      <w:r>
        <w:rPr>
          <w:rFonts w:hint="eastAsia" w:ascii="宋体" w:hAnsi="宋体" w:cs="宋体"/>
          <w:color w:val="auto"/>
          <w:sz w:val="28"/>
          <w:szCs w:val="28"/>
          <w:highlight w:val="none"/>
        </w:rPr>
        <w:t>商文件存在歧义、重大缺陷，根据需要书面要求采购人、采购代理机构对</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商文件作出解释</w:t>
      </w:r>
      <w:r>
        <w:rPr>
          <w:rFonts w:ascii="宋体" w:hAnsi="宋体" w:cs="宋体"/>
          <w:color w:val="auto"/>
          <w:sz w:val="28"/>
          <w:szCs w:val="28"/>
          <w:highlight w:val="none"/>
        </w:rPr>
        <w:t>；</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审查供应商的施工响应文件并作出公正评价；</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根据需要要求供应商对施工响应文件中含义不明确、同类问题表述不一致或者有明显文字和计算错误的内容等作出必要的澄清、说明或者更正；</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依法、客观、公平、公正开展供应商资格性审查、</w:t>
      </w:r>
      <w:r>
        <w:rPr>
          <w:rFonts w:hint="eastAsia" w:ascii="宋体" w:hAnsi="宋体" w:cs="宋体"/>
          <w:color w:val="auto"/>
          <w:sz w:val="28"/>
          <w:szCs w:val="28"/>
          <w:highlight w:val="none"/>
          <w:lang w:eastAsia="zh-CN"/>
        </w:rPr>
        <w:t>磋</w:t>
      </w:r>
      <w:r>
        <w:rPr>
          <w:rFonts w:hint="eastAsia" w:ascii="宋体" w:hAnsi="宋体" w:cs="宋体"/>
          <w:color w:val="auto"/>
          <w:sz w:val="28"/>
          <w:szCs w:val="28"/>
          <w:highlight w:val="none"/>
        </w:rPr>
        <w:t>商和推荐成交候选供应商；</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编写评审报告；</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告知采购人、采购代理机构在评审过程中发现的供应商的违法违规行为；</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保守供应商的商业秘密；</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配合处理供应商质疑；</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配合处理供应商投诉；</w:t>
      </w:r>
    </w:p>
    <w:p>
      <w:pPr>
        <w:numPr>
          <w:ilvl w:val="1"/>
          <w:numId w:val="35"/>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法律、法规和规章规定的其他职责；</w:t>
      </w:r>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评审过程独立、保密。供应商非法干预评审过程的行为将导致其施工响应文件作为无效处理。</w:t>
      </w:r>
    </w:p>
    <w:p>
      <w:pPr>
        <w:numPr>
          <w:ilvl w:val="0"/>
          <w:numId w:val="34"/>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磋商小组决定施工响应文件的响应性依据施工响应文件本身的内容，而不寻求外部的证据，磋商文件有明确约定的除外。</w:t>
      </w:r>
    </w:p>
    <w:p>
      <w:pPr>
        <w:pStyle w:val="5"/>
        <w:numPr>
          <w:ilvl w:val="1"/>
          <w:numId w:val="1"/>
        </w:numPr>
        <w:tabs>
          <w:tab w:val="left" w:pos="993"/>
          <w:tab w:val="clear" w:pos="426"/>
          <w:tab w:val="clear" w:pos="567"/>
        </w:tabs>
        <w:spacing w:before="0" w:after="0"/>
        <w:ind w:left="0" w:firstLine="0"/>
        <w:jc w:val="both"/>
        <w:rPr>
          <w:color w:val="auto"/>
          <w:highlight w:val="none"/>
        </w:rPr>
      </w:pPr>
      <w:bookmarkStart w:id="77" w:name="_Toc3898"/>
      <w:bookmarkStart w:id="78" w:name="_Toc61004791"/>
      <w:r>
        <w:rPr>
          <w:rFonts w:hint="eastAsia"/>
          <w:color w:val="auto"/>
          <w:highlight w:val="none"/>
        </w:rPr>
        <w:t>磋商程序</w:t>
      </w:r>
      <w:bookmarkEnd w:id="77"/>
    </w:p>
    <w:p>
      <w:pPr>
        <w:spacing w:line="360" w:lineRule="auto"/>
        <w:ind w:firstLine="570"/>
        <w:rPr>
          <w:rFonts w:ascii="宋体" w:hAnsi="宋体"/>
          <w:color w:val="auto"/>
          <w:sz w:val="28"/>
          <w:szCs w:val="28"/>
          <w:highlight w:val="none"/>
        </w:rPr>
      </w:pPr>
      <w:r>
        <w:rPr>
          <w:rFonts w:hint="eastAsia" w:ascii="宋体" w:hAnsi="宋体"/>
          <w:color w:val="auto"/>
          <w:sz w:val="28"/>
          <w:szCs w:val="28"/>
          <w:highlight w:val="none"/>
        </w:rPr>
        <w:t>磋商会议地点应当为竞争性磋商文件中预先确定的地点。磋商会议由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主持，供应商代表参加。</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磋商应由监督人员对现场进行监督，且可根据具体情况邀请有关监督管理部门对采购活动进行现场监督。</w:t>
      </w:r>
    </w:p>
    <w:p>
      <w:pPr>
        <w:pStyle w:val="5"/>
        <w:numPr>
          <w:ilvl w:val="2"/>
          <w:numId w:val="1"/>
        </w:numPr>
        <w:tabs>
          <w:tab w:val="left" w:pos="993"/>
          <w:tab w:val="clear" w:pos="426"/>
          <w:tab w:val="clear" w:pos="567"/>
        </w:tabs>
        <w:rPr>
          <w:color w:val="auto"/>
          <w:highlight w:val="none"/>
        </w:rPr>
      </w:pPr>
      <w:bookmarkStart w:id="79" w:name="_Toc320698735"/>
      <w:bookmarkStart w:id="80" w:name="_Toc15374"/>
      <w:bookmarkStart w:id="81" w:name="_Toc30750"/>
      <w:bookmarkStart w:id="82" w:name="_Toc63437907"/>
      <w:bookmarkStart w:id="83" w:name="_Toc63084321"/>
      <w:bookmarkStart w:id="84" w:name="_Toc72938451"/>
      <w:bookmarkStart w:id="85" w:name="_Toc61004793"/>
      <w:bookmarkStart w:id="86" w:name="_Toc320698736"/>
      <w:r>
        <w:rPr>
          <w:rFonts w:hint="eastAsia"/>
          <w:color w:val="auto"/>
          <w:highlight w:val="none"/>
        </w:rPr>
        <w:t>供应商</w:t>
      </w:r>
      <w:bookmarkEnd w:id="79"/>
      <w:r>
        <w:rPr>
          <w:rFonts w:hint="eastAsia"/>
          <w:color w:val="auto"/>
          <w:highlight w:val="none"/>
        </w:rPr>
        <w:t>参与</w:t>
      </w:r>
      <w:bookmarkEnd w:id="80"/>
      <w:bookmarkEnd w:id="81"/>
    </w:p>
    <w:p>
      <w:pPr>
        <w:spacing w:line="360" w:lineRule="auto"/>
        <w:ind w:firstLine="565" w:firstLineChars="202"/>
        <w:rPr>
          <w:color w:val="auto"/>
          <w:highlight w:val="none"/>
        </w:rPr>
      </w:pPr>
      <w:r>
        <w:rPr>
          <w:rFonts w:hint="eastAsia" w:ascii="宋体" w:hAnsi="宋体"/>
          <w:color w:val="auto"/>
          <w:sz w:val="28"/>
          <w:szCs w:val="28"/>
          <w:highlight w:val="none"/>
        </w:rPr>
        <w:t>供应商应按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文件要求获取</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文件后，参与的供应商不足3家的，本次竞争性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采购活动终止，发布终止竞争性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p>
      <w:pPr>
        <w:pStyle w:val="5"/>
        <w:numPr>
          <w:ilvl w:val="2"/>
          <w:numId w:val="1"/>
        </w:numPr>
        <w:tabs>
          <w:tab w:val="left" w:pos="993"/>
          <w:tab w:val="clear" w:pos="426"/>
          <w:tab w:val="clear" w:pos="567"/>
        </w:tabs>
        <w:rPr>
          <w:color w:val="auto"/>
          <w:highlight w:val="none"/>
        </w:rPr>
      </w:pPr>
      <w:bookmarkStart w:id="87" w:name="_Toc7220"/>
      <w:r>
        <w:rPr>
          <w:rFonts w:hint="eastAsia"/>
          <w:color w:val="auto"/>
          <w:highlight w:val="none"/>
        </w:rPr>
        <w:t>递交施工响应文件</w:t>
      </w:r>
      <w:bookmarkEnd w:id="82"/>
      <w:bookmarkEnd w:id="83"/>
      <w:bookmarkEnd w:id="84"/>
      <w:bookmarkEnd w:id="87"/>
    </w:p>
    <w:p>
      <w:pPr>
        <w:widowControl w:val="0"/>
        <w:tabs>
          <w:tab w:val="left" w:pos="1134"/>
        </w:tabs>
        <w:snapToGrid w:val="0"/>
        <w:spacing w:line="360" w:lineRule="auto"/>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供应商应按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文件要求递交施工响应文件。递交施工响应文件截止时间结束后，递交施工响应文件的供应商不足三家的，本次竞争性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采购活动终止，发布终止竞争性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bookmarkEnd w:id="85"/>
    <w:bookmarkEnd w:id="86"/>
    <w:p>
      <w:pPr>
        <w:pStyle w:val="5"/>
        <w:numPr>
          <w:ilvl w:val="2"/>
          <w:numId w:val="1"/>
        </w:numPr>
        <w:tabs>
          <w:tab w:val="left" w:pos="993"/>
          <w:tab w:val="clear" w:pos="426"/>
          <w:tab w:val="clear" w:pos="567"/>
        </w:tabs>
        <w:spacing w:before="0" w:after="0"/>
        <w:jc w:val="both"/>
        <w:rPr>
          <w:color w:val="auto"/>
          <w:highlight w:val="none"/>
        </w:rPr>
      </w:pPr>
      <w:bookmarkStart w:id="88" w:name="_Toc61004794"/>
      <w:bookmarkStart w:id="89" w:name="_Toc25120"/>
      <w:r>
        <w:rPr>
          <w:rFonts w:hint="eastAsia"/>
          <w:color w:val="auto"/>
          <w:highlight w:val="none"/>
        </w:rPr>
        <w:t>确定邀请参加磋商的供应商数量</w:t>
      </w:r>
      <w:bookmarkEnd w:id="88"/>
      <w:bookmarkEnd w:id="89"/>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邀请已通过本次采购资格审查并随机抽取选中的供应商参加本项目的竞争性磋商。</w:t>
      </w:r>
    </w:p>
    <w:p>
      <w:pPr>
        <w:pStyle w:val="5"/>
        <w:numPr>
          <w:ilvl w:val="2"/>
          <w:numId w:val="1"/>
        </w:numPr>
        <w:tabs>
          <w:tab w:val="left" w:pos="993"/>
          <w:tab w:val="clear" w:pos="426"/>
          <w:tab w:val="clear" w:pos="567"/>
        </w:tabs>
        <w:spacing w:before="0" w:after="0"/>
        <w:jc w:val="both"/>
        <w:rPr>
          <w:color w:val="auto"/>
          <w:highlight w:val="none"/>
        </w:rPr>
      </w:pPr>
      <w:bookmarkStart w:id="90" w:name="_Toc287623646"/>
      <w:bookmarkStart w:id="91" w:name="_Toc61004795"/>
      <w:bookmarkStart w:id="92" w:name="_Toc20101"/>
      <w:r>
        <w:rPr>
          <w:rFonts w:hint="eastAsia"/>
          <w:color w:val="auto"/>
          <w:highlight w:val="none"/>
        </w:rPr>
        <w:t>成立磋商小组</w:t>
      </w:r>
      <w:bookmarkEnd w:id="90"/>
      <w:bookmarkEnd w:id="91"/>
      <w:bookmarkEnd w:id="92"/>
    </w:p>
    <w:p>
      <w:pPr>
        <w:pStyle w:val="27"/>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磋商小组</w:t>
      </w:r>
      <w:r>
        <w:rPr>
          <w:rFonts w:hAnsi="宋体" w:eastAsia="宋体"/>
          <w:color w:val="auto"/>
          <w:sz w:val="28"/>
          <w:szCs w:val="28"/>
          <w:highlight w:val="none"/>
        </w:rPr>
        <w:t>由采购人代表和</w:t>
      </w:r>
      <w:r>
        <w:rPr>
          <w:rFonts w:hint="eastAsia" w:hAnsi="宋体" w:eastAsia="宋体"/>
          <w:color w:val="auto"/>
          <w:sz w:val="28"/>
          <w:szCs w:val="28"/>
          <w:highlight w:val="none"/>
        </w:rPr>
        <w:t>根据采购项目情况确定的技术或经济或法律等有关专家3人</w:t>
      </w:r>
      <w:r>
        <w:rPr>
          <w:rFonts w:hAnsi="宋体" w:eastAsia="宋体"/>
          <w:color w:val="auto"/>
          <w:sz w:val="28"/>
          <w:szCs w:val="28"/>
          <w:highlight w:val="none"/>
        </w:rPr>
        <w:t>以上的单数组成</w:t>
      </w:r>
      <w:r>
        <w:rPr>
          <w:rFonts w:hint="eastAsia" w:hAnsi="宋体" w:eastAsia="宋体"/>
          <w:color w:val="auto"/>
          <w:sz w:val="28"/>
          <w:szCs w:val="28"/>
          <w:highlight w:val="none"/>
        </w:rPr>
        <w:t>。磋商小组</w:t>
      </w:r>
      <w:r>
        <w:rPr>
          <w:rFonts w:hAnsi="宋体" w:eastAsia="宋体"/>
          <w:color w:val="auto"/>
          <w:sz w:val="28"/>
          <w:szCs w:val="28"/>
          <w:highlight w:val="none"/>
        </w:rPr>
        <w:t>负责本项目的</w:t>
      </w:r>
      <w:r>
        <w:rPr>
          <w:rFonts w:hint="eastAsia" w:hAnsi="宋体" w:eastAsia="宋体"/>
          <w:color w:val="auto"/>
          <w:sz w:val="28"/>
          <w:szCs w:val="28"/>
          <w:highlight w:val="none"/>
        </w:rPr>
        <w:t>磋商</w:t>
      </w:r>
      <w:r>
        <w:rPr>
          <w:rFonts w:hAnsi="宋体" w:eastAsia="宋体"/>
          <w:color w:val="auto"/>
          <w:sz w:val="28"/>
          <w:szCs w:val="28"/>
          <w:highlight w:val="none"/>
        </w:rPr>
        <w:t>和评</w:t>
      </w:r>
      <w:r>
        <w:rPr>
          <w:rFonts w:hint="eastAsia" w:hAnsi="宋体" w:eastAsia="宋体"/>
          <w:color w:val="auto"/>
          <w:sz w:val="28"/>
          <w:szCs w:val="28"/>
          <w:highlight w:val="none"/>
        </w:rPr>
        <w:t>审</w:t>
      </w:r>
      <w:r>
        <w:rPr>
          <w:rFonts w:hAnsi="宋体" w:eastAsia="宋体"/>
          <w:color w:val="auto"/>
          <w:sz w:val="28"/>
          <w:szCs w:val="28"/>
          <w:highlight w:val="none"/>
        </w:rPr>
        <w:t>工作。</w:t>
      </w:r>
    </w:p>
    <w:p>
      <w:pPr>
        <w:pStyle w:val="5"/>
        <w:numPr>
          <w:ilvl w:val="2"/>
          <w:numId w:val="1"/>
        </w:numPr>
        <w:tabs>
          <w:tab w:val="left" w:pos="993"/>
          <w:tab w:val="clear" w:pos="426"/>
          <w:tab w:val="clear" w:pos="567"/>
        </w:tabs>
        <w:spacing w:before="0" w:after="0"/>
        <w:jc w:val="both"/>
        <w:rPr>
          <w:color w:val="auto"/>
          <w:highlight w:val="none"/>
        </w:rPr>
      </w:pPr>
      <w:bookmarkStart w:id="93" w:name="_Toc61004796"/>
      <w:bookmarkStart w:id="94" w:name="_Toc4302"/>
      <w:r>
        <w:rPr>
          <w:rFonts w:hint="eastAsia"/>
          <w:color w:val="auto"/>
          <w:highlight w:val="none"/>
        </w:rPr>
        <w:t>磋商</w:t>
      </w:r>
      <w:bookmarkEnd w:id="93"/>
      <w:bookmarkEnd w:id="94"/>
    </w:p>
    <w:p>
      <w:pPr>
        <w:widowControl w:val="0"/>
        <w:numPr>
          <w:ilvl w:val="1"/>
          <w:numId w:val="36"/>
        </w:numPr>
        <w:tabs>
          <w:tab w:val="left" w:pos="1134"/>
        </w:tabs>
        <w:snapToGrid w:val="0"/>
        <w:spacing w:line="62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确定</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顺序：</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小组与邀请参加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的供应商分别进行</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顺序以现场抽签的方式确定</w:t>
      </w:r>
      <w:r>
        <w:rPr>
          <w:rFonts w:hint="eastAsia" w:ascii="宋体" w:hAnsi="宋体"/>
          <w:b/>
          <w:color w:val="auto"/>
          <w:sz w:val="28"/>
          <w:szCs w:val="28"/>
          <w:highlight w:val="none"/>
        </w:rPr>
        <w:t>（查验供应商法定代表人或其代理人身份证原件）</w:t>
      </w:r>
      <w:r>
        <w:rPr>
          <w:rFonts w:hint="eastAsia" w:ascii="宋体" w:hAnsi="宋体"/>
          <w:color w:val="auto"/>
          <w:sz w:val="28"/>
          <w:szCs w:val="28"/>
          <w:highlight w:val="none"/>
        </w:rPr>
        <w:t>。如供应商法定代表人或其代理人未携带身份证的，可在收到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邀请书起</w:t>
      </w:r>
      <w:r>
        <w:rPr>
          <w:rFonts w:ascii="宋体" w:hAnsi="宋体"/>
          <w:color w:val="auto"/>
          <w:sz w:val="28"/>
          <w:szCs w:val="28"/>
          <w:highlight w:val="none"/>
        </w:rPr>
        <w:t>90分钟内</w:t>
      </w:r>
      <w:r>
        <w:rPr>
          <w:rFonts w:hint="eastAsia" w:ascii="宋体" w:hAnsi="宋体"/>
          <w:color w:val="auto"/>
          <w:sz w:val="28"/>
          <w:szCs w:val="28"/>
          <w:highlight w:val="none"/>
        </w:rPr>
        <w:t>补查身份证原件，逾期未提供的，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小组应拒绝其参与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widowControl w:val="0"/>
        <w:numPr>
          <w:ilvl w:val="0"/>
          <w:numId w:val="0"/>
        </w:numPr>
        <w:tabs>
          <w:tab w:val="left" w:pos="1134"/>
        </w:tabs>
        <w:spacing w:after="200" w:line="360" w:lineRule="auto"/>
        <w:ind w:leftChars="200"/>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三、</w:t>
      </w:r>
      <w:r>
        <w:rPr>
          <w:rFonts w:hint="eastAsia" w:ascii="宋体" w:hAnsi="宋体"/>
          <w:color w:val="auto"/>
          <w:sz w:val="28"/>
          <w:szCs w:val="28"/>
          <w:highlight w:val="none"/>
        </w:rPr>
        <w:t>磋商内容为第4章中“技术、服务、商务及其他要求”、第6章“合同草案条款”。其中第4章中加★号的条款为采购项目的</w:t>
      </w:r>
      <w:r>
        <w:rPr>
          <w:rFonts w:hint="eastAsia" w:ascii="宋体" w:hAnsi="宋体" w:cs="宋体"/>
          <w:color w:val="auto"/>
          <w:sz w:val="28"/>
          <w:szCs w:val="28"/>
          <w:highlight w:val="none"/>
        </w:rPr>
        <w:t>最低要求</w:t>
      </w:r>
      <w:r>
        <w:rPr>
          <w:rFonts w:hint="eastAsia" w:ascii="宋体" w:hAnsi="宋体"/>
          <w:color w:val="auto"/>
          <w:sz w:val="28"/>
          <w:szCs w:val="28"/>
          <w:highlight w:val="none"/>
        </w:rPr>
        <w:t>，为非磋商可以降低标准的内容。</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四、</w:t>
      </w:r>
      <w:r>
        <w:rPr>
          <w:rFonts w:hint="eastAsia" w:ascii="宋体" w:hAnsi="宋体"/>
          <w:color w:val="auto"/>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0"/>
          <w:numId w:val="0"/>
        </w:numPr>
        <w:tabs>
          <w:tab w:val="left" w:pos="1134"/>
        </w:tabs>
        <w:spacing w:after="200" w:line="360" w:lineRule="auto"/>
        <w:ind w:leftChars="200"/>
        <w:jc w:val="both"/>
        <w:rPr>
          <w:rFonts w:ascii="宋体" w:hAnsi="宋体"/>
          <w:color w:val="auto"/>
          <w:sz w:val="28"/>
          <w:szCs w:val="28"/>
          <w:highlight w:val="none"/>
        </w:rPr>
      </w:pPr>
      <w:r>
        <w:rPr>
          <w:rFonts w:hint="eastAsia" w:ascii="宋体" w:hAnsi="宋体"/>
          <w:color w:val="auto"/>
          <w:sz w:val="28"/>
          <w:szCs w:val="28"/>
          <w:highlight w:val="none"/>
          <w:lang w:eastAsia="zh-CN"/>
        </w:rPr>
        <w:t>五、</w:t>
      </w:r>
      <w:r>
        <w:rPr>
          <w:rFonts w:hint="eastAsia" w:ascii="宋体" w:hAnsi="宋体"/>
          <w:color w:val="auto"/>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六、</w:t>
      </w:r>
      <w:r>
        <w:rPr>
          <w:rFonts w:hint="eastAsia" w:ascii="宋体" w:hAnsi="宋体"/>
          <w:color w:val="auto"/>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spacing w:before="0" w:after="0"/>
        <w:jc w:val="both"/>
        <w:rPr>
          <w:color w:val="auto"/>
          <w:highlight w:val="none"/>
        </w:rPr>
      </w:pPr>
      <w:bookmarkStart w:id="95" w:name="_Toc61004797"/>
      <w:bookmarkStart w:id="96" w:name="_Toc11703"/>
      <w:r>
        <w:rPr>
          <w:rFonts w:hint="eastAsia"/>
          <w:color w:val="auto"/>
          <w:highlight w:val="none"/>
        </w:rPr>
        <w:t>符合性审查</w:t>
      </w:r>
      <w:bookmarkEnd w:id="95"/>
      <w:bookmarkEnd w:id="96"/>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磋商过程中，磋商小组对</w:t>
      </w:r>
      <w:r>
        <w:rPr>
          <w:rFonts w:hint="eastAsia" w:hAnsi="宋体" w:eastAsia="宋体" w:cs="Times New Roman"/>
          <w:color w:val="auto"/>
          <w:sz w:val="28"/>
          <w:szCs w:val="28"/>
          <w:highlight w:val="none"/>
        </w:rPr>
        <w:t>供应商递交的首次</w:t>
      </w:r>
      <w:r>
        <w:rPr>
          <w:rFonts w:hAnsi="宋体" w:eastAsia="宋体" w:cs="Times New Roman"/>
          <w:color w:val="auto"/>
          <w:sz w:val="28"/>
          <w:szCs w:val="28"/>
          <w:highlight w:val="none"/>
        </w:rPr>
        <w:t>施工响应文件进行审查，审查中发现供应商</w:t>
      </w:r>
      <w:r>
        <w:rPr>
          <w:rFonts w:hint="eastAsia" w:hAnsi="宋体" w:eastAsia="宋体" w:cs="Times New Roman"/>
          <w:color w:val="auto"/>
          <w:sz w:val="28"/>
          <w:szCs w:val="28"/>
          <w:highlight w:val="none"/>
        </w:rPr>
        <w:t>首次</w:t>
      </w:r>
      <w:r>
        <w:rPr>
          <w:rFonts w:hAnsi="宋体" w:eastAsia="宋体" w:cs="Times New Roman"/>
          <w:color w:val="auto"/>
          <w:sz w:val="28"/>
          <w:szCs w:val="28"/>
          <w:highlight w:val="none"/>
        </w:rPr>
        <w:t>施工响应文件</w:t>
      </w:r>
      <w:r>
        <w:rPr>
          <w:rFonts w:hint="eastAsia" w:hAnsi="宋体" w:eastAsia="宋体" w:cs="Times New Roman"/>
          <w:color w:val="auto"/>
          <w:sz w:val="28"/>
          <w:szCs w:val="28"/>
          <w:highlight w:val="none"/>
        </w:rPr>
        <w:t>有</w:t>
      </w:r>
      <w:r>
        <w:rPr>
          <w:rFonts w:hAnsi="宋体" w:eastAsia="宋体" w:cs="Times New Roman"/>
          <w:color w:val="auto"/>
          <w:sz w:val="28"/>
          <w:szCs w:val="28"/>
          <w:highlight w:val="none"/>
        </w:rPr>
        <w:t>下列情况之一的，应按照无效施工响应文件处理：</w:t>
      </w:r>
    </w:p>
    <w:p>
      <w:pPr>
        <w:pStyle w:val="27"/>
        <w:numPr>
          <w:ilvl w:val="0"/>
          <w:numId w:val="38"/>
        </w:numPr>
        <w:tabs>
          <w:tab w:val="left" w:pos="1134"/>
        </w:tabs>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施工响应文件的语言、报价货币</w:t>
      </w:r>
      <w:r>
        <w:rPr>
          <w:rFonts w:hint="eastAsia" w:hAnsi="宋体" w:eastAsia="宋体" w:cs="Times New Roman"/>
          <w:color w:val="auto"/>
          <w:sz w:val="28"/>
          <w:szCs w:val="28"/>
          <w:highlight w:val="none"/>
        </w:rPr>
        <w:t>、</w:t>
      </w:r>
      <w:r>
        <w:rPr>
          <w:rFonts w:hAnsi="宋体" w:eastAsia="宋体" w:cs="Times New Roman"/>
          <w:color w:val="auto"/>
          <w:sz w:val="28"/>
          <w:szCs w:val="28"/>
          <w:highlight w:val="none"/>
        </w:rPr>
        <w:t>知识产权</w:t>
      </w:r>
      <w:r>
        <w:rPr>
          <w:rFonts w:hint="eastAsia" w:hAnsi="宋体" w:eastAsia="宋体" w:cs="Times New Roman"/>
          <w:color w:val="auto"/>
          <w:sz w:val="28"/>
          <w:szCs w:val="28"/>
          <w:highlight w:val="none"/>
        </w:rPr>
        <w:t>、施工响应文件有效期</w:t>
      </w:r>
      <w:r>
        <w:rPr>
          <w:rFonts w:hAnsi="宋体" w:eastAsia="宋体" w:cs="Times New Roman"/>
          <w:color w:val="auto"/>
          <w:sz w:val="28"/>
          <w:szCs w:val="28"/>
          <w:highlight w:val="none"/>
        </w:rPr>
        <w:t>不符合采购文件的规定，影响磋商小组评判的；</w:t>
      </w:r>
    </w:p>
    <w:p>
      <w:pPr>
        <w:pStyle w:val="27"/>
        <w:numPr>
          <w:ilvl w:val="0"/>
          <w:numId w:val="38"/>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施工响应文件中未附已标价工程量清单（已明确</w:t>
      </w:r>
      <w:r>
        <w:rPr>
          <w:rFonts w:hAnsi="宋体" w:eastAsia="宋体" w:cs="Times New Roman"/>
          <w:color w:val="auto"/>
          <w:sz w:val="28"/>
          <w:szCs w:val="28"/>
          <w:highlight w:val="none"/>
        </w:rPr>
        <w:t>要求不需要</w:t>
      </w:r>
      <w:r>
        <w:rPr>
          <w:rFonts w:hint="eastAsia" w:hAnsi="宋体" w:eastAsia="宋体" w:cs="Times New Roman"/>
          <w:color w:val="auto"/>
          <w:sz w:val="28"/>
          <w:szCs w:val="28"/>
          <w:highlight w:val="none"/>
        </w:rPr>
        <w:t>提供</w:t>
      </w:r>
      <w:r>
        <w:rPr>
          <w:rFonts w:hAnsi="宋体" w:eastAsia="宋体" w:cs="Times New Roman"/>
          <w:color w:val="auto"/>
          <w:sz w:val="28"/>
          <w:szCs w:val="28"/>
          <w:highlight w:val="none"/>
        </w:rPr>
        <w:t>的除外）</w:t>
      </w:r>
      <w:r>
        <w:rPr>
          <w:rFonts w:hint="eastAsia" w:hAnsi="宋体" w:eastAsia="宋体" w:cs="Times New Roman"/>
          <w:color w:val="auto"/>
          <w:sz w:val="28"/>
          <w:szCs w:val="28"/>
          <w:highlight w:val="none"/>
        </w:rPr>
        <w:t>。</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 xml:space="preserve">经最终磋商后，施工响应文件仍有下列情况之一的，应按照无效施工响应文件处理： </w:t>
      </w:r>
    </w:p>
    <w:p>
      <w:pPr>
        <w:pStyle w:val="27"/>
        <w:numPr>
          <w:ilvl w:val="0"/>
          <w:numId w:val="39"/>
        </w:numPr>
        <w:tabs>
          <w:tab w:val="left" w:pos="1134"/>
        </w:tabs>
        <w:snapToGrid w:val="0"/>
        <w:spacing w:line="360" w:lineRule="auto"/>
        <w:ind w:left="0" w:firstLine="567"/>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施工响应文件仍不能完全响应采购文件的实质性要求的</w:t>
      </w:r>
      <w:r>
        <w:rPr>
          <w:rFonts w:hint="eastAsia" w:hAnsi="宋体" w:eastAsia="宋体" w:cs="Times New Roman"/>
          <w:color w:val="auto"/>
          <w:sz w:val="28"/>
          <w:szCs w:val="28"/>
          <w:highlight w:val="none"/>
        </w:rPr>
        <w:t>；</w:t>
      </w:r>
    </w:p>
    <w:p>
      <w:pPr>
        <w:pStyle w:val="27"/>
        <w:numPr>
          <w:ilvl w:val="0"/>
          <w:numId w:val="39"/>
        </w:numPr>
        <w:tabs>
          <w:tab w:val="left" w:pos="1134"/>
        </w:tabs>
        <w:snapToGrid w:val="0"/>
        <w:spacing w:line="360" w:lineRule="auto"/>
        <w:ind w:left="0" w:firstLine="567"/>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施工响应文件仍中有规定的其他无效响应情形的。</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供应商首次施工响应文件中的报价（已标价工程量清单）进行评审</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供应商已标价工程量清单出现</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商文件“供应商须知附表”中第7项规定情形之一的，应按照无效施工响应文件处理；</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商小组对供应商已标价工程量清单进行算术性复核，如果出现下列不一致的，按以下原则进行修正：</w:t>
      </w:r>
    </w:p>
    <w:p>
      <w:pPr>
        <w:pStyle w:val="27"/>
        <w:snapToGrid w:val="0"/>
        <w:spacing w:line="360" w:lineRule="auto"/>
        <w:ind w:firstLine="565" w:firstLineChars="202"/>
        <w:rPr>
          <w:rFonts w:hAnsi="宋体" w:eastAsia="宋体"/>
          <w:color w:val="auto"/>
          <w:sz w:val="28"/>
          <w:szCs w:val="28"/>
          <w:highlight w:val="none"/>
          <w:lang w:val="zh-CN"/>
        </w:rPr>
      </w:pPr>
      <w:r>
        <w:rPr>
          <w:rFonts w:hint="eastAsia" w:hAnsi="宋体" w:eastAsia="宋体" w:cs="仿宋"/>
          <w:color w:val="auto"/>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7"/>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修正后的报价经供应商确认后产生约束力，供应商不确认的，其施工响应文件作为无效处理。供应商需采取</w:t>
      </w:r>
      <w:r>
        <w:rPr>
          <w:rFonts w:hint="eastAsia" w:hAnsi="宋体"/>
          <w:color w:val="auto"/>
          <w:sz w:val="28"/>
          <w:szCs w:val="28"/>
          <w:highlight w:val="none"/>
        </w:rPr>
        <w:t>加盖供应商（法定名称）电子签章</w:t>
      </w:r>
      <w:r>
        <w:rPr>
          <w:rFonts w:hint="eastAsia" w:hAnsi="宋体" w:eastAsia="宋体" w:cs="仿宋"/>
          <w:color w:val="auto"/>
          <w:sz w:val="28"/>
          <w:szCs w:val="28"/>
          <w:highlight w:val="none"/>
          <w:lang w:val="zh-CN"/>
        </w:rPr>
        <w:t>）的方式对修正后的报价进行确认。</w:t>
      </w:r>
    </w:p>
    <w:p>
      <w:pPr>
        <w:pStyle w:val="27"/>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不得未经澄清、说明或者更正，直接将供应商施工响应文件作为无效处理。</w:t>
      </w:r>
    </w:p>
    <w:p>
      <w:pPr>
        <w:pStyle w:val="65"/>
        <w:numPr>
          <w:ilvl w:val="0"/>
          <w:numId w:val="40"/>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商小组对供应商已标价工程量清单的项目单价进行评审，对明显不合理的单价（如明显偏高或偏低）项目</w:t>
      </w:r>
      <w:r>
        <w:rPr>
          <w:rFonts w:ascii="宋体" w:hAnsi="宋体" w:eastAsia="宋体"/>
          <w:color w:val="auto"/>
          <w:sz w:val="28"/>
          <w:szCs w:val="28"/>
          <w:highlight w:val="none"/>
        </w:rPr>
        <w:t>,</w:t>
      </w:r>
      <w:r>
        <w:rPr>
          <w:rFonts w:hint="eastAsia" w:ascii="宋体" w:hAnsi="宋体" w:eastAsia="宋体"/>
          <w:color w:val="auto"/>
          <w:sz w:val="28"/>
          <w:szCs w:val="28"/>
          <w:highlight w:val="none"/>
        </w:rPr>
        <w:t>应在评审报告中记录，提醒采购人在签订合同时注意，并在合同履行过程中加强风险防范。</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7"/>
        <w:numPr>
          <w:ilvl w:val="0"/>
          <w:numId w:val="37"/>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磋商小组要求供应商澄清、说明或者更正施工响应文件应当以书面形式作出。供应商的澄清、说明或者更正</w:t>
      </w:r>
      <w:r>
        <w:rPr>
          <w:rFonts w:hint="eastAsia" w:hAnsi="宋体"/>
          <w:color w:val="auto"/>
          <w:sz w:val="28"/>
          <w:szCs w:val="28"/>
          <w:highlight w:val="none"/>
        </w:rPr>
        <w:t>应加盖供应商（法定名称）电子签章</w:t>
      </w:r>
      <w:r>
        <w:rPr>
          <w:rFonts w:hint="eastAsia" w:hAnsi="宋体" w:eastAsia="宋体" w:cs="Times New Roman"/>
          <w:color w:val="auto"/>
          <w:sz w:val="28"/>
          <w:szCs w:val="28"/>
          <w:highlight w:val="none"/>
        </w:rPr>
        <w:t>。</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磋商小组应当积极履行澄清、说明或者更正的职责，不得滥用权力。</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磋商小组在符合性审查过程中，磋商小组成员对供应商是否符合规定存在争议的，应当以少数服从多数的原则处理，但不违背政府采购法和磋商文件规定。</w:t>
      </w:r>
    </w:p>
    <w:p>
      <w:pPr>
        <w:pStyle w:val="27"/>
        <w:numPr>
          <w:ilvl w:val="0"/>
          <w:numId w:val="37"/>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供应商符合性审查标准（按以下顺序审查）：</w:t>
      </w:r>
    </w:p>
    <w:tbl>
      <w:tblPr>
        <w:tblStyle w:val="50"/>
        <w:tblpPr w:leftFromText="180" w:rightFromText="180" w:vertAnchor="text" w:horzAnchor="page" w:tblpX="1347" w:tblpY="10"/>
        <w:tblOverlap w:val="never"/>
        <w:tblW w:w="90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施工响应文件正、副本数量</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正本一份，副本不少于</w:t>
            </w:r>
            <w:r>
              <w:rPr>
                <w:rFonts w:hint="eastAsia" w:asciiTheme="minorEastAsia" w:hAnsiTheme="minorEastAsia" w:eastAsiaTheme="minorEastAsia"/>
                <w:color w:val="auto"/>
                <w:highlight w:val="none"/>
                <w:lang w:val="en-US" w:eastAsia="zh-CN"/>
              </w:rPr>
              <w:t>一</w:t>
            </w:r>
            <w:r>
              <w:rPr>
                <w:rFonts w:hint="eastAsia" w:asciiTheme="minorEastAsia" w:hAnsiTheme="minorEastAsia" w:eastAsiaTheme="minorEastAsia"/>
                <w:color w:val="auto"/>
                <w:highlight w:val="none"/>
              </w:rPr>
              <w:t>份</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文件</w:t>
            </w:r>
            <w:r>
              <w:rPr>
                <w:rFonts w:asciiTheme="minorEastAsia" w:hAnsiTheme="minorEastAsia" w:eastAsiaTheme="minorEastAsia"/>
                <w:color w:val="auto"/>
                <w:highlight w:val="none"/>
              </w:rPr>
              <w:t>2.4.6.</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的要求</w:t>
            </w:r>
            <w:r>
              <w:rPr>
                <w:rFonts w:hint="eastAsia" w:asciiTheme="minorEastAsia" w:hAnsiTheme="minorEastAsia" w:eastAsiaTheme="minorEastAsia"/>
                <w:color w:val="auto"/>
                <w:highlight w:val="none"/>
              </w:rPr>
              <w:t>　　　　　　　　　　　　　　　　　　　　　　　　　　　　　　　　　　　　　　　　　　　　　　　　　　　　　　　　　　　　　　　　　　　　　　　　　　　　　　　　　　　　　　　　　　　　　　　　　　　　　　　　　　　　　　　　　</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施工响应文件签字、盖章情况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文件要求（其中小企业声明函、残疾人福利性单位声明函见</w:t>
            </w:r>
            <w:r>
              <w:rPr>
                <w:rFonts w:asciiTheme="minorEastAsia" w:hAnsiTheme="minorEastAsia" w:eastAsiaTheme="minorEastAsia"/>
                <w:color w:val="auto"/>
                <w:highlight w:val="none"/>
              </w:rPr>
              <w:t>2.4.6.</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的</w:t>
            </w:r>
            <w:r>
              <w:rPr>
                <w:rFonts w:hint="eastAsia" w:asciiTheme="minorEastAsia" w:hAnsiTheme="minorEastAsia" w:eastAsiaTheme="minorEastAsia"/>
                <w:color w:val="auto"/>
                <w:highlight w:val="none"/>
              </w:rPr>
              <w:t>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施工</w:t>
            </w:r>
            <w:r>
              <w:rPr>
                <w:rFonts w:hint="eastAsia" w:asciiTheme="minorEastAsia" w:hAnsiTheme="minorEastAsia" w:eastAsiaTheme="minorEastAsia"/>
                <w:color w:val="auto"/>
                <w:szCs w:val="21"/>
                <w:highlight w:val="none"/>
              </w:rPr>
              <w:t>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有效期、计量单位、语言、报价货币、知识产权满足</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65"/>
              <w:numPr>
                <w:ilvl w:val="0"/>
                <w:numId w:val="41"/>
              </w:numPr>
              <w:tabs>
                <w:tab w:val="left" w:pos="742"/>
              </w:tabs>
              <w:snapToGrid w:val="0"/>
              <w:spacing w:line="360" w:lineRule="auto"/>
              <w:ind w:left="33" w:hanging="33" w:firstLineChars="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供应商提交的首次施工响应文件中已标价工程量清单未出现</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文件“供应商须知附表”中第７项规定情形；</w:t>
            </w:r>
          </w:p>
          <w:p>
            <w:pPr>
              <w:pStyle w:val="65"/>
              <w:numPr>
                <w:ilvl w:val="0"/>
                <w:numId w:val="41"/>
              </w:numPr>
              <w:tabs>
                <w:tab w:val="left" w:pos="742"/>
              </w:tabs>
              <w:snapToGrid w:val="0"/>
              <w:spacing w:line="360" w:lineRule="auto"/>
              <w:ind w:left="0" w:firstLine="0" w:firstLineChars="0"/>
              <w:rPr>
                <w:rFonts w:asciiTheme="minorEastAsia" w:hAnsiTheme="minorEastAsia" w:eastAsiaTheme="minorEastAsia"/>
                <w:color w:val="auto"/>
                <w:szCs w:val="21"/>
                <w:highlight w:val="none"/>
              </w:rPr>
            </w:pPr>
            <w:r>
              <w:rPr>
                <w:rFonts w:hint="eastAsia" w:ascii="宋体" w:hAnsi="宋体"/>
                <w:color w:val="auto"/>
                <w:highlight w:val="none"/>
              </w:rPr>
              <w:t>供应商提交的首次施工响应文件中</w:t>
            </w:r>
            <w:r>
              <w:rPr>
                <w:rFonts w:hint="eastAsia" w:asciiTheme="minorEastAsia" w:hAnsiTheme="minorEastAsia" w:eastAsiaTheme="minorEastAsia"/>
                <w:color w:val="auto"/>
                <w:szCs w:val="21"/>
                <w:highlight w:val="none"/>
              </w:rPr>
              <w:t>已标价工程量清单符合</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文件2.4.3报价货币及报价要求。</w:t>
            </w:r>
          </w:p>
          <w:p>
            <w:pPr>
              <w:pStyle w:val="65"/>
              <w:numPr>
                <w:ilvl w:val="0"/>
                <w:numId w:val="41"/>
              </w:numPr>
              <w:tabs>
                <w:tab w:val="left" w:pos="742"/>
              </w:tabs>
              <w:snapToGrid w:val="0"/>
              <w:spacing w:line="360" w:lineRule="auto"/>
              <w:ind w:left="0" w:firstLine="0" w:firstLineChars="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小组对供应商已标价工程量清单进行算术性复核时，如需进行修正的，供应商按</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文件要求确认修正后的报价。</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施工响应文件对</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文件规定的采购项目最低要求的响应情况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文件规定的采购项目最低要求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szCs w:val="21"/>
                <w:highlight w:val="none"/>
              </w:rPr>
            </w:pPr>
          </w:p>
        </w:tc>
      </w:tr>
    </w:tbl>
    <w:p>
      <w:pPr>
        <w:pStyle w:val="27"/>
        <w:numPr>
          <w:ilvl w:val="0"/>
          <w:numId w:val="0"/>
        </w:numPr>
        <w:tabs>
          <w:tab w:val="left" w:pos="1134"/>
        </w:tabs>
        <w:snapToGrid w:val="0"/>
        <w:spacing w:line="360" w:lineRule="auto"/>
        <w:rPr>
          <w:rFonts w:hint="eastAsia" w:hAnsi="宋体" w:eastAsia="宋体" w:cs="Times New Roman"/>
          <w:color w:val="auto"/>
          <w:sz w:val="28"/>
          <w:szCs w:val="28"/>
          <w:highlight w:val="none"/>
          <w:lang w:val="en-US" w:eastAsia="zh-CN"/>
        </w:rPr>
      </w:pPr>
    </w:p>
    <w:p>
      <w:pPr>
        <w:pStyle w:val="65"/>
        <w:numPr>
          <w:ilvl w:val="0"/>
          <w:numId w:val="42"/>
        </w:numPr>
        <w:tabs>
          <w:tab w:val="left" w:pos="1134"/>
          <w:tab w:val="left" w:pos="1276"/>
          <w:tab w:val="left" w:pos="1418"/>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商小组认为供应商有任意一项不通过的，应在评审报告中载明不通过的具体原因。</w:t>
      </w:r>
    </w:p>
    <w:p>
      <w:pPr>
        <w:pStyle w:val="65"/>
        <w:widowControl w:val="0"/>
        <w:numPr>
          <w:ilvl w:val="0"/>
          <w:numId w:val="42"/>
        </w:numPr>
        <w:tabs>
          <w:tab w:val="left" w:pos="1134"/>
          <w:tab w:val="left" w:pos="1276"/>
          <w:tab w:val="left" w:pos="1418"/>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磋商小组符合性审查结束后，应当出具符合性审查报告，确定参加最后报价的供应商名单。市</w:t>
      </w:r>
      <w:r>
        <w:rPr>
          <w:rFonts w:hint="eastAsia" w:ascii="宋体" w:hAnsi="宋体"/>
          <w:color w:val="auto"/>
          <w:sz w:val="28"/>
          <w:szCs w:val="28"/>
          <w:highlight w:val="none"/>
          <w:lang w:eastAsia="zh-CN"/>
        </w:rPr>
        <w:t>区采购中心</w:t>
      </w:r>
      <w:r>
        <w:rPr>
          <w:rFonts w:hint="eastAsia" w:ascii="宋体" w:hAnsi="宋体" w:eastAsia="宋体"/>
          <w:color w:val="auto"/>
          <w:sz w:val="28"/>
          <w:szCs w:val="28"/>
          <w:highlight w:val="none"/>
        </w:rPr>
        <w:t>将通过和未通过符合性审查的供应商名单以及未通过符合性审查的原因</w:t>
      </w:r>
      <w:r>
        <w:rPr>
          <w:rFonts w:hint="eastAsia" w:ascii="宋体" w:hAnsi="宋体"/>
          <w:color w:val="auto"/>
          <w:sz w:val="28"/>
          <w:szCs w:val="28"/>
          <w:highlight w:val="none"/>
        </w:rPr>
        <w:t>（以短信、站内信、电话、“政府采购云平台”等任一方式）</w:t>
      </w:r>
      <w:r>
        <w:rPr>
          <w:rFonts w:hint="eastAsia" w:ascii="宋体" w:hAnsi="宋体" w:eastAsia="宋体"/>
          <w:color w:val="auto"/>
          <w:sz w:val="28"/>
          <w:szCs w:val="28"/>
          <w:highlight w:val="none"/>
        </w:rPr>
        <w:t>通知所有递交施工响应文件的供应商，并书面通知未通过符合性审查的供应商。</w:t>
      </w:r>
    </w:p>
    <w:p>
      <w:pPr>
        <w:pStyle w:val="65"/>
        <w:numPr>
          <w:ilvl w:val="0"/>
          <w:numId w:val="42"/>
        </w:numPr>
        <w:tabs>
          <w:tab w:val="left" w:pos="851"/>
          <w:tab w:val="left" w:pos="993"/>
          <w:tab w:val="left" w:pos="1134"/>
          <w:tab w:val="left" w:pos="1276"/>
          <w:tab w:val="left" w:pos="1418"/>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通过符合性审查的供应商不足三家的，本次采购活动终止，并发布终止竞争性</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商公告。</w:t>
      </w:r>
    </w:p>
    <w:p>
      <w:pPr>
        <w:widowControl w:val="0"/>
        <w:snapToGrid w:val="0"/>
        <w:spacing w:line="620" w:lineRule="exact"/>
        <w:ind w:firstLine="602" w:firstLineChars="214"/>
        <w:jc w:val="both"/>
        <w:rPr>
          <w:rFonts w:ascii="宋体" w:hAnsi="宋体"/>
          <w:color w:val="auto"/>
          <w:sz w:val="28"/>
          <w:szCs w:val="28"/>
          <w:highlight w:val="none"/>
        </w:rPr>
      </w:pPr>
      <w:bookmarkStart w:id="97" w:name="_Toc61004798"/>
      <w:r>
        <w:rPr>
          <w:rFonts w:hint="eastAsia" w:ascii="宋体" w:hAnsi="宋体"/>
          <w:b/>
          <w:color w:val="auto"/>
          <w:sz w:val="28"/>
          <w:szCs w:val="28"/>
          <w:highlight w:val="none"/>
        </w:rPr>
        <w:t>特别说明：</w:t>
      </w:r>
      <w:r>
        <w:rPr>
          <w:rFonts w:ascii="宋体" w:hAnsi="宋体"/>
          <w:b/>
          <w:color w:val="auto"/>
          <w:sz w:val="28"/>
          <w:szCs w:val="28"/>
          <w:highlight w:val="none"/>
        </w:rPr>
        <w:t>1、</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文件中要求提供复印件的证明材料的，包含原件的影印件或复印件。</w:t>
      </w:r>
      <w:r>
        <w:rPr>
          <w:rFonts w:ascii="宋体" w:hAnsi="宋体"/>
          <w:b/>
          <w:color w:val="auto"/>
          <w:sz w:val="28"/>
          <w:szCs w:val="28"/>
          <w:highlight w:val="none"/>
        </w:rPr>
        <w:t>2、</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文件中要求提供复印件加盖公章的证明材料的，复印件所在页按要求加盖公章或复印件为多页但至少有一页按要求加盖公章的，视为满足复印件加盖公章的要求。</w:t>
      </w:r>
    </w:p>
    <w:p>
      <w:pPr>
        <w:pStyle w:val="5"/>
        <w:numPr>
          <w:ilvl w:val="2"/>
          <w:numId w:val="1"/>
        </w:numPr>
        <w:tabs>
          <w:tab w:val="left" w:pos="993"/>
          <w:tab w:val="clear" w:pos="426"/>
          <w:tab w:val="clear" w:pos="567"/>
        </w:tabs>
        <w:spacing w:before="0" w:after="0"/>
        <w:jc w:val="both"/>
        <w:rPr>
          <w:color w:val="auto"/>
          <w:highlight w:val="none"/>
        </w:rPr>
      </w:pPr>
      <w:bookmarkStart w:id="98" w:name="_Toc32028"/>
      <w:r>
        <w:rPr>
          <w:rFonts w:hint="eastAsia"/>
          <w:color w:val="auto"/>
          <w:highlight w:val="none"/>
        </w:rPr>
        <w:t>最后报价审查</w:t>
      </w:r>
      <w:bookmarkEnd w:id="98"/>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结束后，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小组应当要求所有通过符合性审查的供应商在规定时间内提交最后报价，最后报价是供应商施工响应文件的有效组成部分。</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报价由供应商填写《最后报价表》（表格由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小组提供），经供应商法定代表人或代理人签字后密封递交给</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工作人员，由其收集齐后集中递交</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已提交施工响应文件的供应商，在提交最后报价之前，可以根据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情况退出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，供应商的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保证金在成交结果公布后无息原路径退还。</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供应商退出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的，应向</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的书面申明。也未在磋商小组规定时间内递交《最后报价表》的，视为其退出磋商。</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《最后报价表》一旦递交后，供应商不得以任何理由撤回。</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供应商的最后报价由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w:t>
      </w:r>
      <w:r>
        <w:rPr>
          <w:rFonts w:hint="eastAsia" w:ascii="宋体" w:hAnsi="宋体" w:cs="宋体"/>
          <w:color w:val="auto"/>
          <w:sz w:val="28"/>
          <w:szCs w:val="28"/>
          <w:highlight w:val="none"/>
        </w:rPr>
        <w:t>应当场宣布。</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最后报价为有效报价应符合下列条件：</w:t>
      </w:r>
    </w:p>
    <w:p>
      <w:pPr>
        <w:numPr>
          <w:ilvl w:val="0"/>
          <w:numId w:val="44"/>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供应商所提供的最后报价是在规定的时间内提交。</w:t>
      </w:r>
    </w:p>
    <w:p>
      <w:pPr>
        <w:numPr>
          <w:ilvl w:val="0"/>
          <w:numId w:val="44"/>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供应商的最后报价具有法定代表人或代理人签字。</w:t>
      </w:r>
    </w:p>
    <w:p>
      <w:pPr>
        <w:numPr>
          <w:ilvl w:val="0"/>
          <w:numId w:val="44"/>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供应商的最后报价符合</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文件的要求。</w:t>
      </w:r>
    </w:p>
    <w:p>
      <w:pPr>
        <w:numPr>
          <w:ilvl w:val="0"/>
          <w:numId w:val="44"/>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最后报价唯一，且不高于最高限价。</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在未提高施工响应文件中承诺的工程实质</w:t>
      </w:r>
      <w:r>
        <w:rPr>
          <w:rFonts w:ascii="宋体" w:hAnsi="宋体" w:cs="宋体"/>
          <w:color w:val="auto"/>
          <w:sz w:val="28"/>
          <w:szCs w:val="28"/>
          <w:highlight w:val="none"/>
        </w:rPr>
        <w:t>性要求</w:t>
      </w:r>
      <w:r>
        <w:rPr>
          <w:rFonts w:hint="eastAsia" w:ascii="宋体" w:hAnsi="宋体" w:cs="宋体"/>
          <w:color w:val="auto"/>
          <w:sz w:val="28"/>
          <w:szCs w:val="28"/>
          <w:highlight w:val="none"/>
        </w:rPr>
        <w:t>的情况下，最后报价不得高于对该项目之前的报价，否则，</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小组应当对其施工响应文件按无效处理。</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小组根据</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文件中规定认</w:t>
      </w:r>
      <w:r>
        <w:rPr>
          <w:rFonts w:ascii="宋体" w:hAnsi="宋体" w:cs="宋体"/>
          <w:color w:val="auto"/>
          <w:sz w:val="28"/>
          <w:szCs w:val="28"/>
          <w:highlight w:val="none"/>
        </w:rPr>
        <w:t>为</w:t>
      </w:r>
      <w:r>
        <w:rPr>
          <w:rFonts w:hint="eastAsia" w:ascii="宋体" w:hAnsi="宋体" w:cs="宋体"/>
          <w:color w:val="auto"/>
          <w:sz w:val="28"/>
          <w:szCs w:val="28"/>
          <w:highlight w:val="none"/>
        </w:rPr>
        <w:t>供应商最后报价低于成本价，在</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小组发出质询函后供应商未能提供合理的成本分析和价格构成的或对质函询的解释未被</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小组采信的，应按照无效施工响应文件处理</w:t>
      </w:r>
      <w:r>
        <w:rPr>
          <w:rFonts w:ascii="宋体" w:hAnsi="宋体" w:cs="宋体"/>
          <w:color w:val="auto"/>
          <w:sz w:val="28"/>
          <w:szCs w:val="28"/>
          <w:highlight w:val="none"/>
        </w:rPr>
        <w:t>。</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最后报价出现下列情况的，不需要供应商澄清，按以下原则处理：</w:t>
      </w:r>
    </w:p>
    <w:p>
      <w:pPr>
        <w:pStyle w:val="182"/>
        <w:numPr>
          <w:ilvl w:val="0"/>
          <w:numId w:val="45"/>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最后报价中的大写金额和小写金额不一致的，以大写金额为准，但大写金额出现文字错误，导致金额无法判断的除外；</w:t>
      </w:r>
    </w:p>
    <w:p>
      <w:pPr>
        <w:pStyle w:val="182"/>
        <w:numPr>
          <w:ilvl w:val="0"/>
          <w:numId w:val="45"/>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单价金额小数点或者百分比有明显错位的，应以总价为准，并修改单价；</w:t>
      </w:r>
    </w:p>
    <w:p>
      <w:pPr>
        <w:pStyle w:val="182"/>
        <w:numPr>
          <w:ilvl w:val="0"/>
          <w:numId w:val="45"/>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总价金额与按单价汇总金额不一致的，以单价汇总金额计算结果为准；</w:t>
      </w:r>
    </w:p>
    <w:p>
      <w:pPr>
        <w:snapToGrid w:val="0"/>
        <w:spacing w:line="620" w:lineRule="exact"/>
        <w:ind w:firstLine="560" w:firstLineChars="200"/>
        <w:rPr>
          <w:color w:val="auto"/>
          <w:highlight w:val="none"/>
        </w:rPr>
      </w:pPr>
      <w:r>
        <w:rPr>
          <w:rFonts w:hint="eastAsia" w:ascii="Calibri" w:hAnsi="Calibri" w:cs="Arial"/>
          <w:color w:val="auto"/>
          <w:kern w:val="2"/>
          <w:sz w:val="28"/>
          <w:szCs w:val="28"/>
          <w:highlight w:val="none"/>
        </w:rPr>
        <w:t>同时出现两种以上不一致的，按照前款规定的顺序修正。修正后的</w:t>
      </w:r>
      <w:r>
        <w:rPr>
          <w:rFonts w:hint="eastAsia" w:ascii="宋体" w:hAnsi="宋体"/>
          <w:color w:val="auto"/>
          <w:sz w:val="28"/>
          <w:szCs w:val="28"/>
          <w:highlight w:val="none"/>
        </w:rPr>
        <w:t>最后</w:t>
      </w:r>
      <w:r>
        <w:rPr>
          <w:rFonts w:hint="eastAsia" w:ascii="Calibri" w:hAnsi="Calibri" w:cs="Arial"/>
          <w:color w:val="auto"/>
          <w:kern w:val="2"/>
          <w:sz w:val="28"/>
          <w:szCs w:val="28"/>
          <w:highlight w:val="none"/>
        </w:rPr>
        <w:t>报价经供应商以书面形式进行确认，并加盖公章，或者由法定代表人或其授权的代表签字后产生约束力，供应商不确认的，其</w:t>
      </w:r>
      <w:r>
        <w:rPr>
          <w:rFonts w:hint="eastAsia" w:ascii="宋体" w:hAnsi="宋体"/>
          <w:color w:val="auto"/>
          <w:sz w:val="28"/>
          <w:szCs w:val="28"/>
          <w:highlight w:val="none"/>
        </w:rPr>
        <w:t>最后</w:t>
      </w:r>
      <w:r>
        <w:rPr>
          <w:rFonts w:hint="eastAsia" w:ascii="Calibri" w:hAnsi="Calibri" w:cs="Arial"/>
          <w:color w:val="auto"/>
          <w:kern w:val="2"/>
          <w:sz w:val="28"/>
          <w:szCs w:val="28"/>
          <w:highlight w:val="none"/>
        </w:rPr>
        <w:t>报价无效。</w:t>
      </w:r>
    </w:p>
    <w:p>
      <w:pPr>
        <w:pStyle w:val="182"/>
        <w:tabs>
          <w:tab w:val="left" w:pos="1134"/>
        </w:tabs>
        <w:snapToGrid w:val="0"/>
        <w:spacing w:line="62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对不同语言文本施工响应文件的解释发生异议的，以中文文本为准。</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对失信供应商价格加成</w:t>
      </w:r>
    </w:p>
    <w:p>
      <w:pPr>
        <w:pStyle w:val="65"/>
        <w:numPr>
          <w:ilvl w:val="0"/>
          <w:numId w:val="46"/>
        </w:numPr>
        <w:tabs>
          <w:tab w:val="left" w:pos="1418"/>
        </w:tabs>
        <w:snapToGrid w:val="0"/>
        <w:spacing w:line="62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本项目专门面向中小企业，不进行价格扣除。</w:t>
      </w:r>
    </w:p>
    <w:p>
      <w:pPr>
        <w:pStyle w:val="65"/>
        <w:numPr>
          <w:ilvl w:val="0"/>
          <w:numId w:val="46"/>
        </w:numPr>
        <w:tabs>
          <w:tab w:val="left" w:pos="1418"/>
        </w:tabs>
        <w:snapToGrid w:val="0"/>
        <w:spacing w:line="62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对记入诚信档案且在有效期内的失信供应商，参加政府采购活动按照</w:t>
      </w:r>
      <w:r>
        <w:rPr>
          <w:rFonts w:ascii="宋体" w:hAnsi="宋体"/>
          <w:color w:val="auto"/>
          <w:sz w:val="28"/>
          <w:szCs w:val="28"/>
          <w:highlight w:val="none"/>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3"/>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有效最后报价的供应商不足三家的，本次采购活动终止，并发布终止竞争性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p>
      <w:pPr>
        <w:pStyle w:val="5"/>
        <w:numPr>
          <w:ilvl w:val="2"/>
          <w:numId w:val="1"/>
        </w:numPr>
        <w:tabs>
          <w:tab w:val="left" w:pos="993"/>
          <w:tab w:val="clear" w:pos="426"/>
          <w:tab w:val="clear" w:pos="567"/>
        </w:tabs>
        <w:spacing w:before="0" w:after="0"/>
        <w:jc w:val="both"/>
        <w:rPr>
          <w:color w:val="auto"/>
          <w:highlight w:val="none"/>
        </w:rPr>
      </w:pPr>
      <w:bookmarkStart w:id="99" w:name="_Toc26688"/>
      <w:r>
        <w:rPr>
          <w:rFonts w:hint="eastAsia"/>
          <w:color w:val="auto"/>
          <w:highlight w:val="none"/>
          <w:lang w:eastAsia="zh-CN"/>
        </w:rPr>
        <w:t>解释、澄清、说明的有关问题</w:t>
      </w:r>
      <w:bookmarkEnd w:id="99"/>
    </w:p>
    <w:bookmarkEnd w:id="97"/>
    <w:p>
      <w:pPr>
        <w:numPr>
          <w:ilvl w:val="0"/>
          <w:numId w:val="47"/>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评审过程中，磋商小组认为磋商文件有关事项表述不明确或需要说明的，可以提请</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书面解释。</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的解释不得改变磋商文件的原义或者影响公平、公正，解释事项如果涉及供应商权益的以有利于供应商的原则进行解释。</w:t>
      </w:r>
    </w:p>
    <w:p>
      <w:pPr>
        <w:numPr>
          <w:ilvl w:val="0"/>
          <w:numId w:val="47"/>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numPr>
          <w:ilvl w:val="0"/>
          <w:numId w:val="42"/>
        </w:numPr>
        <w:snapToGrid w:val="0"/>
        <w:spacing w:line="620" w:lineRule="exact"/>
        <w:ind w:left="0" w:leftChars="0" w:firstLine="567" w:firstLineChars="0"/>
        <w:rPr>
          <w:rFonts w:hint="eastAsia" w:ascii="宋体" w:hAnsi="宋体"/>
          <w:color w:val="auto"/>
          <w:sz w:val="28"/>
          <w:szCs w:val="28"/>
          <w:highlight w:val="none"/>
        </w:rPr>
      </w:pPr>
      <w:r>
        <w:rPr>
          <w:rFonts w:hint="eastAsia" w:ascii="宋体" w:hAnsi="宋体"/>
          <w:color w:val="auto"/>
          <w:sz w:val="28"/>
          <w:szCs w:val="28"/>
          <w:highlight w:val="none"/>
          <w:lang w:eastAsia="zh-CN"/>
        </w:rPr>
        <w:t>磋商</w:t>
      </w:r>
      <w:r>
        <w:rPr>
          <w:rFonts w:ascii="宋体" w:hAnsi="宋体"/>
          <w:color w:val="auto"/>
          <w:sz w:val="28"/>
          <w:szCs w:val="28"/>
          <w:highlight w:val="none"/>
        </w:rPr>
        <w:t>小组要求供应商澄清、说明或者</w:t>
      </w:r>
      <w:r>
        <w:rPr>
          <w:rFonts w:hint="eastAsia" w:ascii="宋体" w:hAnsi="宋体"/>
          <w:color w:val="auto"/>
          <w:sz w:val="28"/>
          <w:szCs w:val="28"/>
          <w:highlight w:val="none"/>
        </w:rPr>
        <w:t>更</w:t>
      </w:r>
      <w:r>
        <w:rPr>
          <w:rFonts w:ascii="宋体" w:hAnsi="宋体"/>
          <w:color w:val="auto"/>
          <w:sz w:val="28"/>
          <w:szCs w:val="28"/>
          <w:highlight w:val="none"/>
        </w:rPr>
        <w:t>正施工响应文件应当以书面形式作出</w:t>
      </w:r>
      <w:r>
        <w:rPr>
          <w:rFonts w:hint="eastAsia" w:ascii="宋体" w:hAnsi="宋体"/>
          <w:color w:val="auto"/>
          <w:sz w:val="28"/>
          <w:szCs w:val="28"/>
          <w:highlight w:val="none"/>
        </w:rPr>
        <w:t>（须由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小组全体成员签字），并给予供应商必要的反馈时间</w:t>
      </w:r>
      <w:r>
        <w:rPr>
          <w:rFonts w:ascii="宋体" w:hAnsi="宋体"/>
          <w:color w:val="auto"/>
          <w:sz w:val="28"/>
          <w:szCs w:val="28"/>
          <w:highlight w:val="none"/>
        </w:rPr>
        <w:t>。</w:t>
      </w:r>
      <w:r>
        <w:rPr>
          <w:rFonts w:hint="eastAsia" w:ascii="宋体" w:hAnsi="宋体"/>
          <w:color w:val="auto"/>
          <w:sz w:val="28"/>
          <w:szCs w:val="28"/>
          <w:highlight w:val="none"/>
        </w:rPr>
        <w:t>供应商的澄清、说明或者更</w:t>
      </w:r>
      <w:r>
        <w:rPr>
          <w:rFonts w:ascii="宋体" w:hAnsi="宋体"/>
          <w:color w:val="auto"/>
          <w:sz w:val="28"/>
          <w:szCs w:val="28"/>
          <w:highlight w:val="none"/>
        </w:rPr>
        <w:t>正</w:t>
      </w:r>
      <w:r>
        <w:rPr>
          <w:rFonts w:hint="eastAsia" w:ascii="宋体" w:hAnsi="宋体"/>
          <w:color w:val="auto"/>
          <w:sz w:val="28"/>
          <w:szCs w:val="28"/>
          <w:highlight w:val="none"/>
        </w:rPr>
        <w:t>应当采用书面形式，并加盖公章，或者由法定代表人或其授权的代表签字。澄清不影响施工响应文件的效力，有效的澄清材料，是施工响应文件的组成部分。</w:t>
      </w:r>
    </w:p>
    <w:p>
      <w:pPr>
        <w:tabs>
          <w:tab w:val="left" w:pos="851"/>
        </w:tabs>
        <w:snapToGrid w:val="0"/>
        <w:spacing w:line="620" w:lineRule="exact"/>
        <w:ind w:firstLine="568" w:firstLineChars="202"/>
        <w:rPr>
          <w:color w:val="auto"/>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小组应当积极履行澄清、说明或者更正的职责，不得滥用权力。</w:t>
      </w:r>
    </w:p>
    <w:p>
      <w:pPr>
        <w:pStyle w:val="5"/>
        <w:numPr>
          <w:ilvl w:val="2"/>
          <w:numId w:val="1"/>
        </w:numPr>
        <w:tabs>
          <w:tab w:val="left" w:pos="993"/>
          <w:tab w:val="clear" w:pos="426"/>
          <w:tab w:val="clear" w:pos="567"/>
        </w:tabs>
        <w:spacing w:before="0" w:after="0"/>
        <w:jc w:val="both"/>
        <w:rPr>
          <w:color w:val="auto"/>
          <w:highlight w:val="none"/>
        </w:rPr>
      </w:pPr>
      <w:bookmarkStart w:id="100" w:name="_Toc61004799"/>
      <w:bookmarkStart w:id="101" w:name="_Toc30669"/>
      <w:r>
        <w:rPr>
          <w:rFonts w:hint="eastAsia"/>
          <w:color w:val="auto"/>
          <w:highlight w:val="none"/>
        </w:rPr>
        <w:t>比较与评价</w:t>
      </w:r>
      <w:bookmarkEnd w:id="100"/>
      <w:bookmarkEnd w:id="101"/>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spacing w:before="0" w:after="0"/>
        <w:jc w:val="both"/>
        <w:rPr>
          <w:color w:val="auto"/>
          <w:highlight w:val="none"/>
        </w:rPr>
      </w:pPr>
      <w:bookmarkStart w:id="102" w:name="_Toc61004800"/>
      <w:bookmarkStart w:id="103" w:name="_Toc32621"/>
      <w:r>
        <w:rPr>
          <w:rFonts w:hint="eastAsia"/>
          <w:color w:val="auto"/>
          <w:highlight w:val="none"/>
        </w:rPr>
        <w:t>磋商小组复核</w:t>
      </w:r>
      <w:bookmarkEnd w:id="102"/>
      <w:bookmarkEnd w:id="103"/>
    </w:p>
    <w:p>
      <w:pPr>
        <w:numPr>
          <w:ilvl w:val="0"/>
          <w:numId w:val="48"/>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评审结束后，磋商小组应当进行复核，特别要对拟推荐为成交候选供应商的、报价最低的、施工响应文件被认定为无效的进行重点复核。</w:t>
      </w:r>
    </w:p>
    <w:p>
      <w:pPr>
        <w:numPr>
          <w:ilvl w:val="0"/>
          <w:numId w:val="48"/>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评审结果汇总完成后，磋商小组拟出具评审报告前，</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numPr>
          <w:ilvl w:val="0"/>
          <w:numId w:val="48"/>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评审结果汇总完成后，除下列情形外，任何人不得修改评审结果：</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资格性认定错误；</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分值汇总计算错误的；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分项评分超出评分标准范围的；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磋商小组成员对客观评审因素评分不一致的；</w:t>
      </w:r>
    </w:p>
    <w:p>
      <w:pPr>
        <w:pStyle w:val="65"/>
        <w:widowControl/>
        <w:numPr>
          <w:ilvl w:val="0"/>
          <w:numId w:val="49"/>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经磋商小组认定评分畸高、畸低的。</w:t>
      </w: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color w:val="auto"/>
          <w:highlight w:val="none"/>
        </w:rPr>
      </w:pPr>
      <w:r>
        <w:rPr>
          <w:rFonts w:hint="eastAsia" w:ascii="宋体" w:hAnsi="宋体"/>
          <w:color w:val="auto"/>
          <w:sz w:val="28"/>
          <w:szCs w:val="28"/>
          <w:highlight w:val="none"/>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spacing w:before="0" w:after="0"/>
        <w:jc w:val="both"/>
        <w:rPr>
          <w:color w:val="auto"/>
          <w:highlight w:val="none"/>
        </w:rPr>
      </w:pPr>
      <w:bookmarkStart w:id="104" w:name="_Toc61004801"/>
      <w:bookmarkStart w:id="105" w:name="_Toc2601"/>
      <w:r>
        <w:rPr>
          <w:rFonts w:hint="eastAsia"/>
          <w:color w:val="auto"/>
          <w:highlight w:val="none"/>
        </w:rPr>
        <w:t>推荐成交候选供应商</w:t>
      </w:r>
      <w:bookmarkEnd w:id="104"/>
      <w:bookmarkEnd w:id="105"/>
    </w:p>
    <w:p>
      <w:pPr>
        <w:ind w:firstLine="560" w:firstLineChars="200"/>
        <w:rPr>
          <w:rFonts w:hint="eastAsia" w:ascii="宋体" w:hAnsi="宋体" w:eastAsia="宋体"/>
          <w:color w:val="auto"/>
          <w:sz w:val="28"/>
          <w:szCs w:val="28"/>
          <w:highlight w:val="none"/>
          <w:lang w:eastAsia="zh-CN"/>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当按供应商最后报价（按5.2.7的标准进行了对失信供应商的价格加成后的价格）由低到高排序，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r>
        <w:rPr>
          <w:rFonts w:hint="eastAsia" w:ascii="宋体" w:hAnsi="宋体"/>
          <w:color w:val="auto"/>
          <w:sz w:val="28"/>
          <w:szCs w:val="28"/>
          <w:highlight w:val="none"/>
          <w:lang w:eastAsia="zh-CN"/>
        </w:rPr>
        <w:t>。</w:t>
      </w:r>
    </w:p>
    <w:p>
      <w:pPr>
        <w:pStyle w:val="5"/>
        <w:numPr>
          <w:ilvl w:val="2"/>
          <w:numId w:val="1"/>
        </w:numPr>
        <w:tabs>
          <w:tab w:val="left" w:pos="993"/>
          <w:tab w:val="clear" w:pos="426"/>
          <w:tab w:val="clear" w:pos="567"/>
        </w:tabs>
        <w:spacing w:before="0" w:after="0"/>
        <w:jc w:val="both"/>
        <w:rPr>
          <w:color w:val="auto"/>
          <w:highlight w:val="none"/>
        </w:rPr>
      </w:pPr>
      <w:bookmarkStart w:id="106" w:name="_Toc61004802"/>
      <w:bookmarkStart w:id="107" w:name="_Toc30668"/>
      <w:r>
        <w:rPr>
          <w:rFonts w:hint="eastAsia"/>
          <w:color w:val="auto"/>
          <w:highlight w:val="none"/>
        </w:rPr>
        <w:t>编写磋商报告</w:t>
      </w:r>
      <w:bookmarkEnd w:id="106"/>
      <w:bookmarkEnd w:id="107"/>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（1）邀请供应商参加采购活动的具体方式和相关情况；</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（2）施工响应文件开启日期和地点；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（3）获取磋商文件的供应商名单和磋商小组成员名单；</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（5）提出的成交候选供应商的排序名单及理由。</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spacing w:before="0" w:after="0"/>
        <w:jc w:val="both"/>
        <w:rPr>
          <w:color w:val="auto"/>
          <w:highlight w:val="none"/>
        </w:rPr>
      </w:pPr>
      <w:bookmarkStart w:id="108" w:name="_Toc54948232"/>
      <w:bookmarkStart w:id="109" w:name="_Toc61004803"/>
      <w:bookmarkStart w:id="110" w:name="_Toc27976"/>
      <w:r>
        <w:rPr>
          <w:rFonts w:hint="eastAsia"/>
          <w:color w:val="auto"/>
          <w:highlight w:val="none"/>
        </w:rPr>
        <w:t>争议处理规则</w:t>
      </w:r>
      <w:bookmarkEnd w:id="108"/>
      <w:bookmarkEnd w:id="109"/>
      <w:bookmarkEnd w:id="110"/>
    </w:p>
    <w:p>
      <w:pPr>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书面反映。</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收到书面反映后，应当书面报告采购项目同级财政部门依法处理。</w:t>
      </w:r>
    </w:p>
    <w:p>
      <w:pPr>
        <w:pStyle w:val="5"/>
        <w:numPr>
          <w:ilvl w:val="2"/>
          <w:numId w:val="1"/>
        </w:numPr>
        <w:tabs>
          <w:tab w:val="left" w:pos="993"/>
          <w:tab w:val="clear" w:pos="426"/>
          <w:tab w:val="clear" w:pos="567"/>
        </w:tabs>
        <w:spacing w:before="0" w:after="0"/>
        <w:jc w:val="both"/>
        <w:rPr>
          <w:color w:val="auto"/>
          <w:highlight w:val="none"/>
        </w:rPr>
      </w:pPr>
      <w:bookmarkStart w:id="111" w:name="_Toc23000"/>
      <w:r>
        <w:rPr>
          <w:rFonts w:hint="eastAsia"/>
          <w:color w:val="auto"/>
          <w:highlight w:val="none"/>
          <w:lang w:eastAsia="zh-CN"/>
        </w:rPr>
        <w:t>供应商澄清、说明</w:t>
      </w:r>
      <w:bookmarkEnd w:id="111"/>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0"/>
        </w:numPr>
        <w:tabs>
          <w:tab w:val="left" w:pos="0"/>
          <w:tab w:val="left" w:pos="1134"/>
        </w:tabs>
        <w:spacing w:after="200" w:line="360" w:lineRule="auto"/>
        <w:ind w:left="-1" w:leftChars="0" w:firstLine="0" w:firstLineChars="0"/>
        <w:jc w:val="both"/>
        <w:rPr>
          <w:rFonts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二、</w:t>
      </w:r>
      <w:r>
        <w:rPr>
          <w:rFonts w:hint="eastAsia" w:ascii="宋体" w:hAnsi="宋体"/>
          <w:color w:val="auto"/>
          <w:sz w:val="28"/>
          <w:szCs w:val="28"/>
          <w:highlight w:val="none"/>
        </w:rPr>
        <w:t>磋商小组要求供应商澄清、说明或者更正施工响应文件应当以书面形式作出。供应商的澄清、说明或者更正应加盖供应商（法定名称）电子签章。</w:t>
      </w:r>
    </w:p>
    <w:p>
      <w:pPr>
        <w:pStyle w:val="5"/>
        <w:numPr>
          <w:ilvl w:val="1"/>
          <w:numId w:val="1"/>
        </w:numPr>
        <w:tabs>
          <w:tab w:val="left" w:pos="993"/>
          <w:tab w:val="clear" w:pos="426"/>
          <w:tab w:val="clear" w:pos="567"/>
        </w:tabs>
        <w:spacing w:before="0" w:after="0"/>
        <w:ind w:left="0" w:firstLine="0"/>
        <w:jc w:val="both"/>
        <w:rPr>
          <w:color w:val="auto"/>
          <w:highlight w:val="none"/>
        </w:rPr>
      </w:pPr>
      <w:bookmarkStart w:id="112" w:name="_Toc21647"/>
      <w:r>
        <w:rPr>
          <w:rFonts w:hint="eastAsia"/>
          <w:color w:val="auto"/>
          <w:highlight w:val="none"/>
          <w:lang w:eastAsia="zh-CN"/>
        </w:rPr>
        <w:t>评分</w:t>
      </w:r>
      <w:r>
        <w:rPr>
          <w:rFonts w:hint="eastAsia"/>
          <w:color w:val="auto"/>
          <w:highlight w:val="none"/>
          <w:lang w:val="en-US" w:eastAsia="zh-CN"/>
        </w:rPr>
        <w:t>审</w:t>
      </w:r>
      <w:r>
        <w:rPr>
          <w:rFonts w:hint="eastAsia"/>
          <w:color w:val="auto"/>
          <w:highlight w:val="none"/>
          <w:lang w:eastAsia="zh-CN"/>
        </w:rPr>
        <w:t>办法和标准</w:t>
      </w:r>
      <w:bookmarkEnd w:id="112"/>
    </w:p>
    <w:p>
      <w:pPr>
        <w:rPr>
          <w:color w:val="auto"/>
          <w:highlight w:val="none"/>
        </w:rPr>
      </w:pPr>
    </w:p>
    <w:p>
      <w:pPr>
        <w:pStyle w:val="27"/>
        <w:snapToGrid w:val="0"/>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二、本次综合评分的因素是：价格、技术、服务等；</w:t>
      </w:r>
    </w:p>
    <w:p>
      <w:pPr>
        <w:tabs>
          <w:tab w:val="left" w:pos="1155"/>
        </w:tabs>
        <w:spacing w:line="360" w:lineRule="auto"/>
        <w:ind w:firstLine="560" w:firstLineChars="200"/>
        <w:rPr>
          <w:color w:val="auto"/>
          <w:highlight w:val="none"/>
        </w:rPr>
      </w:pPr>
      <w:r>
        <w:rPr>
          <w:rFonts w:hint="eastAsia" w:ascii="宋体" w:hAnsi="宋体"/>
          <w:color w:val="auto"/>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0"/>
        </w:numPr>
        <w:ind w:left="1135" w:hanging="1135"/>
        <w:rPr>
          <w:color w:val="auto"/>
          <w:highlight w:val="none"/>
        </w:rPr>
      </w:pPr>
      <w:r>
        <w:rPr>
          <w:rFonts w:hint="eastAsia"/>
          <w:color w:val="auto"/>
          <w:highlight w:val="none"/>
        </w:rPr>
        <w:t>评分办法</w:t>
      </w:r>
    </w:p>
    <w:p>
      <w:pPr>
        <w:pStyle w:val="27"/>
        <w:snapToGrid w:val="0"/>
        <w:spacing w:line="360" w:lineRule="auto"/>
        <w:ind w:firstLine="560" w:firstLineChars="200"/>
        <w:rPr>
          <w:rFonts w:hint="eastAsia" w:hAnsi="宋体" w:eastAsia="宋体"/>
          <w:color w:val="auto"/>
          <w:sz w:val="28"/>
          <w:szCs w:val="28"/>
          <w:highlight w:val="none"/>
        </w:rPr>
      </w:pPr>
      <w:r>
        <w:rPr>
          <w:rFonts w:hint="eastAsia" w:hAnsi="宋体" w:eastAsia="宋体"/>
          <w:color w:val="auto"/>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color w:val="auto"/>
          <w:sz w:val="28"/>
          <w:szCs w:val="28"/>
          <w:highlight w:val="none"/>
        </w:rPr>
      </w:pPr>
      <w:r>
        <w:rPr>
          <w:rFonts w:hint="eastAsia" w:ascii="宋体" w:hAnsi="宋体"/>
          <w:color w:val="auto"/>
          <w:sz w:val="28"/>
          <w:szCs w:val="28"/>
          <w:highlight w:val="none"/>
        </w:rPr>
        <w:t>评审得分＝（A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p>
    <w:p>
      <w:pPr>
        <w:spacing w:line="360" w:lineRule="auto"/>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分别为磋商小组每个成员的打分，n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为磋商小组人数；B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sz w:val="28"/>
          <w:szCs w:val="28"/>
          <w:highlight w:val="none"/>
        </w:rPr>
        <w:t>技术类</w:t>
      </w:r>
      <w:r>
        <w:rPr>
          <w:rFonts w:hint="eastAsia" w:ascii="宋体" w:hAnsi="宋体"/>
          <w:color w:val="auto"/>
          <w:sz w:val="28"/>
          <w:szCs w:val="28"/>
          <w:highlight w:val="none"/>
        </w:rPr>
        <w:t>评委（含采购人代表）人数。</w:t>
      </w:r>
    </w:p>
    <w:p>
      <w:pPr>
        <w:pStyle w:val="6"/>
        <w:numPr>
          <w:ilvl w:val="2"/>
          <w:numId w:val="50"/>
        </w:numPr>
        <w:ind w:left="1135" w:hanging="1135"/>
        <w:rPr>
          <w:color w:val="auto"/>
          <w:highlight w:val="none"/>
        </w:rPr>
      </w:pPr>
      <w:r>
        <w:rPr>
          <w:rFonts w:hint="eastAsia"/>
          <w:color w:val="auto"/>
          <w:highlight w:val="none"/>
        </w:rPr>
        <w:t>评分标准</w:t>
      </w:r>
    </w:p>
    <w:tbl>
      <w:tblPr>
        <w:tblStyle w:val="50"/>
        <w:tblW w:w="8959" w:type="dxa"/>
        <w:jc w:val="center"/>
        <w:tblInd w:w="0" w:type="dxa"/>
        <w:tblLayout w:type="fixed"/>
        <w:tblCellMar>
          <w:top w:w="0" w:type="dxa"/>
          <w:left w:w="108" w:type="dxa"/>
          <w:bottom w:w="0" w:type="dxa"/>
          <w:right w:w="108" w:type="dxa"/>
        </w:tblCellMar>
      </w:tblPr>
      <w:tblGrid>
        <w:gridCol w:w="1245"/>
        <w:gridCol w:w="6779"/>
        <w:gridCol w:w="935"/>
      </w:tblGrid>
      <w:tr>
        <w:tblPrEx>
          <w:tblLayout w:type="fixed"/>
          <w:tblCellMar>
            <w:top w:w="0" w:type="dxa"/>
            <w:left w:w="108" w:type="dxa"/>
            <w:bottom w:w="0" w:type="dxa"/>
            <w:right w:w="108" w:type="dxa"/>
          </w:tblCellMar>
        </w:tblPrEx>
        <w:trPr>
          <w:cantSplit/>
          <w:trHeight w:val="28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评分因素及分值</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评分标准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说明</w:t>
            </w:r>
          </w:p>
        </w:tc>
      </w:tr>
      <w:tr>
        <w:tblPrEx>
          <w:tblLayout w:type="fixed"/>
          <w:tblCellMar>
            <w:top w:w="0" w:type="dxa"/>
            <w:left w:w="108" w:type="dxa"/>
            <w:bottom w:w="0" w:type="dxa"/>
            <w:right w:w="108" w:type="dxa"/>
          </w:tblCellMar>
        </w:tblPrEx>
        <w:trPr>
          <w:cantSplit/>
          <w:trHeight w:val="5260" w:hRule="atLeast"/>
          <w:jc w:val="center"/>
        </w:trPr>
        <w:tc>
          <w:tcPr>
            <w:tcW w:w="1245" w:type="dxa"/>
            <w:tcBorders>
              <w:top w:val="nil"/>
              <w:left w:val="single" w:color="auto" w:sz="4" w:space="0"/>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报价50分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满足磋商文件要求且最后报价最低的供应商的价格为磋商基准价，其价格分为满分。其他供应商的价格分统一按照下列公式计算：</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磋商报价得分=（磋商基准价/最后磋商报价）×50。</w:t>
            </w:r>
          </w:p>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注：根据国家和四川省的有关规定，对小、微型、监狱企业或残疾人福利性单位承担工程的价格给予</w:t>
            </w:r>
            <w:r>
              <w:rPr>
                <w:rFonts w:hint="eastAsia" w:ascii="新宋体" w:hAnsi="新宋体" w:eastAsia="新宋体" w:cs="Times New Roman"/>
                <w:color w:val="auto"/>
                <w:highlight w:val="none"/>
                <w:lang w:val="en-US" w:eastAsia="zh-CN"/>
              </w:rPr>
              <w:t>3</w:t>
            </w:r>
            <w:r>
              <w:rPr>
                <w:rFonts w:hint="eastAsia" w:ascii="新宋体" w:hAnsi="新宋体" w:eastAsia="新宋体" w:cs="Times New Roman"/>
                <w:color w:val="auto"/>
                <w:highlight w:val="none"/>
              </w:rPr>
              <w:t>%的价格扣除，用扣除后的价格参与评分；对失信行为供应商给予10%/次的报价累加加成，用加成后的价格参与评分，若加成后的报价超过采购预算/最高限价的，其响应文件按照无效处理。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cantSplit/>
          <w:trHeight w:val="3462" w:hRule="atLeast"/>
          <w:jc w:val="center"/>
        </w:trPr>
        <w:tc>
          <w:tcPr>
            <w:tcW w:w="1245" w:type="dxa"/>
            <w:tcBorders>
              <w:top w:val="nil"/>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施工组织设计35分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供应商提供的施工组织设计方案包含进度计划、质量保证措施、安全保证措施、资源配置计划、环保文明措施、应急预案、施工工艺内容且响应磋商文件技术服务要求的得35分，每缺少一项内容或有一项内容错误（内容错误指：项目名称、实施地点、涉及的规范、标准与本项目要求不一致；进度计划超期）的，每缺少一项内容扣5分，每有一处错误扣1分，扣完为止。</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技术评分因素</w:t>
            </w:r>
          </w:p>
        </w:tc>
      </w:tr>
      <w:tr>
        <w:tblPrEx>
          <w:tblLayout w:type="fixed"/>
          <w:tblCellMar>
            <w:top w:w="0" w:type="dxa"/>
            <w:left w:w="108" w:type="dxa"/>
            <w:bottom w:w="0" w:type="dxa"/>
            <w:right w:w="108" w:type="dxa"/>
          </w:tblCellMar>
        </w:tblPrEx>
        <w:trPr>
          <w:cantSplit/>
          <w:trHeight w:val="2713" w:hRule="atLeast"/>
          <w:jc w:val="center"/>
        </w:trPr>
        <w:tc>
          <w:tcPr>
            <w:tcW w:w="1245" w:type="dxa"/>
            <w:tcBorders>
              <w:top w:val="nil"/>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业绩6分</w:t>
            </w:r>
          </w:p>
        </w:tc>
        <w:tc>
          <w:tcPr>
            <w:tcW w:w="6779" w:type="dxa"/>
            <w:tcBorders>
              <w:top w:val="single" w:color="auto" w:sz="4" w:space="0"/>
              <w:left w:val="nil"/>
              <w:bottom w:val="single" w:color="auto" w:sz="4" w:space="0"/>
              <w:right w:val="single" w:color="auto" w:sz="4" w:space="0"/>
            </w:tcBorders>
          </w:tcPr>
          <w:p>
            <w:pPr>
              <w:autoSpaceDE w:val="0"/>
              <w:spacing w:line="288" w:lineRule="auto"/>
              <w:rPr>
                <w:rFonts w:ascii="新宋体" w:hAnsi="新宋体" w:eastAsia="新宋体" w:cs="Times New Roman"/>
                <w:color w:val="auto"/>
                <w:highlight w:val="none"/>
              </w:rPr>
            </w:pPr>
          </w:p>
          <w:p>
            <w:pPr>
              <w:autoSpaceDE w:val="0"/>
              <w:spacing w:line="288" w:lineRule="auto"/>
              <w:rPr>
                <w:rFonts w:ascii="新宋体" w:hAnsi="新宋体" w:eastAsia="新宋体" w:cs="Times New Roman"/>
                <w:color w:val="auto"/>
                <w:highlight w:val="none"/>
              </w:rPr>
            </w:pPr>
          </w:p>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供应商2018年1月1日（含1日）以来具有一个已完成类似项目业绩的得2分，在此基础上每增加1个加2分，最多得6分。（提供中标通知书或施工合同复印件或竣工验收报告复印件。）</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cantSplit/>
          <w:trHeight w:val="108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优先采购节能、环境标志、无线局域网产品</w:t>
            </w:r>
          </w:p>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（6分）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注：</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1、可重复计分；</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2、本项目采购的产品中属于节能产品或环境标志产品政府采购品目清单中强制采购范围的，不属于本项评分范围。</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3、供应商所响应的产品属于节能产品或环境标志产品政府采购品目清单中优先采购范围的，应当在响应文件中提供国家确定的认证机构出具的、处于有效期之内的节能产品或环境标志产品认证证书复印件并加盖供应商公章（鲜章），否则不予给分。</w:t>
            </w:r>
          </w:p>
          <w:p>
            <w:pPr>
              <w:autoSpaceDE w:val="0"/>
              <w:spacing w:line="288" w:lineRule="auto"/>
              <w:rPr>
                <w:rFonts w:ascii="新宋体" w:hAnsi="新宋体" w:eastAsia="新宋体" w:cs="Times New Roman"/>
                <w:color w:val="auto"/>
                <w:highlight w:val="none"/>
              </w:rPr>
            </w:pPr>
            <w:r>
              <w:rPr>
                <w:rFonts w:hint="eastAsia" w:ascii="新宋体" w:hAnsi="新宋体" w:eastAsia="新宋体" w:cs="Times New Roman"/>
                <w:color w:val="auto"/>
                <w:highlight w:val="none"/>
              </w:rPr>
              <w:t>4、供应商所投产品属于优先采购范围内的无线局域网产品的，需提供《中国政府采购网》公布的无线局域网产品政府采购清单封面及对应页且在有效期内并加盖供应商单位公章（鲜章）。</w:t>
            </w:r>
          </w:p>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cantSplit/>
          <w:trHeight w:val="48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扶持少数民族地区</w:t>
            </w:r>
          </w:p>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（1分）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供应商属于少数民族地区中小建筑企业的得1分。（指供应商注册地在民族自治州、自治县、自治乡的中小建筑企业，提供营业执照复印件。）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cantSplit/>
          <w:trHeight w:val="48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响应文件的规范性</w:t>
            </w:r>
          </w:p>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（2分）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没有细微偏差情形的得2分；有一项细微偏差扣0.5分，直至该分项值扣完为止。</w:t>
            </w:r>
          </w:p>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cantSplit/>
          <w:trHeight w:val="70" w:hRule="atLeast"/>
          <w:jc w:val="center"/>
        </w:trPr>
        <w:tc>
          <w:tcPr>
            <w:tcW w:w="8959"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说明：</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highlight w:val="none"/>
        </w:rPr>
        <w:t>2、评分标准中要求提供复印件的证明材料须清晰可辨。</w:t>
      </w:r>
    </w:p>
    <w:p>
      <w:pPr>
        <w:pStyle w:val="5"/>
        <w:numPr>
          <w:ilvl w:val="1"/>
          <w:numId w:val="50"/>
        </w:numPr>
        <w:tabs>
          <w:tab w:val="left" w:pos="993"/>
          <w:tab w:val="clear" w:pos="426"/>
          <w:tab w:val="clear" w:pos="567"/>
        </w:tabs>
        <w:spacing w:before="0" w:after="0"/>
        <w:ind w:left="0" w:firstLine="0"/>
        <w:jc w:val="both"/>
        <w:rPr>
          <w:color w:val="auto"/>
          <w:highlight w:val="none"/>
        </w:rPr>
      </w:pPr>
      <w:bookmarkStart w:id="113" w:name="_Toc27877"/>
      <w:r>
        <w:rPr>
          <w:rFonts w:hint="eastAsia"/>
          <w:color w:val="auto"/>
          <w:highlight w:val="none"/>
          <w:lang w:eastAsia="zh-CN"/>
        </w:rPr>
        <w:t>采购失败情形</w:t>
      </w:r>
      <w:bookmarkEnd w:id="113"/>
    </w:p>
    <w:p>
      <w:pPr>
        <w:rPr>
          <w:color w:val="auto"/>
          <w:highlight w:val="none"/>
        </w:rPr>
      </w:pPr>
    </w:p>
    <w:p>
      <w:pPr>
        <w:snapToGrid w:val="0"/>
        <w:spacing w:line="360" w:lineRule="auto"/>
        <w:ind w:firstLine="554" w:firstLineChars="198"/>
        <w:rPr>
          <w:rFonts w:ascii="宋体" w:hAnsi="宋体" w:cs="宋体"/>
          <w:color w:val="auto"/>
          <w:sz w:val="28"/>
          <w:szCs w:val="28"/>
          <w:highlight w:val="none"/>
        </w:rPr>
      </w:pPr>
      <w:r>
        <w:rPr>
          <w:rFonts w:hint="eastAsia" w:ascii="宋体" w:hAnsi="宋体" w:cs="宋体"/>
          <w:color w:val="auto"/>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三、</w:t>
      </w:r>
      <w:r>
        <w:rPr>
          <w:rFonts w:hint="eastAsia" w:ascii="宋体" w:hAnsi="宋体"/>
          <w:color w:val="auto"/>
          <w:sz w:val="28"/>
          <w:szCs w:val="28"/>
          <w:highlight w:val="none"/>
        </w:rPr>
        <w:t>递交施工响应文件的供应商不足三家的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四、通过资格性审查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五、通过符合性审查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w:t>
      </w:r>
      <w:r>
        <w:rPr>
          <w:rFonts w:hint="eastAsia" w:ascii="宋体" w:hAnsi="宋体"/>
          <w:color w:val="auto"/>
          <w:sz w:val="28"/>
          <w:szCs w:val="28"/>
          <w:highlight w:val="none"/>
        </w:rPr>
        <w:t>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七、通过最后报价审查的供应商不足三家的。</w:t>
      </w:r>
    </w:p>
    <w:p>
      <w:pPr>
        <w:pStyle w:val="5"/>
        <w:numPr>
          <w:ilvl w:val="1"/>
          <w:numId w:val="50"/>
        </w:numPr>
        <w:tabs>
          <w:tab w:val="left" w:pos="993"/>
          <w:tab w:val="clear" w:pos="426"/>
          <w:tab w:val="clear" w:pos="567"/>
        </w:tabs>
        <w:spacing w:before="0" w:after="0"/>
        <w:ind w:left="0" w:firstLine="0"/>
        <w:jc w:val="both"/>
        <w:rPr>
          <w:color w:val="auto"/>
          <w:highlight w:val="none"/>
        </w:rPr>
      </w:pPr>
      <w:bookmarkStart w:id="114" w:name="_Toc28001"/>
      <w:r>
        <w:rPr>
          <w:rFonts w:hint="eastAsia"/>
          <w:color w:val="auto"/>
          <w:highlight w:val="none"/>
          <w:lang w:eastAsia="zh-CN"/>
        </w:rPr>
        <w:t>其他</w:t>
      </w:r>
      <w:bookmarkEnd w:id="114"/>
    </w:p>
    <w:bookmarkEnd w:id="78"/>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1"/>
        </w:numPr>
        <w:spacing w:before="0" w:after="200"/>
        <w:ind w:left="1985" w:hanging="1985"/>
        <w:jc w:val="both"/>
        <w:rPr>
          <w:color w:val="auto"/>
          <w:highlight w:val="none"/>
        </w:rPr>
      </w:pPr>
      <w:bookmarkStart w:id="115" w:name="_Toc54948235"/>
      <w:bookmarkStart w:id="116" w:name="_Toc61004808"/>
      <w:bookmarkStart w:id="117" w:name="_Toc9896"/>
      <w:r>
        <w:rPr>
          <w:rFonts w:hint="eastAsia"/>
          <w:color w:val="auto"/>
          <w:highlight w:val="none"/>
        </w:rPr>
        <w:t>确定成交供应商</w:t>
      </w:r>
      <w:bookmarkEnd w:id="115"/>
      <w:bookmarkEnd w:id="116"/>
      <w:bookmarkEnd w:id="117"/>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采购人根据磋商小组推荐的成交候选供应商名单，按顺序确定</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名成交供应商。成交候选供应商并列的，采购人采取随机抽取的方式确定。</w:t>
      </w:r>
    </w:p>
    <w:p>
      <w:pPr>
        <w:widowControl/>
        <w:numPr>
          <w:ilvl w:val="0"/>
          <w:numId w:val="52"/>
        </w:numPr>
        <w:tabs>
          <w:tab w:val="left" w:pos="1134"/>
        </w:tabs>
        <w:snapToGrid w:val="0"/>
        <w:spacing w:after="0" w:line="620" w:lineRule="exact"/>
        <w:ind w:left="15" w:leftChars="0" w:firstLine="552" w:firstLineChars="0"/>
        <w:jc w:val="left"/>
        <w:rPr>
          <w:rFonts w:ascii="宋体" w:hAnsi="宋体" w:cs="宋体"/>
          <w:color w:val="auto"/>
          <w:sz w:val="28"/>
          <w:szCs w:val="28"/>
          <w:highlight w:val="none"/>
        </w:rPr>
      </w:pPr>
      <w:r>
        <w:rPr>
          <w:rFonts w:hint="eastAsia" w:ascii="宋体" w:hAnsi="宋体" w:cs="宋体"/>
          <w:color w:val="auto"/>
          <w:sz w:val="28"/>
          <w:szCs w:val="28"/>
          <w:highlight w:val="none"/>
        </w:rPr>
        <w:t>评审结束后，</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在评审结束之日起2个工作日内将评审报告及有关资料送交采购人确定</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名成交供应商。</w:t>
      </w:r>
    </w:p>
    <w:p>
      <w:pPr>
        <w:pStyle w:val="2"/>
        <w:rPr>
          <w:color w:val="auto"/>
          <w:highlight w:val="none"/>
        </w:rPr>
      </w:pPr>
    </w:p>
    <w:p>
      <w:pPr>
        <w:widowControl/>
        <w:numPr>
          <w:ilvl w:val="0"/>
          <w:numId w:val="52"/>
        </w:numPr>
        <w:tabs>
          <w:tab w:val="left" w:pos="1134"/>
        </w:tabs>
        <w:snapToGrid w:val="0"/>
        <w:spacing w:line="360" w:lineRule="auto"/>
        <w:ind w:left="0" w:firstLine="560" w:firstLineChars="200"/>
        <w:jc w:val="left"/>
        <w:rPr>
          <w:rStyle w:val="260"/>
          <w:rFonts w:ascii="宋体" w:hAnsi="宋体" w:cs="宋体"/>
          <w:color w:val="auto"/>
          <w:sz w:val="28"/>
          <w:szCs w:val="28"/>
          <w:highlight w:val="none"/>
        </w:rPr>
      </w:pPr>
      <w:r>
        <w:rPr>
          <w:rStyle w:val="260"/>
          <w:rFonts w:hint="eastAsia"/>
          <w:color w:val="auto"/>
          <w:sz w:val="28"/>
          <w:szCs w:val="28"/>
          <w:highlight w:val="none"/>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widowControl/>
        <w:tabs>
          <w:tab w:val="left" w:pos="1134"/>
        </w:tabs>
        <w:snapToGrid w:val="0"/>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根据四川省人民检察院、四川省财政厅《关于在政府采购活动中全面开展行贿犯罪档案查询的通知》（川检会</w:t>
      </w:r>
      <w:r>
        <w:rPr>
          <w:rFonts w:ascii="宋体" w:hAnsi="宋体" w:cs="宋体"/>
          <w:color w:val="auto"/>
          <w:sz w:val="28"/>
          <w:szCs w:val="28"/>
          <w:highlight w:val="none"/>
        </w:rPr>
        <w:t>[2016]5号）以及成都市人民检察院</w:t>
      </w:r>
      <w:r>
        <w:rPr>
          <w:rFonts w:hint="eastAsia" w:ascii="宋体" w:hAnsi="宋体" w:cs="宋体"/>
          <w:color w:val="auto"/>
          <w:sz w:val="28"/>
          <w:szCs w:val="28"/>
          <w:highlight w:val="none"/>
        </w:rPr>
        <w:t>《</w:t>
      </w:r>
      <w:r>
        <w:rPr>
          <w:rFonts w:ascii="宋体" w:hAnsi="宋体" w:cs="宋体"/>
          <w:color w:val="auto"/>
          <w:sz w:val="28"/>
          <w:szCs w:val="28"/>
          <w:highlight w:val="none"/>
        </w:rPr>
        <w:t>关于停止行贿犯罪档案查询的公告</w:t>
      </w:r>
      <w:r>
        <w:rPr>
          <w:rFonts w:hint="eastAsia" w:ascii="宋体" w:hAnsi="宋体" w:cs="宋体"/>
          <w:color w:val="auto"/>
          <w:sz w:val="28"/>
          <w:szCs w:val="28"/>
          <w:highlight w:val="none"/>
        </w:rPr>
        <w:t>》，</w:t>
      </w:r>
      <w:r>
        <w:rPr>
          <w:rStyle w:val="260"/>
          <w:rFonts w:hint="eastAsia"/>
          <w:color w:val="auto"/>
          <w:sz w:val="28"/>
          <w:szCs w:val="28"/>
          <w:highlight w:val="none"/>
          <w:shd w:val="clear" w:color="auto" w:fill="FFFFFF"/>
        </w:rPr>
        <w:t>采购人在确认成交供应商前，应到中国裁判文书网（</w:t>
      </w:r>
      <w:r>
        <w:rPr>
          <w:rStyle w:val="260"/>
          <w:color w:val="auto"/>
          <w:sz w:val="28"/>
          <w:szCs w:val="28"/>
          <w:highlight w:val="none"/>
          <w:shd w:val="clear" w:color="auto" w:fill="FFFFFF"/>
        </w:rPr>
        <w:t>https://wenshu.court.gov.cn</w:t>
      </w:r>
      <w:r>
        <w:rPr>
          <w:rStyle w:val="260"/>
          <w:rFonts w:hint="eastAsia"/>
          <w:color w:val="auto"/>
          <w:sz w:val="28"/>
          <w:szCs w:val="28"/>
          <w:highlight w:val="none"/>
          <w:shd w:val="clear" w:color="auto" w:fill="FFFFFF"/>
        </w:rPr>
        <w:t>）查询成交候选供应商及其现任法定代表人、主要负责人是否存在行贿犯罪记录。</w:t>
      </w:r>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52"/>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采购人确定成交供应商过程中，发现成交候选供应商有下列情形之一的，应当不予确定其为成交供应商, 由后一位成交候选供应商接替，依次类推，或重新组织采购：</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bookmarkStart w:id="118" w:name="_Toc287623649"/>
      <w:r>
        <w:rPr>
          <w:rFonts w:hint="eastAsia" w:ascii="宋体" w:hAnsi="宋体" w:cs="宋体"/>
          <w:color w:val="auto"/>
          <w:sz w:val="28"/>
          <w:szCs w:val="28"/>
          <w:highlight w:val="none"/>
        </w:rPr>
        <w:t>成交候选供应商存在违法、违纪行为的；</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成交候选供应商因不可抗力、社会经济形势发生重大变化、破产、重组等原因确定无法履行政府采购合同的；</w:t>
      </w:r>
    </w:p>
    <w:p>
      <w:pPr>
        <w:widowControl/>
        <w:numPr>
          <w:ilvl w:val="1"/>
          <w:numId w:val="53"/>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采购人不按要求确定候选供应商为成交供应商的，应提供相关证明材料并报财政部门备案。</w:t>
      </w:r>
    </w:p>
    <w:p>
      <w:pPr>
        <w:widowControl/>
        <w:numPr>
          <w:ilvl w:val="0"/>
          <w:numId w:val="52"/>
        </w:numPr>
        <w:tabs>
          <w:tab w:val="left" w:pos="1155"/>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不解释成交或未成交原因，不退回施工响应文件和其他磋商资料。</w:t>
      </w:r>
      <w:bookmarkEnd w:id="118"/>
    </w:p>
    <w:p>
      <w:pPr>
        <w:pStyle w:val="5"/>
        <w:numPr>
          <w:ilvl w:val="1"/>
          <w:numId w:val="51"/>
        </w:numPr>
        <w:spacing w:before="0" w:after="200"/>
        <w:ind w:left="1985" w:hanging="1985"/>
        <w:rPr>
          <w:color w:val="auto"/>
          <w:highlight w:val="none"/>
        </w:rPr>
      </w:pPr>
      <w:bookmarkStart w:id="119" w:name="_Toc61004809"/>
      <w:bookmarkStart w:id="120" w:name="_Toc54948236"/>
      <w:bookmarkStart w:id="121" w:name="_Toc17680"/>
      <w:r>
        <w:rPr>
          <w:rFonts w:hint="eastAsia"/>
          <w:color w:val="auto"/>
          <w:highlight w:val="none"/>
        </w:rPr>
        <w:t>磋商小组成员义务</w:t>
      </w:r>
      <w:bookmarkEnd w:id="119"/>
      <w:bookmarkEnd w:id="120"/>
      <w:bookmarkEnd w:id="121"/>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磋商小组成员在政府采购活动中承担以下义务：</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保守秘密。不得泄漏供应商的磋商文件及知悉的商业秘密，不得向供应商透露评审情况。</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发现供应商在政府采购活动中有不正当竞争或恶意串通等违规行为，及时向政府采购评审工作的组织者或财政部门报告并加以制止。</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发现采购人、</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及其工作人员在政府采购活动中有干预评审、发表倾向性和歧视性言论、受贿或者接受供应商的其他好处及其他违法违规行为，及时向财政部门报告。</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答复供应商的询问、质疑，配合财政部门的投诉处理工作等事宜。</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pStyle w:val="5"/>
        <w:numPr>
          <w:ilvl w:val="1"/>
          <w:numId w:val="51"/>
        </w:numPr>
        <w:spacing w:before="0" w:after="200"/>
        <w:ind w:left="1985" w:hanging="1985"/>
        <w:rPr>
          <w:color w:val="auto"/>
          <w:highlight w:val="none"/>
        </w:rPr>
      </w:pPr>
      <w:bookmarkStart w:id="122" w:name="_Toc54948237"/>
      <w:bookmarkStart w:id="123" w:name="_Toc61004810"/>
      <w:bookmarkStart w:id="124" w:name="_Toc23506"/>
      <w:r>
        <w:rPr>
          <w:rFonts w:hint="eastAsia"/>
          <w:color w:val="auto"/>
          <w:highlight w:val="none"/>
        </w:rPr>
        <w:t>磋商小组及其成员不得有下列行为</w:t>
      </w:r>
      <w:bookmarkEnd w:id="122"/>
      <w:bookmarkEnd w:id="123"/>
      <w:bookmarkEnd w:id="124"/>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确定参与磋商后，至递交施工响应文件截止时间前私自接触供应商；</w:t>
      </w:r>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违反评审纪律发表倾向性意见或者征询采购人的倾向性意见；</w:t>
      </w:r>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对需要专业判断的主观评审因素协商评分；</w:t>
      </w:r>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在评审过程中擅离职守，影响磋商程序正常进行的；</w:t>
      </w:r>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记录、复制或者带走任何评审资料；</w:t>
      </w:r>
    </w:p>
    <w:p>
      <w:pPr>
        <w:numPr>
          <w:ilvl w:val="0"/>
          <w:numId w:val="55"/>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其他不遵守评审纪律的行为。</w:t>
      </w:r>
    </w:p>
    <w:p>
      <w:pPr>
        <w:spacing w:line="360" w:lineRule="auto"/>
        <w:ind w:firstLine="560" w:firstLineChars="200"/>
        <w:rPr>
          <w:color w:val="auto"/>
          <w:sz w:val="28"/>
          <w:szCs w:val="28"/>
          <w:highlight w:val="none"/>
        </w:rPr>
      </w:pPr>
      <w:r>
        <w:rPr>
          <w:rFonts w:hint="eastAsia"/>
          <w:color w:val="auto"/>
          <w:sz w:val="28"/>
          <w:szCs w:val="28"/>
          <w:highlight w:val="none"/>
        </w:rPr>
        <w:t>磋商有前款第一至四项行为之一的，其评审意见无效，并不得获取评审劳务报酬和报销异地评审差旅费。</w:t>
      </w:r>
    </w:p>
    <w:p>
      <w:pPr>
        <w:pStyle w:val="5"/>
        <w:numPr>
          <w:ilvl w:val="1"/>
          <w:numId w:val="51"/>
        </w:numPr>
        <w:spacing w:before="0" w:after="200"/>
        <w:ind w:left="1985" w:hanging="1985"/>
        <w:rPr>
          <w:color w:val="auto"/>
          <w:highlight w:val="none"/>
        </w:rPr>
      </w:pPr>
      <w:bookmarkStart w:id="125" w:name="_Toc54948238"/>
      <w:bookmarkStart w:id="126" w:name="_Toc61004811"/>
      <w:bookmarkStart w:id="127" w:name="_Toc3981"/>
      <w:r>
        <w:rPr>
          <w:rFonts w:hint="eastAsia"/>
          <w:color w:val="auto"/>
          <w:highlight w:val="none"/>
        </w:rPr>
        <w:t>磋商纪律</w:t>
      </w:r>
      <w:bookmarkEnd w:id="125"/>
      <w:bookmarkEnd w:id="126"/>
      <w:bookmarkEnd w:id="127"/>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磋商小组成员在政府采购活动中应当遵守以下工作纪律：</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，不得私自转托他人。</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也可要求该评审专家回避。</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提供的通信设备，在监督人员监督之下办理。</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在磋商过程中和磋商结束后，不得记录、复制或带走任何评审资料，除因规定的义务外，不得向外界透露评审内容。</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服从评审现场</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的现场秩序管理，接受评审现场监督人员的合法监督。</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遵守有关廉洁自律规定，不得私下接触供应商，不得收受供应商及有关业务单位和个人的财物或好处，不得接受采购组织单位的请托。</w:t>
      </w:r>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color w:val="auto"/>
          <w:sz w:val="28"/>
          <w:szCs w:val="28"/>
          <w:highlight w:val="none"/>
        </w:rPr>
      </w:pPr>
      <w:r>
        <w:rPr>
          <w:rFonts w:hint="eastAsia" w:ascii="宋体" w:hAnsi="宋体"/>
          <w:color w:val="auto"/>
          <w:sz w:val="28"/>
          <w:szCs w:val="28"/>
          <w:highlight w:val="none"/>
        </w:rPr>
        <w:t>十一、有关部门（机构）制定的其他评审工作纪律。</w:t>
      </w:r>
    </w:p>
    <w:p>
      <w:pPr>
        <w:pStyle w:val="2"/>
        <w:rPr>
          <w:color w:val="auto"/>
          <w:highlight w:val="none"/>
        </w:rPr>
      </w:pPr>
      <w:r>
        <w:rPr>
          <w:color w:val="auto"/>
          <w:highlight w:val="none"/>
        </w:rPr>
        <w:br w:type="page"/>
      </w:r>
    </w:p>
    <w:p>
      <w:pPr>
        <w:pStyle w:val="4"/>
        <w:numPr>
          <w:ilvl w:val="0"/>
          <w:numId w:val="51"/>
        </w:numPr>
        <w:snapToGrid w:val="0"/>
        <w:spacing w:before="0" w:after="0"/>
        <w:ind w:left="0" w:firstLine="0"/>
        <w:rPr>
          <w:color w:val="auto"/>
          <w:highlight w:val="none"/>
        </w:rPr>
      </w:pPr>
      <w:bookmarkStart w:id="128" w:name="_Toc25228"/>
      <w:r>
        <w:rPr>
          <w:rFonts w:hint="eastAsia"/>
          <w:color w:val="auto"/>
          <w:highlight w:val="none"/>
        </w:rPr>
        <w:t>合同草案条款</w:t>
      </w:r>
      <w:bookmarkEnd w:id="71"/>
      <w:bookmarkEnd w:id="128"/>
      <w:r>
        <w:rPr>
          <w:rFonts w:hint="eastAsia"/>
          <w:color w:val="auto"/>
          <w:highlight w:val="none"/>
          <w:lang w:val="en-US" w:eastAsia="zh-CN"/>
        </w:rPr>
        <w:t xml:space="preserve"> </w:t>
      </w:r>
    </w:p>
    <w:p>
      <w:pPr>
        <w:pStyle w:val="130"/>
        <w:spacing w:line="360" w:lineRule="auto"/>
        <w:rPr>
          <w:rFonts w:ascii="仿宋" w:hAnsi="仿宋" w:eastAsia="仿宋" w:cs="仿宋"/>
          <w:color w:val="auto"/>
          <w:highlight w:val="none"/>
        </w:rPr>
      </w:pPr>
      <w:r>
        <w:rPr>
          <w:rFonts w:hint="eastAsia" w:ascii="仿宋" w:hAnsi="仿宋" w:eastAsia="仿宋" w:cs="仿宋"/>
          <w:color w:val="auto"/>
          <w:highlight w:val="none"/>
        </w:rPr>
        <w:t>根据《中华人民共和国政府采购法》、《中华人民共和国民法典》、《中华人民共和国建筑法》及X</w:t>
      </w:r>
      <w:r>
        <w:rPr>
          <w:rFonts w:hint="eastAsia" w:ascii="仿宋" w:hAnsi="仿宋" w:eastAsia="仿宋" w:cs="仿宋"/>
          <w:color w:val="auto"/>
          <w:highlight w:val="none"/>
          <w:lang w:eastAsia="zh-CN"/>
        </w:rPr>
        <w:t>成都市锦江区教育保障中心金山大厦、三幼书院园区消防系统及配电房改造工程项目</w:t>
      </w:r>
      <w:r>
        <w:rPr>
          <w:rFonts w:hint="eastAsia" w:ascii="仿宋" w:hAnsi="仿宋" w:eastAsia="仿宋" w:cs="仿宋"/>
          <w:color w:val="auto"/>
          <w:highlight w:val="none"/>
        </w:rPr>
        <w:t>（项目编号：</w:t>
      </w:r>
      <w:r>
        <w:rPr>
          <w:rFonts w:ascii="仿宋" w:hAnsi="仿宋" w:eastAsia="仿宋" w:cs="仿宋"/>
          <w:color w:val="auto"/>
          <w:highlight w:val="none"/>
        </w:rPr>
        <w:t>510***</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文件、乙方的施工响应文件及成交通知书，甲、乙双方同意签订本合同。详细技术说明及其他有关合同项目的特定信息由合同附件予以说明，合同附件及本项目的</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文件、施工响应文件、评审报告、成交通知书等均为本合同不可分割的部分。双方同意共同遵守如下条款：</w:t>
      </w:r>
    </w:p>
    <w:p>
      <w:pPr>
        <w:pStyle w:val="130"/>
        <w:spacing w:line="360" w:lineRule="auto"/>
        <w:rPr>
          <w:rFonts w:ascii="仿宋" w:hAnsi="仿宋" w:eastAsia="仿宋" w:cs="仿宋"/>
          <w:color w:val="auto"/>
          <w:highlight w:val="none"/>
        </w:rPr>
      </w:pPr>
      <w:r>
        <w:rPr>
          <w:rFonts w:hint="eastAsia" w:ascii="仿宋" w:hAnsi="仿宋" w:eastAsia="仿宋" w:cs="仿宋"/>
          <w:color w:val="auto"/>
          <w:highlight w:val="none"/>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color w:val="auto"/>
          <w:highlight w:val="none"/>
        </w:rPr>
        <w:t>30</w:t>
      </w:r>
      <w:r>
        <w:rPr>
          <w:rFonts w:hint="eastAsia" w:ascii="仿宋" w:hAnsi="仿宋" w:eastAsia="仿宋" w:cs="仿宋"/>
          <w:color w:val="auto"/>
          <w:highlight w:val="none"/>
        </w:rPr>
        <w:t>内支付采购资金。验收所产生的任何费用应由采购人承担，不要求或者专家成交供应商负担。</w:t>
      </w:r>
    </w:p>
    <w:p>
      <w:pPr>
        <w:pStyle w:val="130"/>
        <w:spacing w:line="360" w:lineRule="auto"/>
        <w:ind w:firstLine="315" w:firstLineChars="150"/>
        <w:rPr>
          <w:rFonts w:ascii="仿宋" w:hAnsi="仿宋" w:eastAsia="仿宋" w:cs="仿宋"/>
          <w:color w:val="auto"/>
          <w:highlight w:val="none"/>
        </w:rPr>
      </w:pPr>
      <w:r>
        <w:rPr>
          <w:rFonts w:hint="eastAsia" w:ascii="仿宋" w:hAnsi="仿宋" w:eastAsia="仿宋" w:cs="仿宋"/>
          <w:color w:val="auto"/>
          <w:highlight w:val="none"/>
        </w:rPr>
        <w:t>本项目通用合同条款参照《建设工程施工合同</w:t>
      </w:r>
      <w:r>
        <w:rPr>
          <w:rFonts w:ascii="仿宋" w:hAnsi="仿宋" w:eastAsia="仿宋" w:cs="仿宋"/>
          <w:color w:val="auto"/>
          <w:highlight w:val="none"/>
        </w:rPr>
        <w:t>(</w:t>
      </w:r>
      <w:r>
        <w:rPr>
          <w:rFonts w:hint="eastAsia" w:ascii="仿宋" w:hAnsi="仿宋" w:eastAsia="仿宋" w:cs="仿宋"/>
          <w:color w:val="auto"/>
          <w:highlight w:val="none"/>
        </w:rPr>
        <w:t>示范文本</w:t>
      </w:r>
      <w:r>
        <w:rPr>
          <w:rFonts w:ascii="仿宋" w:hAnsi="仿宋" w:eastAsia="仿宋" w:cs="仿宋"/>
          <w:color w:val="auto"/>
          <w:highlight w:val="none"/>
        </w:rPr>
        <w:t>)</w:t>
      </w:r>
      <w:r>
        <w:rPr>
          <w:rFonts w:hint="eastAsia" w:ascii="仿宋" w:hAnsi="仿宋" w:eastAsia="仿宋" w:cs="仿宋"/>
          <w:color w:val="auto"/>
          <w:highlight w:val="none"/>
        </w:rPr>
        <w:t>》</w:t>
      </w:r>
      <w:r>
        <w:rPr>
          <w:rFonts w:ascii="仿宋" w:hAnsi="仿宋" w:eastAsia="仿宋" w:cs="仿宋"/>
          <w:color w:val="auto"/>
          <w:highlight w:val="none"/>
        </w:rPr>
        <w:t>(GF-2017-0201)</w:t>
      </w:r>
      <w:r>
        <w:rPr>
          <w:rFonts w:hint="eastAsia" w:ascii="仿宋" w:hAnsi="仿宋" w:eastAsia="仿宋" w:cs="仿宋"/>
          <w:color w:val="auto"/>
          <w:highlight w:val="none"/>
        </w:rPr>
        <w:t>通用合同条款执行。如有最新版本，参照最新版本执行。</w:t>
      </w:r>
    </w:p>
    <w:p>
      <w:pPr>
        <w:pStyle w:val="130"/>
        <w:spacing w:line="360" w:lineRule="auto"/>
        <w:ind w:firstLine="315" w:firstLineChars="150"/>
        <w:rPr>
          <w:rFonts w:ascii="仿宋" w:hAnsi="仿宋" w:eastAsia="仿宋" w:cs="仿宋"/>
          <w:color w:val="auto"/>
          <w:highlight w:val="none"/>
        </w:rPr>
      </w:pPr>
    </w:p>
    <w:p>
      <w:pPr>
        <w:pStyle w:val="130"/>
        <w:spacing w:line="360" w:lineRule="auto"/>
        <w:ind w:firstLine="0" w:firstLineChars="0"/>
        <w:rPr>
          <w:rFonts w:ascii="仿宋" w:hAnsi="仿宋" w:eastAsia="仿宋" w:cs="仿宋"/>
          <w:color w:val="auto"/>
          <w:highlight w:val="none"/>
        </w:rPr>
      </w:pPr>
    </w:p>
    <w:p>
      <w:pPr>
        <w:pStyle w:val="130"/>
        <w:spacing w:line="360" w:lineRule="auto"/>
        <w:ind w:firstLine="0" w:firstLineChars="0"/>
        <w:rPr>
          <w:rFonts w:ascii="仿宋" w:hAnsi="仿宋" w:eastAsia="仿宋" w:cs="仿宋"/>
          <w:color w:val="auto"/>
          <w:highlight w:val="none"/>
        </w:rPr>
      </w:pPr>
      <w:r>
        <w:rPr>
          <w:rFonts w:hint="eastAsia" w:ascii="仿宋" w:hAnsi="仿宋" w:eastAsia="仿宋" w:cs="仿宋"/>
          <w:color w:val="auto"/>
          <w:highlight w:val="none"/>
        </w:rPr>
        <w:t>注：本采购合同中出现的措辞“发包人”与</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文件中的“采购人”含义相同；</w:t>
      </w:r>
    </w:p>
    <w:p>
      <w:pPr>
        <w:pStyle w:val="130"/>
        <w:spacing w:line="360" w:lineRule="auto"/>
        <w:ind w:firstLine="315" w:firstLineChars="150"/>
        <w:rPr>
          <w:rFonts w:ascii="仿宋" w:hAnsi="仿宋" w:eastAsia="仿宋" w:cs="仿宋"/>
          <w:color w:val="auto"/>
          <w:highlight w:val="none"/>
        </w:rPr>
      </w:pPr>
      <w:r>
        <w:rPr>
          <w:rFonts w:hint="eastAsia" w:ascii="仿宋" w:hAnsi="仿宋" w:eastAsia="仿宋" w:cs="仿宋"/>
          <w:color w:val="auto"/>
          <w:highlight w:val="none"/>
        </w:rPr>
        <w:t>“投标人”与“供应商“含义相同；</w:t>
      </w:r>
    </w:p>
    <w:p>
      <w:pPr>
        <w:pStyle w:val="130"/>
        <w:spacing w:line="360" w:lineRule="auto"/>
        <w:ind w:firstLine="315" w:firstLineChars="150"/>
        <w:rPr>
          <w:rFonts w:ascii="仿宋" w:hAnsi="仿宋" w:eastAsia="仿宋" w:cs="仿宋"/>
          <w:color w:val="auto"/>
          <w:highlight w:val="none"/>
        </w:rPr>
      </w:pPr>
      <w:r>
        <w:rPr>
          <w:rFonts w:hint="eastAsia" w:ascii="仿宋" w:hAnsi="仿宋" w:eastAsia="仿宋" w:cs="仿宋"/>
          <w:color w:val="auto"/>
          <w:highlight w:val="none"/>
        </w:rPr>
        <w:t>“招标文件”与“采购文件”及“</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文件”含义相同。</w:t>
      </w:r>
    </w:p>
    <w:p>
      <w:pPr>
        <w:pStyle w:val="13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130"/>
        <w:spacing w:line="360" w:lineRule="auto"/>
        <w:ind w:firstLine="480"/>
        <w:rPr>
          <w:rFonts w:hint="eastAsia" w:ascii="仿宋" w:hAnsi="仿宋" w:eastAsia="仿宋" w:cs="仿宋"/>
          <w:color w:val="auto"/>
          <w:highlight w:val="none"/>
        </w:rPr>
      </w:pPr>
    </w:p>
    <w:p>
      <w:pPr>
        <w:keepNext/>
        <w:keepLines/>
        <w:spacing w:after="120" w:line="360" w:lineRule="auto"/>
        <w:jc w:val="center"/>
        <w:outlineLvl w:val="2"/>
        <w:rPr>
          <w:rFonts w:ascii="宋体" w:hAnsi="宋体"/>
          <w:bCs/>
          <w:iCs w:val="0"/>
          <w:color w:val="auto"/>
          <w:szCs w:val="28"/>
          <w:highlight w:val="none"/>
        </w:rPr>
      </w:pPr>
      <w:r>
        <w:rPr>
          <w:rFonts w:ascii="仿宋" w:hAnsi="仿宋" w:eastAsia="仿宋"/>
          <w:bCs w:val="0"/>
          <w:color w:val="auto"/>
          <w:sz w:val="24"/>
          <w:highlight w:val="none"/>
        </w:rPr>
        <w:t xml:space="preserve"> </w:t>
      </w:r>
      <w:r>
        <w:rPr>
          <w:rFonts w:ascii="宋体" w:hAnsi="宋体"/>
          <w:b/>
          <w:bCs/>
          <w:iCs w:val="0"/>
          <w:color w:val="auto"/>
          <w:szCs w:val="28"/>
          <w:highlight w:val="none"/>
        </w:rPr>
        <w:t>第一部分 合同协议书</w:t>
      </w:r>
    </w:p>
    <w:p>
      <w:pPr>
        <w:spacing w:line="360" w:lineRule="auto"/>
        <w:rPr>
          <w:rFonts w:ascii="宋体" w:hAnsi="宋体"/>
          <w:b/>
          <w:iCs w:val="0"/>
          <w:color w:val="auto"/>
          <w:sz w:val="21"/>
          <w:szCs w:val="21"/>
          <w:highlight w:val="none"/>
          <w:u w:val="single"/>
        </w:rPr>
      </w:pPr>
      <w:r>
        <w:rPr>
          <w:rFonts w:ascii="宋体" w:hAnsi="宋体"/>
          <w:b/>
          <w:iCs w:val="0"/>
          <w:color w:val="auto"/>
          <w:sz w:val="21"/>
          <w:szCs w:val="21"/>
          <w:highlight w:val="none"/>
        </w:rPr>
        <w:t>发包人（全称）：</w:t>
      </w:r>
    </w:p>
    <w:p>
      <w:pPr>
        <w:spacing w:line="360" w:lineRule="auto"/>
        <w:rPr>
          <w:rFonts w:ascii="宋体" w:hAnsi="宋体"/>
          <w:b/>
          <w:iCs w:val="0"/>
          <w:color w:val="auto"/>
          <w:sz w:val="21"/>
          <w:szCs w:val="21"/>
          <w:highlight w:val="none"/>
          <w:u w:val="single"/>
        </w:rPr>
      </w:pPr>
      <w:r>
        <w:rPr>
          <w:rFonts w:ascii="宋体" w:hAnsi="宋体"/>
          <w:b/>
          <w:iCs w:val="0"/>
          <w:color w:val="auto"/>
          <w:sz w:val="21"/>
          <w:szCs w:val="21"/>
          <w:highlight w:val="none"/>
        </w:rPr>
        <w:t>承包人（全称）：</w:t>
      </w:r>
      <w:r>
        <w:rPr>
          <w:rFonts w:ascii="宋体" w:hAnsi="宋体"/>
          <w:b/>
          <w:iCs w:val="0"/>
          <w:color w:val="auto"/>
          <w:sz w:val="21"/>
          <w:szCs w:val="21"/>
          <w:highlight w:val="none"/>
          <w:u w:val="single"/>
        </w:rPr>
        <w:t>     </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根据《中华人民共和国合同法》、《中华人民共和国建筑法》及有关法律规定，遵循平等、自愿、公平和诚实信用的原则，双方就</w:t>
      </w:r>
      <w:r>
        <w:rPr>
          <w:rFonts w:hint="eastAsia" w:ascii="宋体" w:hAnsi="宋体"/>
          <w:iCs w:val="0"/>
          <w:color w:val="auto"/>
          <w:sz w:val="21"/>
          <w:szCs w:val="21"/>
          <w:highlight w:val="none"/>
        </w:rPr>
        <w:t>工程</w:t>
      </w:r>
      <w:r>
        <w:rPr>
          <w:rFonts w:ascii="宋体" w:hAnsi="宋体"/>
          <w:iCs w:val="0"/>
          <w:color w:val="auto"/>
          <w:sz w:val="21"/>
          <w:szCs w:val="21"/>
          <w:highlight w:val="none"/>
        </w:rPr>
        <w:t>施工及有关事项协商一致</w:t>
      </w:r>
      <w:r>
        <w:rPr>
          <w:rFonts w:hint="eastAsia" w:ascii="宋体" w:hAnsi="宋体"/>
          <w:iCs w:val="0"/>
          <w:color w:val="auto"/>
          <w:sz w:val="21"/>
          <w:szCs w:val="21"/>
          <w:highlight w:val="none"/>
        </w:rPr>
        <w:t>，</w:t>
      </w:r>
      <w:r>
        <w:rPr>
          <w:rFonts w:ascii="宋体" w:hAnsi="宋体"/>
          <w:iCs w:val="0"/>
          <w:color w:val="auto"/>
          <w:sz w:val="21"/>
          <w:szCs w:val="21"/>
          <w:highlight w:val="none"/>
        </w:rPr>
        <w:t>共同达成如下协议：</w:t>
      </w:r>
    </w:p>
    <w:p>
      <w:pPr>
        <w:keepNext/>
        <w:keepLines/>
        <w:spacing w:before="120" w:after="120" w:line="360" w:lineRule="auto"/>
        <w:outlineLvl w:val="3"/>
        <w:rPr>
          <w:rFonts w:ascii="宋体" w:hAnsi="宋体"/>
          <w:b/>
          <w:iCs w:val="0"/>
          <w:color w:val="auto"/>
          <w:szCs w:val="28"/>
          <w:highlight w:val="none"/>
        </w:rPr>
      </w:pPr>
      <w:bookmarkStart w:id="129" w:name="_Toc351203481"/>
      <w:r>
        <w:rPr>
          <w:rFonts w:ascii="宋体" w:hAnsi="宋体"/>
          <w:b/>
          <w:bCs/>
          <w:iCs w:val="0"/>
          <w:color w:val="auto"/>
          <w:szCs w:val="28"/>
          <w:highlight w:val="none"/>
        </w:rPr>
        <w:t>一、工程概况</w:t>
      </w:r>
      <w:bookmarkEnd w:id="129"/>
    </w:p>
    <w:p>
      <w:pPr>
        <w:spacing w:line="360" w:lineRule="auto"/>
        <w:ind w:firstLine="411" w:firstLineChars="196"/>
        <w:rPr>
          <w:rFonts w:ascii="宋体" w:hAnsi="宋体"/>
          <w:iCs w:val="0"/>
          <w:color w:val="auto"/>
          <w:sz w:val="21"/>
          <w:szCs w:val="21"/>
          <w:highlight w:val="none"/>
          <w:u w:val="single"/>
        </w:rPr>
      </w:pPr>
      <w:r>
        <w:rPr>
          <w:rFonts w:ascii="宋体" w:hAnsi="宋体"/>
          <w:bCs/>
          <w:iCs w:val="0"/>
          <w:color w:val="auto"/>
          <w:sz w:val="21"/>
          <w:szCs w:val="21"/>
          <w:highlight w:val="none"/>
        </w:rPr>
        <w:t>1.工程名称</w:t>
      </w:r>
      <w:r>
        <w:rPr>
          <w:rFonts w:ascii="宋体" w:hAnsi="宋体"/>
          <w:iCs w:val="0"/>
          <w:color w:val="auto"/>
          <w:sz w:val="21"/>
          <w:szCs w:val="21"/>
          <w:highlight w:val="none"/>
        </w:rPr>
        <w:t>：</w:t>
      </w:r>
    </w:p>
    <w:p>
      <w:pPr>
        <w:spacing w:line="360" w:lineRule="auto"/>
        <w:ind w:firstLine="411" w:firstLineChars="196"/>
        <w:rPr>
          <w:rFonts w:ascii="宋体" w:hAnsi="宋体"/>
          <w:bCs/>
          <w:iCs w:val="0"/>
          <w:color w:val="auto"/>
          <w:sz w:val="21"/>
          <w:szCs w:val="21"/>
          <w:highlight w:val="none"/>
        </w:rPr>
      </w:pPr>
      <w:r>
        <w:rPr>
          <w:rFonts w:ascii="宋体" w:hAnsi="宋体"/>
          <w:bCs/>
          <w:iCs w:val="0"/>
          <w:color w:val="auto"/>
          <w:sz w:val="21"/>
          <w:szCs w:val="21"/>
          <w:highlight w:val="none"/>
        </w:rPr>
        <w:t>2.工程地点：</w:t>
      </w:r>
    </w:p>
    <w:p>
      <w:pPr>
        <w:spacing w:line="360" w:lineRule="auto"/>
        <w:ind w:firstLine="411" w:firstLineChars="196"/>
        <w:rPr>
          <w:rFonts w:ascii="宋体" w:hAnsi="宋体"/>
          <w:bCs/>
          <w:iCs w:val="0"/>
          <w:color w:val="auto"/>
          <w:sz w:val="21"/>
          <w:szCs w:val="21"/>
          <w:highlight w:val="none"/>
        </w:rPr>
      </w:pPr>
      <w:r>
        <w:rPr>
          <w:rFonts w:ascii="宋体" w:hAnsi="宋体"/>
          <w:bCs/>
          <w:iCs w:val="0"/>
          <w:color w:val="auto"/>
          <w:sz w:val="21"/>
          <w:szCs w:val="21"/>
          <w:highlight w:val="none"/>
        </w:rPr>
        <w:t>3.工程立项批准文号：</w:t>
      </w:r>
    </w:p>
    <w:p>
      <w:pPr>
        <w:spacing w:line="360" w:lineRule="auto"/>
        <w:ind w:firstLine="411" w:firstLineChars="196"/>
        <w:rPr>
          <w:rFonts w:ascii="宋体" w:hAnsi="宋体"/>
          <w:bCs/>
          <w:iCs w:val="0"/>
          <w:color w:val="auto"/>
          <w:sz w:val="21"/>
          <w:szCs w:val="21"/>
          <w:highlight w:val="none"/>
        </w:rPr>
      </w:pPr>
      <w:r>
        <w:rPr>
          <w:rFonts w:ascii="宋体" w:hAnsi="宋体"/>
          <w:bCs/>
          <w:iCs w:val="0"/>
          <w:color w:val="auto"/>
          <w:sz w:val="21"/>
          <w:szCs w:val="21"/>
          <w:highlight w:val="none"/>
        </w:rPr>
        <w:t>4.资金来源：</w:t>
      </w:r>
    </w:p>
    <w:p>
      <w:pPr>
        <w:spacing w:line="360" w:lineRule="auto"/>
        <w:ind w:firstLine="411" w:firstLineChars="196"/>
        <w:rPr>
          <w:rFonts w:ascii="宋体" w:hAnsi="宋体"/>
          <w:bCs/>
          <w:iCs w:val="0"/>
          <w:color w:val="auto"/>
          <w:sz w:val="21"/>
          <w:szCs w:val="21"/>
          <w:highlight w:val="none"/>
        </w:rPr>
      </w:pPr>
      <w:r>
        <w:rPr>
          <w:rFonts w:hint="eastAsia" w:ascii="宋体" w:hAnsi="宋体"/>
          <w:bCs/>
          <w:iCs w:val="0"/>
          <w:color w:val="auto"/>
          <w:sz w:val="21"/>
          <w:szCs w:val="21"/>
          <w:highlight w:val="none"/>
        </w:rPr>
        <w:t>5.工程内容：</w:t>
      </w:r>
    </w:p>
    <w:p>
      <w:pPr>
        <w:spacing w:line="360" w:lineRule="auto"/>
        <w:ind w:firstLine="411" w:firstLineChars="196"/>
        <w:rPr>
          <w:rFonts w:ascii="宋体" w:hAnsi="宋体"/>
          <w:bCs/>
          <w:iCs w:val="0"/>
          <w:color w:val="auto"/>
          <w:sz w:val="21"/>
          <w:szCs w:val="21"/>
          <w:highlight w:val="none"/>
        </w:rPr>
      </w:pPr>
      <w:r>
        <w:rPr>
          <w:rFonts w:hint="eastAsia" w:ascii="宋体" w:hAnsi="宋体"/>
          <w:bCs/>
          <w:iCs w:val="0"/>
          <w:color w:val="auto"/>
          <w:sz w:val="21"/>
          <w:szCs w:val="21"/>
          <w:highlight w:val="none"/>
        </w:rPr>
        <w:t>6</w:t>
      </w:r>
      <w:r>
        <w:rPr>
          <w:rFonts w:ascii="宋体" w:hAnsi="宋体"/>
          <w:bCs/>
          <w:iCs w:val="0"/>
          <w:color w:val="auto"/>
          <w:sz w:val="21"/>
          <w:szCs w:val="21"/>
          <w:highlight w:val="none"/>
        </w:rPr>
        <w:t>.工程承包范围：</w:t>
      </w:r>
    </w:p>
    <w:p>
      <w:pPr>
        <w:keepNext/>
        <w:keepLines/>
        <w:spacing w:before="120" w:after="120" w:line="360" w:lineRule="auto"/>
        <w:outlineLvl w:val="3"/>
        <w:rPr>
          <w:rFonts w:ascii="宋体" w:hAnsi="宋体"/>
          <w:b/>
          <w:bCs/>
          <w:iCs w:val="0"/>
          <w:color w:val="auto"/>
          <w:szCs w:val="28"/>
          <w:highlight w:val="none"/>
        </w:rPr>
      </w:pPr>
      <w:bookmarkStart w:id="130" w:name="_Toc351203482"/>
      <w:r>
        <w:rPr>
          <w:rFonts w:ascii="宋体" w:hAnsi="宋体"/>
          <w:b/>
          <w:bCs/>
          <w:iCs w:val="0"/>
          <w:color w:val="auto"/>
          <w:szCs w:val="28"/>
          <w:highlight w:val="none"/>
        </w:rPr>
        <w:t>二、合同工期</w:t>
      </w:r>
      <w:bookmarkEnd w:id="130"/>
    </w:p>
    <w:p>
      <w:pPr>
        <w:spacing w:line="360" w:lineRule="auto"/>
        <w:ind w:firstLine="459"/>
        <w:rPr>
          <w:rFonts w:ascii="宋体" w:hAnsi="宋体"/>
          <w:iCs w:val="0"/>
          <w:color w:val="auto"/>
          <w:sz w:val="21"/>
          <w:szCs w:val="21"/>
          <w:highlight w:val="none"/>
        </w:rPr>
      </w:pPr>
      <w:r>
        <w:rPr>
          <w:rFonts w:ascii="宋体" w:hAnsi="宋体"/>
          <w:iCs w:val="0"/>
          <w:color w:val="auto"/>
          <w:sz w:val="21"/>
          <w:szCs w:val="21"/>
          <w:highlight w:val="none"/>
        </w:rPr>
        <w:t>计划开工日期：</w:t>
      </w:r>
      <w:r>
        <w:rPr>
          <w:rFonts w:ascii="宋体" w:hAnsi="宋体"/>
          <w:iCs w:val="0"/>
          <w:color w:val="auto"/>
          <w:sz w:val="21"/>
          <w:szCs w:val="21"/>
          <w:highlight w:val="none"/>
          <w:u w:val="single"/>
        </w:rPr>
        <w:t></w:t>
      </w:r>
      <w:r>
        <w:rPr>
          <w:rFonts w:ascii="宋体" w:hAnsi="宋体"/>
          <w:iCs w:val="0"/>
          <w:color w:val="auto"/>
          <w:sz w:val="21"/>
          <w:szCs w:val="21"/>
          <w:highlight w:val="none"/>
        </w:rPr>
        <w:t>年</w:t>
      </w:r>
      <w:r>
        <w:rPr>
          <w:rFonts w:ascii="宋体" w:hAnsi="宋体"/>
          <w:iCs w:val="0"/>
          <w:color w:val="auto"/>
          <w:sz w:val="21"/>
          <w:szCs w:val="21"/>
          <w:highlight w:val="none"/>
          <w:u w:val="single"/>
        </w:rPr>
        <w:t></w:t>
      </w:r>
      <w:r>
        <w:rPr>
          <w:rFonts w:ascii="宋体" w:hAnsi="宋体"/>
          <w:iCs w:val="0"/>
          <w:color w:val="auto"/>
          <w:sz w:val="21"/>
          <w:szCs w:val="21"/>
          <w:highlight w:val="none"/>
        </w:rPr>
        <w:t>月</w:t>
      </w:r>
      <w:r>
        <w:rPr>
          <w:rFonts w:ascii="宋体" w:hAnsi="宋体"/>
          <w:iCs w:val="0"/>
          <w:color w:val="auto"/>
          <w:sz w:val="21"/>
          <w:szCs w:val="21"/>
          <w:highlight w:val="none"/>
          <w:u w:val="single"/>
        </w:rPr>
        <w:t></w:t>
      </w:r>
      <w:r>
        <w:rPr>
          <w:rFonts w:ascii="宋体" w:hAnsi="宋体"/>
          <w:iCs w:val="0"/>
          <w:color w:val="auto"/>
          <w:sz w:val="21"/>
          <w:szCs w:val="21"/>
          <w:highlight w:val="none"/>
        </w:rPr>
        <w:t>日。</w:t>
      </w:r>
    </w:p>
    <w:p>
      <w:pPr>
        <w:spacing w:line="360" w:lineRule="auto"/>
        <w:ind w:firstLine="459"/>
        <w:rPr>
          <w:rFonts w:ascii="宋体" w:hAnsi="宋体"/>
          <w:iCs w:val="0"/>
          <w:color w:val="auto"/>
          <w:sz w:val="21"/>
          <w:szCs w:val="21"/>
          <w:highlight w:val="none"/>
          <w:u w:val="single"/>
        </w:rPr>
      </w:pPr>
      <w:r>
        <w:rPr>
          <w:rFonts w:ascii="宋体" w:hAnsi="宋体"/>
          <w:iCs w:val="0"/>
          <w:color w:val="auto"/>
          <w:sz w:val="21"/>
          <w:szCs w:val="21"/>
          <w:highlight w:val="none"/>
        </w:rPr>
        <w:t>计划竣工日期：</w:t>
      </w:r>
      <w:r>
        <w:rPr>
          <w:rFonts w:ascii="宋体" w:hAnsi="宋体"/>
          <w:iCs w:val="0"/>
          <w:color w:val="auto"/>
          <w:sz w:val="21"/>
          <w:szCs w:val="21"/>
          <w:highlight w:val="none"/>
          <w:u w:val="single"/>
        </w:rPr>
        <w:t></w:t>
      </w:r>
      <w:r>
        <w:rPr>
          <w:rFonts w:ascii="宋体" w:hAnsi="宋体"/>
          <w:iCs w:val="0"/>
          <w:color w:val="auto"/>
          <w:sz w:val="21"/>
          <w:szCs w:val="21"/>
          <w:highlight w:val="none"/>
        </w:rPr>
        <w:t>年</w:t>
      </w:r>
      <w:r>
        <w:rPr>
          <w:rFonts w:ascii="宋体" w:hAnsi="宋体"/>
          <w:iCs w:val="0"/>
          <w:color w:val="auto"/>
          <w:sz w:val="21"/>
          <w:szCs w:val="21"/>
          <w:highlight w:val="none"/>
          <w:u w:val="single"/>
        </w:rPr>
        <w:t></w:t>
      </w:r>
      <w:r>
        <w:rPr>
          <w:rFonts w:ascii="宋体" w:hAnsi="宋体"/>
          <w:iCs w:val="0"/>
          <w:color w:val="auto"/>
          <w:sz w:val="21"/>
          <w:szCs w:val="21"/>
          <w:highlight w:val="none"/>
        </w:rPr>
        <w:t>月</w:t>
      </w:r>
      <w:r>
        <w:rPr>
          <w:rFonts w:ascii="宋体" w:hAnsi="宋体"/>
          <w:iCs w:val="0"/>
          <w:color w:val="auto"/>
          <w:sz w:val="21"/>
          <w:szCs w:val="21"/>
          <w:highlight w:val="none"/>
          <w:u w:val="single"/>
        </w:rPr>
        <w:t></w:t>
      </w:r>
      <w:r>
        <w:rPr>
          <w:rFonts w:ascii="宋体" w:hAnsi="宋体"/>
          <w:iCs w:val="0"/>
          <w:color w:val="auto"/>
          <w:sz w:val="21"/>
          <w:szCs w:val="21"/>
          <w:highlight w:val="none"/>
        </w:rPr>
        <w:t>日。</w:t>
      </w:r>
    </w:p>
    <w:p>
      <w:pPr>
        <w:spacing w:line="360" w:lineRule="auto"/>
        <w:ind w:firstLine="459"/>
        <w:rPr>
          <w:rFonts w:ascii="宋体" w:hAnsi="宋体"/>
          <w:iCs w:val="0"/>
          <w:color w:val="auto"/>
          <w:sz w:val="21"/>
          <w:szCs w:val="21"/>
          <w:highlight w:val="none"/>
        </w:rPr>
      </w:pPr>
      <w:r>
        <w:rPr>
          <w:rFonts w:ascii="宋体" w:hAnsi="宋体"/>
          <w:iCs w:val="0"/>
          <w:color w:val="auto"/>
          <w:sz w:val="21"/>
          <w:szCs w:val="21"/>
          <w:highlight w:val="none"/>
        </w:rPr>
        <w:t>工期总日历天数：</w:t>
      </w:r>
      <w:r>
        <w:rPr>
          <w:rFonts w:hint="eastAsia" w:ascii="宋体" w:hAnsi="宋体"/>
          <w:iCs w:val="0"/>
          <w:color w:val="auto"/>
          <w:sz w:val="21"/>
          <w:szCs w:val="21"/>
          <w:highlight w:val="none"/>
        </w:rPr>
        <w:t>个日历</w:t>
      </w:r>
      <w:r>
        <w:rPr>
          <w:rFonts w:ascii="宋体" w:hAnsi="宋体"/>
          <w:iCs w:val="0"/>
          <w:color w:val="auto"/>
          <w:sz w:val="21"/>
          <w:szCs w:val="21"/>
          <w:highlight w:val="none"/>
        </w:rPr>
        <w:t>天。工期总日历天数与根据前述计划开竣工日期计算的工期天数不一致的，以工期总日历天数为准。</w:t>
      </w:r>
    </w:p>
    <w:p>
      <w:pPr>
        <w:keepNext/>
        <w:keepLines/>
        <w:spacing w:before="120" w:after="120" w:line="360" w:lineRule="auto"/>
        <w:outlineLvl w:val="3"/>
        <w:rPr>
          <w:rFonts w:ascii="宋体" w:hAnsi="宋体"/>
          <w:b/>
          <w:bCs/>
          <w:iCs w:val="0"/>
          <w:color w:val="auto"/>
          <w:szCs w:val="28"/>
          <w:highlight w:val="none"/>
        </w:rPr>
      </w:pPr>
      <w:bookmarkStart w:id="131" w:name="_Toc351203483"/>
      <w:r>
        <w:rPr>
          <w:rFonts w:ascii="宋体" w:hAnsi="宋体"/>
          <w:b/>
          <w:bCs/>
          <w:iCs w:val="0"/>
          <w:color w:val="auto"/>
          <w:szCs w:val="28"/>
          <w:highlight w:val="none"/>
        </w:rPr>
        <w:t xml:space="preserve">   三、质量标准</w:t>
      </w:r>
      <w:bookmarkEnd w:id="131"/>
    </w:p>
    <w:p>
      <w:pPr>
        <w:spacing w:line="360" w:lineRule="auto"/>
        <w:ind w:firstLine="459"/>
        <w:rPr>
          <w:rFonts w:ascii="宋体" w:hAnsi="宋体"/>
          <w:iCs w:val="0"/>
          <w:color w:val="auto"/>
          <w:sz w:val="21"/>
          <w:szCs w:val="21"/>
          <w:highlight w:val="none"/>
        </w:rPr>
      </w:pPr>
      <w:r>
        <w:rPr>
          <w:rFonts w:hint="eastAsia" w:ascii="宋体" w:hAnsi="宋体"/>
          <w:iCs w:val="0"/>
          <w:color w:val="auto"/>
          <w:sz w:val="21"/>
          <w:szCs w:val="21"/>
          <w:highlight w:val="none"/>
        </w:rPr>
        <w:t>工程质量符合标准。</w:t>
      </w:r>
    </w:p>
    <w:p>
      <w:pPr>
        <w:keepNext/>
        <w:keepLines/>
        <w:spacing w:before="120" w:after="120" w:line="360" w:lineRule="auto"/>
        <w:outlineLvl w:val="3"/>
        <w:rPr>
          <w:rFonts w:ascii="宋体" w:hAnsi="宋体"/>
          <w:b/>
          <w:bCs/>
          <w:iCs w:val="0"/>
          <w:color w:val="auto"/>
          <w:szCs w:val="28"/>
          <w:highlight w:val="none"/>
        </w:rPr>
      </w:pPr>
      <w:bookmarkStart w:id="132" w:name="_Toc351203484"/>
      <w:r>
        <w:rPr>
          <w:rFonts w:ascii="宋体" w:hAnsi="宋体"/>
          <w:b/>
          <w:bCs/>
          <w:iCs w:val="0"/>
          <w:color w:val="auto"/>
          <w:szCs w:val="28"/>
          <w:highlight w:val="none"/>
        </w:rPr>
        <w:t>四、签约合同价与合同价格形式</w:t>
      </w:r>
      <w:bookmarkEnd w:id="132"/>
      <w:r>
        <w:rPr>
          <w:rFonts w:ascii="宋体" w:hAnsi="宋体"/>
          <w:b/>
          <w:bCs/>
          <w:iCs w:val="0"/>
          <w:color w:val="auto"/>
          <w:szCs w:val="28"/>
          <w:highlight w:val="none"/>
        </w:rPr>
        <w:tab/>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1.签约合同价为：</w:t>
      </w:r>
    </w:p>
    <w:p>
      <w:pPr>
        <w:spacing w:line="360" w:lineRule="auto"/>
        <w:ind w:firstLine="525" w:firstLineChars="250"/>
        <w:rPr>
          <w:rFonts w:ascii="宋体" w:hAnsi="宋体"/>
          <w:iCs w:val="0"/>
          <w:color w:val="auto"/>
          <w:sz w:val="21"/>
          <w:szCs w:val="21"/>
          <w:highlight w:val="none"/>
          <w:u w:val="single"/>
        </w:rPr>
      </w:pPr>
      <w:r>
        <w:rPr>
          <w:rFonts w:ascii="宋体" w:hAnsi="宋体"/>
          <w:iCs w:val="0"/>
          <w:color w:val="auto"/>
          <w:sz w:val="21"/>
          <w:szCs w:val="21"/>
          <w:highlight w:val="none"/>
        </w:rPr>
        <w:t>人民币（大写）(￥)；</w:t>
      </w:r>
      <w:r>
        <w:rPr>
          <w:rFonts w:hint="eastAsia" w:ascii="宋体" w:hAnsi="宋体"/>
          <w:iCs w:val="0"/>
          <w:color w:val="auto"/>
          <w:sz w:val="21"/>
          <w:szCs w:val="21"/>
          <w:highlight w:val="none"/>
          <w:u w:val="single"/>
        </w:rPr>
        <w:t xml:space="preserve">                         </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其中：</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（1）安全文明施工费：</w:t>
      </w:r>
      <w:r>
        <w:rPr>
          <w:rFonts w:hint="eastAsia" w:ascii="宋体" w:hAnsi="宋体"/>
          <w:iCs w:val="0"/>
          <w:color w:val="auto"/>
          <w:sz w:val="21"/>
          <w:szCs w:val="21"/>
          <w:highlight w:val="none"/>
          <w:u w:val="single"/>
        </w:rPr>
        <w:t xml:space="preserve">                         </w:t>
      </w:r>
      <w:r>
        <w:rPr>
          <w:rFonts w:hint="eastAsia" w:ascii="宋体" w:hAnsi="宋体"/>
          <w:iCs w:val="0"/>
          <w:color w:val="auto"/>
          <w:sz w:val="21"/>
          <w:szCs w:val="21"/>
          <w:highlight w:val="none"/>
        </w:rPr>
        <w:t xml:space="preserve">                   </w:t>
      </w:r>
    </w:p>
    <w:p>
      <w:pPr>
        <w:spacing w:line="360" w:lineRule="auto"/>
        <w:ind w:firstLine="420" w:firstLineChars="200"/>
        <w:rPr>
          <w:rFonts w:ascii="宋体" w:hAnsi="宋体"/>
          <w:iCs w:val="0"/>
          <w:color w:val="auto"/>
          <w:sz w:val="21"/>
          <w:szCs w:val="21"/>
          <w:highlight w:val="none"/>
          <w:u w:val="single"/>
        </w:rPr>
      </w:pPr>
      <w:r>
        <w:rPr>
          <w:rFonts w:ascii="宋体" w:hAnsi="宋体"/>
          <w:iCs w:val="0"/>
          <w:color w:val="auto"/>
          <w:sz w:val="21"/>
          <w:szCs w:val="21"/>
          <w:highlight w:val="none"/>
        </w:rPr>
        <w:t>人民币（大写） (￥)；</w:t>
      </w:r>
      <w:r>
        <w:rPr>
          <w:rFonts w:hint="eastAsia" w:ascii="宋体" w:hAnsi="宋体"/>
          <w:iCs w:val="0"/>
          <w:color w:val="auto"/>
          <w:sz w:val="21"/>
          <w:szCs w:val="21"/>
          <w:highlight w:val="none"/>
          <w:u w:val="single"/>
        </w:rPr>
        <w:t xml:space="preserve">                        </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（2）</w:t>
      </w:r>
      <w:r>
        <w:rPr>
          <w:rFonts w:hint="eastAsia" w:ascii="宋体" w:hAnsi="宋体"/>
          <w:iCs w:val="0"/>
          <w:color w:val="auto"/>
          <w:sz w:val="21"/>
          <w:szCs w:val="21"/>
          <w:highlight w:val="none"/>
        </w:rPr>
        <w:t>规费:</w:t>
      </w:r>
    </w:p>
    <w:p>
      <w:pPr>
        <w:spacing w:line="360" w:lineRule="auto"/>
        <w:ind w:firstLine="420" w:firstLineChars="200"/>
        <w:rPr>
          <w:rFonts w:ascii="宋体" w:hAnsi="宋体"/>
          <w:iCs w:val="0"/>
          <w:color w:val="auto"/>
          <w:sz w:val="21"/>
          <w:szCs w:val="21"/>
          <w:highlight w:val="none"/>
          <w:u w:val="single"/>
        </w:rPr>
      </w:pPr>
      <w:r>
        <w:rPr>
          <w:rFonts w:ascii="宋体" w:hAnsi="宋体"/>
          <w:iCs w:val="0"/>
          <w:color w:val="auto"/>
          <w:sz w:val="21"/>
          <w:szCs w:val="21"/>
          <w:highlight w:val="none"/>
        </w:rPr>
        <w:t>人民币（大写） (￥)；</w:t>
      </w:r>
      <w:r>
        <w:rPr>
          <w:rFonts w:hint="eastAsia" w:ascii="宋体" w:hAnsi="宋体"/>
          <w:iCs w:val="0"/>
          <w:color w:val="auto"/>
          <w:sz w:val="21"/>
          <w:szCs w:val="21"/>
          <w:highlight w:val="none"/>
          <w:u w:val="single"/>
        </w:rPr>
        <w:t xml:space="preserve">                         </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2.合同价格形式：</w:t>
      </w:r>
      <w:r>
        <w:rPr>
          <w:rFonts w:hint="eastAsia" w:ascii="宋体" w:hAnsi="宋体"/>
          <w:iCs w:val="0"/>
          <w:color w:val="auto"/>
          <w:sz w:val="21"/>
          <w:szCs w:val="21"/>
          <w:highlight w:val="none"/>
          <w:u w:val="single"/>
        </w:rPr>
        <w:t>/</w:t>
      </w:r>
      <w:r>
        <w:rPr>
          <w:rFonts w:ascii="宋体" w:hAnsi="宋体"/>
          <w:iCs w:val="0"/>
          <w:color w:val="auto"/>
          <w:sz w:val="21"/>
          <w:szCs w:val="21"/>
          <w:highlight w:val="none"/>
        </w:rPr>
        <w:t>。</w:t>
      </w:r>
    </w:p>
    <w:p>
      <w:pPr>
        <w:keepNext/>
        <w:keepLines/>
        <w:spacing w:before="120" w:after="120" w:line="360" w:lineRule="auto"/>
        <w:outlineLvl w:val="3"/>
        <w:rPr>
          <w:rFonts w:ascii="宋体" w:hAnsi="宋体"/>
          <w:b/>
          <w:bCs/>
          <w:iCs w:val="0"/>
          <w:color w:val="auto"/>
          <w:szCs w:val="28"/>
          <w:highlight w:val="none"/>
        </w:rPr>
      </w:pPr>
      <w:bookmarkStart w:id="133" w:name="_Toc351203485"/>
      <w:r>
        <w:rPr>
          <w:rFonts w:ascii="宋体" w:hAnsi="宋体"/>
          <w:b/>
          <w:bCs/>
          <w:iCs w:val="0"/>
          <w:color w:val="auto"/>
          <w:szCs w:val="28"/>
          <w:highlight w:val="none"/>
        </w:rPr>
        <w:t>五、</w:t>
      </w:r>
      <w:bookmarkEnd w:id="133"/>
      <w:r>
        <w:rPr>
          <w:rFonts w:ascii="宋体" w:hAnsi="宋体"/>
          <w:b/>
          <w:bCs/>
          <w:iCs w:val="0"/>
          <w:color w:val="auto"/>
          <w:szCs w:val="28"/>
          <w:highlight w:val="none"/>
        </w:rPr>
        <w:t>项目经理</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承包人项目经理：</w:t>
      </w:r>
      <w:r>
        <w:rPr>
          <w:rFonts w:ascii="宋体" w:hAnsi="宋体"/>
          <w:iCs w:val="0"/>
          <w:color w:val="auto"/>
          <w:sz w:val="21"/>
          <w:szCs w:val="21"/>
          <w:highlight w:val="none"/>
          <w:u w:val="single"/>
        </w:rPr>
        <w:t>         </w:t>
      </w:r>
      <w:r>
        <w:rPr>
          <w:rFonts w:ascii="宋体" w:hAnsi="宋体"/>
          <w:iCs w:val="0"/>
          <w:color w:val="auto"/>
          <w:sz w:val="21"/>
          <w:szCs w:val="21"/>
          <w:highlight w:val="none"/>
        </w:rPr>
        <w:t>。</w:t>
      </w:r>
    </w:p>
    <w:p>
      <w:pPr>
        <w:keepNext/>
        <w:keepLines/>
        <w:spacing w:before="120" w:after="120" w:line="360" w:lineRule="auto"/>
        <w:outlineLvl w:val="3"/>
        <w:rPr>
          <w:rFonts w:ascii="宋体" w:hAnsi="宋体"/>
          <w:b/>
          <w:bCs/>
          <w:iCs w:val="0"/>
          <w:color w:val="auto"/>
          <w:szCs w:val="28"/>
          <w:highlight w:val="none"/>
        </w:rPr>
      </w:pPr>
      <w:bookmarkStart w:id="134" w:name="_Toc351203486"/>
      <w:r>
        <w:rPr>
          <w:rFonts w:ascii="宋体" w:hAnsi="宋体"/>
          <w:b/>
          <w:bCs/>
          <w:iCs w:val="0"/>
          <w:color w:val="auto"/>
          <w:szCs w:val="28"/>
          <w:highlight w:val="none"/>
        </w:rPr>
        <w:t>六、合同文件构成</w:t>
      </w:r>
      <w:bookmarkEnd w:id="134"/>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本协议书与下列文件一起构成合同文件：</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（1）中标通知书（如果有）；</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 xml:space="preserve">（2）投标函及其附录（如果有）； </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（3）专用合同条款及其附件；</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（4）通用合同条款；</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（5）技术标准和要求；</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（6）图纸；</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（7）已标价工程量清单或预算书；</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（8）其他合同文件。</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在合同订立及履行过程中形成的与合同有关的文件均构成合同文件组成部分。</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上述各项合同文件包括合同当事人就该项合同文件所作出的补充和修改，属于同一类内容的文件，应以最新签署的为准。</w:t>
      </w:r>
      <w:r>
        <w:rPr>
          <w:rFonts w:hint="eastAsia" w:ascii="宋体" w:hAnsi="宋体"/>
          <w:iCs w:val="0"/>
          <w:color w:val="auto"/>
          <w:sz w:val="21"/>
          <w:szCs w:val="21"/>
          <w:highlight w:val="none"/>
        </w:rPr>
        <w:t>专用合同条款及其附件须经合同当事人签字或盖章。</w:t>
      </w:r>
    </w:p>
    <w:p>
      <w:pPr>
        <w:keepNext/>
        <w:keepLines/>
        <w:spacing w:before="120" w:after="120" w:line="360" w:lineRule="auto"/>
        <w:outlineLvl w:val="3"/>
        <w:rPr>
          <w:rFonts w:ascii="宋体" w:hAnsi="宋体"/>
          <w:b/>
          <w:bCs/>
          <w:iCs w:val="0"/>
          <w:color w:val="auto"/>
          <w:szCs w:val="28"/>
          <w:highlight w:val="none"/>
        </w:rPr>
      </w:pPr>
      <w:bookmarkStart w:id="135" w:name="_Toc351203487"/>
      <w:r>
        <w:rPr>
          <w:rFonts w:ascii="宋体" w:hAnsi="宋体"/>
          <w:b/>
          <w:bCs/>
          <w:iCs w:val="0"/>
          <w:color w:val="auto"/>
          <w:szCs w:val="28"/>
          <w:highlight w:val="none"/>
        </w:rPr>
        <w:t>七、承诺</w:t>
      </w:r>
      <w:bookmarkEnd w:id="135"/>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1.发包人承诺按照法律规定履行项目审批手续、筹集工程建设资金并按照合同约定的期限和方式支付合同价款。</w:t>
      </w:r>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3.发包人和承包人通过招投标形式签订合同的，双方理解并</w:t>
      </w:r>
      <w:r>
        <w:rPr>
          <w:rFonts w:hint="eastAsia" w:ascii="宋体" w:hAnsi="宋体"/>
          <w:bCs/>
          <w:iCs w:val="0"/>
          <w:color w:val="auto"/>
          <w:sz w:val="21"/>
          <w:szCs w:val="21"/>
          <w:highlight w:val="none"/>
        </w:rPr>
        <w:t>承诺</w:t>
      </w:r>
      <w:r>
        <w:rPr>
          <w:rFonts w:ascii="宋体" w:hAnsi="宋体"/>
          <w:bCs/>
          <w:iCs w:val="0"/>
          <w:color w:val="auto"/>
          <w:sz w:val="21"/>
          <w:szCs w:val="21"/>
          <w:highlight w:val="none"/>
        </w:rPr>
        <w:t>不再就同一工程另行签订与合同实质性内容相背离的协议。</w:t>
      </w:r>
    </w:p>
    <w:p>
      <w:pPr>
        <w:keepNext/>
        <w:keepLines/>
        <w:spacing w:before="120" w:after="120" w:line="360" w:lineRule="auto"/>
        <w:outlineLvl w:val="3"/>
        <w:rPr>
          <w:rFonts w:ascii="宋体" w:hAnsi="宋体"/>
          <w:b/>
          <w:bCs/>
          <w:iCs w:val="0"/>
          <w:color w:val="auto"/>
          <w:szCs w:val="28"/>
          <w:highlight w:val="none"/>
        </w:rPr>
      </w:pPr>
      <w:bookmarkStart w:id="136" w:name="_Toc351203488"/>
      <w:r>
        <w:rPr>
          <w:rFonts w:ascii="宋体" w:hAnsi="宋体"/>
          <w:b/>
          <w:bCs/>
          <w:iCs w:val="0"/>
          <w:color w:val="auto"/>
          <w:szCs w:val="28"/>
          <w:highlight w:val="none"/>
        </w:rPr>
        <w:t>八、词语含义</w:t>
      </w:r>
      <w:bookmarkEnd w:id="136"/>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本协议书中词语含义与第二部分通用合同条款中赋予的含义相同。</w:t>
      </w:r>
    </w:p>
    <w:p>
      <w:pPr>
        <w:keepNext/>
        <w:keepLines/>
        <w:spacing w:before="120" w:after="120" w:line="360" w:lineRule="auto"/>
        <w:outlineLvl w:val="3"/>
        <w:rPr>
          <w:rFonts w:ascii="宋体" w:hAnsi="宋体"/>
          <w:b/>
          <w:bCs/>
          <w:iCs w:val="0"/>
          <w:color w:val="auto"/>
          <w:szCs w:val="28"/>
          <w:highlight w:val="none"/>
        </w:rPr>
      </w:pPr>
      <w:bookmarkStart w:id="137" w:name="_Toc351203489"/>
      <w:r>
        <w:rPr>
          <w:rFonts w:ascii="宋体" w:hAnsi="宋体"/>
          <w:b/>
          <w:bCs/>
          <w:iCs w:val="0"/>
          <w:color w:val="auto"/>
          <w:szCs w:val="28"/>
          <w:highlight w:val="none"/>
        </w:rPr>
        <w:t xml:space="preserve"> 九、签订时间</w:t>
      </w:r>
      <w:bookmarkEnd w:id="137"/>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本合同于年月日签订。</w:t>
      </w:r>
    </w:p>
    <w:p>
      <w:pPr>
        <w:keepNext/>
        <w:keepLines/>
        <w:spacing w:before="120" w:after="120" w:line="360" w:lineRule="auto"/>
        <w:outlineLvl w:val="3"/>
        <w:rPr>
          <w:rFonts w:ascii="宋体" w:hAnsi="宋体"/>
          <w:b/>
          <w:bCs/>
          <w:iCs w:val="0"/>
          <w:color w:val="auto"/>
          <w:szCs w:val="28"/>
          <w:highlight w:val="none"/>
        </w:rPr>
      </w:pPr>
      <w:bookmarkStart w:id="138" w:name="_Toc351203490"/>
      <w:r>
        <w:rPr>
          <w:rFonts w:ascii="宋体" w:hAnsi="宋体"/>
          <w:b/>
          <w:bCs/>
          <w:iCs w:val="0"/>
          <w:color w:val="auto"/>
          <w:szCs w:val="28"/>
          <w:highlight w:val="none"/>
        </w:rPr>
        <w:t xml:space="preserve">   十、签订地点</w:t>
      </w:r>
      <w:bookmarkEnd w:id="138"/>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本合同在签订。</w:t>
      </w:r>
    </w:p>
    <w:p>
      <w:pPr>
        <w:keepNext/>
        <w:keepLines/>
        <w:spacing w:before="120" w:after="120" w:line="360" w:lineRule="auto"/>
        <w:outlineLvl w:val="3"/>
        <w:rPr>
          <w:rFonts w:ascii="宋体" w:hAnsi="宋体"/>
          <w:b/>
          <w:bCs/>
          <w:iCs w:val="0"/>
          <w:color w:val="auto"/>
          <w:szCs w:val="28"/>
          <w:highlight w:val="none"/>
        </w:rPr>
      </w:pPr>
      <w:bookmarkStart w:id="139" w:name="_Toc351203491"/>
      <w:r>
        <w:rPr>
          <w:rFonts w:ascii="宋体" w:hAnsi="宋体"/>
          <w:b/>
          <w:bCs/>
          <w:iCs w:val="0"/>
          <w:color w:val="auto"/>
          <w:szCs w:val="28"/>
          <w:highlight w:val="none"/>
        </w:rPr>
        <w:t xml:space="preserve">   十一、补充协议</w:t>
      </w:r>
      <w:bookmarkEnd w:id="139"/>
    </w:p>
    <w:p>
      <w:pPr>
        <w:spacing w:line="360" w:lineRule="auto"/>
        <w:ind w:firstLine="420" w:firstLineChars="200"/>
        <w:rPr>
          <w:rFonts w:ascii="宋体" w:hAnsi="宋体"/>
          <w:b/>
          <w:bCs/>
          <w:iCs w:val="0"/>
          <w:color w:val="auto"/>
          <w:sz w:val="21"/>
          <w:szCs w:val="21"/>
          <w:highlight w:val="none"/>
        </w:rPr>
      </w:pPr>
      <w:r>
        <w:rPr>
          <w:rFonts w:ascii="宋体" w:hAnsi="宋体"/>
          <w:bCs/>
          <w:iCs w:val="0"/>
          <w:color w:val="auto"/>
          <w:sz w:val="21"/>
          <w:szCs w:val="21"/>
          <w:highlight w:val="none"/>
        </w:rPr>
        <w:t>合同未尽事宜，合同当事人另行签订补充协议</w:t>
      </w:r>
      <w:r>
        <w:rPr>
          <w:rFonts w:hint="eastAsia" w:ascii="宋体" w:hAnsi="宋体"/>
          <w:bCs/>
          <w:iCs w:val="0"/>
          <w:color w:val="auto"/>
          <w:sz w:val="21"/>
          <w:szCs w:val="21"/>
          <w:highlight w:val="none"/>
        </w:rPr>
        <w:t>，</w:t>
      </w:r>
      <w:r>
        <w:rPr>
          <w:rFonts w:ascii="宋体" w:hAnsi="宋体"/>
          <w:bCs/>
          <w:iCs w:val="0"/>
          <w:color w:val="auto"/>
          <w:sz w:val="21"/>
          <w:szCs w:val="21"/>
          <w:highlight w:val="none"/>
        </w:rPr>
        <w:t>补充协议是合同的组成部分。</w:t>
      </w:r>
    </w:p>
    <w:p>
      <w:pPr>
        <w:keepNext/>
        <w:keepLines/>
        <w:spacing w:before="120" w:after="120" w:line="360" w:lineRule="auto"/>
        <w:outlineLvl w:val="3"/>
        <w:rPr>
          <w:rFonts w:ascii="宋体" w:hAnsi="宋体"/>
          <w:b/>
          <w:bCs/>
          <w:iCs w:val="0"/>
          <w:color w:val="auto"/>
          <w:szCs w:val="28"/>
          <w:highlight w:val="none"/>
        </w:rPr>
      </w:pPr>
      <w:bookmarkStart w:id="140" w:name="_Toc351203492"/>
      <w:r>
        <w:rPr>
          <w:rFonts w:ascii="宋体" w:hAnsi="宋体"/>
          <w:b/>
          <w:bCs/>
          <w:iCs w:val="0"/>
          <w:color w:val="auto"/>
          <w:szCs w:val="28"/>
          <w:highlight w:val="none"/>
        </w:rPr>
        <w:t xml:space="preserve">   十二、合同生效</w:t>
      </w:r>
      <w:bookmarkEnd w:id="140"/>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本合同自</w:t>
      </w:r>
      <w:r>
        <w:rPr>
          <w:rFonts w:ascii="宋体" w:hAnsi="宋体"/>
          <w:iCs w:val="0"/>
          <w:color w:val="auto"/>
          <w:sz w:val="21"/>
          <w:szCs w:val="21"/>
          <w:highlight w:val="none"/>
          <w:u w:val="single"/>
        </w:rPr>
        <w:t xml:space="preserve">      </w:t>
      </w:r>
      <w:r>
        <w:rPr>
          <w:rFonts w:ascii="宋体" w:hAnsi="宋体"/>
          <w:bCs/>
          <w:iCs w:val="0"/>
          <w:color w:val="auto"/>
          <w:sz w:val="21"/>
          <w:szCs w:val="21"/>
          <w:highlight w:val="none"/>
        </w:rPr>
        <w:t>生效。</w:t>
      </w:r>
    </w:p>
    <w:p>
      <w:pPr>
        <w:keepNext/>
        <w:keepLines/>
        <w:spacing w:before="120" w:after="120" w:line="360" w:lineRule="auto"/>
        <w:outlineLvl w:val="3"/>
        <w:rPr>
          <w:rFonts w:ascii="宋体" w:hAnsi="宋体"/>
          <w:b/>
          <w:bCs/>
          <w:iCs w:val="0"/>
          <w:color w:val="auto"/>
          <w:szCs w:val="28"/>
          <w:highlight w:val="none"/>
        </w:rPr>
      </w:pPr>
      <w:bookmarkStart w:id="141" w:name="_Toc351203493"/>
      <w:r>
        <w:rPr>
          <w:rFonts w:ascii="宋体" w:hAnsi="宋体"/>
          <w:b/>
          <w:bCs/>
          <w:iCs w:val="0"/>
          <w:color w:val="auto"/>
          <w:szCs w:val="28"/>
          <w:highlight w:val="none"/>
        </w:rPr>
        <w:t xml:space="preserve">   十三、合同份数</w:t>
      </w:r>
      <w:bookmarkEnd w:id="141"/>
    </w:p>
    <w:p>
      <w:pPr>
        <w:spacing w:line="360" w:lineRule="auto"/>
        <w:ind w:firstLine="420" w:firstLineChars="200"/>
        <w:rPr>
          <w:rFonts w:ascii="宋体" w:hAnsi="宋体"/>
          <w:bCs/>
          <w:iCs w:val="0"/>
          <w:color w:val="auto"/>
          <w:sz w:val="21"/>
          <w:szCs w:val="21"/>
          <w:highlight w:val="none"/>
        </w:rPr>
      </w:pPr>
      <w:r>
        <w:rPr>
          <w:rFonts w:ascii="宋体" w:hAnsi="宋体"/>
          <w:bCs/>
          <w:iCs w:val="0"/>
          <w:color w:val="auto"/>
          <w:sz w:val="21"/>
          <w:szCs w:val="21"/>
          <w:highlight w:val="none"/>
        </w:rPr>
        <w:t>本合同一式份，均具有同等法律效力，发包人执</w:t>
      </w:r>
      <w:r>
        <w:rPr>
          <w:rFonts w:ascii="宋体" w:hAnsi="宋体"/>
          <w:iCs w:val="0"/>
          <w:color w:val="auto"/>
          <w:sz w:val="21"/>
          <w:szCs w:val="21"/>
          <w:highlight w:val="none"/>
          <w:u w:val="single"/>
        </w:rPr>
        <w:t></w:t>
      </w:r>
      <w:r>
        <w:rPr>
          <w:rFonts w:ascii="宋体" w:hAnsi="宋体"/>
          <w:bCs/>
          <w:iCs w:val="0"/>
          <w:color w:val="auto"/>
          <w:sz w:val="21"/>
          <w:szCs w:val="21"/>
          <w:highlight w:val="none"/>
        </w:rPr>
        <w:t>份，承包人执份。</w:t>
      </w:r>
    </w:p>
    <w:p>
      <w:pPr>
        <w:spacing w:line="360" w:lineRule="auto"/>
        <w:rPr>
          <w:rFonts w:ascii="宋体" w:hAnsi="宋体"/>
          <w:iCs w:val="0"/>
          <w:color w:val="auto"/>
          <w:sz w:val="21"/>
          <w:szCs w:val="21"/>
          <w:highlight w:val="none"/>
        </w:rPr>
      </w:pPr>
    </w:p>
    <w:p>
      <w:pPr>
        <w:spacing w:line="360" w:lineRule="auto"/>
        <w:rPr>
          <w:rFonts w:ascii="宋体" w:hAnsi="宋体"/>
          <w:iCs w:val="0"/>
          <w:color w:val="auto"/>
          <w:sz w:val="21"/>
          <w:szCs w:val="21"/>
          <w:highlight w:val="none"/>
          <w:u w:val="single"/>
        </w:rPr>
      </w:pPr>
      <w:r>
        <w:rPr>
          <w:rFonts w:ascii="宋体" w:hAnsi="宋体"/>
          <w:iCs w:val="0"/>
          <w:color w:val="auto"/>
          <w:sz w:val="21"/>
          <w:szCs w:val="21"/>
          <w:highlight w:val="none"/>
        </w:rPr>
        <w:t>发包人</w:t>
      </w:r>
      <w:r>
        <w:rPr>
          <w:rFonts w:hint="eastAsia" w:ascii="宋体" w:hAnsi="宋体"/>
          <w:iCs w:val="0"/>
          <w:color w:val="auto"/>
          <w:sz w:val="21"/>
          <w:szCs w:val="21"/>
          <w:highlight w:val="none"/>
        </w:rPr>
        <w:t>：</w:t>
      </w:r>
      <w:r>
        <w:rPr>
          <w:rFonts w:ascii="宋体" w:hAnsi="宋体"/>
          <w:iCs w:val="0"/>
          <w:color w:val="auto"/>
          <w:sz w:val="21"/>
          <w:szCs w:val="21"/>
          <w:highlight w:val="none"/>
          <w:u w:val="single"/>
        </w:rPr>
        <w:t>(盖章)</w:t>
      </w:r>
      <w:r>
        <w:rPr>
          <w:rFonts w:ascii="宋体" w:hAnsi="宋体"/>
          <w:iCs w:val="0"/>
          <w:color w:val="auto"/>
          <w:sz w:val="21"/>
          <w:szCs w:val="21"/>
          <w:highlight w:val="none"/>
        </w:rPr>
        <w:t>承包人</w:t>
      </w:r>
      <w:r>
        <w:rPr>
          <w:rFonts w:hint="eastAsia" w:ascii="宋体" w:hAnsi="宋体"/>
          <w:iCs w:val="0"/>
          <w:color w:val="auto"/>
          <w:sz w:val="21"/>
          <w:szCs w:val="21"/>
          <w:highlight w:val="none"/>
        </w:rPr>
        <w:t>：</w:t>
      </w:r>
      <w:r>
        <w:rPr>
          <w:rFonts w:ascii="宋体" w:hAnsi="宋体"/>
          <w:iCs w:val="0"/>
          <w:color w:val="auto"/>
          <w:sz w:val="21"/>
          <w:szCs w:val="21"/>
          <w:highlight w:val="none"/>
          <w:u w:val="single"/>
        </w:rPr>
        <w:t>(盖章)</w:t>
      </w:r>
    </w:p>
    <w:p>
      <w:pPr>
        <w:spacing w:line="360" w:lineRule="auto"/>
        <w:rPr>
          <w:rFonts w:ascii="宋体" w:hAnsi="宋体"/>
          <w:iCs w:val="0"/>
          <w:color w:val="auto"/>
          <w:sz w:val="21"/>
          <w:szCs w:val="21"/>
          <w:highlight w:val="none"/>
          <w:u w:val="single"/>
        </w:rPr>
      </w:pPr>
    </w:p>
    <w:p>
      <w:pPr>
        <w:spacing w:line="360" w:lineRule="auto"/>
        <w:rPr>
          <w:rFonts w:ascii="宋体" w:hAnsi="宋体"/>
          <w:iCs w:val="0"/>
          <w:color w:val="auto"/>
          <w:sz w:val="21"/>
          <w:szCs w:val="21"/>
          <w:highlight w:val="none"/>
        </w:rPr>
      </w:pPr>
      <w:r>
        <w:rPr>
          <w:rFonts w:hint="eastAsia" w:ascii="宋体" w:hAnsi="宋体"/>
          <w:iCs w:val="0"/>
          <w:color w:val="auto"/>
          <w:sz w:val="21"/>
          <w:szCs w:val="21"/>
          <w:highlight w:val="none"/>
        </w:rPr>
        <w:t>法定代表人或其委托代理人：                      法定代表人或其委托代理人：</w:t>
      </w:r>
    </w:p>
    <w:p>
      <w:pPr>
        <w:spacing w:line="360" w:lineRule="auto"/>
        <w:rPr>
          <w:rFonts w:ascii="宋体" w:hAnsi="宋体"/>
          <w:iCs w:val="0"/>
          <w:color w:val="auto"/>
          <w:sz w:val="21"/>
          <w:szCs w:val="21"/>
          <w:highlight w:val="none"/>
        </w:rPr>
      </w:pPr>
      <w:r>
        <w:rPr>
          <w:rFonts w:hint="eastAsia" w:ascii="宋体" w:hAnsi="宋体"/>
          <w:iCs w:val="0"/>
          <w:color w:val="auto"/>
          <w:sz w:val="21"/>
          <w:szCs w:val="21"/>
          <w:highlight w:val="none"/>
        </w:rPr>
        <w:t>（签字或盖章）                                       （签字或盖章）</w:t>
      </w:r>
    </w:p>
    <w:p>
      <w:pPr>
        <w:tabs>
          <w:tab w:val="left" w:pos="4410"/>
        </w:tabs>
        <w:spacing w:line="360" w:lineRule="auto"/>
        <w:rPr>
          <w:rFonts w:ascii="宋体" w:hAnsi="宋体"/>
          <w:iCs w:val="0"/>
          <w:color w:val="auto"/>
          <w:sz w:val="21"/>
          <w:szCs w:val="21"/>
          <w:highlight w:val="none"/>
        </w:rPr>
      </w:pPr>
      <w:r>
        <w:rPr>
          <w:rFonts w:hint="eastAsia" w:ascii="宋体" w:hAnsi="宋体"/>
          <w:iCs w:val="0"/>
          <w:color w:val="auto"/>
          <w:sz w:val="21"/>
          <w:szCs w:val="21"/>
          <w:highlight w:val="none"/>
        </w:rPr>
        <w:t>组织机构代码：</w:t>
      </w:r>
      <w:r>
        <w:rPr>
          <w:rFonts w:ascii="宋体" w:hAnsi="宋体"/>
          <w:iCs w:val="0"/>
          <w:color w:val="auto"/>
          <w:sz w:val="21"/>
          <w:szCs w:val="21"/>
          <w:highlight w:val="none"/>
          <w:u w:val="single"/>
        </w:rPr>
        <w:t xml:space="preserve">      </w:t>
      </w:r>
      <w:r>
        <w:rPr>
          <w:rFonts w:hint="eastAsia" w:ascii="宋体" w:hAnsi="宋体"/>
          <w:iCs w:val="0"/>
          <w:color w:val="auto"/>
          <w:sz w:val="21"/>
          <w:szCs w:val="21"/>
          <w:highlight w:val="none"/>
        </w:rPr>
        <w:t xml:space="preserve">                    组织机构代码：</w:t>
      </w:r>
      <w:r>
        <w:rPr>
          <w:rFonts w:ascii="宋体" w:hAnsi="宋体"/>
          <w:iCs w:val="0"/>
          <w:color w:val="auto"/>
          <w:sz w:val="21"/>
          <w:szCs w:val="21"/>
          <w:highlight w:val="none"/>
          <w:u w:val="single"/>
        </w:rPr>
        <w:t xml:space="preserve"> 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地  址：</w:t>
      </w:r>
      <w:r>
        <w:rPr>
          <w:rFonts w:ascii="宋体" w:hAnsi="宋体"/>
          <w:iCs w:val="0"/>
          <w:color w:val="auto"/>
          <w:sz w:val="21"/>
          <w:szCs w:val="21"/>
          <w:highlight w:val="none"/>
          <w:u w:val="single"/>
        </w:rPr>
        <w:t xml:space="preserve">     </w:t>
      </w:r>
      <w:r>
        <w:rPr>
          <w:rFonts w:ascii="宋体" w:hAnsi="宋体"/>
          <w:iCs w:val="0"/>
          <w:color w:val="auto"/>
          <w:sz w:val="21"/>
          <w:szCs w:val="21"/>
          <w:highlight w:val="none"/>
        </w:rPr>
        <w:t>地  址：</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邮政编码：</w:t>
      </w:r>
      <w:r>
        <w:rPr>
          <w:rFonts w:ascii="宋体" w:hAnsi="宋体"/>
          <w:iCs w:val="0"/>
          <w:color w:val="auto"/>
          <w:sz w:val="21"/>
          <w:szCs w:val="21"/>
          <w:highlight w:val="none"/>
          <w:u w:val="single"/>
        </w:rPr>
        <w:t xml:space="preserve">   </w:t>
      </w:r>
      <w:r>
        <w:rPr>
          <w:rFonts w:ascii="宋体" w:hAnsi="宋体"/>
          <w:iCs w:val="0"/>
          <w:color w:val="auto"/>
          <w:sz w:val="21"/>
          <w:szCs w:val="21"/>
          <w:highlight w:val="none"/>
        </w:rPr>
        <w:t>邮政编码：</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法定代表人：</w:t>
      </w:r>
      <w:r>
        <w:rPr>
          <w:rFonts w:ascii="宋体" w:hAnsi="宋体"/>
          <w:iCs w:val="0"/>
          <w:color w:val="auto"/>
          <w:sz w:val="21"/>
          <w:szCs w:val="21"/>
          <w:highlight w:val="none"/>
          <w:u w:val="single"/>
        </w:rPr>
        <w:t></w:t>
      </w:r>
      <w:r>
        <w:rPr>
          <w:rFonts w:ascii="宋体" w:hAnsi="宋体"/>
          <w:iCs w:val="0"/>
          <w:color w:val="auto"/>
          <w:sz w:val="21"/>
          <w:szCs w:val="21"/>
          <w:highlight w:val="none"/>
        </w:rPr>
        <w:t>法定代表人：</w:t>
      </w:r>
      <w:r>
        <w:rPr>
          <w:rFonts w:ascii="宋体" w:hAnsi="宋体"/>
          <w:iCs w:val="0"/>
          <w:color w:val="auto"/>
          <w:sz w:val="21"/>
          <w:szCs w:val="21"/>
          <w:highlight w:val="none"/>
          <w:u w:val="single"/>
        </w:rPr>
        <w:t></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委托代理人：</w:t>
      </w:r>
      <w:r>
        <w:rPr>
          <w:rFonts w:ascii="宋体" w:hAnsi="宋体"/>
          <w:iCs w:val="0"/>
          <w:color w:val="auto"/>
          <w:sz w:val="21"/>
          <w:szCs w:val="21"/>
          <w:highlight w:val="none"/>
          <w:u w:val="single"/>
        </w:rPr>
        <w:t xml:space="preserve"> </w:t>
      </w:r>
      <w:r>
        <w:rPr>
          <w:rFonts w:ascii="宋体" w:hAnsi="宋体"/>
          <w:iCs w:val="0"/>
          <w:color w:val="auto"/>
          <w:sz w:val="21"/>
          <w:szCs w:val="21"/>
          <w:highlight w:val="none"/>
        </w:rPr>
        <w:t>委托代理人：</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电  话：</w:t>
      </w:r>
      <w:r>
        <w:rPr>
          <w:rFonts w:ascii="宋体" w:hAnsi="宋体"/>
          <w:iCs w:val="0"/>
          <w:color w:val="auto"/>
          <w:sz w:val="21"/>
          <w:szCs w:val="21"/>
          <w:highlight w:val="none"/>
          <w:u w:val="single"/>
        </w:rPr>
        <w:t></w:t>
      </w:r>
      <w:r>
        <w:rPr>
          <w:rFonts w:ascii="宋体" w:hAnsi="宋体"/>
          <w:iCs w:val="0"/>
          <w:color w:val="auto"/>
          <w:sz w:val="21"/>
          <w:szCs w:val="21"/>
          <w:highlight w:val="none"/>
        </w:rPr>
        <w:t>电  话：</w:t>
      </w:r>
      <w:r>
        <w:rPr>
          <w:rFonts w:ascii="宋体" w:hAnsi="宋体"/>
          <w:iCs w:val="0"/>
          <w:color w:val="auto"/>
          <w:sz w:val="21"/>
          <w:szCs w:val="21"/>
          <w:highlight w:val="none"/>
          <w:u w:val="single"/>
        </w:rPr>
        <w:t></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传  真：</w:t>
      </w:r>
      <w:r>
        <w:rPr>
          <w:rFonts w:ascii="宋体" w:hAnsi="宋体"/>
          <w:iCs w:val="0"/>
          <w:color w:val="auto"/>
          <w:sz w:val="21"/>
          <w:szCs w:val="21"/>
          <w:highlight w:val="none"/>
          <w:u w:val="single"/>
        </w:rPr>
        <w:t xml:space="preserve"> </w:t>
      </w:r>
      <w:r>
        <w:rPr>
          <w:rFonts w:ascii="宋体" w:hAnsi="宋体"/>
          <w:iCs w:val="0"/>
          <w:color w:val="auto"/>
          <w:sz w:val="21"/>
          <w:szCs w:val="21"/>
          <w:highlight w:val="none"/>
        </w:rPr>
        <w:t>传  真：</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电子信箱：电子信箱：</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开户银行：</w:t>
      </w:r>
      <w:r>
        <w:rPr>
          <w:rFonts w:ascii="宋体" w:hAnsi="宋体"/>
          <w:iCs w:val="0"/>
          <w:color w:val="auto"/>
          <w:sz w:val="21"/>
          <w:szCs w:val="21"/>
          <w:highlight w:val="none"/>
          <w:u w:val="single"/>
        </w:rPr>
        <w:t xml:space="preserve">   </w:t>
      </w:r>
      <w:r>
        <w:rPr>
          <w:rFonts w:ascii="宋体" w:hAnsi="宋体"/>
          <w:iCs w:val="0"/>
          <w:color w:val="auto"/>
          <w:sz w:val="21"/>
          <w:szCs w:val="21"/>
          <w:highlight w:val="none"/>
        </w:rPr>
        <w:t>开户银行：</w:t>
      </w:r>
      <w:r>
        <w:rPr>
          <w:rFonts w:ascii="宋体" w:hAnsi="宋体"/>
          <w:iCs w:val="0"/>
          <w:color w:val="auto"/>
          <w:sz w:val="21"/>
          <w:szCs w:val="21"/>
          <w:highlight w:val="none"/>
          <w:u w:val="single"/>
        </w:rPr>
        <w:t xml:space="preserve">   </w:t>
      </w:r>
    </w:p>
    <w:p>
      <w:pPr>
        <w:spacing w:line="360" w:lineRule="auto"/>
        <w:rPr>
          <w:rFonts w:ascii="宋体" w:hAnsi="宋体"/>
          <w:iCs w:val="0"/>
          <w:color w:val="auto"/>
          <w:sz w:val="21"/>
          <w:szCs w:val="21"/>
          <w:highlight w:val="none"/>
          <w:u w:val="single"/>
        </w:rPr>
      </w:pPr>
      <w:r>
        <w:rPr>
          <w:rFonts w:ascii="宋体" w:hAnsi="宋体"/>
          <w:iCs w:val="0"/>
          <w:color w:val="auto"/>
          <w:sz w:val="21"/>
          <w:szCs w:val="21"/>
          <w:highlight w:val="none"/>
        </w:rPr>
        <w:t>账  号：</w:t>
      </w:r>
      <w:r>
        <w:rPr>
          <w:rFonts w:ascii="宋体" w:hAnsi="宋体"/>
          <w:iCs w:val="0"/>
          <w:color w:val="auto"/>
          <w:sz w:val="21"/>
          <w:szCs w:val="21"/>
          <w:highlight w:val="none"/>
          <w:u w:val="single"/>
        </w:rPr>
        <w:t xml:space="preserve">       </w:t>
      </w:r>
      <w:r>
        <w:rPr>
          <w:rFonts w:ascii="宋体" w:hAnsi="宋体"/>
          <w:iCs w:val="0"/>
          <w:color w:val="auto"/>
          <w:sz w:val="21"/>
          <w:szCs w:val="21"/>
          <w:highlight w:val="none"/>
        </w:rPr>
        <w:t>账 号：</w:t>
      </w:r>
      <w:r>
        <w:rPr>
          <w:rFonts w:ascii="宋体" w:hAnsi="宋体"/>
          <w:iCs w:val="0"/>
          <w:color w:val="auto"/>
          <w:sz w:val="21"/>
          <w:szCs w:val="21"/>
          <w:highlight w:val="none"/>
          <w:u w:val="single"/>
        </w:rPr>
        <w:t></w:t>
      </w:r>
    </w:p>
    <w:p>
      <w:pPr>
        <w:spacing w:line="360" w:lineRule="auto"/>
        <w:rPr>
          <w:rFonts w:ascii="宋体" w:hAnsi="宋体"/>
          <w:iCs w:val="0"/>
          <w:color w:val="auto"/>
          <w:sz w:val="21"/>
          <w:szCs w:val="21"/>
          <w:highlight w:val="none"/>
          <w:u w:val="single"/>
        </w:rPr>
      </w:pP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br w:type="page"/>
      </w:r>
      <w:bookmarkStart w:id="142" w:name="_Toc351203494"/>
    </w:p>
    <w:p>
      <w:pPr>
        <w:keepNext/>
        <w:keepLines/>
        <w:spacing w:after="120" w:line="360" w:lineRule="auto"/>
        <w:jc w:val="center"/>
        <w:outlineLvl w:val="2"/>
        <w:rPr>
          <w:rFonts w:ascii="宋体" w:hAnsi="宋体"/>
          <w:b/>
          <w:bCs/>
          <w:iCs w:val="0"/>
          <w:color w:val="auto"/>
          <w:szCs w:val="28"/>
          <w:highlight w:val="none"/>
        </w:rPr>
      </w:pPr>
      <w:r>
        <w:rPr>
          <w:rFonts w:ascii="宋体" w:hAnsi="宋体"/>
          <w:b/>
          <w:bCs/>
          <w:iCs w:val="0"/>
          <w:color w:val="auto"/>
          <w:szCs w:val="28"/>
          <w:highlight w:val="none"/>
        </w:rPr>
        <w:t>第二部分 通用合同条款</w:t>
      </w:r>
      <w:bookmarkEnd w:id="142"/>
      <w:bookmarkStart w:id="143" w:name="_Toc337558727"/>
    </w:p>
    <w:bookmarkEnd w:id="143"/>
    <w:p>
      <w:pPr>
        <w:keepNext/>
        <w:keepLines/>
        <w:spacing w:before="120" w:after="120" w:line="360" w:lineRule="auto"/>
        <w:outlineLvl w:val="3"/>
        <w:rPr>
          <w:rFonts w:ascii="宋体" w:hAnsi="宋体"/>
          <w:bCs/>
          <w:iCs w:val="0"/>
          <w:color w:val="auto"/>
          <w:sz w:val="21"/>
          <w:szCs w:val="21"/>
          <w:highlight w:val="none"/>
        </w:rPr>
      </w:pPr>
      <w:bookmarkStart w:id="144" w:name="_Toc351203495"/>
      <w:r>
        <w:rPr>
          <w:rFonts w:ascii="宋体" w:hAnsi="宋体"/>
          <w:bCs/>
          <w:iCs w:val="0"/>
          <w:color w:val="auto"/>
          <w:sz w:val="21"/>
          <w:szCs w:val="21"/>
          <w:highlight w:val="none"/>
        </w:rPr>
        <w:t>1. 一般约定</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1.1词语定义与解释</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合同协议书、通用合同条款、专用合同条款中的下列词语具有本款所赋予的含义：</w:t>
      </w:r>
    </w:p>
    <w:p>
      <w:pPr>
        <w:autoSpaceDE w:val="0"/>
        <w:autoSpaceDN w:val="0"/>
        <w:adjustRightInd w:val="0"/>
        <w:spacing w:line="360" w:lineRule="auto"/>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1.1.1 合同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1.1.1.1 合同：是指根据法律规定和合同当事人约定具有约束力的文件，构成合同的文件包括合同协议书、中标通知书（如果有）、投标函及其附录（如果有）、专用合同条款</w:t>
      </w:r>
      <w:r>
        <w:rPr>
          <w:rFonts w:ascii="宋体" w:hAnsi="宋体"/>
          <w:iCs w:val="0"/>
          <w:color w:val="auto"/>
          <w:sz w:val="21"/>
          <w:szCs w:val="21"/>
          <w:highlight w:val="none"/>
        </w:rPr>
        <w:t>及其附件</w:t>
      </w:r>
      <w:r>
        <w:rPr>
          <w:rFonts w:ascii="宋体" w:hAnsi="宋体"/>
          <w:iCs w:val="0"/>
          <w:color w:val="auto"/>
          <w:kern w:val="0"/>
          <w:sz w:val="21"/>
          <w:szCs w:val="21"/>
          <w:highlight w:val="none"/>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1.1.1.2 合同协议书：是指构成合同的由发包人和承包人共同签署的称为“合同协议书”的书面文件</w:t>
      </w:r>
      <w:r>
        <w:rPr>
          <w:rFonts w:hint="eastAsia"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1.1.1.3 中标通知书：是指构成合同的</w:t>
      </w:r>
      <w:r>
        <w:rPr>
          <w:rFonts w:hint="eastAsia" w:ascii="宋体" w:hAnsi="宋体"/>
          <w:iCs w:val="0"/>
          <w:color w:val="auto"/>
          <w:kern w:val="0"/>
          <w:sz w:val="21"/>
          <w:szCs w:val="21"/>
          <w:highlight w:val="none"/>
        </w:rPr>
        <w:t>由</w:t>
      </w:r>
      <w:r>
        <w:rPr>
          <w:rFonts w:ascii="宋体" w:hAnsi="宋体"/>
          <w:iCs w:val="0"/>
          <w:color w:val="auto"/>
          <w:kern w:val="0"/>
          <w:sz w:val="21"/>
          <w:szCs w:val="21"/>
          <w:highlight w:val="none"/>
        </w:rPr>
        <w:t>发包人通知承包人中标的书面文件。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1.1.1.4 投标函：是指构成合同的由承包人填写并签署的用于投标的称为“投标函”的文件。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1.1.1.5 投标函附录：是指构成合同的附在投标函后的称为“投标函附录”的文件。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1.1.1.6 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1.1.1.7 图纸：是指构成合同的图纸，包括由发包人按照合同约定提供或经发包人批准的设计文件、</w:t>
      </w:r>
      <w:r>
        <w:rPr>
          <w:rFonts w:hint="eastAsia" w:ascii="宋体" w:hAnsi="宋体"/>
          <w:iCs w:val="0"/>
          <w:color w:val="auto"/>
          <w:kern w:val="0"/>
          <w:sz w:val="21"/>
          <w:szCs w:val="21"/>
          <w:highlight w:val="none"/>
        </w:rPr>
        <w:t>施工图、</w:t>
      </w:r>
      <w:r>
        <w:rPr>
          <w:rFonts w:ascii="宋体" w:hAnsi="宋体"/>
          <w:iCs w:val="0"/>
          <w:color w:val="auto"/>
          <w:kern w:val="0"/>
          <w:sz w:val="21"/>
          <w:szCs w:val="21"/>
          <w:highlight w:val="none"/>
        </w:rPr>
        <w:t>鸟瞰图及模型等，</w:t>
      </w:r>
      <w:r>
        <w:rPr>
          <w:rFonts w:hint="eastAsia" w:ascii="宋体" w:hAnsi="宋体"/>
          <w:iCs w:val="0"/>
          <w:color w:val="auto"/>
          <w:kern w:val="0"/>
          <w:sz w:val="21"/>
          <w:szCs w:val="21"/>
          <w:highlight w:val="none"/>
        </w:rPr>
        <w:t>以及在合同履行过程中形成的图纸文件。图纸</w:t>
      </w:r>
      <w:r>
        <w:rPr>
          <w:rFonts w:ascii="宋体" w:hAnsi="宋体"/>
          <w:iCs w:val="0"/>
          <w:color w:val="auto"/>
          <w:kern w:val="0"/>
          <w:sz w:val="21"/>
          <w:szCs w:val="21"/>
          <w:highlight w:val="none"/>
        </w:rPr>
        <w:t>应当按照法律规定审查合格。</w:t>
      </w:r>
    </w:p>
    <w:p>
      <w:pPr>
        <w:autoSpaceDE w:val="0"/>
        <w:autoSpaceDN w:val="0"/>
        <w:adjustRightInd w:val="0"/>
        <w:spacing w:line="360" w:lineRule="auto"/>
        <w:ind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1.1.1.9 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1.1.2 合同当事人及其他相关方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1.1.2.1 合同当事人：是指发包人和（或）承包人。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1.1.2.2 发包人：是指与承包人签订合同协议书的当事人及取得该当事人资格的合法继承人。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1.1.2.4 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1.1.2.5 设计人：是指在专用合同条款中指明的，受发包人委托负责工程设计并具备相应工程设计资质的法人或其他组织。</w:t>
      </w:r>
    </w:p>
    <w:p>
      <w:pPr>
        <w:spacing w:line="360" w:lineRule="auto"/>
        <w:ind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1.1.2.6 分包人：</w:t>
      </w:r>
      <w:bookmarkStart w:id="145" w:name="#go5"/>
      <w:bookmarkEnd w:id="145"/>
      <w:r>
        <w:rPr>
          <w:rFonts w:ascii="宋体" w:hAnsi="宋体"/>
          <w:iCs w:val="0"/>
          <w:color w:val="auto"/>
          <w:kern w:val="0"/>
          <w:sz w:val="21"/>
          <w:szCs w:val="21"/>
          <w:highlight w:val="none"/>
        </w:rPr>
        <w:t>是指</w:t>
      </w:r>
      <w:r>
        <w:rPr>
          <w:rFonts w:hint="eastAsia" w:ascii="宋体" w:hAnsi="宋体"/>
          <w:iCs w:val="0"/>
          <w:color w:val="auto"/>
          <w:kern w:val="0"/>
          <w:sz w:val="21"/>
          <w:szCs w:val="21"/>
          <w:highlight w:val="none"/>
        </w:rPr>
        <w:t>按照法律规定和</w:t>
      </w:r>
      <w:r>
        <w:rPr>
          <w:rFonts w:ascii="宋体" w:hAnsi="宋体"/>
          <w:iCs w:val="0"/>
          <w:color w:val="auto"/>
          <w:kern w:val="0"/>
          <w:sz w:val="21"/>
          <w:szCs w:val="21"/>
          <w:highlight w:val="none"/>
        </w:rPr>
        <w:t>合同约定，分包</w:t>
      </w:r>
      <w:r>
        <w:rPr>
          <w:rFonts w:hint="eastAsia" w:ascii="宋体" w:hAnsi="宋体"/>
          <w:iCs w:val="0"/>
          <w:color w:val="auto"/>
          <w:kern w:val="0"/>
          <w:sz w:val="21"/>
          <w:szCs w:val="21"/>
          <w:highlight w:val="none"/>
        </w:rPr>
        <w:t>部分</w:t>
      </w:r>
      <w:r>
        <w:rPr>
          <w:rFonts w:ascii="宋体" w:hAnsi="宋体"/>
          <w:iCs w:val="0"/>
          <w:color w:val="auto"/>
          <w:kern w:val="0"/>
          <w:sz w:val="21"/>
          <w:szCs w:val="21"/>
          <w:highlight w:val="none"/>
        </w:rPr>
        <w:t>工程</w:t>
      </w:r>
      <w:r>
        <w:rPr>
          <w:rFonts w:hint="eastAsia" w:ascii="宋体" w:hAnsi="宋体"/>
          <w:iCs w:val="0"/>
          <w:color w:val="auto"/>
          <w:kern w:val="0"/>
          <w:sz w:val="21"/>
          <w:szCs w:val="21"/>
          <w:highlight w:val="none"/>
        </w:rPr>
        <w:t>或工作</w:t>
      </w:r>
      <w:r>
        <w:rPr>
          <w:rFonts w:ascii="宋体" w:hAnsi="宋体"/>
          <w:iCs w:val="0"/>
          <w:color w:val="auto"/>
          <w:kern w:val="0"/>
          <w:sz w:val="21"/>
          <w:szCs w:val="21"/>
          <w:highlight w:val="none"/>
        </w:rPr>
        <w:t>，并与</w:t>
      </w:r>
      <w:r>
        <w:rPr>
          <w:rFonts w:hint="eastAsia" w:ascii="宋体" w:hAnsi="宋体"/>
          <w:iCs w:val="0"/>
          <w:color w:val="auto"/>
          <w:kern w:val="0"/>
          <w:sz w:val="21"/>
          <w:szCs w:val="21"/>
          <w:highlight w:val="none"/>
        </w:rPr>
        <w:t>承包人</w:t>
      </w:r>
      <w:r>
        <w:rPr>
          <w:rFonts w:ascii="宋体" w:hAnsi="宋体"/>
          <w:iCs w:val="0"/>
          <w:color w:val="auto"/>
          <w:kern w:val="0"/>
          <w:sz w:val="21"/>
          <w:szCs w:val="21"/>
          <w:highlight w:val="none"/>
        </w:rPr>
        <w:t>签订分包合同的具有相应资质的法人。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1.1.2.7 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1.1.2.8 项目经理：是指由承包人任命并派驻施工现场，在承包人授权范围内负责合同履行，且按照法律规定具有相应资格的</w:t>
      </w:r>
      <w:r>
        <w:rPr>
          <w:rFonts w:hint="eastAsia" w:ascii="宋体" w:hAnsi="宋体"/>
          <w:iCs w:val="0"/>
          <w:color w:val="auto"/>
          <w:kern w:val="0"/>
          <w:sz w:val="21"/>
          <w:szCs w:val="21"/>
          <w:highlight w:val="none"/>
        </w:rPr>
        <w:t>项目负责</w:t>
      </w:r>
      <w:r>
        <w:rPr>
          <w:rFonts w:ascii="宋体" w:hAnsi="宋体"/>
          <w:iCs w:val="0"/>
          <w:color w:val="auto"/>
          <w:kern w:val="0"/>
          <w:sz w:val="21"/>
          <w:szCs w:val="21"/>
          <w:highlight w:val="none"/>
        </w:rPr>
        <w:t>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1.1.2.9 总监理工程师：是指由监理人任命并派驻施工现场进行工程监理的总负责人。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 工程和设备</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1.1.3.1 工程：是指与合同协议书中工程承包范围对应的永久工程和（或）临时工程。</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1.1.3.2 永久工程：是指按合同约定建造并移交给发包人的工程，包括工程设备。</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1.1.3.3 临时工程：是指为完成合同约定的永久工程所修建的各类临时性工程，不包括施工设备。</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1.1.3.4 单位工程：是指在</w:t>
      </w:r>
      <w:r>
        <w:rPr>
          <w:rFonts w:hint="eastAsia" w:ascii="宋体" w:hAnsi="宋体"/>
          <w:iCs w:val="0"/>
          <w:color w:val="auto"/>
          <w:kern w:val="0"/>
          <w:sz w:val="21"/>
          <w:szCs w:val="21"/>
          <w:highlight w:val="none"/>
        </w:rPr>
        <w:t>合同协议书</w:t>
      </w:r>
      <w:r>
        <w:rPr>
          <w:rFonts w:ascii="宋体" w:hAnsi="宋体"/>
          <w:iCs w:val="0"/>
          <w:color w:val="auto"/>
          <w:kern w:val="0"/>
          <w:sz w:val="21"/>
          <w:szCs w:val="21"/>
          <w:highlight w:val="none"/>
        </w:rPr>
        <w:t>中指明的，具备独立施工条件并能形成独立使用功能的永久工程。</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1.1.3.5 工程设备：是指构成永久工程的机电设备、金属结构设备、仪器及其他类似的设备和装置。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1.1.3.6 施工设备：是指为完成合同约定的各项工作所需的设备、器具和其他物品，但不包括工程设备、临时工程和材料。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1.1.3.7 施工现场：是指用于工程施工的场所，以及在专用合同条款中</w:t>
      </w:r>
      <w:r>
        <w:rPr>
          <w:rFonts w:hint="eastAsia" w:ascii="宋体" w:hAnsi="宋体"/>
          <w:iCs w:val="0"/>
          <w:color w:val="auto"/>
          <w:kern w:val="0"/>
          <w:sz w:val="21"/>
          <w:szCs w:val="21"/>
          <w:highlight w:val="none"/>
        </w:rPr>
        <w:t>指</w:t>
      </w:r>
      <w:r>
        <w:rPr>
          <w:rFonts w:ascii="宋体" w:hAnsi="宋体"/>
          <w:iCs w:val="0"/>
          <w:color w:val="auto"/>
          <w:kern w:val="0"/>
          <w:sz w:val="21"/>
          <w:szCs w:val="21"/>
          <w:highlight w:val="none"/>
        </w:rPr>
        <w:t>明作为施工场所组成部分的其他场所，包括永久占地和临时占地。</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1.1.3.8临时设施：是指为完成合同约定的各项工作所服务的临时性生产和生活设施。</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1.1.3.9 永久占地：是指专用合同条款中指明为实施工程需永久占用的土地。</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1.1.3.10 临时占地：是指专用合同条款中指明为实施工程需要临时占用的土地。</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 日期和期限</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1.1.4.1 开工日期：包括计划开工日期和实际开工日期。计划开工日期是指合同协议书约定的开工日期；实际开工日期是指监理人按照第7.3.2项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开工通知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约定发出的符合法律规定的开工通知中载明的开工日期。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1.1.4.2 竣工日期：包括计划竣工日期和实际竣工日期。计划竣工日期是指合同协议书约定的竣工日期</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实际竣工日期按照第13.2.3项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竣工日期</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 xml:space="preserve">的约定确定。 </w:t>
      </w:r>
    </w:p>
    <w:p>
      <w:pPr>
        <w:spacing w:line="360" w:lineRule="auto"/>
        <w:ind w:firstLine="426" w:firstLineChars="203"/>
        <w:rPr>
          <w:rFonts w:ascii="宋体" w:hAnsi="宋体"/>
          <w:iCs w:val="0"/>
          <w:color w:val="auto"/>
          <w:sz w:val="21"/>
          <w:szCs w:val="21"/>
          <w:highlight w:val="none"/>
        </w:rPr>
      </w:pPr>
      <w:r>
        <w:rPr>
          <w:rFonts w:ascii="宋体" w:hAnsi="宋体"/>
          <w:iCs w:val="0"/>
          <w:color w:val="auto"/>
          <w:kern w:val="0"/>
          <w:sz w:val="21"/>
          <w:szCs w:val="21"/>
          <w:highlight w:val="none"/>
        </w:rPr>
        <w:t>1.1.4.3 工期：是指在合同协议书约定的承包人完成工程所需的期限，包括按照合同约定所作的</w:t>
      </w:r>
      <w:r>
        <w:rPr>
          <w:rFonts w:hint="eastAsia" w:ascii="宋体" w:hAnsi="宋体"/>
          <w:iCs w:val="0"/>
          <w:color w:val="auto"/>
          <w:kern w:val="0"/>
          <w:sz w:val="21"/>
          <w:szCs w:val="21"/>
          <w:highlight w:val="none"/>
        </w:rPr>
        <w:t>期限</w:t>
      </w:r>
      <w:r>
        <w:rPr>
          <w:rFonts w:ascii="宋体" w:hAnsi="宋体"/>
          <w:iCs w:val="0"/>
          <w:color w:val="auto"/>
          <w:kern w:val="0"/>
          <w:sz w:val="21"/>
          <w:szCs w:val="21"/>
          <w:highlight w:val="none"/>
        </w:rPr>
        <w:t>变更。</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1.1.4.4 缺陷责任期：是指承包人按照合同约定承担缺陷修复义务，且发包人</w:t>
      </w:r>
      <w:r>
        <w:rPr>
          <w:rFonts w:hint="eastAsia" w:ascii="宋体" w:hAnsi="宋体"/>
          <w:iCs w:val="0"/>
          <w:color w:val="auto"/>
          <w:kern w:val="0"/>
          <w:sz w:val="21"/>
          <w:szCs w:val="21"/>
          <w:highlight w:val="none"/>
        </w:rPr>
        <w:t>预</w:t>
      </w:r>
      <w:r>
        <w:rPr>
          <w:rFonts w:ascii="宋体" w:hAnsi="宋体"/>
          <w:iCs w:val="0"/>
          <w:color w:val="auto"/>
          <w:kern w:val="0"/>
          <w:sz w:val="21"/>
          <w:szCs w:val="21"/>
          <w:highlight w:val="none"/>
        </w:rPr>
        <w:t>留质量保证金</w:t>
      </w:r>
      <w:r>
        <w:rPr>
          <w:rFonts w:hint="eastAsia" w:ascii="宋体" w:hAnsi="宋体"/>
          <w:iCs w:val="0"/>
          <w:color w:val="auto"/>
          <w:kern w:val="0"/>
          <w:sz w:val="21"/>
          <w:szCs w:val="21"/>
          <w:highlight w:val="none"/>
        </w:rPr>
        <w:t>（已</w:t>
      </w:r>
      <w:r>
        <w:rPr>
          <w:rFonts w:ascii="宋体" w:hAnsi="宋体"/>
          <w:iCs w:val="0"/>
          <w:color w:val="auto"/>
          <w:kern w:val="0"/>
          <w:sz w:val="21"/>
          <w:szCs w:val="21"/>
          <w:highlight w:val="none"/>
        </w:rPr>
        <w:t>缴纳履约保证金的除外</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的期限，</w:t>
      </w:r>
      <w:r>
        <w:rPr>
          <w:rFonts w:hint="eastAsia" w:ascii="宋体" w:hAnsi="宋体"/>
          <w:iCs w:val="0"/>
          <w:color w:val="auto"/>
          <w:kern w:val="0"/>
          <w:sz w:val="21"/>
          <w:szCs w:val="21"/>
          <w:highlight w:val="none"/>
        </w:rPr>
        <w:t>自</w:t>
      </w:r>
      <w:r>
        <w:rPr>
          <w:rFonts w:ascii="宋体" w:hAnsi="宋体"/>
          <w:iCs w:val="0"/>
          <w:color w:val="auto"/>
          <w:kern w:val="0"/>
          <w:sz w:val="21"/>
          <w:szCs w:val="21"/>
          <w:highlight w:val="none"/>
        </w:rPr>
        <w:t>工程</w:t>
      </w:r>
      <w:r>
        <w:rPr>
          <w:rFonts w:hint="eastAsia" w:ascii="宋体" w:hAnsi="宋体"/>
          <w:iCs w:val="0"/>
          <w:color w:val="auto"/>
          <w:kern w:val="0"/>
          <w:sz w:val="21"/>
          <w:szCs w:val="21"/>
          <w:highlight w:val="none"/>
        </w:rPr>
        <w:t>实际竣工日期</w:t>
      </w:r>
      <w:r>
        <w:rPr>
          <w:rFonts w:ascii="宋体" w:hAnsi="宋体"/>
          <w:iCs w:val="0"/>
          <w:color w:val="auto"/>
          <w:kern w:val="0"/>
          <w:sz w:val="21"/>
          <w:szCs w:val="21"/>
          <w:highlight w:val="none"/>
        </w:rPr>
        <w:t>起计算。</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1.1.4.5 保修期：是指承包人按照合同约定对工程承担保修责任的期限，从工程竣工验收合格之日起计算。</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1.1.4.6 基准日期：</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发包的工程以投标截止日前28天的日期为基准日</w:t>
      </w:r>
      <w:r>
        <w:rPr>
          <w:rFonts w:hint="eastAsia" w:ascii="宋体" w:hAnsi="宋体"/>
          <w:iCs w:val="0"/>
          <w:color w:val="auto"/>
          <w:kern w:val="0"/>
          <w:sz w:val="21"/>
          <w:szCs w:val="21"/>
          <w:highlight w:val="none"/>
        </w:rPr>
        <w:t>期</w:t>
      </w:r>
      <w:r>
        <w:rPr>
          <w:rFonts w:ascii="宋体" w:hAnsi="宋体"/>
          <w:iCs w:val="0"/>
          <w:color w:val="auto"/>
          <w:kern w:val="0"/>
          <w:sz w:val="21"/>
          <w:szCs w:val="21"/>
          <w:highlight w:val="none"/>
        </w:rPr>
        <w:t>，直接发包的工程以合同签订日前28天的日期为基准日</w:t>
      </w:r>
      <w:r>
        <w:rPr>
          <w:rFonts w:hint="eastAsia" w:ascii="宋体" w:hAnsi="宋体"/>
          <w:iCs w:val="0"/>
          <w:color w:val="auto"/>
          <w:kern w:val="0"/>
          <w:sz w:val="21"/>
          <w:szCs w:val="21"/>
          <w:highlight w:val="none"/>
        </w:rPr>
        <w:t>期</w:t>
      </w:r>
      <w:r>
        <w:rPr>
          <w:rFonts w:ascii="宋体" w:hAnsi="宋体"/>
          <w:iCs w:val="0"/>
          <w:color w:val="auto"/>
          <w:kern w:val="0"/>
          <w:sz w:val="21"/>
          <w:szCs w:val="21"/>
          <w:highlight w:val="none"/>
        </w:rPr>
        <w:t>。</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1.1.4.7 天：除特别指明外，均指日历天。合同中按天计算时间的，开始当天不计入，从次日开始计算，期限最后一天的截止时间为当天24:00时。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 合同价格和费用</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1.1.5.1 签约合同价：是指</w:t>
      </w:r>
      <w:r>
        <w:rPr>
          <w:rFonts w:ascii="宋体" w:hAnsi="宋体"/>
          <w:iCs w:val="0"/>
          <w:color w:val="auto"/>
          <w:sz w:val="21"/>
          <w:szCs w:val="21"/>
          <w:highlight w:val="none"/>
        </w:rPr>
        <w:t>发包人和承包人在合同协议书中确定的总金额，包括安全文明施工费、暂估价及暂列金额等。</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1.1.5.2 合同价格：是指发包人用于支付承包人按照合同约定完成承包范围内全部工作的金额，包括合同履行过程中按合同约定</w:t>
      </w:r>
      <w:r>
        <w:rPr>
          <w:rFonts w:hint="eastAsia" w:ascii="宋体" w:hAnsi="宋体"/>
          <w:iCs w:val="0"/>
          <w:color w:val="auto"/>
          <w:kern w:val="0"/>
          <w:sz w:val="21"/>
          <w:szCs w:val="21"/>
          <w:highlight w:val="none"/>
        </w:rPr>
        <w:t>发生的价格变化。</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1.1.5.3 费用：是指为履行合同所发生的或将要发生的所有必需的开支，包括管理费和应分摊的其他费用，但不包括利润。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1.1.5.4 暂估价：是指发包人在工程量清单或预算书中提供的用于支付必然发生但暂时不能确定价格的材料、工程设备的单价</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专业工程以及</w:t>
      </w:r>
      <w:r>
        <w:rPr>
          <w:rFonts w:hint="eastAsia" w:ascii="宋体" w:hAnsi="宋体"/>
          <w:iCs w:val="0"/>
          <w:color w:val="auto"/>
          <w:kern w:val="0"/>
          <w:sz w:val="21"/>
          <w:szCs w:val="21"/>
          <w:highlight w:val="none"/>
        </w:rPr>
        <w:t>服务工作</w:t>
      </w:r>
      <w:r>
        <w:rPr>
          <w:rFonts w:ascii="宋体" w:hAnsi="宋体"/>
          <w:iCs w:val="0"/>
          <w:color w:val="auto"/>
          <w:kern w:val="0"/>
          <w:sz w:val="21"/>
          <w:szCs w:val="21"/>
          <w:highlight w:val="none"/>
        </w:rPr>
        <w:t>的金额。</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1.1.5.5 暂列金额：是指发包人在工程量清单或预算书中暂定并包括在合同价格中的一笔款项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1.1.5.6 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1.1.5.7 质量保证金</w:t>
      </w:r>
      <w:bookmarkStart w:id="146" w:name="#go2"/>
      <w:bookmarkEnd w:id="146"/>
      <w:r>
        <w:rPr>
          <w:rFonts w:ascii="宋体" w:hAnsi="宋体"/>
          <w:iCs w:val="0"/>
          <w:color w:val="auto"/>
          <w:kern w:val="0"/>
          <w:sz w:val="21"/>
          <w:szCs w:val="21"/>
          <w:highlight w:val="none"/>
        </w:rPr>
        <w:t>：是指按照第15.3款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质量保证金</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约定承包人用于保证其在缺陷责任期内履行缺陷修补义务的担保</w:t>
      </w:r>
      <w:r>
        <w:rPr>
          <w:rFonts w:ascii="宋体" w:hAnsi="宋体"/>
          <w:iCs w:val="0"/>
          <w:color w:val="auto"/>
          <w:sz w:val="21"/>
          <w:szCs w:val="21"/>
          <w:highlight w:val="none"/>
        </w:rPr>
        <w:t>。</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1.1.5.8 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1.1.6 其他</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1.1.6.1 书面形式：是指合同文件、信函、电报、传真等可以有形地表现所载内容的形式。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1.2语言文字</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合同以中国的汉语简体文字编写、解释和说明。合同当事人在专用合同条款中约定使用两种以上语言时，汉语为优先解释和说明合同的语言。</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1.3法律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合同当事人可以在专用合同条款中约定合同适用的其他规范性文件。</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1.4 标准和规范</w:t>
      </w:r>
    </w:p>
    <w:p>
      <w:pPr>
        <w:autoSpaceDE w:val="0"/>
        <w:autoSpaceDN w:val="0"/>
        <w:adjustRightInd w:val="0"/>
        <w:spacing w:line="360" w:lineRule="auto"/>
        <w:ind w:firstLine="64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1.4.3 发包人对工程的技术标准、功能要求高于或严于现行国家、行业或地方标准的，应当在专用合同条款中予以明确。除专用合同条款另有约定外，应视为</w:t>
      </w:r>
      <w:r>
        <w:rPr>
          <w:rFonts w:hint="eastAsia" w:ascii="宋体" w:hAnsi="宋体"/>
          <w:iCs w:val="0"/>
          <w:color w:val="auto"/>
          <w:kern w:val="0"/>
          <w:sz w:val="21"/>
          <w:szCs w:val="21"/>
          <w:highlight w:val="none"/>
        </w:rPr>
        <w:t>承包人</w:t>
      </w:r>
      <w:r>
        <w:rPr>
          <w:rFonts w:ascii="宋体" w:hAnsi="宋体"/>
          <w:iCs w:val="0"/>
          <w:color w:val="auto"/>
          <w:kern w:val="0"/>
          <w:sz w:val="21"/>
          <w:szCs w:val="21"/>
          <w:highlight w:val="none"/>
        </w:rPr>
        <w:t>在签订合同前已充分预见前述技术标准和功能要求的复杂程度，签约合同价中已包含由此产生的费用。</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1.5 合同文件的优先顺序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（1）合同协议书；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（2）中标通知书（如果有）；</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（3）投标函及其附录（如果有）；</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（4）专用合同条款</w:t>
      </w:r>
      <w:r>
        <w:rPr>
          <w:rFonts w:ascii="宋体" w:hAnsi="宋体"/>
          <w:iCs w:val="0"/>
          <w:color w:val="auto"/>
          <w:sz w:val="21"/>
          <w:szCs w:val="21"/>
          <w:highlight w:val="none"/>
        </w:rPr>
        <w:t>及其附件</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（5）通用合同条款；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（6）技术标准和要求；</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（7）图纸；</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（8）已标价工程量清单或预算书；</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（9）其他合同文件。</w:t>
      </w:r>
    </w:p>
    <w:p>
      <w:pPr>
        <w:spacing w:line="360" w:lineRule="auto"/>
        <w:ind w:firstLine="447" w:firstLineChars="213"/>
        <w:rPr>
          <w:rFonts w:ascii="宋体" w:hAnsi="宋体"/>
          <w:iCs w:val="0"/>
          <w:color w:val="auto"/>
          <w:sz w:val="21"/>
          <w:szCs w:val="21"/>
          <w:highlight w:val="none"/>
        </w:rPr>
      </w:pPr>
      <w:r>
        <w:rPr>
          <w:rFonts w:ascii="宋体" w:hAnsi="宋体"/>
          <w:iCs w:val="0"/>
          <w:color w:val="auto"/>
          <w:sz w:val="21"/>
          <w:szCs w:val="21"/>
          <w:highlight w:val="none"/>
        </w:rPr>
        <w:t>上述各项合同文件包括合同当事人就该项合同文件所作出的补充和修改，属于同一类内容的文件，应以最新签署的为准。</w:t>
      </w:r>
    </w:p>
    <w:p>
      <w:pPr>
        <w:spacing w:line="360" w:lineRule="auto"/>
        <w:ind w:firstLine="447" w:firstLineChars="213"/>
        <w:rPr>
          <w:rFonts w:ascii="宋体" w:hAnsi="宋体"/>
          <w:iCs w:val="0"/>
          <w:color w:val="auto"/>
          <w:sz w:val="21"/>
          <w:szCs w:val="21"/>
          <w:highlight w:val="none"/>
        </w:rPr>
      </w:pPr>
      <w:r>
        <w:rPr>
          <w:rFonts w:ascii="宋体" w:hAnsi="宋体"/>
          <w:iCs w:val="0"/>
          <w:color w:val="auto"/>
          <w:sz w:val="21"/>
          <w:szCs w:val="21"/>
          <w:highlight w:val="none"/>
        </w:rPr>
        <w:t>在合同订立及履行过程中形成的与合同有关的文件均构成合同文件组成部分，并根据其性质确定优先解释顺序。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1.6图纸和承包人文件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1.6.1 图纸的提供和交底</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开工通知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载明的开工日期前14天向承包人提供图纸。</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因发包人未按合同约定提供图纸导致承包人费用增加和（或）工期延误的，按照第7.5.1项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因发包人原因导致工期延误</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约定办理。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 图纸的错误</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iCs w:val="0"/>
          <w:color w:val="auto"/>
          <w:kern w:val="0"/>
          <w:sz w:val="21"/>
          <w:szCs w:val="21"/>
          <w:highlight w:val="none"/>
        </w:rPr>
        <w:t>合理时间是指发包人在收到监理人的报送通知后，尽其努力且不懈怠地完成图纸修改补充所需的时间。</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1.6.3 图纸的修改和补充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1.6.4 承包人文件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1.6.5 图纸和承包人文件的保管</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除专用合同条款另有约定外，承包人应在施工现场另外保存一套完整的图纸和承包人文件，供发包人、监理人及有关人员进行工程检查时使用。</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1.7联络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1.7.3 发包人和承包人应当及时签收另一方送达至送达地点和指定接收人的来往信函。拒不签收的，由此增加的费用和（或）延误的工期由拒绝接收一方承担。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1.8严禁贿赂</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1.9化石、文物</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发包人、监理人和承包人应按有关政府行政管理部门要求采取妥善的保护措施，由此增加的费用和</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或）延误的工期由发包人承担。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承包人发现文物后不及时报告或隐瞒不报，致使文物丢失或损坏的，应赔偿损失，并承担相应的法律责任。</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1.10交通运输</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1.10.1出入现场的权利</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除专用合同条款另有约定外，发包人应根据施工需要，负责取得出入施工现场所需的</w:t>
      </w:r>
      <w:r>
        <w:rPr>
          <w:rFonts w:hint="eastAsia" w:ascii="宋体" w:hAnsi="宋体"/>
          <w:iCs w:val="0"/>
          <w:color w:val="auto"/>
          <w:kern w:val="0"/>
          <w:sz w:val="21"/>
          <w:szCs w:val="21"/>
          <w:highlight w:val="none"/>
        </w:rPr>
        <w:t>批准手续和</w:t>
      </w:r>
      <w:r>
        <w:rPr>
          <w:rFonts w:ascii="宋体" w:hAnsi="宋体"/>
          <w:iCs w:val="0"/>
          <w:color w:val="auto"/>
          <w:kern w:val="0"/>
          <w:sz w:val="21"/>
          <w:szCs w:val="21"/>
          <w:highlight w:val="none"/>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1.10.2场外交通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1.10.3场内交通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场外交通和场内交通的边界由合同当事人在专用合同条款中约定。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1.10.4超大件和超重件的运输</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1.10.5道路和桥梁的损坏责任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因承包人运输造成施工场地内外公共道路和桥梁损坏的，由承包人承担修复损坏的全部费用和可能引起的赔偿。</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1.10.6水路和航空运输</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本</w:t>
      </w:r>
      <w:r>
        <w:rPr>
          <w:rFonts w:hint="eastAsia" w:ascii="宋体" w:hAnsi="宋体"/>
          <w:iCs w:val="0"/>
          <w:color w:val="auto"/>
          <w:kern w:val="0"/>
          <w:sz w:val="21"/>
          <w:szCs w:val="21"/>
          <w:highlight w:val="none"/>
        </w:rPr>
        <w:t>款</w:t>
      </w:r>
      <w:r>
        <w:rPr>
          <w:rFonts w:ascii="宋体" w:hAnsi="宋体"/>
          <w:iCs w:val="0"/>
          <w:color w:val="auto"/>
          <w:kern w:val="0"/>
          <w:sz w:val="21"/>
          <w:szCs w:val="21"/>
          <w:highlight w:val="none"/>
        </w:rPr>
        <w:t>前述各</w:t>
      </w:r>
      <w:r>
        <w:rPr>
          <w:rFonts w:hint="eastAsia" w:ascii="宋体" w:hAnsi="宋体"/>
          <w:iCs w:val="0"/>
          <w:color w:val="auto"/>
          <w:kern w:val="0"/>
          <w:sz w:val="21"/>
          <w:szCs w:val="21"/>
          <w:highlight w:val="none"/>
        </w:rPr>
        <w:t>项</w:t>
      </w:r>
      <w:r>
        <w:rPr>
          <w:rFonts w:ascii="宋体" w:hAnsi="宋体"/>
          <w:iCs w:val="0"/>
          <w:color w:val="auto"/>
          <w:kern w:val="0"/>
          <w:sz w:val="21"/>
          <w:szCs w:val="21"/>
          <w:highlight w:val="none"/>
        </w:rPr>
        <w:t>的内容适用于水路运输和航空运输，其中“道路”一词的涵义包括河道、航线、船闸、机场、码头、堤防以及水路或航空运输中其他相似结构物；“车辆”一词的涵义包括船舶和飞机等。</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 xml:space="preserve">1.11知识产权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rPr>
          <w:rFonts w:ascii="宋体" w:hAnsi="宋体"/>
          <w:iCs w:val="0"/>
          <w:color w:val="auto"/>
          <w:sz w:val="21"/>
          <w:szCs w:val="21"/>
          <w:highlight w:val="none"/>
        </w:rPr>
      </w:pPr>
      <w:r>
        <w:rPr>
          <w:rFonts w:ascii="宋体" w:hAnsi="宋体"/>
          <w:iCs w:val="0"/>
          <w:color w:val="auto"/>
          <w:sz w:val="21"/>
          <w:szCs w:val="21"/>
          <w:highlight w:val="none"/>
        </w:rPr>
        <w:t>1.11.4 除专用合同条款另有约定外，承包人在合同签订前和签订时已确定采用的专利、专有技术、技术秘密的使用费已包含在签约合同价中。</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1.12保密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除法律规定或合同另有约定外，未经承包人同意，发包人不得将承包人提供的技术秘密及声明需要保密的资料信息等商业秘密泄露给第三方。</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1.13工程量清单错误的修正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除专用合同条款另有约定外，</w:t>
      </w:r>
      <w:r>
        <w:rPr>
          <w:rFonts w:ascii="宋体" w:hAnsi="宋体"/>
          <w:iCs w:val="0"/>
          <w:color w:val="auto"/>
          <w:kern w:val="0"/>
          <w:sz w:val="21"/>
          <w:szCs w:val="21"/>
          <w:highlight w:val="none"/>
        </w:rPr>
        <w:t>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（1）工程量清单存在缺项、漏项的；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（2）工程量清单偏差超出专用合同条款约定的工程量偏差范围的；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（3）未按照国家现行计量规范强制性规定计量的。</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2</w:t>
      </w:r>
      <w:bookmarkStart w:id="147" w:name="OLE_LINK2"/>
      <w:bookmarkStart w:id="148" w:name="OLE_LINK1"/>
      <w:r>
        <w:rPr>
          <w:rFonts w:ascii="宋体" w:hAnsi="宋体"/>
          <w:bCs/>
          <w:iCs w:val="0"/>
          <w:color w:val="auto"/>
          <w:sz w:val="21"/>
          <w:szCs w:val="21"/>
          <w:highlight w:val="none"/>
        </w:rPr>
        <w:t>. 发包人</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2.1 许可或批准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因发包人原因未能及时办理完毕前述许可、批准或备案，由发包人承担由此增加的费用和（或）延误的工期，并支付承包人合理的利润。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2.2 发包人代表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ind w:firstLine="420" w:firstLineChars="200"/>
        <w:rPr>
          <w:rFonts w:ascii="宋体" w:hAnsi="宋体"/>
          <w:iCs w:val="0"/>
          <w:color w:val="auto"/>
          <w:kern w:val="0"/>
          <w:sz w:val="21"/>
          <w:szCs w:val="21"/>
          <w:highlight w:val="none"/>
        </w:rPr>
      </w:pPr>
      <w:r>
        <w:rPr>
          <w:rFonts w:ascii="宋体" w:hAnsi="宋体"/>
          <w:iCs w:val="0"/>
          <w:color w:val="auto"/>
          <w:kern w:val="0"/>
          <w:sz w:val="21"/>
          <w:szCs w:val="21"/>
          <w:highlight w:val="none"/>
        </w:rPr>
        <w:t>发包人代表不能按照合同约定履行其职责及义务，并导致合同无法继续正常履行的，承包人可以要求发包人撤换发包人代表。</w:t>
      </w:r>
    </w:p>
    <w:p>
      <w:pPr>
        <w:spacing w:line="360" w:lineRule="auto"/>
        <w:ind w:firstLine="420" w:firstLineChars="200"/>
        <w:rPr>
          <w:rFonts w:ascii="宋体" w:hAnsi="宋体"/>
          <w:iCs w:val="0"/>
          <w:color w:val="auto"/>
          <w:sz w:val="21"/>
          <w:szCs w:val="21"/>
          <w:highlight w:val="none"/>
        </w:rPr>
      </w:pPr>
      <w:r>
        <w:rPr>
          <w:rFonts w:hint="eastAsia" w:ascii="宋体" w:hAnsi="宋体"/>
          <w:iCs w:val="0"/>
          <w:color w:val="auto"/>
          <w:kern w:val="0"/>
          <w:sz w:val="21"/>
          <w:szCs w:val="21"/>
          <w:highlight w:val="none"/>
        </w:rPr>
        <w:t>不属于法定必须监理的工程，监理人的职权可以由发包人代表或发包人指定的其他人员行使。</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2.3 发包人人员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发包人人员包括发包人代表及其他由发包人派驻施工现场的人员。</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 xml:space="preserve">2.4 施工现场、施工条件和基础资料的提供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2.4.1 提供施工现场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w:t>
      </w:r>
      <w:bookmarkEnd w:id="147"/>
      <w:bookmarkEnd w:id="148"/>
      <w:r>
        <w:rPr>
          <w:rFonts w:ascii="宋体" w:hAnsi="宋体"/>
          <w:iCs w:val="0"/>
          <w:color w:val="auto"/>
          <w:kern w:val="0"/>
          <w:sz w:val="21"/>
          <w:szCs w:val="21"/>
          <w:highlight w:val="none"/>
        </w:rPr>
        <w:t>专用合同条款另有约定外，发包人应</w:t>
      </w:r>
      <w:r>
        <w:rPr>
          <w:rFonts w:hint="eastAsia" w:ascii="宋体" w:hAnsi="宋体"/>
          <w:iCs w:val="0"/>
          <w:color w:val="auto"/>
          <w:kern w:val="0"/>
          <w:sz w:val="21"/>
          <w:szCs w:val="21"/>
          <w:highlight w:val="none"/>
        </w:rPr>
        <w:t>最迟于</w:t>
      </w:r>
      <w:r>
        <w:rPr>
          <w:rFonts w:ascii="宋体" w:hAnsi="宋体"/>
          <w:iCs w:val="0"/>
          <w:color w:val="auto"/>
          <w:kern w:val="0"/>
          <w:sz w:val="21"/>
          <w:szCs w:val="21"/>
          <w:highlight w:val="none"/>
        </w:rPr>
        <w:t>开工日期7天前向承包人移交施工现场。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2.4.2 提供施工条件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除专用合同条款另有约定外，发包人应负责提供施工所需要的条件，包括：</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（1）将施工用水、电力、通讯线路等施工所必需的条件接至施工现场内；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（2）保证向承包人提供正常施工所需要的进入施工现场的交通条件；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（4）按照专用合同条款约定</w:t>
      </w:r>
      <w:r>
        <w:rPr>
          <w:rFonts w:hint="eastAsia" w:ascii="宋体" w:hAnsi="宋体"/>
          <w:iCs w:val="0"/>
          <w:color w:val="auto"/>
          <w:kern w:val="0"/>
          <w:sz w:val="21"/>
          <w:szCs w:val="21"/>
          <w:highlight w:val="none"/>
        </w:rPr>
        <w:t>应</w:t>
      </w:r>
      <w:r>
        <w:rPr>
          <w:rFonts w:ascii="宋体" w:hAnsi="宋体"/>
          <w:iCs w:val="0"/>
          <w:color w:val="auto"/>
          <w:kern w:val="0"/>
          <w:sz w:val="21"/>
          <w:szCs w:val="21"/>
          <w:highlight w:val="none"/>
        </w:rPr>
        <w:t>提供的其他设施和条件。</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2.4.3 提供基础资料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2.4.4 逾期提供的责任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因发包人原因未能按合同约定及时向承包人提供施工现场、施工条件、基础资料的，由发包人承担由此增加的费用和（或）延误的工期。</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2.5 资金来源证明及支付担保</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2.6 支付合同价款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发包人应按合同约定向承包人及时支付合同价款。</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2.7 组织竣工验收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发包人应按合同约定及时组织竣工验收。</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2.8 现场统一管理协议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发包人应与承包人、由发包人直接发包的专业工程的承包人签订施工现场统一管理协议，明确各方的权利义务。施工现场统一管理协议作为专用合同条款的附件。</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3. 承包人</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3.1 承包人的一般义务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承包人在履行合同过程中应遵守法律和工程建设标准规范，并履行以下义务：</w:t>
      </w:r>
    </w:p>
    <w:p>
      <w:pPr>
        <w:numPr>
          <w:ilvl w:val="0"/>
          <w:numId w:val="57"/>
        </w:num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办理法律规定</w:t>
      </w:r>
      <w:r>
        <w:rPr>
          <w:rFonts w:hint="eastAsia" w:ascii="宋体" w:hAnsi="宋体"/>
          <w:iCs w:val="0"/>
          <w:color w:val="auto"/>
          <w:kern w:val="0"/>
          <w:sz w:val="21"/>
          <w:szCs w:val="21"/>
          <w:highlight w:val="none"/>
        </w:rPr>
        <w:t>应</w:t>
      </w:r>
      <w:r>
        <w:rPr>
          <w:rFonts w:ascii="宋体" w:hAnsi="宋体"/>
          <w:iCs w:val="0"/>
          <w:color w:val="auto"/>
          <w:kern w:val="0"/>
          <w:sz w:val="21"/>
          <w:szCs w:val="21"/>
          <w:highlight w:val="none"/>
        </w:rPr>
        <w:t>由承包人办理的许可和批准，并将</w:t>
      </w:r>
      <w:r>
        <w:rPr>
          <w:rFonts w:hint="eastAsia" w:ascii="宋体" w:hAnsi="宋体"/>
          <w:iCs w:val="0"/>
          <w:color w:val="auto"/>
          <w:kern w:val="0"/>
          <w:sz w:val="21"/>
          <w:szCs w:val="21"/>
          <w:highlight w:val="none"/>
        </w:rPr>
        <w:t>办理</w:t>
      </w:r>
      <w:r>
        <w:rPr>
          <w:rFonts w:ascii="宋体" w:hAnsi="宋体"/>
          <w:iCs w:val="0"/>
          <w:color w:val="auto"/>
          <w:kern w:val="0"/>
          <w:sz w:val="21"/>
          <w:szCs w:val="21"/>
          <w:highlight w:val="none"/>
        </w:rPr>
        <w:t>结果书面报送发包人留存；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（2）按法律规定和合同约定完成工程，并在保修期内承担保修义务；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（6）按照第6.3款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环境保护</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约定负责施工场地及其周边环境与生态的保护工作；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（7）按第6.1款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安全文明施工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w:t>
      </w:r>
      <w:r>
        <w:rPr>
          <w:rFonts w:hint="eastAsia" w:ascii="宋体" w:hAnsi="宋体"/>
          <w:iCs w:val="0"/>
          <w:color w:val="auto"/>
          <w:kern w:val="0"/>
          <w:sz w:val="21"/>
          <w:szCs w:val="21"/>
          <w:highlight w:val="none"/>
        </w:rPr>
        <w:t>将</w:t>
      </w:r>
      <w:r>
        <w:rPr>
          <w:rFonts w:ascii="宋体" w:hAnsi="宋体"/>
          <w:iCs w:val="0"/>
          <w:color w:val="auto"/>
          <w:kern w:val="0"/>
          <w:sz w:val="21"/>
          <w:szCs w:val="21"/>
          <w:highlight w:val="none"/>
        </w:rPr>
        <w:t>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（10）应履行的其他义务。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3.2 项目经理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承包人违反上述约定的，应按照专用合同条款的约定，承担违约责任。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3.2.2 项目经理按合同约定组织工程实施。在紧急情况下</w:t>
      </w:r>
      <w:r>
        <w:rPr>
          <w:rFonts w:hint="eastAsia" w:ascii="宋体" w:hAnsi="宋体"/>
          <w:iCs w:val="0"/>
          <w:color w:val="auto"/>
          <w:kern w:val="0"/>
          <w:sz w:val="21"/>
          <w:szCs w:val="21"/>
          <w:highlight w:val="none"/>
        </w:rPr>
        <w:t>为确保施工安全和人员安全</w:t>
      </w:r>
      <w:r>
        <w:rPr>
          <w:rFonts w:ascii="宋体" w:hAnsi="宋体"/>
          <w:iCs w:val="0"/>
          <w:color w:val="auto"/>
          <w:kern w:val="0"/>
          <w:sz w:val="21"/>
          <w:szCs w:val="21"/>
          <w:highlight w:val="none"/>
        </w:rPr>
        <w:t>，</w:t>
      </w:r>
      <w:r>
        <w:rPr>
          <w:rFonts w:hint="eastAsia" w:ascii="宋体" w:hAnsi="宋体"/>
          <w:iCs w:val="0"/>
          <w:color w:val="auto"/>
          <w:kern w:val="0"/>
          <w:sz w:val="21"/>
          <w:szCs w:val="21"/>
          <w:highlight w:val="none"/>
        </w:rPr>
        <w:t>在</w:t>
      </w:r>
      <w:r>
        <w:rPr>
          <w:rFonts w:ascii="宋体" w:hAnsi="宋体"/>
          <w:iCs w:val="0"/>
          <w:color w:val="auto"/>
          <w:kern w:val="0"/>
          <w:sz w:val="21"/>
          <w:szCs w:val="21"/>
          <w:highlight w:val="none"/>
        </w:rPr>
        <w:t>无法与发包人代表和总监理工程师</w:t>
      </w:r>
      <w:r>
        <w:rPr>
          <w:rFonts w:hint="eastAsia" w:ascii="宋体" w:hAnsi="宋体"/>
          <w:iCs w:val="0"/>
          <w:color w:val="auto"/>
          <w:kern w:val="0"/>
          <w:sz w:val="21"/>
          <w:szCs w:val="21"/>
          <w:highlight w:val="none"/>
        </w:rPr>
        <w:t>及时</w:t>
      </w:r>
      <w:r>
        <w:rPr>
          <w:rFonts w:ascii="宋体" w:hAnsi="宋体"/>
          <w:iCs w:val="0"/>
          <w:color w:val="auto"/>
          <w:kern w:val="0"/>
          <w:sz w:val="21"/>
          <w:szCs w:val="21"/>
          <w:highlight w:val="none"/>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iCs w:val="0"/>
          <w:color w:val="auto"/>
          <w:kern w:val="0"/>
          <w:sz w:val="21"/>
          <w:szCs w:val="21"/>
          <w:highlight w:val="none"/>
        </w:rPr>
        <w:t>继</w:t>
      </w:r>
      <w:r>
        <w:rPr>
          <w:rFonts w:ascii="宋体" w:hAnsi="宋体"/>
          <w:iCs w:val="0"/>
          <w:color w:val="auto"/>
          <w:kern w:val="0"/>
          <w:sz w:val="21"/>
          <w:szCs w:val="21"/>
          <w:highlight w:val="none"/>
        </w:rPr>
        <w:t>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3.3 承包人人员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宋体" w:hAnsi="宋体"/>
          <w:iCs w:val="0"/>
          <w:color w:val="auto"/>
          <w:kern w:val="0"/>
          <w:sz w:val="21"/>
          <w:szCs w:val="21"/>
          <w:highlight w:val="none"/>
        </w:rPr>
        <w:t>和</w:t>
      </w:r>
      <w:r>
        <w:rPr>
          <w:rFonts w:ascii="宋体" w:hAnsi="宋体"/>
          <w:iCs w:val="0"/>
          <w:color w:val="auto"/>
          <w:kern w:val="0"/>
          <w:sz w:val="21"/>
          <w:szCs w:val="21"/>
          <w:highlight w:val="none"/>
        </w:rPr>
        <w:t>缴纳社会保险的有效证明。</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3.3.2 承包人派驻到施工现场的主要施工管理人员应相对稳定。施工过程中</w:t>
      </w:r>
      <w:r>
        <w:rPr>
          <w:rFonts w:hint="eastAsia" w:ascii="宋体" w:hAnsi="宋体"/>
          <w:iCs w:val="0"/>
          <w:color w:val="auto"/>
          <w:kern w:val="0"/>
          <w:sz w:val="21"/>
          <w:szCs w:val="21"/>
          <w:highlight w:val="none"/>
        </w:rPr>
        <w:t>如有变动</w:t>
      </w:r>
      <w:r>
        <w:rPr>
          <w:rFonts w:ascii="宋体" w:hAnsi="宋体"/>
          <w:iCs w:val="0"/>
          <w:color w:val="auto"/>
          <w:kern w:val="0"/>
          <w:sz w:val="21"/>
          <w:szCs w:val="21"/>
          <w:highlight w:val="none"/>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特殊工种作业人员均应持有相应的资格证明，监理人可以随时检查。</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3.3.3 发包人对于承包人主要施工管理人员</w:t>
      </w:r>
      <w:r>
        <w:rPr>
          <w:rFonts w:hint="eastAsia" w:ascii="宋体" w:hAnsi="宋体"/>
          <w:iCs w:val="0"/>
          <w:color w:val="auto"/>
          <w:kern w:val="0"/>
          <w:sz w:val="21"/>
          <w:szCs w:val="21"/>
          <w:highlight w:val="none"/>
        </w:rPr>
        <w:t>的资格或能力</w:t>
      </w:r>
      <w:r>
        <w:rPr>
          <w:rFonts w:ascii="宋体" w:hAnsi="宋体"/>
          <w:iCs w:val="0"/>
          <w:color w:val="auto"/>
          <w:kern w:val="0"/>
          <w:sz w:val="21"/>
          <w:szCs w:val="21"/>
          <w:highlight w:val="none"/>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3.3.5 承包人擅自更换主要施工管理人员，或前述人员未经监理人或发包人同意擅自离开施工现场的，应按照专用合同条款约定承担违约责任。</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3.4 承包人现场查勘</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承包人应对基于发包人按照第2.4.3项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提供基础资料</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3.5 分包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3.5.1 分包的一般约定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承包人不得以劳务分包的名义转包或违法分包工程。</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3.5.2 分包的确定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承包人应按专用合同条款的约定进行分包，确定分包人。已标价工程量清单或预算书中给定暂估价的专业工程，按照第10.7款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暂估价</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3.5.3 分包管理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3.5.4 分包合同价款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（1）除本项第（2）目约定的情况或专用合同条款另有约定外，分包合同价款由承包人与分包人结算，未经承包人同意，发包人不得向分包人支付分包工程价款；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（2）生效法律文书要求发包人向分包人支付分包合同价款的，发包人有权从应付承包人工程款中扣除该部分款项。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3.5.5 分包合同权益的转让</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3.6 工程照管与成品、半成品保护</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w:t>
      </w:r>
      <w:r>
        <w:rPr>
          <w:rFonts w:hint="eastAsia" w:ascii="宋体" w:hAnsi="宋体"/>
          <w:iCs w:val="0"/>
          <w:color w:val="auto"/>
          <w:kern w:val="0"/>
          <w:sz w:val="21"/>
          <w:szCs w:val="21"/>
          <w:highlight w:val="none"/>
        </w:rPr>
        <w:t>2</w:t>
      </w:r>
      <w:r>
        <w:rPr>
          <w:rFonts w:ascii="宋体" w:hAnsi="宋体"/>
          <w:iCs w:val="0"/>
          <w:color w:val="auto"/>
          <w:kern w:val="0"/>
          <w:sz w:val="21"/>
          <w:szCs w:val="21"/>
          <w:highlight w:val="none"/>
        </w:rPr>
        <w:t>）在承包人负责照管期间，因承包人原因造成工程、材料、工程设备损坏的，由承包人负责修复或更换，并承担由此增加的费用和（或）延误的工期。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w:t>
      </w:r>
      <w:r>
        <w:rPr>
          <w:rFonts w:hint="eastAsia" w:ascii="宋体" w:hAnsi="宋体"/>
          <w:iCs w:val="0"/>
          <w:color w:val="auto"/>
          <w:kern w:val="0"/>
          <w:sz w:val="21"/>
          <w:szCs w:val="21"/>
          <w:highlight w:val="none"/>
        </w:rPr>
        <w:t>3</w:t>
      </w:r>
      <w:r>
        <w:rPr>
          <w:rFonts w:ascii="宋体" w:hAnsi="宋体"/>
          <w:iCs w:val="0"/>
          <w:color w:val="auto"/>
          <w:kern w:val="0"/>
          <w:sz w:val="21"/>
          <w:szCs w:val="21"/>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3.7 履约担保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发包人需要承包人提供履约担保的，由合同当事人在专用合同条款中约定履约担保的方式、金额及期限等。</w:t>
      </w:r>
      <w:r>
        <w:rPr>
          <w:rFonts w:ascii="宋体" w:hAnsi="宋体"/>
          <w:iCs w:val="0"/>
          <w:color w:val="auto"/>
          <w:kern w:val="0"/>
          <w:sz w:val="21"/>
          <w:szCs w:val="21"/>
          <w:highlight w:val="none"/>
        </w:rPr>
        <w:t>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因承包人原因导致工期延长的，继续提供履约担保所增加的费用由承包人承担；非因承包人原因导致工期延长的，继续提供履约担保所增加的费用由发包人承担。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3.8 联合体</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3.8.1 联合体各方应共同与发包人签订合同协议书。联合体各方应为履行合同</w:t>
      </w:r>
      <w:r>
        <w:rPr>
          <w:rFonts w:hint="eastAsia" w:ascii="宋体" w:hAnsi="宋体"/>
          <w:iCs w:val="0"/>
          <w:color w:val="auto"/>
          <w:kern w:val="0"/>
          <w:sz w:val="21"/>
          <w:szCs w:val="21"/>
          <w:highlight w:val="none"/>
        </w:rPr>
        <w:t>向发包人</w:t>
      </w:r>
      <w:r>
        <w:rPr>
          <w:rFonts w:ascii="宋体" w:hAnsi="宋体"/>
          <w:iCs w:val="0"/>
          <w:color w:val="auto"/>
          <w:kern w:val="0"/>
          <w:sz w:val="21"/>
          <w:szCs w:val="21"/>
          <w:highlight w:val="none"/>
        </w:rPr>
        <w:t>承担连带责任。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3.8.2 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3.8.3 联合体牵头人负责与发包人和监理人联系，并接受指示，负责组织联合体各成员全面履行合同。</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4. 监理人</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4.1监理人的一般规定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除专用合同条款另有约定外，监理人在施工现场的办公场所、生活场所由承包人提供，所发生的费用由发包人承担。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4.2监理人员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4.3监理人的指示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宋体" w:hAnsi="宋体"/>
          <w:iCs w:val="0"/>
          <w:color w:val="auto"/>
          <w:kern w:val="0"/>
          <w:sz w:val="21"/>
          <w:szCs w:val="21"/>
          <w:highlight w:val="none"/>
        </w:rPr>
        <w:t>相应</w:t>
      </w:r>
      <w:r>
        <w:rPr>
          <w:rFonts w:ascii="宋体" w:hAnsi="宋体"/>
          <w:iCs w:val="0"/>
          <w:color w:val="auto"/>
          <w:kern w:val="0"/>
          <w:sz w:val="21"/>
          <w:szCs w:val="21"/>
          <w:highlight w:val="none"/>
        </w:rPr>
        <w:t>责任。除专用合同条款另有约定外，总监理工程师不应将第4.4款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约定应由总监理工程师作出确定的权力授权或委托给其他监理人员。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4.4 商定或确定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w:t>
      </w:r>
      <w:r>
        <w:rPr>
          <w:rFonts w:hint="eastAsia" w:ascii="宋体" w:hAnsi="宋体"/>
          <w:iCs w:val="0"/>
          <w:color w:val="auto"/>
          <w:kern w:val="0"/>
          <w:sz w:val="21"/>
          <w:szCs w:val="21"/>
          <w:highlight w:val="none"/>
        </w:rPr>
        <w:t>当事人</w:t>
      </w:r>
      <w:r>
        <w:rPr>
          <w:rFonts w:ascii="宋体" w:hAnsi="宋体"/>
          <w:iCs w:val="0"/>
          <w:color w:val="auto"/>
          <w:kern w:val="0"/>
          <w:sz w:val="21"/>
          <w:szCs w:val="21"/>
          <w:highlight w:val="none"/>
        </w:rPr>
        <w:t>进行</w:t>
      </w:r>
      <w:r>
        <w:rPr>
          <w:rFonts w:hint="eastAsia" w:ascii="宋体" w:hAnsi="宋体"/>
          <w:iCs w:val="0"/>
          <w:color w:val="auto"/>
          <w:kern w:val="0"/>
          <w:sz w:val="21"/>
          <w:szCs w:val="21"/>
          <w:highlight w:val="none"/>
        </w:rPr>
        <w:t>商定</w:t>
      </w:r>
      <w:r>
        <w:rPr>
          <w:rFonts w:ascii="宋体" w:hAnsi="宋体"/>
          <w:iCs w:val="0"/>
          <w:color w:val="auto"/>
          <w:kern w:val="0"/>
          <w:sz w:val="21"/>
          <w:szCs w:val="21"/>
          <w:highlight w:val="none"/>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约定处理。争议解决前，合同当事人暂按总监理工程师的确定执行；争议解决后，争议解决的结果与总监理工程师的确定不一致的，按照争议解决的结果执行，由此造成的损失由责任人承担。</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5. 工程质量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5.1质量要求</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5.1.3 因承包人原因造成工程质量未达到合同约定标准的，发包人有权要求承包人返工直至工程质量达到合同约定的标准为止，并由承包人承担由此增加的费用和（或）延误的工期。</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5.2质量保证措施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5.2.1 发包人的质量管理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发包人应按照法律规定及合同约定完成与工程质量有关的各项工作。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5.2.2 承包人的质量管理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承包人按照第7.1款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施工组织设计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5.2.3 监理人的质量检查和检验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5.3 隐蔽工程检查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5.3.1承包人自检</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承包人应当对工程隐蔽部位进行自检，并经自检确认是否具备覆盖条件。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5.3.2检查程序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除专用合同条款另有约定外，工程隐蔽部位经承包人自检确认具备覆盖条件的，承包人应在</w:t>
      </w:r>
      <w:r>
        <w:rPr>
          <w:rFonts w:hint="eastAsia" w:ascii="宋体" w:hAnsi="宋体"/>
          <w:iCs w:val="0"/>
          <w:color w:val="auto"/>
          <w:kern w:val="0"/>
          <w:sz w:val="21"/>
          <w:szCs w:val="21"/>
          <w:highlight w:val="none"/>
        </w:rPr>
        <w:t>共同</w:t>
      </w:r>
      <w:r>
        <w:rPr>
          <w:rFonts w:ascii="宋体" w:hAnsi="宋体"/>
          <w:iCs w:val="0"/>
          <w:color w:val="auto"/>
          <w:kern w:val="0"/>
          <w:sz w:val="21"/>
          <w:szCs w:val="21"/>
          <w:highlight w:val="none"/>
        </w:rPr>
        <w:t>检查前48小时书面通知监理人检查，通知中应载明隐蔽检查的内容、时间和地点，并应附有自检记录和必要的检查资料。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重新检查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的约定重新检查。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5.3.3 重新检查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5.3.4 承包人私自覆盖</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5.4不合格工程的处理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拒绝接收全部或部分工程</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 xml:space="preserve">约定执行。 </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5.4.2 因发包人原因造成工程不合格的，由此增加的费用和（或）延误的工期由发包人承担，并支付承包人合理的利润。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5.5 质量争议检测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合同当事人对工程质量有争议的，由双方协商确定的工程质量检测机构鉴定，由此产生的费用及因此造成的损失，由责任方承担。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合同当事人均有责任的，由双方根据其责任分别承担。合同当事人无法达成一致的，按照第4.4款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6. 安全文明施工与环境保护</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6.1安全文明施工</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6.1.1安全生产要求</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在施工过程中，如遇到突发的地质变动、事先未知的地下施工障碍等影响施工安全的紧急情况，</w:t>
      </w:r>
      <w:r>
        <w:rPr>
          <w:rFonts w:hint="eastAsia" w:ascii="宋体" w:hAnsi="宋体"/>
          <w:iCs w:val="0"/>
          <w:color w:val="auto"/>
          <w:sz w:val="21"/>
          <w:szCs w:val="21"/>
          <w:highlight w:val="none"/>
        </w:rPr>
        <w:t>承包人应及时报告监理人和发包人，</w:t>
      </w:r>
      <w:r>
        <w:rPr>
          <w:rFonts w:ascii="宋体" w:hAnsi="宋体"/>
          <w:iCs w:val="0"/>
          <w:color w:val="auto"/>
          <w:sz w:val="21"/>
          <w:szCs w:val="21"/>
          <w:highlight w:val="none"/>
        </w:rPr>
        <w:t>发包人应当及时下令停工并报</w:t>
      </w:r>
      <w:r>
        <w:rPr>
          <w:rFonts w:ascii="宋体" w:hAnsi="宋体"/>
          <w:iCs w:val="0"/>
          <w:color w:val="auto"/>
          <w:kern w:val="0"/>
          <w:sz w:val="21"/>
          <w:szCs w:val="21"/>
          <w:highlight w:val="none"/>
        </w:rPr>
        <w:t>政府有关行政管理部门</w:t>
      </w:r>
      <w:r>
        <w:rPr>
          <w:rFonts w:ascii="宋体" w:hAnsi="宋体"/>
          <w:iCs w:val="0"/>
          <w:color w:val="auto"/>
          <w:sz w:val="21"/>
          <w:szCs w:val="21"/>
          <w:highlight w:val="none"/>
        </w:rPr>
        <w:t>采取应急措施。</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因安全生产需要暂停施工的，按照第7.8款</w:t>
      </w:r>
      <w:r>
        <w:rPr>
          <w:rFonts w:hint="eastAsia" w:ascii="宋体" w:hAnsi="宋体"/>
          <w:iCs w:val="0"/>
          <w:color w:val="auto"/>
          <w:sz w:val="21"/>
          <w:szCs w:val="21"/>
          <w:highlight w:val="none"/>
        </w:rPr>
        <w:t>〔</w:t>
      </w:r>
      <w:r>
        <w:rPr>
          <w:rFonts w:ascii="宋体" w:hAnsi="宋体"/>
          <w:iCs w:val="0"/>
          <w:color w:val="auto"/>
          <w:sz w:val="21"/>
          <w:szCs w:val="21"/>
          <w:highlight w:val="none"/>
        </w:rPr>
        <w:t>暂停施工</w:t>
      </w:r>
      <w:r>
        <w:rPr>
          <w:rFonts w:hint="eastAsia" w:ascii="宋体" w:hAnsi="宋体"/>
          <w:iCs w:val="0"/>
          <w:color w:val="auto"/>
          <w:sz w:val="21"/>
          <w:szCs w:val="21"/>
          <w:highlight w:val="none"/>
        </w:rPr>
        <w:t>〕</w:t>
      </w:r>
      <w:r>
        <w:rPr>
          <w:rFonts w:ascii="宋体" w:hAnsi="宋体"/>
          <w:iCs w:val="0"/>
          <w:color w:val="auto"/>
          <w:sz w:val="21"/>
          <w:szCs w:val="21"/>
          <w:highlight w:val="none"/>
        </w:rPr>
        <w:t>的约定执行。</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6.1.2 安全生产保证措施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承包人应当按照有关</w:t>
      </w:r>
      <w:r>
        <w:rPr>
          <w:rFonts w:ascii="宋体" w:hAnsi="宋体"/>
          <w:iCs w:val="0"/>
          <w:color w:val="auto"/>
          <w:kern w:val="0"/>
          <w:sz w:val="21"/>
          <w:szCs w:val="21"/>
          <w:highlight w:val="none"/>
        </w:rPr>
        <w:t>规定编制安全技术措施或者专项施工方案，</w:t>
      </w:r>
      <w:r>
        <w:rPr>
          <w:rFonts w:ascii="宋体" w:hAnsi="宋体"/>
          <w:iCs w:val="0"/>
          <w:color w:val="auto"/>
          <w:sz w:val="21"/>
          <w:szCs w:val="21"/>
          <w:highlight w:val="none"/>
        </w:rPr>
        <w:t>建立安全生产责任制度、治安保卫制度及安全生产教育培训制度，并</w:t>
      </w:r>
      <w:r>
        <w:rPr>
          <w:rFonts w:ascii="宋体" w:hAnsi="宋体"/>
          <w:iCs w:val="0"/>
          <w:color w:val="auto"/>
          <w:kern w:val="0"/>
          <w:sz w:val="21"/>
          <w:szCs w:val="21"/>
          <w:highlight w:val="none"/>
        </w:rPr>
        <w:t>按安全生产法律规定及合同约定履行安全职责，</w:t>
      </w:r>
      <w:r>
        <w:rPr>
          <w:rFonts w:hint="eastAsia" w:ascii="宋体" w:hAnsi="宋体"/>
          <w:iCs w:val="0"/>
          <w:color w:val="auto"/>
          <w:kern w:val="0"/>
          <w:sz w:val="21"/>
          <w:szCs w:val="21"/>
          <w:highlight w:val="none"/>
        </w:rPr>
        <w:t>如实</w:t>
      </w:r>
      <w:r>
        <w:rPr>
          <w:rFonts w:ascii="宋体" w:hAnsi="宋体"/>
          <w:iCs w:val="0"/>
          <w:color w:val="auto"/>
          <w:sz w:val="21"/>
          <w:szCs w:val="21"/>
          <w:highlight w:val="none"/>
        </w:rPr>
        <w:t>编制工程安全生产的有关记录，</w:t>
      </w:r>
      <w:r>
        <w:rPr>
          <w:rFonts w:ascii="宋体" w:hAnsi="宋体"/>
          <w:iCs w:val="0"/>
          <w:color w:val="auto"/>
          <w:kern w:val="0"/>
          <w:sz w:val="21"/>
          <w:szCs w:val="21"/>
          <w:highlight w:val="none"/>
        </w:rPr>
        <w:t>接受发包人、监理人及政府安全监督部门的检查与监督。</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6.1.3特别安全生产事项</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6.1.4 治安保卫</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iCs w:val="0"/>
          <w:color w:val="auto"/>
          <w:sz w:val="21"/>
          <w:szCs w:val="21"/>
          <w:highlight w:val="none"/>
        </w:rPr>
        <w:t>和</w:t>
      </w:r>
      <w:r>
        <w:rPr>
          <w:rFonts w:ascii="宋体" w:hAnsi="宋体"/>
          <w:iCs w:val="0"/>
          <w:color w:val="auto"/>
          <w:sz w:val="21"/>
          <w:szCs w:val="21"/>
          <w:highlight w:val="none"/>
        </w:rPr>
        <w:t>财产损失。</w:t>
      </w:r>
    </w:p>
    <w:p>
      <w:pPr>
        <w:spacing w:line="360" w:lineRule="auto"/>
        <w:ind w:firstLine="420" w:firstLineChars="200"/>
        <w:rPr>
          <w:rFonts w:ascii="宋体" w:hAnsi="宋体"/>
          <w:iCs w:val="0"/>
          <w:color w:val="auto"/>
          <w:kern w:val="0"/>
          <w:sz w:val="21"/>
          <w:szCs w:val="21"/>
          <w:highlight w:val="none"/>
        </w:rPr>
      </w:pPr>
      <w:r>
        <w:rPr>
          <w:rFonts w:ascii="宋体" w:hAnsi="宋体"/>
          <w:iCs w:val="0"/>
          <w:color w:val="auto"/>
          <w:sz w:val="21"/>
          <w:szCs w:val="21"/>
          <w:highlight w:val="none"/>
        </w:rPr>
        <w:t>6.1.5 文明施工</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承包人在工程施工期间，应当采取措施保持施工现场平整，物料堆放整齐。工程所在地有关政府行政管理部门有特殊要求的，按照其要求执行。</w:t>
      </w:r>
      <w:r>
        <w:rPr>
          <w:rFonts w:hint="eastAsia" w:ascii="宋体" w:hAnsi="宋体"/>
          <w:iCs w:val="0"/>
          <w:color w:val="auto"/>
          <w:kern w:val="0"/>
          <w:sz w:val="21"/>
          <w:szCs w:val="21"/>
          <w:highlight w:val="none"/>
        </w:rPr>
        <w:t>合同当事人对文明施工有其他要求的，可以在专用合同条款中明确。</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6.1.6 安全文明施工费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6.1.7 紧急情况</w:t>
      </w:r>
      <w:r>
        <w:rPr>
          <w:rFonts w:hint="eastAsia" w:ascii="宋体" w:hAnsi="宋体"/>
          <w:iCs w:val="0"/>
          <w:color w:val="auto"/>
          <w:kern w:val="0"/>
          <w:sz w:val="21"/>
          <w:szCs w:val="21"/>
          <w:highlight w:val="none"/>
        </w:rPr>
        <w:t>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6.1.8 事故处理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6.1.9 安全生产责任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6.1.9.1 发包人的安全责任</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发包人应负责赔偿以下各种情况造成</w:t>
      </w:r>
      <w:r>
        <w:rPr>
          <w:rFonts w:hint="eastAsia" w:ascii="宋体" w:hAnsi="宋体"/>
          <w:iCs w:val="0"/>
          <w:color w:val="auto"/>
          <w:sz w:val="21"/>
          <w:szCs w:val="21"/>
          <w:highlight w:val="none"/>
        </w:rPr>
        <w:t>的</w:t>
      </w:r>
      <w:r>
        <w:rPr>
          <w:rFonts w:ascii="宋体" w:hAnsi="宋体"/>
          <w:iCs w:val="0"/>
          <w:color w:val="auto"/>
          <w:sz w:val="21"/>
          <w:szCs w:val="21"/>
          <w:highlight w:val="none"/>
        </w:rPr>
        <w:t>损失：</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（1）工程或工程的任何部分对土地的占用所造成的第三者财产损失；</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（2）由于发包人原因在施工场地及其毗邻地带造成的第三者人身伤亡和财产损失</w:t>
      </w:r>
      <w:r>
        <w:rPr>
          <w:rFonts w:hint="eastAsia" w:ascii="宋体" w:hAnsi="宋体"/>
          <w:iCs w:val="0"/>
          <w:color w:val="auto"/>
          <w:sz w:val="21"/>
          <w:szCs w:val="21"/>
          <w:highlight w:val="none"/>
        </w:rPr>
        <w:t>；</w:t>
      </w:r>
    </w:p>
    <w:p>
      <w:pPr>
        <w:spacing w:line="360" w:lineRule="auto"/>
        <w:ind w:firstLine="420" w:firstLineChars="200"/>
        <w:rPr>
          <w:rFonts w:ascii="宋体" w:hAnsi="宋体"/>
          <w:iCs w:val="0"/>
          <w:color w:val="auto"/>
          <w:sz w:val="21"/>
          <w:szCs w:val="21"/>
          <w:highlight w:val="none"/>
        </w:rPr>
      </w:pPr>
      <w:r>
        <w:rPr>
          <w:rFonts w:hint="eastAsia" w:ascii="宋体" w:hAnsi="宋体"/>
          <w:iCs w:val="0"/>
          <w:color w:val="auto"/>
          <w:sz w:val="21"/>
          <w:szCs w:val="21"/>
          <w:highlight w:val="none"/>
        </w:rPr>
        <w:t>（3）由于发包人原因对承包人、监理人造成的人员人身伤亡和财产损失；</w:t>
      </w:r>
    </w:p>
    <w:p>
      <w:pPr>
        <w:spacing w:line="360" w:lineRule="auto"/>
        <w:ind w:firstLine="420" w:firstLineChars="200"/>
        <w:rPr>
          <w:rFonts w:ascii="宋体" w:hAnsi="宋体"/>
          <w:iCs w:val="0"/>
          <w:color w:val="auto"/>
          <w:sz w:val="21"/>
          <w:szCs w:val="21"/>
          <w:highlight w:val="none"/>
        </w:rPr>
      </w:pPr>
      <w:r>
        <w:rPr>
          <w:rFonts w:hint="eastAsia" w:ascii="宋体" w:hAnsi="宋体"/>
          <w:iCs w:val="0"/>
          <w:color w:val="auto"/>
          <w:sz w:val="21"/>
          <w:szCs w:val="21"/>
          <w:highlight w:val="none"/>
        </w:rPr>
        <w:t>（4）由于发包人原因造成的发包人自身人员的人身伤害以及财产损失。</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6.1.9.2 承包人的安全责任</w:t>
      </w:r>
    </w:p>
    <w:p>
      <w:pPr>
        <w:spacing w:line="360" w:lineRule="auto"/>
        <w:ind w:firstLine="420" w:firstLineChars="200"/>
        <w:rPr>
          <w:rFonts w:ascii="宋体" w:hAnsi="宋体"/>
          <w:iCs w:val="0"/>
          <w:color w:val="auto"/>
          <w:kern w:val="0"/>
          <w:sz w:val="21"/>
          <w:szCs w:val="21"/>
          <w:highlight w:val="none"/>
        </w:rPr>
      </w:pPr>
      <w:r>
        <w:rPr>
          <w:rFonts w:ascii="宋体" w:hAnsi="宋体"/>
          <w:iCs w:val="0"/>
          <w:color w:val="auto"/>
          <w:sz w:val="21"/>
          <w:szCs w:val="21"/>
          <w:highlight w:val="none"/>
        </w:rPr>
        <w:t>由于承包人原因在施工场地内及其毗邻地带造成的</w:t>
      </w:r>
      <w:r>
        <w:rPr>
          <w:rFonts w:hint="eastAsia" w:ascii="宋体" w:hAnsi="宋体"/>
          <w:iCs w:val="0"/>
          <w:color w:val="auto"/>
          <w:sz w:val="21"/>
          <w:szCs w:val="21"/>
          <w:highlight w:val="none"/>
        </w:rPr>
        <w:t>发包人、监理人以及</w:t>
      </w:r>
      <w:r>
        <w:rPr>
          <w:rFonts w:ascii="宋体" w:hAnsi="宋体"/>
          <w:iCs w:val="0"/>
          <w:color w:val="auto"/>
          <w:sz w:val="21"/>
          <w:szCs w:val="21"/>
          <w:highlight w:val="none"/>
        </w:rPr>
        <w:t>第三者人员伤亡和财产损失，由承包人负责赔偿。</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6.2 职业健康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6.2.1 劳动保护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w:t>
      </w:r>
      <w:r>
        <w:rPr>
          <w:rFonts w:hint="eastAsia" w:ascii="宋体" w:hAnsi="宋体"/>
          <w:iCs w:val="0"/>
          <w:color w:val="auto"/>
          <w:kern w:val="0"/>
          <w:sz w:val="21"/>
          <w:szCs w:val="21"/>
          <w:highlight w:val="none"/>
        </w:rPr>
        <w:t>法律</w:t>
      </w:r>
      <w:r>
        <w:rPr>
          <w:rFonts w:ascii="宋体" w:hAnsi="宋体"/>
          <w:iCs w:val="0"/>
          <w:color w:val="auto"/>
          <w:kern w:val="0"/>
          <w:sz w:val="21"/>
          <w:szCs w:val="21"/>
          <w:highlight w:val="none"/>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6.2.2 生活条件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6.3 环境保护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承包人应当承担因其原因引起的环境污染侵权损害赔偿责任，因上述环境污染引起纠纷而导致暂停施工的，由此增加的费用和（或）延误的工期由承包人承担。</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7. 工期和进度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7.1施工组织设计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7.1.1</w:t>
      </w:r>
      <w:r>
        <w:rPr>
          <w:rFonts w:ascii="宋体" w:hAnsi="宋体"/>
          <w:iCs w:val="0"/>
          <w:color w:val="auto"/>
          <w:kern w:val="0"/>
          <w:sz w:val="21"/>
          <w:szCs w:val="21"/>
          <w:highlight w:val="none"/>
        </w:rPr>
        <w:t>施工组织设计的内容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施工组织设计应包含以下内容：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（1）施工方案；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（2）施工现场平面布置图；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（3）施工进度计划和保证措施；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（4）劳动力及材料供应计划；</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（5）施工机械设备的选用；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（6）质量保证体系及措施；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（7）安全生产、文明施工措施；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（8）环境保护、成本控制措施</w:t>
      </w:r>
      <w:r>
        <w:rPr>
          <w:rFonts w:hint="eastAsia"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（9）合同当事人约定的其他内容</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7.1.2</w:t>
      </w:r>
      <w:r>
        <w:rPr>
          <w:rFonts w:ascii="宋体" w:hAnsi="宋体"/>
          <w:iCs w:val="0"/>
          <w:color w:val="auto"/>
          <w:kern w:val="0"/>
          <w:sz w:val="21"/>
          <w:szCs w:val="21"/>
          <w:highlight w:val="none"/>
        </w:rPr>
        <w:t>施工组织设计的提交和修改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除专用合同条款另有约定外，承包人应在合同签订后14天内，但至迟不得晚于第7.3.2项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开工通知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载明的开工日期前7天，向监理人提交详细的施工组织设计，并由监理人报送发包人。</w:t>
      </w:r>
      <w:r>
        <w:rPr>
          <w:rFonts w:hint="eastAsia" w:ascii="宋体" w:hAnsi="宋体"/>
          <w:iCs w:val="0"/>
          <w:color w:val="auto"/>
          <w:kern w:val="0"/>
          <w:sz w:val="21"/>
          <w:szCs w:val="21"/>
          <w:highlight w:val="none"/>
        </w:rPr>
        <w:t>除专用合同条款另有约定外，发包人和监理人应在监理人收到施工组织设计后7天内确认或提出修改意见</w:t>
      </w:r>
      <w:r>
        <w:rPr>
          <w:rFonts w:ascii="宋体" w:hAnsi="宋体"/>
          <w:iCs w:val="0"/>
          <w:color w:val="auto"/>
          <w:kern w:val="0"/>
          <w:sz w:val="21"/>
          <w:szCs w:val="21"/>
          <w:highlight w:val="none"/>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施工进度计划的编制和修改按照第7.2款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施工进度计划</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7.2 施工进度计划</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7.2.1 施工进度计划的编制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承包人应按照第7.1款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施工组织设计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7.2.2 施工进度计划的修订</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7.3 开工</w:t>
      </w:r>
    </w:p>
    <w:p>
      <w:pPr>
        <w:spacing w:line="360" w:lineRule="auto"/>
        <w:ind w:firstLine="420" w:firstLineChars="200"/>
        <w:rPr>
          <w:rFonts w:ascii="宋体" w:hAnsi="宋体"/>
          <w:iCs w:val="0"/>
          <w:color w:val="auto"/>
          <w:sz w:val="21"/>
          <w:szCs w:val="21"/>
          <w:highlight w:val="none"/>
        </w:rPr>
      </w:pPr>
      <w:r>
        <w:rPr>
          <w:rFonts w:ascii="宋体" w:hAnsi="宋体"/>
          <w:iCs w:val="0"/>
          <w:color w:val="auto"/>
          <w:kern w:val="0"/>
          <w:sz w:val="21"/>
          <w:szCs w:val="21"/>
          <w:highlight w:val="none"/>
        </w:rPr>
        <w:t>7.3.1 开工准备</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除专用合同条款另有约定外，承包人应按照第7.1款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施工组织设计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除专用合同条款另有约定外，合同当事人应按约定完成开工准备工作。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7.3.2 开工通知</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7.4测量放线</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7.4.1 除专用合同条款另有约定外，发包人应在至迟不得晚于第7.3.2项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开工通知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施工过程中对施工现场内水准点等测量标志物的保护工作由承包人负责。</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7.5工期延误</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7.5.1 因发包人原因导致工期延误</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在合同履行过程中，因下列情况导致工期延误和（或）费用增加的，由发包人承担由此延误的工期和（或）增加的费用，且发包人应支付承包人合理的利润： </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（1）发包人未能按合同约定提供图纸或所提供图纸不符合合同约定的；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（2）发包人未能按合同约定提供施工现场、施工条件、基础资料、许可、批准等开工条件的；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（3）发包人提供的测量基准点、基准线和水准点及其书面资料存在错误或疏漏的；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（4）发包人未能在计划开工日期之日起7天内同意下达开工通知的；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（5）发包人未能按合同约定日期支付工程预付款、进度款或竣工结算款的；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（6）监理人未按合同约定发出指示、批准等文件的；</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（7）专用合同条款中约定的其他情形。</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施工进度计划的修订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7.5.2 因承包人原因导致工期延误</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7.6 不利物质条件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约定执行。承包人因采取合理措施而增加的费用和（或）延误的工期由发包人承担。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7.7异常恶劣的气候条件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承包人应采取克服异常恶劣的气候条件的合理措施继续施工，并及时通知发包人和监理人。监理人经发包人同意后应当及时发出指示，指示构成变更的，按第10条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约定办理。承包人因采取合理措施而增加的费用和（或）延误的工期由发包人承担。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7.8暂停施工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7.8.1发包人原因引起的暂停施工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因发包人原因引起暂停施工的，监理人经发包人同意后，应及时下达暂停施工指示。情况紧急且监理人未及时下达暂停施工指示的，按照第7.8.4项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紧急情况下的暂停施工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因发包人原因引起的暂停施工，发包人应承担由此增加的费用和（或）延误的工期，并支付承包人合理的利润。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7.8.2 承包人原因引起的暂停施工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因承包人原因引起的暂停施工，承包人应承担由此增加的费用和（或）延误的工期，且承包人在收到监理人复工指示后</w:t>
      </w:r>
      <w:r>
        <w:rPr>
          <w:rFonts w:hint="eastAsia" w:ascii="宋体" w:hAnsi="宋体"/>
          <w:iCs w:val="0"/>
          <w:color w:val="auto"/>
          <w:kern w:val="0"/>
          <w:sz w:val="21"/>
          <w:szCs w:val="21"/>
          <w:highlight w:val="none"/>
        </w:rPr>
        <w:t>84</w:t>
      </w:r>
      <w:r>
        <w:rPr>
          <w:rFonts w:ascii="宋体" w:hAnsi="宋体"/>
          <w:iCs w:val="0"/>
          <w:color w:val="auto"/>
          <w:kern w:val="0"/>
          <w:sz w:val="21"/>
          <w:szCs w:val="21"/>
          <w:highlight w:val="none"/>
        </w:rPr>
        <w:t>天内仍未复工的，视为第16.2.1项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承包人违约的情形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第（7）目约定的承包人无法继续履行合同的情形。</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7.8.3 指示暂停施工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监理人认为有必要时，并经发包人批准后，可向承包人作出暂停施工的指示，承包人应按监理人指示暂停施工。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7.8.4 紧急情况下的暂停施工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7.8.5 暂停施工后的复工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承包人无故拖延和拒绝复工的，承包人承担由此增加的费用和（或）延误的工期；因发包人原因无法按时复工的，按照第7.5.1项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因发包人原因导致工期延误</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约定办理。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7.8.6 暂停施工持续56天以上</w:t>
      </w:r>
    </w:p>
    <w:p>
      <w:pPr>
        <w:spacing w:line="360" w:lineRule="auto"/>
        <w:ind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监理人发出暂停施工指示后56天内未向承包人发出复工通知，除该项停工属于第7.8.2项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承包人原因引起的暂停施工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及第17条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不可抗力</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变更的范围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第（2）项的可取消工作。</w:t>
      </w:r>
    </w:p>
    <w:p>
      <w:pPr>
        <w:spacing w:line="360" w:lineRule="auto"/>
        <w:ind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暂停施工持续</w:t>
      </w:r>
      <w:r>
        <w:rPr>
          <w:rFonts w:hint="eastAsia" w:ascii="宋体" w:hAnsi="宋体"/>
          <w:iCs w:val="0"/>
          <w:color w:val="auto"/>
          <w:kern w:val="0"/>
          <w:sz w:val="21"/>
          <w:szCs w:val="21"/>
          <w:highlight w:val="none"/>
        </w:rPr>
        <w:t>84</w:t>
      </w:r>
      <w:r>
        <w:rPr>
          <w:rFonts w:ascii="宋体" w:hAnsi="宋体"/>
          <w:iCs w:val="0"/>
          <w:color w:val="auto"/>
          <w:kern w:val="0"/>
          <w:sz w:val="21"/>
          <w:szCs w:val="21"/>
          <w:highlight w:val="none"/>
        </w:rPr>
        <w:t>天以上不复工的，且不属于第7.8.2项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承包人原因引起的暂停施工</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及第17条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不可抗力</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约定的情形，并影响到整个工程以及合同目的实现的，承包人有权提出价格调整要求，或者解除合同。解除合同的，按照第16.1.3项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因发包人违约解除合同</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spacing w:line="360" w:lineRule="auto"/>
        <w:ind w:left="16" w:firstLine="409" w:firstLineChars="195"/>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7.8.7 暂停施工期间的工程照管</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暂停施工期间，承包人应负责妥善照管工程并提供安全保障，由此增加的费用由责任方承担。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7.8.8 暂停施工的措施</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暂停施工期间，发包人和承包人均应采取必要的措施确保工程质量及安全，防止因暂停施工扩大损失。</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7.9提前竣工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宋体" w:hAnsi="宋体"/>
          <w:iCs w:val="0"/>
          <w:color w:val="auto"/>
          <w:kern w:val="0"/>
          <w:sz w:val="21"/>
          <w:szCs w:val="21"/>
          <w:highlight w:val="none"/>
        </w:rPr>
        <w:t>承包人认为提前竣工指示无法执行的，应向监理人和发包人提出书面异议，发包人和监理人应在收到异议后7天内予以答复。任何情况下，发包人不得压缩合理工期。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7.9.2 发包人要求承包人提前竣工，或承包人提出提前竣工的建议能够给发包人带来效益的，合同当事人可以在专用合同条款中约定提前竣工的奖励。</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8. 材料与设备</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8.1发包人供应材料与工程设备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承包人应提前30天通过监理人以书面形式通知发包人供应材料与工程设备进场。承包人按照第7.2.2项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施工进度计划的修订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约定修订施工进度计划时，需同时提交经修订后的发包人供应材料与工程设备的进场计划。</w:t>
      </w:r>
    </w:p>
    <w:p>
      <w:pPr>
        <w:keepNext/>
        <w:keepLines/>
        <w:spacing w:before="120" w:after="120" w:line="360" w:lineRule="auto"/>
        <w:ind w:firstLine="420" w:firstLineChars="200"/>
        <w:outlineLvl w:val="4"/>
        <w:rPr>
          <w:rFonts w:ascii="宋体" w:hAnsi="宋体"/>
          <w:b/>
          <w:bCs/>
          <w:iCs w:val="0"/>
          <w:color w:val="auto"/>
          <w:sz w:val="21"/>
          <w:szCs w:val="21"/>
          <w:highlight w:val="none"/>
        </w:rPr>
      </w:pPr>
      <w:r>
        <w:rPr>
          <w:rFonts w:ascii="宋体" w:hAnsi="宋体"/>
          <w:bCs/>
          <w:iCs w:val="0"/>
          <w:color w:val="auto"/>
          <w:sz w:val="21"/>
          <w:szCs w:val="21"/>
          <w:highlight w:val="none"/>
        </w:rPr>
        <w:t>8.2承包人采购材料与工程设备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宋体" w:hAnsi="宋体"/>
          <w:iCs w:val="0"/>
          <w:color w:val="auto"/>
          <w:kern w:val="0"/>
          <w:sz w:val="21"/>
          <w:szCs w:val="21"/>
          <w:highlight w:val="none"/>
        </w:rPr>
        <w:t>相应责任</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8.3材料与工程设备的接收与拒收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发包人提供的材料和工程设备的规格、数量或质量不符合合同约定的，或因发包人原因导致交货日期延误或交货地点变更等情况的，按照第16.1款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发包人违约</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约定办理。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8.4材料与工程设备的保管与使用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8.4.1 发包人供应</w:t>
      </w:r>
      <w:r>
        <w:rPr>
          <w:rFonts w:ascii="宋体" w:hAnsi="宋体"/>
          <w:iCs w:val="0"/>
          <w:color w:val="auto"/>
          <w:sz w:val="21"/>
          <w:szCs w:val="21"/>
          <w:highlight w:val="none"/>
        </w:rPr>
        <w:t>材料与</w:t>
      </w:r>
      <w:r>
        <w:rPr>
          <w:rFonts w:ascii="宋体" w:hAnsi="宋体"/>
          <w:iCs w:val="0"/>
          <w:color w:val="auto"/>
          <w:kern w:val="0"/>
          <w:sz w:val="21"/>
          <w:szCs w:val="21"/>
          <w:highlight w:val="none"/>
        </w:rPr>
        <w:t>工程</w:t>
      </w:r>
      <w:r>
        <w:rPr>
          <w:rFonts w:ascii="宋体" w:hAnsi="宋体"/>
          <w:iCs w:val="0"/>
          <w:color w:val="auto"/>
          <w:sz w:val="21"/>
          <w:szCs w:val="21"/>
          <w:highlight w:val="none"/>
        </w:rPr>
        <w:t>设备的保管与使用</w:t>
      </w:r>
      <w:r>
        <w:rPr>
          <w:rFonts w:hint="eastAsia" w:ascii="宋体" w:hAnsi="宋体"/>
          <w:bCs/>
          <w:iCs w:val="0"/>
          <w:color w:val="auto"/>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8.4.2 承包人采购</w:t>
      </w:r>
      <w:r>
        <w:rPr>
          <w:rFonts w:ascii="宋体" w:hAnsi="宋体"/>
          <w:iCs w:val="0"/>
          <w:color w:val="auto"/>
          <w:sz w:val="21"/>
          <w:szCs w:val="21"/>
          <w:highlight w:val="none"/>
        </w:rPr>
        <w:t>材料与</w:t>
      </w:r>
      <w:r>
        <w:rPr>
          <w:rFonts w:ascii="宋体" w:hAnsi="宋体"/>
          <w:iCs w:val="0"/>
          <w:color w:val="auto"/>
          <w:kern w:val="0"/>
          <w:sz w:val="21"/>
          <w:szCs w:val="21"/>
          <w:highlight w:val="none"/>
        </w:rPr>
        <w:t>工程</w:t>
      </w:r>
      <w:r>
        <w:rPr>
          <w:rFonts w:ascii="宋体" w:hAnsi="宋体"/>
          <w:iCs w:val="0"/>
          <w:color w:val="auto"/>
          <w:sz w:val="21"/>
          <w:szCs w:val="21"/>
          <w:highlight w:val="none"/>
        </w:rPr>
        <w:t>设备的保管与使用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8.5禁止使用不合格的材料和工程设备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8.5.3 发包人提供的材料或工程设备不符合合同要求的，承包人有权拒绝，并可要求发包人更换，由此增加的费用和（或）延误的工期由发包人承担</w:t>
      </w:r>
      <w:r>
        <w:rPr>
          <w:rFonts w:hint="eastAsia" w:ascii="宋体" w:hAnsi="宋体"/>
          <w:iCs w:val="0"/>
          <w:color w:val="auto"/>
          <w:kern w:val="0"/>
          <w:sz w:val="21"/>
          <w:szCs w:val="21"/>
          <w:highlight w:val="none"/>
        </w:rPr>
        <w:t>，并支付承包人合理的利润</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8.6 样品</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8.6.1</w:t>
      </w:r>
      <w:r>
        <w:rPr>
          <w:rFonts w:ascii="宋体" w:hAnsi="宋体"/>
          <w:iCs w:val="0"/>
          <w:color w:val="auto"/>
          <w:kern w:val="0"/>
          <w:sz w:val="21"/>
          <w:szCs w:val="21"/>
          <w:highlight w:val="none"/>
        </w:rPr>
        <w:tab/>
      </w:r>
      <w:r>
        <w:rPr>
          <w:rFonts w:ascii="宋体" w:hAnsi="宋体"/>
          <w:iCs w:val="0"/>
          <w:color w:val="auto"/>
          <w:kern w:val="0"/>
          <w:sz w:val="21"/>
          <w:szCs w:val="21"/>
          <w:highlight w:val="none"/>
        </w:rPr>
        <w:t>样品的报送</w:t>
      </w:r>
      <w:r>
        <w:rPr>
          <w:rFonts w:hint="eastAsia" w:ascii="宋体" w:hAnsi="宋体"/>
          <w:iCs w:val="0"/>
          <w:color w:val="auto"/>
          <w:kern w:val="0"/>
          <w:sz w:val="21"/>
          <w:szCs w:val="21"/>
          <w:highlight w:val="none"/>
        </w:rPr>
        <w:t>与封存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（3）经发包人和监理人审批确认的样品</w:t>
      </w:r>
      <w:r>
        <w:rPr>
          <w:rFonts w:hint="eastAsia" w:ascii="宋体" w:hAnsi="宋体"/>
          <w:iCs w:val="0"/>
          <w:color w:val="auto"/>
          <w:kern w:val="0"/>
          <w:sz w:val="21"/>
          <w:szCs w:val="21"/>
          <w:highlight w:val="none"/>
        </w:rPr>
        <w:t>应按约定的方法封样，封存的样品</w:t>
      </w:r>
      <w:r>
        <w:rPr>
          <w:rFonts w:ascii="宋体" w:hAnsi="宋体"/>
          <w:iCs w:val="0"/>
          <w:color w:val="auto"/>
          <w:kern w:val="0"/>
          <w:sz w:val="21"/>
          <w:szCs w:val="21"/>
          <w:highlight w:val="none"/>
        </w:rPr>
        <w:t>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（4）发包人和监理人对样品的审批确认仅为确认相关材料或工程设备的特征或用途，不得被理解为对合同的修改或改变，也并不减轻或免除承包人任何的责任和义务。</w:t>
      </w:r>
      <w:r>
        <w:rPr>
          <w:rFonts w:hint="eastAsia" w:ascii="宋体" w:hAnsi="宋体"/>
          <w:iCs w:val="0"/>
          <w:color w:val="auto"/>
          <w:kern w:val="0"/>
          <w:sz w:val="21"/>
          <w:szCs w:val="21"/>
          <w:highlight w:val="none"/>
        </w:rPr>
        <w:t>如果封存的样品修改或改变了合同约定，合同当事人应当以书面协议予以确认。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8.6.2 样品的保管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经批准的样品应由监理人负责封存于现场，承包人应在现场为保存样品提供适当和固定的场所并保持适当和良好的存储环境条件。</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8.7材料与工程设备的替代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8.7.1 出现下列情况需要使用替代材料和工程设备的，承包人应按照第8.7.2项约定的程序执行：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（1）基准日</w:t>
      </w:r>
      <w:r>
        <w:rPr>
          <w:rFonts w:hint="eastAsia" w:ascii="宋体" w:hAnsi="宋体"/>
          <w:iCs w:val="0"/>
          <w:color w:val="auto"/>
          <w:kern w:val="0"/>
          <w:sz w:val="21"/>
          <w:szCs w:val="21"/>
          <w:highlight w:val="none"/>
        </w:rPr>
        <w:t>期</w:t>
      </w:r>
      <w:r>
        <w:rPr>
          <w:rFonts w:ascii="宋体" w:hAnsi="宋体"/>
          <w:iCs w:val="0"/>
          <w:color w:val="auto"/>
          <w:kern w:val="0"/>
          <w:sz w:val="21"/>
          <w:szCs w:val="21"/>
          <w:highlight w:val="none"/>
        </w:rPr>
        <w:t>后生效的法律规定禁止使用的；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（2）发包人要求使用替代品的；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（3）因其他原因必须使用替代品的。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8.7.2 承包人应在使用替代材料和工程设备28天前书面通知监理人，并附下列文件：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（1）被替代的材料和工程设备的名称、数量、规格、型号、品牌、性能、价格及其他相关资料；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（2）替代品的名称、数量、规格、型号、品牌、性能、价格及其他相关资料；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（3）替代品与被替代产品之间的差异以及使用替代品可能对工程产生的影响；</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（4）替代品与被替代产品的价格差异；</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（5）使用替代品的理由和原因说明；</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（6）监理人要求的其他文件。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8.7.3 发包人认可使用替代材料和工程设备的，替代材料和工程设备的价格，按照已标价工程量清单或预算书相同项目的价格认定；无相同项目的，参考相似项目价格认定；</w:t>
      </w:r>
      <w:r>
        <w:rPr>
          <w:rFonts w:hint="eastAsia" w:ascii="宋体" w:hAnsi="宋体"/>
          <w:iCs w:val="0"/>
          <w:color w:val="auto"/>
          <w:kern w:val="0"/>
          <w:sz w:val="21"/>
          <w:szCs w:val="21"/>
          <w:highlight w:val="none"/>
        </w:rPr>
        <w:t>既无</w:t>
      </w:r>
      <w:r>
        <w:rPr>
          <w:rFonts w:ascii="宋体" w:hAnsi="宋体"/>
          <w:iCs w:val="0"/>
          <w:color w:val="auto"/>
          <w:kern w:val="0"/>
          <w:sz w:val="21"/>
          <w:szCs w:val="21"/>
          <w:highlight w:val="none"/>
        </w:rPr>
        <w:t>相同项目</w:t>
      </w:r>
      <w:r>
        <w:rPr>
          <w:rFonts w:hint="eastAsia" w:ascii="宋体" w:hAnsi="宋体"/>
          <w:iCs w:val="0"/>
          <w:color w:val="auto"/>
          <w:kern w:val="0"/>
          <w:sz w:val="21"/>
          <w:szCs w:val="21"/>
          <w:highlight w:val="none"/>
        </w:rPr>
        <w:t>也</w:t>
      </w:r>
      <w:r>
        <w:rPr>
          <w:rFonts w:ascii="宋体" w:hAnsi="宋体"/>
          <w:iCs w:val="0"/>
          <w:color w:val="auto"/>
          <w:kern w:val="0"/>
          <w:sz w:val="21"/>
          <w:szCs w:val="21"/>
          <w:highlight w:val="none"/>
        </w:rPr>
        <w:t>无相似项目的，</w:t>
      </w:r>
      <w:r>
        <w:rPr>
          <w:rFonts w:hint="eastAsia" w:ascii="宋体" w:hAnsi="宋体"/>
          <w:iCs w:val="0"/>
          <w:color w:val="auto"/>
          <w:kern w:val="0"/>
          <w:sz w:val="21"/>
          <w:szCs w:val="21"/>
          <w:highlight w:val="none"/>
        </w:rPr>
        <w:t>按照合理的成本与利润构成的原则，</w:t>
      </w:r>
      <w:r>
        <w:rPr>
          <w:rFonts w:ascii="宋体" w:hAnsi="宋体"/>
          <w:iCs w:val="0"/>
          <w:color w:val="auto"/>
          <w:kern w:val="0"/>
          <w:sz w:val="21"/>
          <w:szCs w:val="21"/>
          <w:highlight w:val="none"/>
        </w:rPr>
        <w:t>由合同当事人按照第4.4款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确定价格。</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8.8施工设备和临时设施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8.8.1 承包人提供的施工设备和临时设施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8.8.2发包人提供的施工设备和临时设施</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发包人提供的施工设备或临时设施在专用合同条款中约定。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8.8.3要求承包人增加或更换施工设备</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8.9材料与设备专用</w:t>
      </w:r>
      <w:r>
        <w:rPr>
          <w:rFonts w:hint="eastAsia" w:ascii="宋体" w:hAnsi="宋体"/>
          <w:bCs/>
          <w:iCs w:val="0"/>
          <w:color w:val="auto"/>
          <w:sz w:val="21"/>
          <w:szCs w:val="21"/>
          <w:highlight w:val="none"/>
        </w:rPr>
        <w:t>要求</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9. 试验与检验</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9.1试验设备与试验人员</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9.1.2 承包人应按专用合同条款的约定提供试验设备、取样装置、试验场所和试验条件，并向监理人提交相应进场计划表。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9.1.3 承包人应向监理人提交试验人员的名单及其岗位、资格等证明资料，试验人员必须能够熟练进行相应的检测试验，承包人对试验人员的试验程序和试验结果的正确性负责。</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9.2取样</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试验属于自检性质的，承包人可以单独取样。试验属于监理人抽检性质的，可由监理人取样，也可由承包人的试验人员在监理人的监督下取样。</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9.3材料、工程设备和工程的试验和检验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9.4现场工艺试验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10. 变更</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10.1变更的范围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（1）增加或减少合同中任何工作，或追加额外的工作；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（2）取消合同中任何工作，但转由他人实施的工作除外；</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（3）改变合同中任何工作的质量标准或其他特性；</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（4）改变工程的基线、标高、位置和尺寸；</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（5）改变工程的时间安排或实施顺序。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10.2变更权</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涉及设计变更的，应由设计人提供变更后的图纸和说明。如变更超过原设计标准或批准的建设规模时，发包人应及时办理规划、设计变更</w:t>
      </w:r>
      <w:r>
        <w:rPr>
          <w:rFonts w:hint="eastAsia" w:ascii="宋体" w:hAnsi="宋体"/>
          <w:iCs w:val="0"/>
          <w:color w:val="auto"/>
          <w:kern w:val="0"/>
          <w:sz w:val="21"/>
          <w:szCs w:val="21"/>
          <w:highlight w:val="none"/>
        </w:rPr>
        <w:t>等</w:t>
      </w:r>
      <w:r>
        <w:rPr>
          <w:rFonts w:ascii="宋体" w:hAnsi="宋体"/>
          <w:iCs w:val="0"/>
          <w:color w:val="auto"/>
          <w:kern w:val="0"/>
          <w:sz w:val="21"/>
          <w:szCs w:val="21"/>
          <w:highlight w:val="none"/>
        </w:rPr>
        <w:t>审批手续。</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10.3变更程序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10</w:t>
      </w:r>
      <w:r>
        <w:rPr>
          <w:rFonts w:ascii="宋体" w:hAnsi="宋体"/>
          <w:iCs w:val="0"/>
          <w:color w:val="auto"/>
          <w:kern w:val="0"/>
          <w:sz w:val="21"/>
          <w:szCs w:val="21"/>
          <w:highlight w:val="none"/>
        </w:rPr>
        <w:t>.3.1 发包人提出变更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10</w:t>
      </w:r>
      <w:r>
        <w:rPr>
          <w:rFonts w:ascii="宋体" w:hAnsi="宋体"/>
          <w:iCs w:val="0"/>
          <w:color w:val="auto"/>
          <w:kern w:val="0"/>
          <w:sz w:val="21"/>
          <w:szCs w:val="21"/>
          <w:highlight w:val="none"/>
        </w:rPr>
        <w:t>.3.2 监理人提出变更建议</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hint="eastAsia" w:ascii="宋体" w:hAnsi="宋体"/>
          <w:iCs w:val="0"/>
          <w:color w:val="auto"/>
          <w:sz w:val="21"/>
          <w:szCs w:val="21"/>
          <w:highlight w:val="none"/>
        </w:rPr>
        <w:t>10.3.3 变更执行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承包人收到监理人下达的变更指示后，</w:t>
      </w:r>
      <w:r>
        <w:rPr>
          <w:rFonts w:hint="eastAsia" w:ascii="宋体" w:hAnsi="宋体"/>
          <w:iCs w:val="0"/>
          <w:color w:val="auto"/>
          <w:kern w:val="0"/>
          <w:sz w:val="21"/>
          <w:szCs w:val="21"/>
          <w:highlight w:val="none"/>
        </w:rPr>
        <w:t>认为不能执行，应立即</w:t>
      </w:r>
      <w:r>
        <w:rPr>
          <w:rFonts w:ascii="宋体" w:hAnsi="宋体"/>
          <w:iCs w:val="0"/>
          <w:color w:val="auto"/>
          <w:kern w:val="0"/>
          <w:sz w:val="21"/>
          <w:szCs w:val="21"/>
          <w:highlight w:val="none"/>
        </w:rPr>
        <w:t>提出不能执行该变更指示的理由。承包人</w:t>
      </w:r>
      <w:r>
        <w:rPr>
          <w:rFonts w:hint="eastAsia" w:ascii="宋体" w:hAnsi="宋体"/>
          <w:iCs w:val="0"/>
          <w:color w:val="auto"/>
          <w:kern w:val="0"/>
          <w:sz w:val="21"/>
          <w:szCs w:val="21"/>
          <w:highlight w:val="none"/>
        </w:rPr>
        <w:t>认为可以</w:t>
      </w:r>
      <w:r>
        <w:rPr>
          <w:rFonts w:ascii="宋体" w:hAnsi="宋体"/>
          <w:iCs w:val="0"/>
          <w:color w:val="auto"/>
          <w:kern w:val="0"/>
          <w:sz w:val="21"/>
          <w:szCs w:val="21"/>
          <w:highlight w:val="none"/>
        </w:rPr>
        <w:t>执行变更的，</w:t>
      </w:r>
      <w:r>
        <w:rPr>
          <w:rFonts w:hint="eastAsia" w:ascii="宋体" w:hAnsi="宋体"/>
          <w:iCs w:val="0"/>
          <w:color w:val="auto"/>
          <w:kern w:val="0"/>
          <w:sz w:val="21"/>
          <w:szCs w:val="21"/>
          <w:highlight w:val="none"/>
        </w:rPr>
        <w:t>应当书面说明实施该变更指示对合同价格和工期的影响，且合同当事人应当按照第10.4款〔变更估价〕约定确定变更估价</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10.4变更估价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10.4.1 变更估价原则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除专用合同条款另有约定外，变更估价按照本款约定处理：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（1）已标价工程量清单或预算书有相同项目的，按照相同项目单价认定；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确定变更工作的单价。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10.4.2 变更估价程序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承包人应在收到变更指示后14天内，向监理人提交变更估价申请。监理人应在收到承包人提交的变更估价申请后7天内审查完毕并报送发包人，监理人对变更估价申请有异议</w:t>
      </w:r>
      <w:r>
        <w:rPr>
          <w:rFonts w:ascii="宋体" w:hAnsi="宋体"/>
          <w:iCs w:val="0"/>
          <w:color w:val="auto"/>
          <w:kern w:val="0"/>
          <w:sz w:val="21"/>
          <w:szCs w:val="21"/>
          <w:highlight w:val="none"/>
        </w:rPr>
        <w:t>，通知承包人</w:t>
      </w:r>
      <w:r>
        <w:rPr>
          <w:rFonts w:hint="eastAsia" w:ascii="宋体" w:hAnsi="宋体"/>
          <w:iCs w:val="0"/>
          <w:color w:val="auto"/>
          <w:kern w:val="0"/>
          <w:sz w:val="21"/>
          <w:szCs w:val="21"/>
          <w:highlight w:val="none"/>
        </w:rPr>
        <w:t>修</w:t>
      </w:r>
      <w:r>
        <w:rPr>
          <w:rFonts w:ascii="宋体" w:hAnsi="宋体"/>
          <w:iCs w:val="0"/>
          <w:color w:val="auto"/>
          <w:kern w:val="0"/>
          <w:sz w:val="21"/>
          <w:szCs w:val="21"/>
          <w:highlight w:val="none"/>
        </w:rPr>
        <w:t>改</w:t>
      </w:r>
      <w:r>
        <w:rPr>
          <w:rFonts w:hint="eastAsia" w:ascii="宋体" w:hAnsi="宋体"/>
          <w:iCs w:val="0"/>
          <w:color w:val="auto"/>
          <w:kern w:val="0"/>
          <w:sz w:val="21"/>
          <w:szCs w:val="21"/>
          <w:highlight w:val="none"/>
        </w:rPr>
        <w:t>后重新提交</w:t>
      </w:r>
      <w:r>
        <w:rPr>
          <w:rFonts w:ascii="宋体" w:hAnsi="宋体"/>
          <w:iCs w:val="0"/>
          <w:color w:val="auto"/>
          <w:kern w:val="0"/>
          <w:sz w:val="21"/>
          <w:szCs w:val="21"/>
          <w:highlight w:val="none"/>
        </w:rPr>
        <w:t>。发包人应在</w:t>
      </w:r>
      <w:r>
        <w:rPr>
          <w:rFonts w:hint="eastAsia" w:ascii="宋体" w:hAnsi="宋体"/>
          <w:iCs w:val="0"/>
          <w:color w:val="auto"/>
          <w:kern w:val="0"/>
          <w:sz w:val="21"/>
          <w:szCs w:val="21"/>
          <w:highlight w:val="none"/>
        </w:rPr>
        <w:t>承包人提交变更估价申请</w:t>
      </w:r>
      <w:r>
        <w:rPr>
          <w:rFonts w:ascii="宋体" w:hAnsi="宋体"/>
          <w:iCs w:val="0"/>
          <w:color w:val="auto"/>
          <w:kern w:val="0"/>
          <w:sz w:val="21"/>
          <w:szCs w:val="21"/>
          <w:highlight w:val="none"/>
        </w:rPr>
        <w:t>后</w:t>
      </w:r>
      <w:r>
        <w:rPr>
          <w:rFonts w:hint="eastAsia" w:ascii="宋体" w:hAnsi="宋体"/>
          <w:iCs w:val="0"/>
          <w:color w:val="auto"/>
          <w:kern w:val="0"/>
          <w:sz w:val="21"/>
          <w:szCs w:val="21"/>
          <w:highlight w:val="none"/>
        </w:rPr>
        <w:t>14</w:t>
      </w:r>
      <w:r>
        <w:rPr>
          <w:rFonts w:ascii="宋体" w:hAnsi="宋体"/>
          <w:iCs w:val="0"/>
          <w:color w:val="auto"/>
          <w:kern w:val="0"/>
          <w:sz w:val="21"/>
          <w:szCs w:val="21"/>
          <w:highlight w:val="none"/>
        </w:rPr>
        <w:t>天内审批完毕。</w:t>
      </w:r>
      <w:r>
        <w:rPr>
          <w:rFonts w:hint="eastAsia" w:ascii="宋体" w:hAnsi="宋体"/>
          <w:iCs w:val="0"/>
          <w:color w:val="auto"/>
          <w:kern w:val="0"/>
          <w:sz w:val="21"/>
          <w:szCs w:val="21"/>
          <w:highlight w:val="none"/>
        </w:rPr>
        <w:t>发包人逾期未完成审批或未提出异议的，视为认可承包人提交的变更估价申请。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因变更引起的价格调整应计入最近一期的进度款中支付。</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10.5承包人的合理化建议</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变更估价</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约定执行。发包人不同意变更的，监理人应书面通知承包人。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合理化建议降低了合同价格或者提高了工程经济效益的，发包人可对承包人给予奖励，奖励的方法和金额在专用合同条款中约定。</w:t>
      </w:r>
    </w:p>
    <w:p>
      <w:pPr>
        <w:keepNext/>
        <w:keepLines/>
        <w:spacing w:before="120" w:after="120" w:line="360" w:lineRule="auto"/>
        <w:ind w:firstLine="420" w:firstLineChars="200"/>
        <w:outlineLvl w:val="4"/>
        <w:rPr>
          <w:rFonts w:ascii="宋体" w:hAnsi="宋体"/>
          <w:b/>
          <w:bCs/>
          <w:iCs w:val="0"/>
          <w:color w:val="auto"/>
          <w:sz w:val="21"/>
          <w:szCs w:val="21"/>
          <w:highlight w:val="none"/>
        </w:rPr>
      </w:pPr>
      <w:r>
        <w:rPr>
          <w:rFonts w:ascii="宋体" w:hAnsi="宋体"/>
          <w:bCs/>
          <w:iCs w:val="0"/>
          <w:color w:val="auto"/>
          <w:sz w:val="21"/>
          <w:szCs w:val="21"/>
          <w:highlight w:val="none"/>
        </w:rPr>
        <w:t xml:space="preserve">10.6变更引起的工期调整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因变更引起工期变化的，合同当事人均可要求调整合同工期，由合同当事人按照第4.4款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并参考工程所在地的工期定额标准确定增减工期天数。</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10.7暂估价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暂估价专业分包工程、</w:t>
      </w:r>
      <w:r>
        <w:rPr>
          <w:rFonts w:hint="eastAsia" w:ascii="宋体" w:hAnsi="宋体"/>
          <w:iCs w:val="0"/>
          <w:color w:val="auto"/>
          <w:kern w:val="0"/>
          <w:sz w:val="21"/>
          <w:szCs w:val="21"/>
          <w:highlight w:val="none"/>
        </w:rPr>
        <w:t>服务、</w:t>
      </w:r>
      <w:r>
        <w:rPr>
          <w:rFonts w:ascii="宋体" w:hAnsi="宋体"/>
          <w:iCs w:val="0"/>
          <w:color w:val="auto"/>
          <w:kern w:val="0"/>
          <w:sz w:val="21"/>
          <w:szCs w:val="21"/>
          <w:highlight w:val="none"/>
        </w:rPr>
        <w:t>材料和工程设备的明细由合同当事人在专用合同条款中约定。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10.7.1</w:t>
      </w:r>
      <w:r>
        <w:rPr>
          <w:rFonts w:ascii="宋体" w:hAnsi="宋体"/>
          <w:iCs w:val="0"/>
          <w:color w:val="auto"/>
          <w:kern w:val="0"/>
          <w:sz w:val="21"/>
          <w:szCs w:val="21"/>
          <w:highlight w:val="none"/>
        </w:rPr>
        <w:t xml:space="preserve"> 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对于依法必须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的暂估价项目，采取以下第1种方式确定</w:t>
      </w:r>
      <w:r>
        <w:rPr>
          <w:rFonts w:hint="eastAsia" w:ascii="宋体" w:hAnsi="宋体"/>
          <w:iCs w:val="0"/>
          <w:color w:val="auto"/>
          <w:kern w:val="0"/>
          <w:sz w:val="21"/>
          <w:szCs w:val="21"/>
          <w:highlight w:val="none"/>
        </w:rPr>
        <w:t>。合同当事人也可以在</w:t>
      </w:r>
      <w:r>
        <w:rPr>
          <w:rFonts w:ascii="宋体" w:hAnsi="宋体"/>
          <w:iCs w:val="0"/>
          <w:color w:val="auto"/>
          <w:kern w:val="0"/>
          <w:sz w:val="21"/>
          <w:szCs w:val="21"/>
          <w:highlight w:val="none"/>
        </w:rPr>
        <w:t>专用合同条款</w:t>
      </w:r>
      <w:r>
        <w:rPr>
          <w:rFonts w:hint="eastAsia" w:ascii="宋体" w:hAnsi="宋体"/>
          <w:iCs w:val="0"/>
          <w:color w:val="auto"/>
          <w:kern w:val="0"/>
          <w:sz w:val="21"/>
          <w:szCs w:val="21"/>
          <w:highlight w:val="none"/>
        </w:rPr>
        <w:t>中选择其他</w:t>
      </w:r>
      <w:r>
        <w:rPr>
          <w:rFonts w:hint="eastAsia" w:ascii="宋体" w:hAnsi="宋体"/>
          <w:iCs w:val="0"/>
          <w:color w:val="auto"/>
          <w:kern w:val="0"/>
          <w:sz w:val="21"/>
          <w:szCs w:val="21"/>
          <w:highlight w:val="none"/>
          <w:lang w:eastAsia="zh-CN"/>
        </w:rPr>
        <w:t>采购</w:t>
      </w:r>
      <w:r>
        <w:rPr>
          <w:rFonts w:hint="eastAsia" w:ascii="宋体" w:hAnsi="宋体"/>
          <w:iCs w:val="0"/>
          <w:color w:val="auto"/>
          <w:kern w:val="0"/>
          <w:sz w:val="21"/>
          <w:szCs w:val="21"/>
          <w:highlight w:val="none"/>
        </w:rPr>
        <w:t>方式。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第1种方式：对于依法必须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的暂估价项目，由承包人</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，对该暂估价项目的确认和批准按照以下约定执行：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（1）承包人应当根据施工进度计划，在</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工作启动前14天将</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方案通过监理人报送发包人审查，发包人应当在收到承包人报送的</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方案后7天内批准或提出修改意见。承包人应当按照经过发包人批准的</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方案开展</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工作；</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（2）承包人应当根据施工进度计划，提前14天将</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文件通过监理人报送发包人审批，发包人应当在收到承包人报送的相关文件后7天内完成审批或提出修改意见；发包人有权确定</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最高限价</w:t>
      </w:r>
      <w:r>
        <w:rPr>
          <w:rFonts w:hint="eastAsia" w:ascii="宋体" w:hAnsi="宋体"/>
          <w:iCs w:val="0"/>
          <w:color w:val="auto"/>
          <w:kern w:val="0"/>
          <w:sz w:val="21"/>
          <w:szCs w:val="21"/>
          <w:highlight w:val="none"/>
        </w:rPr>
        <w:t>并按照法律规定参加评选</w:t>
      </w:r>
      <w:r>
        <w:rPr>
          <w:rFonts w:ascii="宋体" w:hAnsi="宋体"/>
          <w:iCs w:val="0"/>
          <w:color w:val="auto"/>
          <w:kern w:val="0"/>
          <w:sz w:val="21"/>
          <w:szCs w:val="21"/>
          <w:highlight w:val="none"/>
        </w:rPr>
        <w:t>；</w:t>
      </w:r>
    </w:p>
    <w:p>
      <w:pPr>
        <w:spacing w:line="360" w:lineRule="auto"/>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3）承包人与供应商、分包人在签订暂估价合同前，应当提前7天将确定的中标候选供应商或中标候选分包人的资料报送发包人，发包人应在收到资料后3天内与承包人共同确定中选人；承包人应当在签订合同后7天内，将暂估价合同副本报送发包人留存。</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第2种方式：对于依法必须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的暂估价项目，由发包人和承包人共同</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确定暂估价供应商或分包人的，承包人应按照施工进度计划，在</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工作启动前14天通知发包人，并提交暂估价</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方案和工作分工。发包人应在收到后7天内确认。确定中选人后，由发包人、承包人与中选人共同签订暂估价合同。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10.7.2</w:t>
      </w:r>
      <w:r>
        <w:rPr>
          <w:rFonts w:ascii="宋体" w:hAnsi="宋体"/>
          <w:iCs w:val="0"/>
          <w:color w:val="auto"/>
          <w:kern w:val="0"/>
          <w:sz w:val="21"/>
          <w:szCs w:val="21"/>
          <w:highlight w:val="none"/>
        </w:rPr>
        <w:t>不属于依法必须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除专用合同条款另有约定外，对于不属于依法必须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的暂估价项目，采取以下第1种方式确定：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第1种方式：对于不属于依法必须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的暂估价项目，按本项约定确认和批准：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（2）发包人认为承包人确定的供应商、分包人无法满足工程质量或合同要求的，发包人可以要求承包人重新确定暂估价项目的供应商、分包人;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（3）承包人应当在签订暂估价合同后7天内，将暂估价合同副本报送发包人留存。</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第2种方式：承包人按照第10.7.1项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依法必须</w:t>
      </w:r>
      <w:r>
        <w:rPr>
          <w:rFonts w:hint="eastAsia" w:ascii="宋体" w:hAnsi="宋体"/>
          <w:iCs w:val="0"/>
          <w:color w:val="auto"/>
          <w:kern w:val="0"/>
          <w:sz w:val="21"/>
          <w:szCs w:val="21"/>
          <w:highlight w:val="none"/>
          <w:lang w:eastAsia="zh-CN"/>
        </w:rPr>
        <w:t>采购</w:t>
      </w:r>
      <w:r>
        <w:rPr>
          <w:rFonts w:ascii="宋体" w:hAnsi="宋体"/>
          <w:iCs w:val="0"/>
          <w:color w:val="auto"/>
          <w:kern w:val="0"/>
          <w:sz w:val="21"/>
          <w:szCs w:val="21"/>
          <w:highlight w:val="none"/>
        </w:rPr>
        <w:t>的暂估价项目</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约定的第1种方式确定暂估价项目。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第3种方式：</w:t>
      </w:r>
      <w:r>
        <w:rPr>
          <w:rFonts w:ascii="宋体" w:hAnsi="宋体"/>
          <w:iCs w:val="0"/>
          <w:color w:val="auto"/>
          <w:kern w:val="0"/>
          <w:sz w:val="21"/>
          <w:szCs w:val="21"/>
          <w:highlight w:val="none"/>
        </w:rPr>
        <w:t>承包人直接实施的暂估价项目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10.8暂列金额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暂列金额应按照发包人的要求使用，发包人的要求应通过监理人发出。</w:t>
      </w:r>
      <w:r>
        <w:rPr>
          <w:rFonts w:hint="eastAsia" w:ascii="宋体" w:hAnsi="宋体"/>
          <w:iCs w:val="0"/>
          <w:color w:val="auto"/>
          <w:kern w:val="0"/>
          <w:sz w:val="21"/>
          <w:szCs w:val="21"/>
          <w:highlight w:val="none"/>
        </w:rPr>
        <w:t>合同当事人可以在专用合同条款中协商确定有关事项。</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 xml:space="preserve">10.9计日工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需要采用计日工方式的，经发包人同意后</w:t>
      </w:r>
      <w:r>
        <w:rPr>
          <w:rFonts w:ascii="宋体" w:hAnsi="宋体"/>
          <w:iCs w:val="0"/>
          <w:color w:val="auto"/>
          <w:kern w:val="0"/>
          <w:sz w:val="21"/>
          <w:szCs w:val="21"/>
          <w:highlight w:val="none"/>
        </w:rPr>
        <w:t>，由监理人通知承包人以计日工计价方式实施</w:t>
      </w:r>
      <w:r>
        <w:rPr>
          <w:rFonts w:hint="eastAsia" w:ascii="宋体" w:hAnsi="宋体"/>
          <w:iCs w:val="0"/>
          <w:color w:val="auto"/>
          <w:kern w:val="0"/>
          <w:sz w:val="21"/>
          <w:szCs w:val="21"/>
          <w:highlight w:val="none"/>
        </w:rPr>
        <w:t>相应</w:t>
      </w:r>
      <w:r>
        <w:rPr>
          <w:rFonts w:ascii="宋体" w:hAnsi="宋体"/>
          <w:iCs w:val="0"/>
          <w:color w:val="auto"/>
          <w:kern w:val="0"/>
          <w:sz w:val="21"/>
          <w:szCs w:val="21"/>
          <w:highlight w:val="none"/>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确定</w:t>
      </w:r>
      <w:r>
        <w:rPr>
          <w:rFonts w:hint="eastAsia" w:ascii="宋体" w:hAnsi="宋体"/>
          <w:iCs w:val="0"/>
          <w:color w:val="auto"/>
          <w:kern w:val="0"/>
          <w:sz w:val="21"/>
          <w:szCs w:val="21"/>
          <w:highlight w:val="none"/>
        </w:rPr>
        <w:t>计日工</w:t>
      </w:r>
      <w:r>
        <w:rPr>
          <w:rFonts w:ascii="宋体" w:hAnsi="宋体"/>
          <w:iCs w:val="0"/>
          <w:color w:val="auto"/>
          <w:kern w:val="0"/>
          <w:sz w:val="21"/>
          <w:szCs w:val="21"/>
          <w:highlight w:val="none"/>
        </w:rPr>
        <w:t>的单价。</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采用计日工计价的任何一项工作，承包人应在该项工作实施过程中，每天提交以下报表和有关凭证报送监理人审查：</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（1）工作名称、内容和数量；</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（2）投入该工作的所有人员的姓名、专业、工种、级别和耗用工时；</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（3）投入该工作的材料类别和数量；</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（4）投入该工作的施工设备型号、台数和耗用台时；</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（5）其他有关资料和凭证。</w:t>
      </w:r>
    </w:p>
    <w:p>
      <w:pPr>
        <w:spacing w:line="360" w:lineRule="auto"/>
        <w:ind w:firstLine="315" w:firstLineChars="15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计日工由承包人汇总后，列入最近一期进度付款申请单，由监理人审查并经发包人批准后列入进度付款。</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11. 价格调整</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11.1市场价格波动引起的调整</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第1种方式：采用价格指数</w:t>
      </w:r>
      <w:r>
        <w:rPr>
          <w:rFonts w:hint="eastAsia" w:ascii="宋体" w:hAnsi="宋体"/>
          <w:iCs w:val="0"/>
          <w:color w:val="auto"/>
          <w:sz w:val="21"/>
          <w:szCs w:val="21"/>
          <w:highlight w:val="none"/>
        </w:rPr>
        <w:t>进行价格</w:t>
      </w:r>
      <w:r>
        <w:rPr>
          <w:rFonts w:ascii="宋体" w:hAnsi="宋体"/>
          <w:iCs w:val="0"/>
          <w:color w:val="auto"/>
          <w:sz w:val="21"/>
          <w:szCs w:val="21"/>
          <w:highlight w:val="none"/>
        </w:rPr>
        <w:t>调整。</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（1）价格调整公式</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color w:val="auto"/>
          <w:position w:val="-30"/>
          <w:sz w:val="21"/>
          <w:szCs w:val="21"/>
          <w:highlight w:val="none"/>
        </w:rPr>
        <w:drawing>
          <wp:inline distT="0" distB="0" distL="114300" distR="114300">
            <wp:extent cx="4573905" cy="562610"/>
            <wp:effectExtent l="0" t="0" r="1714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573905" cy="562610"/>
                    </a:xfrm>
                    <a:prstGeom prst="rect">
                      <a:avLst/>
                    </a:prstGeom>
                    <a:noFill/>
                    <a:ln>
                      <a:noFill/>
                    </a:ln>
                  </pic:spPr>
                </pic:pic>
              </a:graphicData>
            </a:graphic>
          </wp:inline>
        </w:drawing>
      </w:r>
    </w:p>
    <w:p>
      <w:pPr>
        <w:tabs>
          <w:tab w:val="left" w:pos="0"/>
          <w:tab w:val="left" w:pos="360"/>
          <w:tab w:val="left" w:pos="540"/>
        </w:tabs>
        <w:spacing w:line="360" w:lineRule="auto"/>
        <w:ind w:firstLine="640"/>
        <w:rPr>
          <w:rFonts w:ascii="宋体" w:hAnsi="宋体"/>
          <w:iCs w:val="0"/>
          <w:color w:val="auto"/>
          <w:sz w:val="21"/>
          <w:szCs w:val="21"/>
          <w:highlight w:val="none"/>
        </w:rPr>
      </w:pPr>
      <w:r>
        <w:rPr>
          <w:rFonts w:ascii="宋体" w:hAnsi="宋体"/>
          <w:iCs w:val="0"/>
          <w:color w:val="auto"/>
          <w:sz w:val="21"/>
          <w:szCs w:val="21"/>
          <w:highlight w:val="none"/>
        </w:rPr>
        <w:t>公式中：ΔP——需调整的价格差额；</w:t>
      </w:r>
    </w:p>
    <w:p>
      <w:pPr>
        <w:tabs>
          <w:tab w:val="left" w:pos="0"/>
          <w:tab w:val="left" w:pos="360"/>
          <w:tab w:val="left" w:pos="540"/>
        </w:tabs>
        <w:spacing w:line="360" w:lineRule="auto"/>
        <w:ind w:firstLine="1260" w:firstLineChars="600"/>
        <w:rPr>
          <w:rFonts w:ascii="宋体" w:hAnsi="宋体"/>
          <w:iCs w:val="0"/>
          <w:color w:val="auto"/>
          <w:sz w:val="21"/>
          <w:szCs w:val="21"/>
          <w:highlight w:val="none"/>
        </w:rPr>
      </w:pPr>
      <w:r>
        <w:rPr>
          <w:rFonts w:ascii="宋体" w:hAnsi="宋体"/>
          <w:iCs/>
          <w:color w:val="auto"/>
          <w:position w:val="-6"/>
          <w:sz w:val="21"/>
          <w:szCs w:val="21"/>
          <w:highlight w:val="none"/>
        </w:rPr>
        <w:drawing>
          <wp:inline distT="0" distB="0" distL="114300" distR="114300">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228600" cy="228600"/>
                    </a:xfrm>
                    <a:prstGeom prst="rect">
                      <a:avLst/>
                    </a:prstGeom>
                    <a:noFill/>
                    <a:ln>
                      <a:noFill/>
                    </a:ln>
                  </pic:spPr>
                </pic:pic>
              </a:graphicData>
            </a:graphic>
          </wp:inline>
        </w:drawing>
      </w:r>
      <w:r>
        <w:rPr>
          <w:rFonts w:ascii="宋体" w:hAnsi="宋体"/>
          <w:iCs w:val="0"/>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A——定值权重（即不调部分的权重）；</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color w:val="auto"/>
          <w:position w:val="-10"/>
          <w:sz w:val="21"/>
          <w:szCs w:val="21"/>
          <w:highlight w:val="none"/>
        </w:rPr>
        <w:drawing>
          <wp:inline distT="0" distB="0" distL="114300" distR="114300">
            <wp:extent cx="1285875" cy="2667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1285875" cy="266700"/>
                    </a:xfrm>
                    <a:prstGeom prst="rect">
                      <a:avLst/>
                    </a:prstGeom>
                    <a:noFill/>
                    <a:ln>
                      <a:noFill/>
                    </a:ln>
                  </pic:spPr>
                </pic:pic>
              </a:graphicData>
            </a:graphic>
          </wp:inline>
        </w:drawing>
      </w:r>
      <w:r>
        <w:rPr>
          <w:rFonts w:ascii="宋体" w:hAnsi="宋体"/>
          <w:iCs w:val="0"/>
          <w:color w:val="auto"/>
          <w:sz w:val="21"/>
          <w:szCs w:val="21"/>
          <w:highlight w:val="none"/>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color w:val="auto"/>
          <w:position w:val="-10"/>
          <w:sz w:val="21"/>
          <w:szCs w:val="21"/>
          <w:highlight w:val="none"/>
        </w:rPr>
        <w:drawing>
          <wp:inline distT="0" distB="0" distL="114300" distR="114300">
            <wp:extent cx="1296035" cy="257175"/>
            <wp:effectExtent l="0" t="0" r="184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296035" cy="257175"/>
                    </a:xfrm>
                    <a:prstGeom prst="rect">
                      <a:avLst/>
                    </a:prstGeom>
                    <a:noFill/>
                    <a:ln>
                      <a:noFill/>
                    </a:ln>
                  </pic:spPr>
                </pic:pic>
              </a:graphicData>
            </a:graphic>
          </wp:inline>
        </w:drawing>
      </w:r>
      <w:r>
        <w:rPr>
          <w:rFonts w:ascii="宋体" w:hAnsi="宋体"/>
          <w:iCs w:val="0"/>
          <w:color w:val="auto"/>
          <w:sz w:val="21"/>
          <w:szCs w:val="21"/>
          <w:highlight w:val="none"/>
        </w:rPr>
        <w:t>——各可调因子的现行价格指数，指约定的付款证书相关周期最后一天的前42天的各可调因子的价格指数；</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color w:val="auto"/>
          <w:position w:val="-10"/>
          <w:sz w:val="21"/>
          <w:szCs w:val="21"/>
          <w:highlight w:val="none"/>
        </w:rPr>
        <w:drawing>
          <wp:inline distT="0" distB="0" distL="114300" distR="114300">
            <wp:extent cx="1370965" cy="257175"/>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370965" cy="257175"/>
                    </a:xfrm>
                    <a:prstGeom prst="rect">
                      <a:avLst/>
                    </a:prstGeom>
                    <a:noFill/>
                    <a:ln>
                      <a:noFill/>
                    </a:ln>
                  </pic:spPr>
                </pic:pic>
              </a:graphicData>
            </a:graphic>
          </wp:inline>
        </w:drawing>
      </w:r>
      <w:r>
        <w:rPr>
          <w:rFonts w:ascii="宋体" w:hAnsi="宋体"/>
          <w:iCs w:val="0"/>
          <w:color w:val="auto"/>
          <w:sz w:val="21"/>
          <w:szCs w:val="21"/>
          <w:highlight w:val="none"/>
        </w:rPr>
        <w:t>——各可调因子的基本价格指数，指基准日期的各可调因子的价格指数。</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以上价格调整公式中的各可调因子、定值和变值权重，以及基本价格指数及其来源在投标函附录价格指数和权重表中约定，非</w:t>
      </w:r>
      <w:r>
        <w:rPr>
          <w:rFonts w:hint="eastAsia" w:ascii="宋体" w:hAnsi="宋体"/>
          <w:iCs w:val="0"/>
          <w:color w:val="auto"/>
          <w:sz w:val="21"/>
          <w:szCs w:val="21"/>
          <w:highlight w:val="none"/>
          <w:lang w:eastAsia="zh-CN"/>
        </w:rPr>
        <w:t>采购</w:t>
      </w:r>
      <w:r>
        <w:rPr>
          <w:rFonts w:ascii="宋体" w:hAnsi="宋体"/>
          <w:iCs w:val="0"/>
          <w:color w:val="auto"/>
          <w:sz w:val="21"/>
          <w:szCs w:val="21"/>
          <w:highlight w:val="none"/>
        </w:rPr>
        <w:t>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（2）暂时确定调整差额</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（3）权重的调整</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因变更导致合同约定的权重不合理时，按照第4.4款</w:t>
      </w:r>
      <w:r>
        <w:rPr>
          <w:rFonts w:hint="eastAsia" w:ascii="宋体" w:hAnsi="宋体"/>
          <w:iCs w:val="0"/>
          <w:color w:val="auto"/>
          <w:sz w:val="21"/>
          <w:szCs w:val="21"/>
          <w:highlight w:val="none"/>
        </w:rPr>
        <w:t>〔</w:t>
      </w:r>
      <w:r>
        <w:rPr>
          <w:rFonts w:ascii="宋体" w:hAnsi="宋体"/>
          <w:iCs w:val="0"/>
          <w:color w:val="auto"/>
          <w:sz w:val="21"/>
          <w:szCs w:val="21"/>
          <w:highlight w:val="none"/>
        </w:rPr>
        <w:t>商定或确定</w:t>
      </w:r>
      <w:r>
        <w:rPr>
          <w:rFonts w:hint="eastAsia" w:ascii="宋体" w:hAnsi="宋体"/>
          <w:iCs w:val="0"/>
          <w:color w:val="auto"/>
          <w:sz w:val="21"/>
          <w:szCs w:val="21"/>
          <w:highlight w:val="none"/>
        </w:rPr>
        <w:t>〕</w:t>
      </w:r>
      <w:r>
        <w:rPr>
          <w:rFonts w:ascii="宋体" w:hAnsi="宋体"/>
          <w:iCs w:val="0"/>
          <w:color w:val="auto"/>
          <w:sz w:val="21"/>
          <w:szCs w:val="21"/>
          <w:highlight w:val="none"/>
        </w:rPr>
        <w:t>执行。</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（4）因承包人原因工期延误后的价格调整</w:t>
      </w:r>
    </w:p>
    <w:p>
      <w:pPr>
        <w:tabs>
          <w:tab w:val="left" w:pos="0"/>
          <w:tab w:val="left" w:pos="360"/>
          <w:tab w:val="left" w:pos="540"/>
        </w:tabs>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第2种方式：采用造价信息</w:t>
      </w:r>
      <w:r>
        <w:rPr>
          <w:rFonts w:hint="eastAsia" w:ascii="宋体" w:hAnsi="宋体"/>
          <w:iCs w:val="0"/>
          <w:color w:val="auto"/>
          <w:sz w:val="21"/>
          <w:szCs w:val="21"/>
          <w:highlight w:val="none"/>
        </w:rPr>
        <w:t>进行价格</w:t>
      </w:r>
      <w:r>
        <w:rPr>
          <w:rFonts w:ascii="宋体" w:hAnsi="宋体"/>
          <w:iCs w:val="0"/>
          <w:color w:val="auto"/>
          <w:sz w:val="21"/>
          <w:szCs w:val="21"/>
          <w:highlight w:val="none"/>
        </w:rPr>
        <w:t>调整。</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宋体" w:hAnsi="宋体"/>
          <w:iCs w:val="0"/>
          <w:color w:val="auto"/>
          <w:sz w:val="21"/>
          <w:szCs w:val="21"/>
          <w:highlight w:val="none"/>
        </w:rPr>
        <w:t>量</w:t>
      </w:r>
      <w:r>
        <w:rPr>
          <w:rFonts w:ascii="宋体" w:hAnsi="宋体"/>
          <w:iCs w:val="0"/>
          <w:color w:val="auto"/>
          <w:sz w:val="21"/>
          <w:szCs w:val="21"/>
          <w:highlight w:val="none"/>
        </w:rPr>
        <w:t>应由发包人审批，发包人确认需调整的材料单价及数量，作为调整合同价格的依据。</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（2）材料、工程设备价格变化的价款调整按照发包人提供的基准价格，按以下风险范围规定执行:</w:t>
      </w:r>
    </w:p>
    <w:p>
      <w:pPr>
        <w:spacing w:line="360" w:lineRule="auto"/>
        <w:ind w:firstLine="420" w:firstLineChars="200"/>
        <w:rPr>
          <w:rFonts w:ascii="宋体" w:hAnsi="宋体"/>
          <w:iCs w:val="0"/>
          <w:color w:val="auto"/>
          <w:sz w:val="21"/>
          <w:szCs w:val="21"/>
          <w:highlight w:val="none"/>
        </w:rPr>
      </w:pPr>
      <w:r>
        <w:rPr>
          <w:rFonts w:hint="eastAsia" w:ascii="宋体" w:hAnsi="宋体" w:cs="宋体"/>
          <w:iCs w:val="0"/>
          <w:color w:val="auto"/>
          <w:sz w:val="21"/>
          <w:szCs w:val="21"/>
          <w:highlight w:val="none"/>
        </w:rPr>
        <w:t>①</w:t>
      </w:r>
      <w:r>
        <w:rPr>
          <w:rFonts w:ascii="宋体" w:hAnsi="宋体"/>
          <w:iCs w:val="0"/>
          <w:color w:val="auto"/>
          <w:sz w:val="21"/>
          <w:szCs w:val="21"/>
          <w:highlight w:val="none"/>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20" w:firstLineChars="200"/>
        <w:rPr>
          <w:rFonts w:ascii="宋体" w:hAnsi="宋体"/>
          <w:iCs w:val="0"/>
          <w:color w:val="auto"/>
          <w:sz w:val="21"/>
          <w:szCs w:val="21"/>
          <w:highlight w:val="none"/>
        </w:rPr>
      </w:pPr>
      <w:r>
        <w:rPr>
          <w:rFonts w:hint="eastAsia" w:ascii="宋体" w:hAnsi="宋体" w:cs="宋体"/>
          <w:iCs w:val="0"/>
          <w:color w:val="auto"/>
          <w:sz w:val="21"/>
          <w:szCs w:val="21"/>
          <w:highlight w:val="none"/>
        </w:rPr>
        <w:t>②</w:t>
      </w:r>
      <w:r>
        <w:rPr>
          <w:rFonts w:ascii="宋体" w:hAnsi="宋体"/>
          <w:iCs w:val="0"/>
          <w:color w:val="auto"/>
          <w:sz w:val="21"/>
          <w:szCs w:val="21"/>
          <w:highlight w:val="none"/>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20" w:firstLineChars="200"/>
        <w:rPr>
          <w:rFonts w:ascii="宋体" w:hAnsi="宋体"/>
          <w:iCs w:val="0"/>
          <w:color w:val="auto"/>
          <w:sz w:val="21"/>
          <w:szCs w:val="21"/>
          <w:highlight w:val="none"/>
        </w:rPr>
      </w:pPr>
      <w:r>
        <w:rPr>
          <w:rFonts w:hint="eastAsia" w:ascii="宋体" w:hAnsi="宋体" w:cs="宋体"/>
          <w:iCs w:val="0"/>
          <w:color w:val="auto"/>
          <w:sz w:val="21"/>
          <w:szCs w:val="21"/>
          <w:highlight w:val="none"/>
        </w:rPr>
        <w:t>③</w:t>
      </w:r>
      <w:r>
        <w:rPr>
          <w:rFonts w:ascii="宋体" w:hAnsi="宋体"/>
          <w:iCs w:val="0"/>
          <w:color w:val="auto"/>
          <w:sz w:val="21"/>
          <w:szCs w:val="21"/>
          <w:highlight w:val="none"/>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20" w:firstLineChars="200"/>
        <w:rPr>
          <w:rFonts w:ascii="宋体" w:hAnsi="宋体"/>
          <w:iCs w:val="0"/>
          <w:color w:val="auto"/>
          <w:sz w:val="21"/>
          <w:szCs w:val="21"/>
          <w:highlight w:val="none"/>
        </w:rPr>
      </w:pPr>
      <w:r>
        <w:rPr>
          <w:rFonts w:hint="eastAsia" w:ascii="宋体" w:hAnsi="宋体" w:cs="宋体"/>
          <w:iCs w:val="0"/>
          <w:color w:val="auto"/>
          <w:sz w:val="21"/>
          <w:szCs w:val="21"/>
          <w:highlight w:val="none"/>
        </w:rPr>
        <w:t>④</w:t>
      </w:r>
      <w:r>
        <w:rPr>
          <w:rFonts w:ascii="宋体" w:hAnsi="宋体"/>
          <w:iCs w:val="0"/>
          <w:color w:val="auto"/>
          <w:sz w:val="21"/>
          <w:szCs w:val="21"/>
          <w:highlight w:val="none"/>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ascii="宋体" w:hAnsi="宋体"/>
          <w:iCs w:val="0"/>
          <w:color w:val="auto"/>
          <w:sz w:val="21"/>
          <w:szCs w:val="21"/>
          <w:highlight w:val="none"/>
        </w:rPr>
      </w:pPr>
      <w:bookmarkStart w:id="149" w:name="OLE_LINK3"/>
      <w:r>
        <w:rPr>
          <w:rFonts w:ascii="宋体" w:hAnsi="宋体"/>
          <w:iCs w:val="0"/>
          <w:color w:val="auto"/>
          <w:sz w:val="21"/>
          <w:szCs w:val="21"/>
          <w:highlight w:val="none"/>
        </w:rPr>
        <w:t>前述基准价格是指由发包人在</w:t>
      </w:r>
      <w:r>
        <w:rPr>
          <w:rFonts w:hint="eastAsia" w:ascii="宋体" w:hAnsi="宋体"/>
          <w:iCs w:val="0"/>
          <w:color w:val="auto"/>
          <w:sz w:val="21"/>
          <w:szCs w:val="21"/>
          <w:highlight w:val="none"/>
          <w:lang w:eastAsia="zh-CN"/>
        </w:rPr>
        <w:t>采购</w:t>
      </w:r>
      <w:r>
        <w:rPr>
          <w:rFonts w:ascii="宋体" w:hAnsi="宋体"/>
          <w:iCs w:val="0"/>
          <w:color w:val="auto"/>
          <w:sz w:val="21"/>
          <w:szCs w:val="21"/>
          <w:highlight w:val="none"/>
        </w:rPr>
        <w:t>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（3）施工机械台班单价或施工机械使用费发生变化超过省级或行业建设主管部门或其授权的工程造价管理机构规定的范围时，按规定调整合同价格。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第3种方式：专用合同条款约定的其他方式。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11.2法律变化引起的调整</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基准日</w:t>
      </w:r>
      <w:r>
        <w:rPr>
          <w:rFonts w:hint="eastAsia" w:ascii="宋体" w:hAnsi="宋体"/>
          <w:iCs w:val="0"/>
          <w:color w:val="auto"/>
          <w:sz w:val="21"/>
          <w:szCs w:val="21"/>
          <w:highlight w:val="none"/>
        </w:rPr>
        <w:t>期</w:t>
      </w:r>
      <w:r>
        <w:rPr>
          <w:rFonts w:ascii="宋体" w:hAnsi="宋体"/>
          <w:iCs w:val="0"/>
          <w:color w:val="auto"/>
          <w:sz w:val="21"/>
          <w:szCs w:val="21"/>
          <w:highlight w:val="none"/>
        </w:rPr>
        <w:t>后，法律变化</w:t>
      </w:r>
      <w:r>
        <w:rPr>
          <w:rFonts w:hint="eastAsia" w:ascii="宋体" w:hAnsi="宋体"/>
          <w:iCs w:val="0"/>
          <w:color w:val="auto"/>
          <w:sz w:val="21"/>
          <w:szCs w:val="21"/>
          <w:highlight w:val="none"/>
        </w:rPr>
        <w:t>导致承包人在合同履行过程中所需要的费用发生除第11.1款〔市场价格波动引起的调整〕约定以外的增加时，由发包人承担由此增加的费用；减少时，应从合同价格中予以扣减。</w:t>
      </w:r>
      <w:r>
        <w:rPr>
          <w:rFonts w:ascii="宋体" w:hAnsi="宋体"/>
          <w:iCs w:val="0"/>
          <w:color w:val="auto"/>
          <w:sz w:val="21"/>
          <w:szCs w:val="21"/>
          <w:highlight w:val="none"/>
        </w:rPr>
        <w:t>基准日</w:t>
      </w:r>
      <w:r>
        <w:rPr>
          <w:rFonts w:hint="eastAsia" w:ascii="宋体" w:hAnsi="宋体"/>
          <w:iCs w:val="0"/>
          <w:color w:val="auto"/>
          <w:sz w:val="21"/>
          <w:szCs w:val="21"/>
          <w:highlight w:val="none"/>
        </w:rPr>
        <w:t>期</w:t>
      </w:r>
      <w:r>
        <w:rPr>
          <w:rFonts w:ascii="宋体" w:hAnsi="宋体"/>
          <w:iCs w:val="0"/>
          <w:color w:val="auto"/>
          <w:sz w:val="21"/>
          <w:szCs w:val="21"/>
          <w:highlight w:val="none"/>
        </w:rPr>
        <w:t>后，</w:t>
      </w:r>
      <w:r>
        <w:rPr>
          <w:rFonts w:hint="eastAsia" w:ascii="宋体" w:hAnsi="宋体"/>
          <w:iCs w:val="0"/>
          <w:color w:val="auto"/>
          <w:sz w:val="21"/>
          <w:szCs w:val="21"/>
          <w:highlight w:val="none"/>
        </w:rPr>
        <w:t>因</w:t>
      </w:r>
      <w:r>
        <w:rPr>
          <w:rFonts w:ascii="宋体" w:hAnsi="宋体"/>
          <w:iCs w:val="0"/>
          <w:color w:val="auto"/>
          <w:sz w:val="21"/>
          <w:szCs w:val="21"/>
          <w:highlight w:val="none"/>
        </w:rPr>
        <w:t>法律变化</w:t>
      </w:r>
      <w:r>
        <w:rPr>
          <w:rFonts w:hint="eastAsia" w:ascii="宋体" w:hAnsi="宋体"/>
          <w:iCs w:val="0"/>
          <w:color w:val="auto"/>
          <w:sz w:val="21"/>
          <w:szCs w:val="21"/>
          <w:highlight w:val="none"/>
        </w:rPr>
        <w:t>造成工期延误时，工期应予以顺延。</w:t>
      </w:r>
    </w:p>
    <w:p>
      <w:pPr>
        <w:spacing w:line="360" w:lineRule="auto"/>
        <w:ind w:firstLine="420" w:firstLineChars="200"/>
        <w:rPr>
          <w:rFonts w:ascii="宋体" w:hAnsi="宋体"/>
          <w:iCs w:val="0"/>
          <w:color w:val="auto"/>
          <w:sz w:val="21"/>
          <w:szCs w:val="21"/>
          <w:highlight w:val="none"/>
        </w:rPr>
      </w:pPr>
      <w:r>
        <w:rPr>
          <w:rFonts w:hint="eastAsia" w:ascii="宋体" w:hAnsi="宋体"/>
          <w:iCs w:val="0"/>
          <w:color w:val="auto"/>
          <w:sz w:val="21"/>
          <w:szCs w:val="21"/>
          <w:highlight w:val="none"/>
        </w:rPr>
        <w:t>因法律变化引起的合同价格和工期调整，合同当事人无法达成一致的，由总监理工程师按第4.4款〔商定或确定〕的约定处理。</w:t>
      </w:r>
    </w:p>
    <w:p>
      <w:pPr>
        <w:spacing w:line="360" w:lineRule="auto"/>
        <w:ind w:firstLine="420" w:firstLineChars="200"/>
        <w:rPr>
          <w:rFonts w:ascii="宋体" w:hAnsi="宋体"/>
          <w:iCs w:val="0"/>
          <w:color w:val="auto"/>
          <w:sz w:val="21"/>
          <w:szCs w:val="21"/>
          <w:highlight w:val="none"/>
        </w:rPr>
      </w:pPr>
      <w:r>
        <w:rPr>
          <w:rFonts w:ascii="宋体" w:hAnsi="宋体"/>
          <w:iCs w:val="0"/>
          <w:color w:val="auto"/>
          <w:kern w:val="0"/>
          <w:sz w:val="21"/>
          <w:szCs w:val="21"/>
          <w:highlight w:val="none"/>
        </w:rPr>
        <w:t>因承包人原因造成工期延误，在工期延误期间出现法律变化的，由此增加的费用和（或）延误的工期由承包人承担。</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12. 合同价格、计量与支付</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12.1 合同价格形式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发包人和承包人应在合同协议书中</w:t>
      </w:r>
      <w:r>
        <w:rPr>
          <w:rFonts w:hint="eastAsia" w:ascii="宋体" w:hAnsi="宋体"/>
          <w:iCs w:val="0"/>
          <w:color w:val="auto"/>
          <w:kern w:val="0"/>
          <w:sz w:val="21"/>
          <w:szCs w:val="21"/>
          <w:highlight w:val="none"/>
        </w:rPr>
        <w:t>选择</w:t>
      </w:r>
      <w:r>
        <w:rPr>
          <w:rFonts w:ascii="宋体" w:hAnsi="宋体"/>
          <w:iCs w:val="0"/>
          <w:color w:val="auto"/>
          <w:kern w:val="0"/>
          <w:sz w:val="21"/>
          <w:szCs w:val="21"/>
          <w:highlight w:val="none"/>
        </w:rPr>
        <w:t xml:space="preserve">下列一种合同价格形式：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单价合同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单价合同是指合同当事人约定以工程量清单及其综合单价进行合同价格计算、调整和确认的建设工程施工合同，</w:t>
      </w:r>
      <w:r>
        <w:rPr>
          <w:rFonts w:ascii="宋体" w:hAnsi="宋体"/>
          <w:iCs w:val="0"/>
          <w:color w:val="auto"/>
          <w:sz w:val="21"/>
          <w:szCs w:val="21"/>
          <w:highlight w:val="none"/>
        </w:rPr>
        <w:t>在约定的范围内合同单价不作调整</w:t>
      </w:r>
      <w:r>
        <w:rPr>
          <w:rFonts w:ascii="宋体" w:hAnsi="宋体"/>
          <w:iCs w:val="0"/>
          <w:color w:val="auto"/>
          <w:kern w:val="0"/>
          <w:sz w:val="21"/>
          <w:szCs w:val="21"/>
          <w:highlight w:val="none"/>
        </w:rPr>
        <w:t>。合同当事人应在专用合同条款中约定综合单价包含的风险范围和风险费用的计算方法</w:t>
      </w:r>
      <w:r>
        <w:rPr>
          <w:rFonts w:ascii="宋体" w:hAnsi="宋体"/>
          <w:iCs w:val="0"/>
          <w:color w:val="auto"/>
          <w:sz w:val="21"/>
          <w:szCs w:val="21"/>
          <w:highlight w:val="none"/>
        </w:rPr>
        <w:t>，</w:t>
      </w:r>
      <w:r>
        <w:rPr>
          <w:rFonts w:ascii="宋体" w:hAnsi="宋体"/>
          <w:iCs w:val="0"/>
          <w:color w:val="auto"/>
          <w:kern w:val="0"/>
          <w:sz w:val="21"/>
          <w:szCs w:val="21"/>
          <w:highlight w:val="none"/>
        </w:rPr>
        <w:t>并约定风险范围以外的合同价格的调整方法，其中因市场价格波动引起的调整按第11.1款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市场价格波动引起的调整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总价合同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总价合同是指合同当事人约定以施工图、已标价工程量清单或预算书及有关条件进行合同价格计算、调整和确认的建设工程施工合同，</w:t>
      </w:r>
      <w:r>
        <w:rPr>
          <w:rFonts w:ascii="宋体" w:hAnsi="宋体"/>
          <w:iCs w:val="0"/>
          <w:color w:val="auto"/>
          <w:sz w:val="21"/>
          <w:szCs w:val="21"/>
          <w:highlight w:val="none"/>
        </w:rPr>
        <w:t>在约定的范围内合同总价不作调整</w:t>
      </w:r>
      <w:r>
        <w:rPr>
          <w:rFonts w:ascii="宋体" w:hAnsi="宋体"/>
          <w:iCs w:val="0"/>
          <w:color w:val="auto"/>
          <w:kern w:val="0"/>
          <w:sz w:val="21"/>
          <w:szCs w:val="21"/>
          <w:highlight w:val="none"/>
        </w:rPr>
        <w:t>。合同当事人应在专用合同条款中约定总价包含的风险范围和风险费用的计算方法，并约定风险范围以外的合同价格的调整方法，其中因市场价格波动引起的调整按第11.1款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市场价格波动引起的调整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、因法律变化引起的调整按第11.2款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法律变化引起的调整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其它价格形式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合同当事人可在专用合同条款中约定其他合同价格形式。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12.2预付款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12.2.</w:t>
      </w:r>
      <w:r>
        <w:rPr>
          <w:rFonts w:ascii="宋体" w:hAnsi="宋体"/>
          <w:iCs w:val="0"/>
          <w:color w:val="auto"/>
          <w:kern w:val="0"/>
          <w:sz w:val="21"/>
          <w:szCs w:val="21"/>
          <w:highlight w:val="none"/>
        </w:rPr>
        <w:t>1预付款的支付</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除专用合同条款另有约定外，预付款在进度付款中同比例扣回。</w:t>
      </w:r>
      <w:bookmarkEnd w:id="149"/>
      <w:r>
        <w:rPr>
          <w:rFonts w:ascii="宋体" w:hAnsi="宋体"/>
          <w:iCs w:val="0"/>
          <w:color w:val="auto"/>
          <w:kern w:val="0"/>
          <w:sz w:val="21"/>
          <w:szCs w:val="21"/>
          <w:highlight w:val="none"/>
        </w:rPr>
        <w:t>在颁发工程接收证书前，提前解除合同的，尚未扣完的预付款应与合同价款一并结算。</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发包人逾期支付预付款超过7天的，承包人有权向发包人发出要求预付的催告通知，发包人收到通知后7天内仍未支付的，承包人有权暂停施工，并按第16.1.1项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执行。</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12.2.2 预付款担保</w:t>
      </w:r>
    </w:p>
    <w:p>
      <w:pPr>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发包人要求承包人提供预付款担保的</w:t>
      </w:r>
      <w:r>
        <w:rPr>
          <w:rFonts w:ascii="宋体" w:hAnsi="宋体"/>
          <w:iCs w:val="0"/>
          <w:color w:val="auto"/>
          <w:kern w:val="0"/>
          <w:sz w:val="21"/>
          <w:szCs w:val="21"/>
          <w:highlight w:val="none"/>
        </w:rPr>
        <w:t>，承包人应在发包人支付预付款7天前提供预付款担保</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专用合同条款另有约定</w:t>
      </w:r>
      <w:r>
        <w:rPr>
          <w:rFonts w:hint="eastAsia" w:ascii="宋体" w:hAnsi="宋体"/>
          <w:iCs w:val="0"/>
          <w:color w:val="auto"/>
          <w:kern w:val="0"/>
          <w:sz w:val="21"/>
          <w:szCs w:val="21"/>
          <w:highlight w:val="none"/>
        </w:rPr>
        <w:t>除</w:t>
      </w:r>
      <w:r>
        <w:rPr>
          <w:rFonts w:ascii="宋体" w:hAnsi="宋体"/>
          <w:iCs w:val="0"/>
          <w:color w:val="auto"/>
          <w:kern w:val="0"/>
          <w:sz w:val="21"/>
          <w:szCs w:val="21"/>
          <w:highlight w:val="none"/>
        </w:rPr>
        <w:t>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发包人在工程款中逐期扣回预付款后，预付款担保额度应相应减少，但剩余的预付款担保金额不得低于未被扣回的预付款金额。</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12.3计量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12.3.1 计量原则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工程量计量按照合同约定的工程量计算规则、图纸及变更指示</w:t>
      </w:r>
      <w:r>
        <w:rPr>
          <w:rFonts w:hint="eastAsia" w:ascii="宋体" w:hAnsi="宋体"/>
          <w:iCs w:val="0"/>
          <w:color w:val="auto"/>
          <w:kern w:val="0"/>
          <w:sz w:val="21"/>
          <w:szCs w:val="21"/>
          <w:highlight w:val="none"/>
        </w:rPr>
        <w:t>等</w:t>
      </w:r>
      <w:r>
        <w:rPr>
          <w:rFonts w:ascii="宋体" w:hAnsi="宋体"/>
          <w:iCs w:val="0"/>
          <w:color w:val="auto"/>
          <w:kern w:val="0"/>
          <w:sz w:val="21"/>
          <w:szCs w:val="21"/>
          <w:highlight w:val="none"/>
        </w:rPr>
        <w:t>进行计量。工程量计算规则应以相关的国家标准、行业标准</w:t>
      </w:r>
      <w:r>
        <w:rPr>
          <w:rFonts w:hint="eastAsia" w:ascii="宋体" w:hAnsi="宋体"/>
          <w:iCs w:val="0"/>
          <w:color w:val="auto"/>
          <w:kern w:val="0"/>
          <w:sz w:val="21"/>
          <w:szCs w:val="21"/>
          <w:highlight w:val="none"/>
        </w:rPr>
        <w:t>等</w:t>
      </w:r>
      <w:r>
        <w:rPr>
          <w:rFonts w:ascii="宋体" w:hAnsi="宋体"/>
          <w:iCs w:val="0"/>
          <w:color w:val="auto"/>
          <w:kern w:val="0"/>
          <w:sz w:val="21"/>
          <w:szCs w:val="21"/>
          <w:highlight w:val="none"/>
        </w:rPr>
        <w:t>为依据，由合同当事人在专用合同条款中约定。</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12.3.2 计量周期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除专用合同条款另有约定外，工程量的计量按月进行。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12.3.3 单价合同的计量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除专用合同条款另有约定外，单价合同的计量按照本项约定执行：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（3）监理人未在收到承包人提交的工程量报表后的7天内完成审核的，承包人报送的工程量报告中的工程量视为承包人实际完成的工程量，据此计算工程价款。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12.3.4 总价合同的计量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除专用合同条款另有约定外，按</w:t>
      </w:r>
      <w:r>
        <w:rPr>
          <w:rFonts w:hint="eastAsia" w:ascii="宋体" w:hAnsi="宋体"/>
          <w:iCs w:val="0"/>
          <w:color w:val="auto"/>
          <w:kern w:val="0"/>
          <w:sz w:val="21"/>
          <w:szCs w:val="21"/>
          <w:highlight w:val="none"/>
        </w:rPr>
        <w:t>月计量支付</w:t>
      </w:r>
      <w:r>
        <w:rPr>
          <w:rFonts w:ascii="宋体" w:hAnsi="宋体"/>
          <w:iCs w:val="0"/>
          <w:color w:val="auto"/>
          <w:kern w:val="0"/>
          <w:sz w:val="21"/>
          <w:szCs w:val="21"/>
          <w:highlight w:val="none"/>
        </w:rPr>
        <w:t>的总价合同，按照本项约定执行：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（3）监理人未在收到承包人提交的工程量报表后的7天内完成复核的，承包人提交的工程量报告中的工程量视为承包人实际完成的工程量。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12.3.5 总价合同采用支付分解表计量支付的，可以按照第12.3.4项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总价合同的计量</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约定进行计量，但合同价款按照支付分解表进行支付。</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12.3.6 其他价格形式合同的计量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合同当事人可在专用合同条款中约定其他价格形式合同的计量方式和程序。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12.4工程进度款支付</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12.4.1 付款周期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除专用合同条款另有约定外，付款周期应按照第12.3.2</w:t>
      </w:r>
      <w:r>
        <w:rPr>
          <w:rFonts w:hint="eastAsia" w:ascii="宋体" w:hAnsi="宋体"/>
          <w:iCs w:val="0"/>
          <w:color w:val="auto"/>
          <w:kern w:val="0"/>
          <w:sz w:val="21"/>
          <w:szCs w:val="21"/>
          <w:highlight w:val="none"/>
        </w:rPr>
        <w:t>项〔</w:t>
      </w:r>
      <w:r>
        <w:rPr>
          <w:rFonts w:ascii="宋体" w:hAnsi="宋体"/>
          <w:iCs w:val="0"/>
          <w:color w:val="auto"/>
          <w:kern w:val="0"/>
          <w:sz w:val="21"/>
          <w:szCs w:val="21"/>
          <w:highlight w:val="none"/>
        </w:rPr>
        <w:t>计量周期</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的约定与计量周期保持一致。</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12.4</w:t>
      </w:r>
      <w:r>
        <w:rPr>
          <w:rFonts w:ascii="宋体" w:hAnsi="宋体"/>
          <w:iCs w:val="0"/>
          <w:color w:val="auto"/>
          <w:kern w:val="0"/>
          <w:sz w:val="21"/>
          <w:szCs w:val="21"/>
          <w:highlight w:val="none"/>
        </w:rPr>
        <w:t>.2 进度付款申请单的编制</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除专用合同条款另有约定外，进度付款申请单应包括下列内容：</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（1）截至本次付款周期已完成工作对应的金额；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（2）根据第10条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应增加和扣减的变更金额；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（3）根据第12.2款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预付款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约定应支付的预付款和扣减的返还预付款；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（4）根据第15.3款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质量保证金</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约定应扣减的质量保证金；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（5）根据第19条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索赔</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应增加和扣减的索赔金额；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（7）根据合同约定应增加和扣减的其他金额。</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12.4.3 进度付款申请单的提交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（1）单价合同进度付款申请单的提交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单价合同的进度付款申请单，按照第12.3.3项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单价合同的计量</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（2）总价合同进度付款申请单的提交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总价合同按</w:t>
      </w:r>
      <w:r>
        <w:rPr>
          <w:rFonts w:hint="eastAsia" w:ascii="宋体" w:hAnsi="宋体"/>
          <w:iCs w:val="0"/>
          <w:color w:val="auto"/>
          <w:kern w:val="0"/>
          <w:sz w:val="21"/>
          <w:szCs w:val="21"/>
          <w:highlight w:val="none"/>
        </w:rPr>
        <w:t>月计量支付的</w:t>
      </w:r>
      <w:r>
        <w:rPr>
          <w:rFonts w:ascii="宋体" w:hAnsi="宋体"/>
          <w:iCs w:val="0"/>
          <w:color w:val="auto"/>
          <w:kern w:val="0"/>
          <w:sz w:val="21"/>
          <w:szCs w:val="21"/>
          <w:highlight w:val="none"/>
        </w:rPr>
        <w:t>，承包人按照第12.3.4项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总价合同的计量</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总价合同按支付分解表支付的，承包人应按照第12.4.6项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支付分解表</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及第12.4.2项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进度付款申请单的编制</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的约定向监理人提交进度付款申请单。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（3）其他价格形式合同的进度付款申请单的提交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sz w:val="21"/>
          <w:szCs w:val="21"/>
          <w:highlight w:val="none"/>
        </w:rPr>
        <w:t>12.4</w:t>
      </w:r>
      <w:r>
        <w:rPr>
          <w:rFonts w:ascii="宋体" w:hAnsi="宋体"/>
          <w:iCs w:val="0"/>
          <w:color w:val="auto"/>
          <w:kern w:val="0"/>
          <w:sz w:val="21"/>
          <w:szCs w:val="21"/>
          <w:highlight w:val="none"/>
        </w:rPr>
        <w:t>.4 进度款审核和支付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且未提出异议的，视为已签发进度款支付证书。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12.4.5 进度付款的修正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12.4.6 支付分解表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支付分解表的编制要求</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（1）支付分解表中所列的每期付款金额，应为第12.4.2项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进度付款申请单的编制</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第（1）</w:t>
      </w:r>
      <w:r>
        <w:rPr>
          <w:rFonts w:hint="eastAsia" w:ascii="宋体" w:hAnsi="宋体"/>
          <w:iCs w:val="0"/>
          <w:color w:val="auto"/>
          <w:kern w:val="0"/>
          <w:sz w:val="21"/>
          <w:szCs w:val="21"/>
          <w:highlight w:val="none"/>
        </w:rPr>
        <w:t>目</w:t>
      </w:r>
      <w:r>
        <w:rPr>
          <w:rFonts w:ascii="宋体" w:hAnsi="宋体"/>
          <w:iCs w:val="0"/>
          <w:color w:val="auto"/>
          <w:kern w:val="0"/>
          <w:sz w:val="21"/>
          <w:szCs w:val="21"/>
          <w:highlight w:val="none"/>
        </w:rPr>
        <w:t>的估算金额；</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（2）实际进度与施工进度计划不一致的，合同当事人可按照第4.4款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修改支付分解表；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（3）不采用支付分解表的，承包人应向发包人和监理人提交按季度编制的支付估算分解表，用于支付参考。</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总价合同支付分解表的编制与审批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（1）除专用合同条款另有约定外，承包人应根据第7.2款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施工进度计划</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    （3）发包人逾期未完成支付分解表</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的，也未及时要求承包人进行修正和提供补充资料的，则承包人提交的支付分解表视为已经获得发包人批准。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单价合同的总价项目支付分解表的编制与审批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12.5支付账户</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发包人应将合同价款支付至合同协议书中约定的承包人账户。</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13. 验收和工程试车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13.1分部分项工程验收</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13.1.1 分部分项工程质量应符合国家有关工程施工验收规范、标准及合同约定，承包人应按照施工组织设计的要求完成分部分项工程施工。</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13.1.2 除专用合同条款另有约定外，分部分项工程经承包人自检合格并具备验收条件的，承包人应提前48小时通知监理人进行验收。</w:t>
      </w:r>
      <w:r>
        <w:rPr>
          <w:rFonts w:ascii="宋体" w:hAnsi="宋体"/>
          <w:iCs w:val="0"/>
          <w:color w:val="auto"/>
          <w:kern w:val="0"/>
          <w:sz w:val="21"/>
          <w:szCs w:val="21"/>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ascii="宋体" w:hAnsi="宋体"/>
          <w:iCs w:val="0"/>
          <w:color w:val="auto"/>
          <w:sz w:val="21"/>
          <w:szCs w:val="21"/>
          <w:highlight w:val="none"/>
        </w:rPr>
        <w:t>分部分项工程未经验收的，不得进入下一道工序施工。</w:t>
      </w:r>
    </w:p>
    <w:p>
      <w:pPr>
        <w:spacing w:line="360" w:lineRule="auto"/>
        <w:ind w:firstLine="420" w:firstLineChars="200"/>
        <w:rPr>
          <w:rFonts w:ascii="宋体" w:hAnsi="宋体"/>
          <w:iCs w:val="0"/>
          <w:color w:val="auto"/>
          <w:sz w:val="21"/>
          <w:szCs w:val="21"/>
          <w:highlight w:val="none"/>
        </w:rPr>
      </w:pPr>
      <w:r>
        <w:rPr>
          <w:rFonts w:ascii="宋体" w:hAnsi="宋体"/>
          <w:iCs w:val="0"/>
          <w:color w:val="auto"/>
          <w:sz w:val="21"/>
          <w:szCs w:val="21"/>
          <w:highlight w:val="none"/>
        </w:rPr>
        <w:t>分部分项工程的验收资料应当作为竣工资料的组成部分。</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13.2竣工验收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13.2.1竣工验收条件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工程具备以下条件的，承包人可以申请竣工验收：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（1）除发包人同意的甩项</w:t>
      </w:r>
      <w:r>
        <w:rPr>
          <w:rFonts w:hint="eastAsia" w:ascii="宋体" w:hAnsi="宋体"/>
          <w:iCs w:val="0"/>
          <w:color w:val="auto"/>
          <w:kern w:val="0"/>
          <w:sz w:val="21"/>
          <w:szCs w:val="21"/>
          <w:highlight w:val="none"/>
        </w:rPr>
        <w:t>工作</w:t>
      </w:r>
      <w:r>
        <w:rPr>
          <w:rFonts w:ascii="宋体" w:hAnsi="宋体"/>
          <w:iCs w:val="0"/>
          <w:color w:val="auto"/>
          <w:kern w:val="0"/>
          <w:sz w:val="21"/>
          <w:szCs w:val="21"/>
          <w:highlight w:val="none"/>
        </w:rPr>
        <w:t>和缺陷修补工作外，合同范围内的全部工程以及有关工作，包括合同要求的试验、试运行以及检验均已完成，并符合合同要求；</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（2）已按合同约定编制了甩项</w:t>
      </w:r>
      <w:r>
        <w:rPr>
          <w:rFonts w:hint="eastAsia" w:ascii="宋体" w:hAnsi="宋体"/>
          <w:iCs w:val="0"/>
          <w:color w:val="auto"/>
          <w:kern w:val="0"/>
          <w:sz w:val="21"/>
          <w:szCs w:val="21"/>
          <w:highlight w:val="none"/>
        </w:rPr>
        <w:t>工作</w:t>
      </w:r>
      <w:r>
        <w:rPr>
          <w:rFonts w:ascii="宋体" w:hAnsi="宋体"/>
          <w:iCs w:val="0"/>
          <w:color w:val="auto"/>
          <w:kern w:val="0"/>
          <w:sz w:val="21"/>
          <w:szCs w:val="21"/>
          <w:highlight w:val="none"/>
        </w:rPr>
        <w:t>和缺陷修补工作清单以及相应的施工计划；</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（3）已按合同约定的内容和份数备齐竣工资料。</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13.2.2竣工验收程序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除专用合同条款另有约定外，承包人申请竣工验收的，应当按照以下程序进行：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（2）监理人审查后认为已具备竣工验收条件的，应将竣工验收申请报告提交发包人，发包人应在收到</w:t>
      </w:r>
      <w:r>
        <w:rPr>
          <w:rFonts w:hint="eastAsia" w:ascii="宋体" w:hAnsi="宋体"/>
          <w:iCs w:val="0"/>
          <w:color w:val="auto"/>
          <w:kern w:val="0"/>
          <w:sz w:val="21"/>
          <w:szCs w:val="21"/>
          <w:highlight w:val="none"/>
        </w:rPr>
        <w:t>经</w:t>
      </w:r>
      <w:r>
        <w:rPr>
          <w:rFonts w:ascii="宋体" w:hAnsi="宋体"/>
          <w:iCs w:val="0"/>
          <w:color w:val="auto"/>
          <w:kern w:val="0"/>
          <w:sz w:val="21"/>
          <w:szCs w:val="21"/>
          <w:highlight w:val="none"/>
        </w:rPr>
        <w:t>监理人审核的竣工验收申请报告后28天内</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完毕并组织监理人、承包人、设计人等相关单位完成竣工验收。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13.2.3竣工日期</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工程经竣工验收合格的，以承包人提交竣工验收申请报告之日为实际竣工日期，并在工程接收证书中载明；因发包人原因，未在监理人收到承包人提交的竣工验收申请报告42天内完成</w:t>
      </w:r>
      <w:r>
        <w:rPr>
          <w:rFonts w:hint="eastAsia" w:ascii="宋体" w:hAnsi="宋体"/>
          <w:iCs w:val="0"/>
          <w:color w:val="auto"/>
          <w:kern w:val="0"/>
          <w:sz w:val="21"/>
          <w:szCs w:val="21"/>
          <w:highlight w:val="none"/>
        </w:rPr>
        <w:t>竣工</w:t>
      </w:r>
      <w:r>
        <w:rPr>
          <w:rFonts w:ascii="宋体" w:hAnsi="宋体"/>
          <w:iCs w:val="0"/>
          <w:color w:val="auto"/>
          <w:kern w:val="0"/>
          <w:sz w:val="21"/>
          <w:szCs w:val="21"/>
          <w:highlight w:val="none"/>
        </w:rPr>
        <w:t>验收</w:t>
      </w:r>
      <w:r>
        <w:rPr>
          <w:rFonts w:hint="eastAsia" w:ascii="宋体" w:hAnsi="宋体"/>
          <w:iCs w:val="0"/>
          <w:color w:val="auto"/>
          <w:kern w:val="0"/>
          <w:sz w:val="21"/>
          <w:szCs w:val="21"/>
          <w:highlight w:val="none"/>
        </w:rPr>
        <w:t>，或完成竣工验收不予签发工程接收证书</w:t>
      </w:r>
      <w:r>
        <w:rPr>
          <w:rFonts w:ascii="宋体" w:hAnsi="宋体"/>
          <w:iCs w:val="0"/>
          <w:color w:val="auto"/>
          <w:kern w:val="0"/>
          <w:sz w:val="21"/>
          <w:szCs w:val="21"/>
          <w:highlight w:val="none"/>
        </w:rPr>
        <w:t>的，以提交竣工验</w:t>
      </w:r>
      <w:bookmarkStart w:id="150" w:name="#go14"/>
      <w:bookmarkEnd w:id="150"/>
      <w:r>
        <w:rPr>
          <w:rFonts w:ascii="宋体" w:hAnsi="宋体"/>
          <w:iCs w:val="0"/>
          <w:color w:val="auto"/>
          <w:kern w:val="0"/>
          <w:sz w:val="21"/>
          <w:szCs w:val="21"/>
          <w:highlight w:val="none"/>
        </w:rPr>
        <w:t>收申请报告的日期为实际竣工日期；工程未经竣工验收，发包人擅自使用的，以转移占有工程之日为实际竣工日期。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13.2.4 拒绝接收全部或部分工程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对于竣工验收不合格的工程，承包人完成整改后，</w:t>
      </w:r>
      <w:r>
        <w:rPr>
          <w:rFonts w:hint="eastAsia" w:ascii="宋体" w:hAnsi="宋体"/>
          <w:iCs w:val="0"/>
          <w:color w:val="auto"/>
          <w:kern w:val="0"/>
          <w:sz w:val="21"/>
          <w:szCs w:val="21"/>
          <w:highlight w:val="none"/>
        </w:rPr>
        <w:t>应当</w:t>
      </w:r>
      <w:r>
        <w:rPr>
          <w:rFonts w:ascii="宋体" w:hAnsi="宋体"/>
          <w:iCs w:val="0"/>
          <w:color w:val="auto"/>
          <w:kern w:val="0"/>
          <w:sz w:val="21"/>
          <w:szCs w:val="21"/>
          <w:highlight w:val="none"/>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13.2.5 移交、接收全部与部分工程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除专用合同条款另有约定外，</w:t>
      </w:r>
      <w:r>
        <w:rPr>
          <w:rFonts w:ascii="宋体" w:hAnsi="宋体"/>
          <w:iCs w:val="0"/>
          <w:color w:val="auto"/>
          <w:kern w:val="0"/>
          <w:sz w:val="21"/>
          <w:szCs w:val="21"/>
          <w:highlight w:val="none"/>
        </w:rPr>
        <w:t>合同当事人应当在颁发工程接收证书</w:t>
      </w:r>
      <w:r>
        <w:rPr>
          <w:rFonts w:hint="eastAsia" w:ascii="宋体" w:hAnsi="宋体"/>
          <w:iCs w:val="0"/>
          <w:color w:val="auto"/>
          <w:kern w:val="0"/>
          <w:sz w:val="21"/>
          <w:szCs w:val="21"/>
          <w:highlight w:val="none"/>
        </w:rPr>
        <w:t>后7天内</w:t>
      </w:r>
      <w:r>
        <w:rPr>
          <w:rFonts w:ascii="宋体" w:hAnsi="宋体"/>
          <w:iCs w:val="0"/>
          <w:color w:val="auto"/>
          <w:kern w:val="0"/>
          <w:sz w:val="21"/>
          <w:szCs w:val="21"/>
          <w:highlight w:val="none"/>
        </w:rPr>
        <w:t>完成工程的移交。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发包人无正当理由不接收工程的，发包人自</w:t>
      </w:r>
      <w:r>
        <w:rPr>
          <w:rFonts w:hint="eastAsia" w:ascii="宋体" w:hAnsi="宋体"/>
          <w:iCs w:val="0"/>
          <w:color w:val="auto"/>
          <w:kern w:val="0"/>
          <w:sz w:val="21"/>
          <w:szCs w:val="21"/>
          <w:highlight w:val="none"/>
        </w:rPr>
        <w:t>应当接收工程</w:t>
      </w:r>
      <w:r>
        <w:rPr>
          <w:rFonts w:ascii="宋体" w:hAnsi="宋体"/>
          <w:iCs w:val="0"/>
          <w:color w:val="auto"/>
          <w:kern w:val="0"/>
          <w:sz w:val="21"/>
          <w:szCs w:val="21"/>
          <w:highlight w:val="none"/>
        </w:rPr>
        <w:t>之日起，承担工程照管、成品保护、保管等与工程有关的各项费用</w:t>
      </w:r>
      <w:r>
        <w:rPr>
          <w:rFonts w:hint="eastAsia" w:ascii="宋体" w:hAnsi="宋体"/>
          <w:iCs w:val="0"/>
          <w:color w:val="auto"/>
          <w:kern w:val="0"/>
          <w:sz w:val="21"/>
          <w:szCs w:val="21"/>
          <w:highlight w:val="none"/>
        </w:rPr>
        <w:t>，合同当事人可以在专用合同条款中另行约定发包人逾期接收工程的违约责任</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承包人无正当理由不移交工程的，</w:t>
      </w:r>
      <w:r>
        <w:rPr>
          <w:rFonts w:hint="eastAsia" w:ascii="宋体" w:hAnsi="宋体"/>
          <w:iCs w:val="0"/>
          <w:color w:val="auto"/>
          <w:kern w:val="0"/>
          <w:sz w:val="21"/>
          <w:szCs w:val="21"/>
          <w:highlight w:val="none"/>
        </w:rPr>
        <w:t>承包人应承担</w:t>
      </w:r>
      <w:r>
        <w:rPr>
          <w:rFonts w:ascii="宋体" w:hAnsi="宋体"/>
          <w:iCs w:val="0"/>
          <w:color w:val="auto"/>
          <w:kern w:val="0"/>
          <w:sz w:val="21"/>
          <w:szCs w:val="21"/>
          <w:highlight w:val="none"/>
        </w:rPr>
        <w:t>工程照管、成品保护、保管等与工程有关的各项费用</w:t>
      </w:r>
      <w:r>
        <w:rPr>
          <w:rFonts w:hint="eastAsia" w:ascii="宋体" w:hAnsi="宋体"/>
          <w:iCs w:val="0"/>
          <w:color w:val="auto"/>
          <w:kern w:val="0"/>
          <w:sz w:val="21"/>
          <w:szCs w:val="21"/>
          <w:highlight w:val="none"/>
        </w:rPr>
        <w:t>，合同当事人可以在专用合同条款中另行约定承包人无正当理由不移交工程的违约责任</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13.3工程试车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13.3.1试车程序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13.3.2 试车中的责任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13.3.3 投料试车</w:t>
      </w:r>
    </w:p>
    <w:p>
      <w:pPr>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如需进行投料试车的，</w:t>
      </w:r>
      <w:r>
        <w:rPr>
          <w:rFonts w:ascii="宋体" w:hAnsi="宋体"/>
          <w:iCs w:val="0"/>
          <w:color w:val="auto"/>
          <w:kern w:val="0"/>
          <w:sz w:val="21"/>
          <w:szCs w:val="21"/>
          <w:highlight w:val="none"/>
        </w:rPr>
        <w:t>发包人</w:t>
      </w:r>
      <w:r>
        <w:rPr>
          <w:rFonts w:hint="eastAsia" w:ascii="宋体" w:hAnsi="宋体"/>
          <w:iCs w:val="0"/>
          <w:color w:val="auto"/>
          <w:kern w:val="0"/>
          <w:sz w:val="21"/>
          <w:szCs w:val="21"/>
          <w:highlight w:val="none"/>
        </w:rPr>
        <w:t>应在</w:t>
      </w:r>
      <w:r>
        <w:rPr>
          <w:rFonts w:ascii="宋体" w:hAnsi="宋体"/>
          <w:iCs w:val="0"/>
          <w:color w:val="auto"/>
          <w:kern w:val="0"/>
          <w:sz w:val="21"/>
          <w:szCs w:val="21"/>
          <w:highlight w:val="none"/>
        </w:rPr>
        <w:t>工程竣工验收后</w:t>
      </w:r>
      <w:r>
        <w:rPr>
          <w:rFonts w:hint="eastAsia" w:ascii="宋体" w:hAnsi="宋体"/>
          <w:iCs w:val="0"/>
          <w:color w:val="auto"/>
          <w:kern w:val="0"/>
          <w:sz w:val="21"/>
          <w:szCs w:val="21"/>
          <w:highlight w:val="none"/>
        </w:rPr>
        <w:t>组织</w:t>
      </w:r>
      <w:r>
        <w:rPr>
          <w:rFonts w:ascii="宋体" w:hAnsi="宋体"/>
          <w:iCs w:val="0"/>
          <w:color w:val="auto"/>
          <w:kern w:val="0"/>
          <w:sz w:val="21"/>
          <w:szCs w:val="21"/>
          <w:highlight w:val="none"/>
        </w:rPr>
        <w:t>投料试车</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发包人要求在工程竣工验收前进行或需要承包人配合时，应征得承包人同意</w:t>
      </w:r>
      <w:r>
        <w:rPr>
          <w:rFonts w:hint="eastAsia" w:ascii="宋体" w:hAnsi="宋体"/>
          <w:iCs w:val="0"/>
          <w:color w:val="auto"/>
          <w:kern w:val="0"/>
          <w:sz w:val="21"/>
          <w:szCs w:val="21"/>
          <w:highlight w:val="none"/>
        </w:rPr>
        <w:t>，并在专用合同条款中约定有关事项</w:t>
      </w:r>
      <w:r>
        <w:rPr>
          <w:rFonts w:ascii="宋体" w:hAnsi="宋体"/>
          <w:iCs w:val="0"/>
          <w:color w:val="auto"/>
          <w:kern w:val="0"/>
          <w:sz w:val="21"/>
          <w:szCs w:val="21"/>
          <w:highlight w:val="none"/>
        </w:rPr>
        <w:t>。</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宋体" w:hAnsi="宋体"/>
          <w:iCs w:val="0"/>
          <w:color w:val="auto"/>
          <w:kern w:val="0"/>
          <w:sz w:val="21"/>
          <w:szCs w:val="21"/>
          <w:highlight w:val="none"/>
        </w:rPr>
        <w:t>如</w:t>
      </w:r>
      <w:r>
        <w:rPr>
          <w:rFonts w:ascii="宋体" w:hAnsi="宋体"/>
          <w:iCs w:val="0"/>
          <w:color w:val="auto"/>
          <w:kern w:val="0"/>
          <w:sz w:val="21"/>
          <w:szCs w:val="21"/>
          <w:highlight w:val="none"/>
        </w:rPr>
        <w:t>发包人要求承包人进行整改</w:t>
      </w:r>
      <w:r>
        <w:rPr>
          <w:rFonts w:hint="eastAsia" w:ascii="宋体" w:hAnsi="宋体"/>
          <w:iCs w:val="0"/>
          <w:color w:val="auto"/>
          <w:kern w:val="0"/>
          <w:sz w:val="21"/>
          <w:szCs w:val="21"/>
          <w:highlight w:val="none"/>
        </w:rPr>
        <w:t>的</w:t>
      </w:r>
      <w:r>
        <w:rPr>
          <w:rFonts w:ascii="宋体" w:hAnsi="宋体"/>
          <w:iCs w:val="0"/>
          <w:color w:val="auto"/>
          <w:kern w:val="0"/>
          <w:sz w:val="21"/>
          <w:szCs w:val="21"/>
          <w:highlight w:val="none"/>
        </w:rPr>
        <w:t>，由此产生的费用由发包人承担。</w:t>
      </w:r>
    </w:p>
    <w:p>
      <w:pPr>
        <w:keepNext/>
        <w:keepLines/>
        <w:spacing w:before="120" w:after="120" w:line="360" w:lineRule="auto"/>
        <w:outlineLvl w:val="4"/>
        <w:rPr>
          <w:rFonts w:ascii="宋体" w:hAnsi="宋体"/>
          <w:bCs/>
          <w:iCs w:val="0"/>
          <w:color w:val="auto"/>
          <w:sz w:val="21"/>
          <w:szCs w:val="21"/>
          <w:highlight w:val="none"/>
        </w:rPr>
      </w:pPr>
      <w:r>
        <w:rPr>
          <w:rFonts w:ascii="宋体" w:hAnsi="宋体"/>
          <w:bCs/>
          <w:iCs w:val="0"/>
          <w:color w:val="auto"/>
          <w:sz w:val="21"/>
          <w:szCs w:val="21"/>
          <w:highlight w:val="none"/>
        </w:rPr>
        <w:t>13.4提前交付单位工程的验收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13.4.1 发包人需要在工程竣工前使用单位工程的，或承包人提出提前交付已经竣工的单位工程且经发包人同意的，可进行单位工程验收，验收的程序按照第13.2款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竣工验收</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的约定进行。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13.4.2 发包人要求在工程竣工前交付单位工程，由此导致承包人费用增加和（或）工期延误的，由发包人承担由此增加的费用和（或）延误的工期，并支付承包人合理的利润。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13.5 施工期运行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13.5.1 施工期运行是指合同工程尚未全部竣工，其中某项或某几项单位工程或工程设备安装已竣工，根据专用合同条款约定，需要投入施工期运行的，经发包人按第13.4款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提前交付单位工程的验收</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的约定验收合格，证明能确保安全后，才能在施工期投入运行。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13.5.2 在施工期运行中发现工程或工程设备损坏或存在缺陷的，由承包人按第15.2款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缺陷责任期</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约定进行修复。</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13.6 竣工退场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13.6.1 竣工退场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颁发工程接收证书后，承包人应按以下要求对施工现场进行清理：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（1）施工现场内残留的垃圾已全部清除出场；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（2）临时工程已拆除，场地已进行清理、平整或复原；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（3）按合同约定应撤离的人员、承包人施工设备和剩余的材料，包括废弃的施工设备和材料，已按计划撤离施工现场；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（4）施工现场周边及其附近道路、河道的施工堆积物，已全部清理；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（5）施工现场其他场地清理工作已全部完成。</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13.6.2 地表还原</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14. 竣工结算</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14.1 竣工结算申请</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除专用合同条款另有约定外，</w:t>
      </w:r>
      <w:r>
        <w:rPr>
          <w:rFonts w:ascii="宋体" w:hAnsi="宋体"/>
          <w:iCs w:val="0"/>
          <w:color w:val="auto"/>
          <w:sz w:val="21"/>
          <w:szCs w:val="21"/>
          <w:highlight w:val="none"/>
        </w:rPr>
        <w:t>承包人应在工程竣工验收合格后28天内向发包人和监理人提交竣工结算申请单，并提交完整的结算资料，</w:t>
      </w:r>
      <w:r>
        <w:rPr>
          <w:rFonts w:hint="eastAsia" w:ascii="宋体" w:hAnsi="宋体"/>
          <w:iCs w:val="0"/>
          <w:color w:val="auto"/>
          <w:sz w:val="21"/>
          <w:szCs w:val="21"/>
          <w:highlight w:val="none"/>
        </w:rPr>
        <w:t>有关</w:t>
      </w:r>
      <w:r>
        <w:rPr>
          <w:rFonts w:ascii="宋体" w:hAnsi="宋体"/>
          <w:iCs w:val="0"/>
          <w:color w:val="auto"/>
          <w:sz w:val="21"/>
          <w:szCs w:val="21"/>
          <w:highlight w:val="none"/>
        </w:rPr>
        <w:t>竣工结算申请单</w:t>
      </w:r>
      <w:r>
        <w:rPr>
          <w:rFonts w:hint="eastAsia" w:ascii="宋体" w:hAnsi="宋体"/>
          <w:iCs w:val="0"/>
          <w:color w:val="auto"/>
          <w:sz w:val="21"/>
          <w:szCs w:val="21"/>
          <w:highlight w:val="none"/>
        </w:rPr>
        <w:t>的资料清单和</w:t>
      </w:r>
      <w:r>
        <w:rPr>
          <w:rFonts w:ascii="宋体" w:hAnsi="宋体"/>
          <w:iCs w:val="0"/>
          <w:color w:val="auto"/>
          <w:sz w:val="21"/>
          <w:szCs w:val="21"/>
          <w:highlight w:val="none"/>
        </w:rPr>
        <w:t>份数</w:t>
      </w:r>
      <w:r>
        <w:rPr>
          <w:rFonts w:hint="eastAsia" w:ascii="宋体" w:hAnsi="宋体"/>
          <w:iCs w:val="0"/>
          <w:color w:val="auto"/>
          <w:sz w:val="21"/>
          <w:szCs w:val="21"/>
          <w:highlight w:val="none"/>
        </w:rPr>
        <w:t>等要求</w:t>
      </w:r>
      <w:r>
        <w:rPr>
          <w:rFonts w:ascii="宋体" w:hAnsi="宋体"/>
          <w:iCs w:val="0"/>
          <w:color w:val="auto"/>
          <w:sz w:val="21"/>
          <w:szCs w:val="21"/>
          <w:highlight w:val="none"/>
        </w:rPr>
        <w:t>由合同当事人在专用合同条款中约定。</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除专用合同条款另有约定外，竣工结算申请单应包括以下内容：</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（1）竣工结算合同价格；</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（2）发包人已支付承包人的款项；</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（3）应扣留的质量保证金</w:t>
      </w:r>
      <w:r>
        <w:rPr>
          <w:rFonts w:hint="eastAsia" w:ascii="宋体" w:hAnsi="宋体"/>
          <w:iCs w:val="0"/>
          <w:color w:val="auto"/>
          <w:sz w:val="21"/>
          <w:szCs w:val="21"/>
          <w:highlight w:val="none"/>
        </w:rPr>
        <w:t>。已缴纳履约保证金的或提供其他工程质量担保方式的除外</w:t>
      </w:r>
      <w:r>
        <w:rPr>
          <w:rFonts w:ascii="宋体" w:hAnsi="宋体"/>
          <w:iCs w:val="0"/>
          <w:color w:val="auto"/>
          <w:sz w:val="21"/>
          <w:szCs w:val="21"/>
          <w:highlight w:val="none"/>
        </w:rPr>
        <w:t xml:space="preserve">； </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（4）发包人应支付承包人的合同价款。</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14.2 竣工结算审核</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（1）除专用合同条款另有约定外，监理人应在收到竣工结算申请单后14天内完成核查并报送发包人。发包人应在收到监理人提交的经审核的竣工结算申请单后14天内完成</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，并由监理人向承包人签发经发包人签认的竣工付款证书。监理人或</w:t>
      </w:r>
      <w:r>
        <w:rPr>
          <w:rFonts w:ascii="宋体" w:hAnsi="宋体"/>
          <w:iCs w:val="0"/>
          <w:color w:val="auto"/>
          <w:sz w:val="21"/>
          <w:szCs w:val="21"/>
          <w:highlight w:val="none"/>
        </w:rPr>
        <w:t>发包人对竣工</w:t>
      </w:r>
      <w:r>
        <w:rPr>
          <w:rFonts w:ascii="宋体" w:hAnsi="宋体"/>
          <w:iCs w:val="0"/>
          <w:color w:val="auto"/>
          <w:kern w:val="0"/>
          <w:sz w:val="21"/>
          <w:szCs w:val="21"/>
          <w:highlight w:val="none"/>
        </w:rPr>
        <w:t>结算</w:t>
      </w:r>
      <w:r>
        <w:rPr>
          <w:rFonts w:ascii="宋体" w:hAnsi="宋体"/>
          <w:iCs w:val="0"/>
          <w:color w:val="auto"/>
          <w:sz w:val="21"/>
          <w:szCs w:val="21"/>
          <w:highlight w:val="none"/>
        </w:rPr>
        <w:t>申请单有异议的，有权要求承包人进行修正和提供补充资料，承包人应提交修正后的竣工</w:t>
      </w:r>
      <w:r>
        <w:rPr>
          <w:rFonts w:ascii="宋体" w:hAnsi="宋体"/>
          <w:iCs w:val="0"/>
          <w:color w:val="auto"/>
          <w:kern w:val="0"/>
          <w:sz w:val="21"/>
          <w:szCs w:val="21"/>
          <w:highlight w:val="none"/>
        </w:rPr>
        <w:t>结算</w:t>
      </w:r>
      <w:r>
        <w:rPr>
          <w:rFonts w:ascii="宋体" w:hAnsi="宋体"/>
          <w:iCs w:val="0"/>
          <w:color w:val="auto"/>
          <w:sz w:val="21"/>
          <w:szCs w:val="21"/>
          <w:highlight w:val="none"/>
        </w:rPr>
        <w:t>申请单。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发包人在收到承包人提交竣工结算申请书后28天</w:t>
      </w:r>
      <w:r>
        <w:rPr>
          <w:rFonts w:hint="eastAsia" w:ascii="宋体" w:hAnsi="宋体"/>
          <w:iCs w:val="0"/>
          <w:color w:val="auto"/>
          <w:kern w:val="0"/>
          <w:sz w:val="21"/>
          <w:szCs w:val="21"/>
          <w:highlight w:val="none"/>
        </w:rPr>
        <w:t>内</w:t>
      </w:r>
      <w:r>
        <w:rPr>
          <w:rFonts w:ascii="宋体" w:hAnsi="宋体"/>
          <w:iCs w:val="0"/>
          <w:color w:val="auto"/>
          <w:kern w:val="0"/>
          <w:sz w:val="21"/>
          <w:szCs w:val="21"/>
          <w:highlight w:val="none"/>
        </w:rPr>
        <w:t>未完成</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（3）承包人对发包人签认的竣工付款证书有异议的，对于有异议部分应在收到发包人签认的竣工付款证书后7天内提出异议，并由合同当事人按照专用合同条款约定</w:t>
      </w:r>
      <w:r>
        <w:rPr>
          <w:rFonts w:hint="eastAsia" w:ascii="宋体" w:hAnsi="宋体"/>
          <w:iCs w:val="0"/>
          <w:color w:val="auto"/>
          <w:kern w:val="0"/>
          <w:sz w:val="21"/>
          <w:szCs w:val="21"/>
          <w:highlight w:val="none"/>
        </w:rPr>
        <w:t>的方式和程序</w:t>
      </w:r>
      <w:r>
        <w:rPr>
          <w:rFonts w:ascii="宋体" w:hAnsi="宋体"/>
          <w:iCs w:val="0"/>
          <w:color w:val="auto"/>
          <w:kern w:val="0"/>
          <w:sz w:val="21"/>
          <w:szCs w:val="21"/>
          <w:highlight w:val="none"/>
        </w:rPr>
        <w:t>进行复核，或按照第20条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约定处理。对于无异议部分，发包人应签发临时竣工付款证书，并按本款第（2）项完成付款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承包人逾期未提出异议的，视为认可发包人的</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结果。</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14.3 甩项竣工协议</w:t>
      </w:r>
    </w:p>
    <w:p>
      <w:pPr>
        <w:autoSpaceDE w:val="0"/>
        <w:autoSpaceDN w:val="0"/>
        <w:adjustRightInd w:val="0"/>
        <w:spacing w:line="360" w:lineRule="auto"/>
        <w:ind w:firstLine="411" w:firstLineChars="196"/>
        <w:jc w:val="left"/>
        <w:rPr>
          <w:rFonts w:ascii="宋体" w:hAnsi="宋体"/>
          <w:iCs w:val="0"/>
          <w:color w:val="auto"/>
          <w:kern w:val="0"/>
          <w:sz w:val="21"/>
          <w:szCs w:val="21"/>
          <w:highlight w:val="none"/>
        </w:rPr>
      </w:pPr>
      <w:r>
        <w:rPr>
          <w:rFonts w:ascii="宋体" w:hAnsi="宋体"/>
          <w:iCs w:val="0"/>
          <w:color w:val="auto"/>
          <w:sz w:val="21"/>
          <w:szCs w:val="21"/>
          <w:highlight w:val="none"/>
        </w:rPr>
        <w:t>发包人要求甩项竣工的，合同当事人应签订甩项竣工协议。在甩项竣工协议中应明确，合同当事人按照第14.1款</w:t>
      </w:r>
      <w:r>
        <w:rPr>
          <w:rFonts w:hint="eastAsia" w:ascii="宋体" w:hAnsi="宋体"/>
          <w:iCs w:val="0"/>
          <w:color w:val="auto"/>
          <w:sz w:val="21"/>
          <w:szCs w:val="21"/>
          <w:highlight w:val="none"/>
        </w:rPr>
        <w:t>〔</w:t>
      </w:r>
      <w:r>
        <w:rPr>
          <w:rFonts w:ascii="宋体" w:hAnsi="宋体"/>
          <w:iCs w:val="0"/>
          <w:color w:val="auto"/>
          <w:sz w:val="21"/>
          <w:szCs w:val="21"/>
          <w:highlight w:val="none"/>
        </w:rPr>
        <w:t>竣工</w:t>
      </w:r>
      <w:r>
        <w:rPr>
          <w:rFonts w:hint="eastAsia" w:ascii="宋体" w:hAnsi="宋体"/>
          <w:iCs w:val="0"/>
          <w:color w:val="auto"/>
          <w:sz w:val="21"/>
          <w:szCs w:val="21"/>
          <w:highlight w:val="none"/>
        </w:rPr>
        <w:t>结算</w:t>
      </w:r>
      <w:r>
        <w:rPr>
          <w:rFonts w:ascii="宋体" w:hAnsi="宋体"/>
          <w:iCs w:val="0"/>
          <w:color w:val="auto"/>
          <w:sz w:val="21"/>
          <w:szCs w:val="21"/>
          <w:highlight w:val="none"/>
        </w:rPr>
        <w:t>申请</w:t>
      </w:r>
      <w:r>
        <w:rPr>
          <w:rFonts w:hint="eastAsia" w:ascii="宋体" w:hAnsi="宋体"/>
          <w:iCs w:val="0"/>
          <w:color w:val="auto"/>
          <w:sz w:val="21"/>
          <w:szCs w:val="21"/>
          <w:highlight w:val="none"/>
        </w:rPr>
        <w:t>〕</w:t>
      </w:r>
      <w:r>
        <w:rPr>
          <w:rFonts w:ascii="宋体" w:hAnsi="宋体"/>
          <w:iCs w:val="0"/>
          <w:color w:val="auto"/>
          <w:sz w:val="21"/>
          <w:szCs w:val="21"/>
          <w:highlight w:val="none"/>
        </w:rPr>
        <w:t>及14.2款</w:t>
      </w:r>
      <w:r>
        <w:rPr>
          <w:rFonts w:hint="eastAsia" w:ascii="宋体" w:hAnsi="宋体"/>
          <w:iCs w:val="0"/>
          <w:color w:val="auto"/>
          <w:sz w:val="21"/>
          <w:szCs w:val="21"/>
          <w:highlight w:val="none"/>
        </w:rPr>
        <w:t>〔</w:t>
      </w:r>
      <w:r>
        <w:rPr>
          <w:rFonts w:ascii="宋体" w:hAnsi="宋体"/>
          <w:iCs w:val="0"/>
          <w:color w:val="auto"/>
          <w:sz w:val="21"/>
          <w:szCs w:val="21"/>
          <w:highlight w:val="none"/>
        </w:rPr>
        <w:t>竣工结算审核</w:t>
      </w:r>
      <w:r>
        <w:rPr>
          <w:rFonts w:hint="eastAsia" w:ascii="宋体" w:hAnsi="宋体"/>
          <w:iCs w:val="0"/>
          <w:color w:val="auto"/>
          <w:sz w:val="21"/>
          <w:szCs w:val="21"/>
          <w:highlight w:val="none"/>
        </w:rPr>
        <w:t>〕</w:t>
      </w:r>
      <w:r>
        <w:rPr>
          <w:rFonts w:ascii="宋体" w:hAnsi="宋体"/>
          <w:iCs w:val="0"/>
          <w:color w:val="auto"/>
          <w:sz w:val="21"/>
          <w:szCs w:val="21"/>
          <w:highlight w:val="none"/>
        </w:rPr>
        <w:t>的约定，</w:t>
      </w:r>
      <w:r>
        <w:rPr>
          <w:rFonts w:hint="eastAsia" w:ascii="宋体" w:hAnsi="宋体"/>
          <w:iCs w:val="0"/>
          <w:color w:val="auto"/>
          <w:sz w:val="21"/>
          <w:szCs w:val="21"/>
          <w:highlight w:val="none"/>
        </w:rPr>
        <w:t>对已</w:t>
      </w:r>
      <w:r>
        <w:rPr>
          <w:rFonts w:ascii="宋体" w:hAnsi="宋体"/>
          <w:iCs w:val="0"/>
          <w:color w:val="auto"/>
          <w:sz w:val="21"/>
          <w:szCs w:val="21"/>
          <w:highlight w:val="none"/>
        </w:rPr>
        <w:t>完合格工程</w:t>
      </w:r>
      <w:r>
        <w:rPr>
          <w:rFonts w:hint="eastAsia" w:ascii="宋体" w:hAnsi="宋体"/>
          <w:iCs w:val="0"/>
          <w:color w:val="auto"/>
          <w:sz w:val="21"/>
          <w:szCs w:val="21"/>
          <w:highlight w:val="none"/>
        </w:rPr>
        <w:t>进行</w:t>
      </w:r>
      <w:r>
        <w:rPr>
          <w:rFonts w:ascii="宋体" w:hAnsi="宋体"/>
          <w:iCs w:val="0"/>
          <w:color w:val="auto"/>
          <w:sz w:val="21"/>
          <w:szCs w:val="21"/>
          <w:highlight w:val="none"/>
        </w:rPr>
        <w:t>结算，并支付相应</w:t>
      </w:r>
      <w:r>
        <w:rPr>
          <w:rFonts w:hint="eastAsia" w:ascii="宋体" w:hAnsi="宋体"/>
          <w:iCs w:val="0"/>
          <w:color w:val="auto"/>
          <w:sz w:val="21"/>
          <w:szCs w:val="21"/>
          <w:highlight w:val="none"/>
        </w:rPr>
        <w:t>合同</w:t>
      </w:r>
      <w:r>
        <w:rPr>
          <w:rFonts w:ascii="宋体" w:hAnsi="宋体"/>
          <w:iCs w:val="0"/>
          <w:color w:val="auto"/>
          <w:sz w:val="21"/>
          <w:szCs w:val="21"/>
          <w:highlight w:val="none"/>
        </w:rPr>
        <w:t>价款。</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14.4 最终结清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14.4.1 最终结清申请单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除专用合同条款另有约定外，</w:t>
      </w:r>
      <w:r>
        <w:rPr>
          <w:rFonts w:ascii="宋体" w:hAnsi="宋体"/>
          <w:iCs w:val="0"/>
          <w:color w:val="auto"/>
          <w:kern w:val="0"/>
          <w:sz w:val="21"/>
          <w:szCs w:val="21"/>
          <w:highlight w:val="none"/>
        </w:rPr>
        <w:t>最终结清申请单</w:t>
      </w:r>
      <w:r>
        <w:rPr>
          <w:rFonts w:ascii="宋体" w:hAnsi="宋体"/>
          <w:iCs w:val="0"/>
          <w:color w:val="auto"/>
          <w:sz w:val="21"/>
          <w:szCs w:val="21"/>
          <w:highlight w:val="none"/>
        </w:rPr>
        <w:t>应列明质量保证金、应扣除的质量保证金、缺陷责任期内发生的增减费用。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14.4.2 最终结清证书和支付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（1）除专用合同条款另有约定外，发包人应在收到承包人提交的最终结清申请单后14天内完成审批并向承包人颁发最终结清证书。发包人逾期未完成</w:t>
      </w:r>
      <w:r>
        <w:rPr>
          <w:rFonts w:hint="eastAsia" w:ascii="宋体" w:hAnsi="宋体"/>
          <w:iCs w:val="0"/>
          <w:color w:val="auto"/>
          <w:kern w:val="0"/>
          <w:sz w:val="21"/>
          <w:szCs w:val="21"/>
          <w:highlight w:val="none"/>
        </w:rPr>
        <w:t>审批</w:t>
      </w:r>
      <w:r>
        <w:rPr>
          <w:rFonts w:ascii="宋体" w:hAnsi="宋体"/>
          <w:iCs w:val="0"/>
          <w:color w:val="auto"/>
          <w:kern w:val="0"/>
          <w:sz w:val="21"/>
          <w:szCs w:val="21"/>
          <w:highlight w:val="none"/>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（3）承包人对发包人颁发的最终结清证书有异议的，按第20条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的约定办理。</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15. 缺陷责任与保修</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15.1 工程保修的原则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15.2 缺陷责任期</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15.2.1 缺陷责任期</w:t>
      </w:r>
      <w:r>
        <w:rPr>
          <w:rFonts w:hint="eastAsia" w:ascii="宋体" w:hAnsi="宋体"/>
          <w:iCs w:val="0"/>
          <w:color w:val="auto"/>
          <w:kern w:val="0"/>
          <w:sz w:val="21"/>
          <w:szCs w:val="21"/>
          <w:highlight w:val="none"/>
        </w:rPr>
        <w:t>从工程通过竣工验收之日</w:t>
      </w:r>
      <w:r>
        <w:rPr>
          <w:rFonts w:ascii="宋体" w:hAnsi="宋体"/>
          <w:iCs w:val="0"/>
          <w:color w:val="auto"/>
          <w:kern w:val="0"/>
          <w:sz w:val="21"/>
          <w:szCs w:val="21"/>
          <w:highlight w:val="none"/>
        </w:rPr>
        <w:t>起计算，合同当事人应在专用合同条款约定缺陷责任期的具体期限，但该期限最长不超过24个月。</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单位工程先于全部工程进行验收，经验收合格并交付使用的，该单位工程缺陷责任期自单位工程验收合格之日起算。</w:t>
      </w:r>
      <w:r>
        <w:rPr>
          <w:rFonts w:hint="eastAsia" w:ascii="宋体" w:hAnsi="宋体"/>
          <w:iCs w:val="0"/>
          <w:color w:val="auto"/>
          <w:kern w:val="0"/>
          <w:sz w:val="21"/>
          <w:szCs w:val="21"/>
          <w:highlight w:val="none"/>
        </w:rPr>
        <w:t>因承包人原因导致工程无法按合同约定期限进行竣工验收的，缺陷责任期从实际通过竣工验收之日起计算。</w:t>
      </w:r>
      <w:r>
        <w:rPr>
          <w:rFonts w:ascii="宋体" w:hAnsi="宋体"/>
          <w:iCs w:val="0"/>
          <w:color w:val="auto"/>
          <w:kern w:val="0"/>
          <w:sz w:val="21"/>
          <w:szCs w:val="21"/>
          <w:highlight w:val="none"/>
        </w:rPr>
        <w:t>因发包人原因导致工程无法按合同约定期限进行竣工验收的，</w:t>
      </w:r>
      <w:r>
        <w:rPr>
          <w:rFonts w:hint="eastAsia" w:ascii="宋体" w:hAnsi="宋体"/>
          <w:iCs w:val="0"/>
          <w:color w:val="auto"/>
          <w:kern w:val="0"/>
          <w:sz w:val="21"/>
          <w:szCs w:val="21"/>
          <w:highlight w:val="none"/>
        </w:rPr>
        <w:t>在承包人提交竣工验收报告90天后，工程自动进入缺陷责任期</w:t>
      </w:r>
      <w:r>
        <w:rPr>
          <w:rFonts w:ascii="宋体" w:hAnsi="宋体"/>
          <w:iCs w:val="0"/>
          <w:color w:val="auto"/>
          <w:kern w:val="0"/>
          <w:sz w:val="21"/>
          <w:szCs w:val="21"/>
          <w:highlight w:val="none"/>
        </w:rPr>
        <w:t>；发包人未经竣工验收擅自使用工程的，缺陷责任期自工程转移占有之日起开始计算。</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15.2.2</w:t>
      </w:r>
      <w:r>
        <w:rPr>
          <w:rFonts w:hint="eastAsia" w:ascii="宋体" w:hAnsi="宋体"/>
          <w:iCs w:val="0"/>
          <w:color w:val="auto"/>
          <w:kern w:val="0"/>
          <w:sz w:val="21"/>
          <w:szCs w:val="21"/>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iCs w:val="0"/>
          <w:color w:val="auto"/>
          <w:kern w:val="0"/>
          <w:sz w:val="21"/>
          <w:szCs w:val="21"/>
          <w:highlight w:val="none"/>
        </w:rPr>
        <w:t>发包人有权要求承</w:t>
      </w:r>
      <w:r>
        <w:rPr>
          <w:rFonts w:ascii="宋体" w:hAnsi="宋体"/>
          <w:bCs/>
          <w:iCs w:val="0"/>
          <w:color w:val="auto"/>
          <w:sz w:val="21"/>
          <w:szCs w:val="21"/>
          <w:highlight w:val="none"/>
        </w:rPr>
        <w:t>包人延长缺陷责任期，</w:t>
      </w:r>
      <w:r>
        <w:rPr>
          <w:rFonts w:ascii="宋体" w:hAnsi="宋体"/>
          <w:iCs w:val="0"/>
          <w:color w:val="auto"/>
          <w:kern w:val="0"/>
          <w:sz w:val="21"/>
          <w:szCs w:val="21"/>
          <w:highlight w:val="none"/>
        </w:rPr>
        <w:t>并应在原缺陷责任期届满前发出延长通知</w:t>
      </w:r>
      <w:r>
        <w:rPr>
          <w:rFonts w:hint="eastAsia" w:ascii="宋体" w:hAnsi="宋体"/>
          <w:iCs w:val="0"/>
          <w:color w:val="auto"/>
          <w:kern w:val="0"/>
          <w:sz w:val="21"/>
          <w:szCs w:val="21"/>
          <w:highlight w:val="none"/>
        </w:rPr>
        <w:t>。</w:t>
      </w:r>
      <w:r>
        <w:rPr>
          <w:rFonts w:ascii="宋体" w:hAnsi="宋体"/>
          <w:bCs/>
          <w:iCs w:val="0"/>
          <w:color w:val="auto"/>
          <w:sz w:val="21"/>
          <w:szCs w:val="21"/>
          <w:highlight w:val="none"/>
        </w:rPr>
        <w:t>但缺陷责任期</w:t>
      </w:r>
      <w:r>
        <w:rPr>
          <w:rFonts w:hint="eastAsia" w:ascii="宋体" w:hAnsi="宋体"/>
          <w:bCs/>
          <w:iCs w:val="0"/>
          <w:color w:val="auto"/>
          <w:sz w:val="21"/>
          <w:szCs w:val="21"/>
          <w:highlight w:val="none"/>
        </w:rPr>
        <w:t>（含延长部分）</w:t>
      </w:r>
      <w:r>
        <w:rPr>
          <w:rFonts w:ascii="宋体" w:hAnsi="宋体"/>
          <w:bCs/>
          <w:iCs w:val="0"/>
          <w:color w:val="auto"/>
          <w:sz w:val="21"/>
          <w:szCs w:val="21"/>
          <w:highlight w:val="none"/>
        </w:rPr>
        <w:t>最长</w:t>
      </w:r>
      <w:r>
        <w:rPr>
          <w:rFonts w:ascii="宋体" w:hAnsi="宋体"/>
          <w:iCs w:val="0"/>
          <w:color w:val="auto"/>
          <w:kern w:val="0"/>
          <w:sz w:val="21"/>
          <w:szCs w:val="21"/>
          <w:highlight w:val="none"/>
        </w:rPr>
        <w:t>不能超过24个月。</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15.2.4除专用合同条款另有约定外，承包人应于缺陷责任期届满后7天内向发包人发出缺陷责任期</w:t>
      </w:r>
      <w:r>
        <w:rPr>
          <w:rFonts w:hint="eastAsia" w:ascii="宋体" w:hAnsi="宋体"/>
          <w:iCs w:val="0"/>
          <w:color w:val="auto"/>
          <w:kern w:val="0"/>
          <w:sz w:val="21"/>
          <w:szCs w:val="21"/>
          <w:highlight w:val="none"/>
        </w:rPr>
        <w:t>届</w:t>
      </w:r>
      <w:r>
        <w:rPr>
          <w:rFonts w:ascii="宋体" w:hAnsi="宋体"/>
          <w:iCs w:val="0"/>
          <w:color w:val="auto"/>
          <w:kern w:val="0"/>
          <w:sz w:val="21"/>
          <w:szCs w:val="21"/>
          <w:highlight w:val="none"/>
        </w:rPr>
        <w:t>满通知，发包人应在</w:t>
      </w:r>
      <w:r>
        <w:rPr>
          <w:rFonts w:hint="eastAsia" w:ascii="宋体" w:hAnsi="宋体"/>
          <w:iCs w:val="0"/>
          <w:color w:val="auto"/>
          <w:kern w:val="0"/>
          <w:sz w:val="21"/>
          <w:szCs w:val="21"/>
          <w:highlight w:val="none"/>
        </w:rPr>
        <w:t>收</w:t>
      </w:r>
      <w:r>
        <w:rPr>
          <w:rFonts w:ascii="宋体" w:hAnsi="宋体"/>
          <w:iCs w:val="0"/>
          <w:color w:val="auto"/>
          <w:kern w:val="0"/>
          <w:sz w:val="21"/>
          <w:szCs w:val="21"/>
          <w:highlight w:val="none"/>
        </w:rPr>
        <w:t>到缺陷责任期满通知后14天内核实承包人是否履行缺陷</w:t>
      </w:r>
      <w:r>
        <w:rPr>
          <w:rFonts w:hint="eastAsia" w:ascii="宋体" w:hAnsi="宋体"/>
          <w:iCs w:val="0"/>
          <w:color w:val="auto"/>
          <w:kern w:val="0"/>
          <w:sz w:val="21"/>
          <w:szCs w:val="21"/>
          <w:highlight w:val="none"/>
        </w:rPr>
        <w:t>修复</w:t>
      </w:r>
      <w:r>
        <w:rPr>
          <w:rFonts w:ascii="宋体" w:hAnsi="宋体"/>
          <w:iCs w:val="0"/>
          <w:color w:val="auto"/>
          <w:kern w:val="0"/>
          <w:sz w:val="21"/>
          <w:szCs w:val="21"/>
          <w:highlight w:val="none"/>
        </w:rPr>
        <w:t>义务，承包人未能履行缺陷</w:t>
      </w:r>
      <w:r>
        <w:rPr>
          <w:rFonts w:hint="eastAsia" w:ascii="宋体" w:hAnsi="宋体"/>
          <w:iCs w:val="0"/>
          <w:color w:val="auto"/>
          <w:kern w:val="0"/>
          <w:sz w:val="21"/>
          <w:szCs w:val="21"/>
          <w:highlight w:val="none"/>
        </w:rPr>
        <w:t>修复</w:t>
      </w:r>
      <w:r>
        <w:rPr>
          <w:rFonts w:ascii="宋体" w:hAnsi="宋体"/>
          <w:iCs w:val="0"/>
          <w:color w:val="auto"/>
          <w:kern w:val="0"/>
          <w:sz w:val="21"/>
          <w:szCs w:val="21"/>
          <w:highlight w:val="none"/>
        </w:rPr>
        <w:t>义务的，发包人有权扣除相应金额的维修费用。发包人应在</w:t>
      </w:r>
      <w:r>
        <w:rPr>
          <w:rFonts w:hint="eastAsia" w:ascii="宋体" w:hAnsi="宋体"/>
          <w:iCs w:val="0"/>
          <w:color w:val="auto"/>
          <w:kern w:val="0"/>
          <w:sz w:val="21"/>
          <w:szCs w:val="21"/>
          <w:highlight w:val="none"/>
        </w:rPr>
        <w:t>收到</w:t>
      </w:r>
      <w:r>
        <w:rPr>
          <w:rFonts w:ascii="宋体" w:hAnsi="宋体"/>
          <w:iCs w:val="0"/>
          <w:color w:val="auto"/>
          <w:kern w:val="0"/>
          <w:sz w:val="21"/>
          <w:szCs w:val="21"/>
          <w:highlight w:val="none"/>
        </w:rPr>
        <w:t>缺陷责任期</w:t>
      </w:r>
      <w:r>
        <w:rPr>
          <w:rFonts w:hint="eastAsia" w:ascii="宋体" w:hAnsi="宋体"/>
          <w:iCs w:val="0"/>
          <w:color w:val="auto"/>
          <w:kern w:val="0"/>
          <w:sz w:val="21"/>
          <w:szCs w:val="21"/>
          <w:highlight w:val="none"/>
        </w:rPr>
        <w:t>届</w:t>
      </w:r>
      <w:r>
        <w:rPr>
          <w:rFonts w:ascii="宋体" w:hAnsi="宋体"/>
          <w:iCs w:val="0"/>
          <w:color w:val="auto"/>
          <w:kern w:val="0"/>
          <w:sz w:val="21"/>
          <w:szCs w:val="21"/>
          <w:highlight w:val="none"/>
        </w:rPr>
        <w:t>满</w:t>
      </w:r>
      <w:r>
        <w:rPr>
          <w:rFonts w:hint="eastAsia" w:ascii="宋体" w:hAnsi="宋体"/>
          <w:iCs w:val="0"/>
          <w:color w:val="auto"/>
          <w:kern w:val="0"/>
          <w:sz w:val="21"/>
          <w:szCs w:val="21"/>
          <w:highlight w:val="none"/>
        </w:rPr>
        <w:t>通知后</w:t>
      </w:r>
      <w:r>
        <w:rPr>
          <w:rFonts w:ascii="宋体" w:hAnsi="宋体"/>
          <w:iCs w:val="0"/>
          <w:color w:val="auto"/>
          <w:kern w:val="0"/>
          <w:sz w:val="21"/>
          <w:szCs w:val="21"/>
          <w:highlight w:val="none"/>
        </w:rPr>
        <w:t>14天内，向承包人颁发缺陷责任期终止证</w:t>
      </w:r>
      <w:r>
        <w:rPr>
          <w:rFonts w:hint="eastAsia" w:ascii="宋体" w:hAnsi="宋体"/>
          <w:iCs w:val="0"/>
          <w:color w:val="auto"/>
          <w:kern w:val="0"/>
          <w:sz w:val="21"/>
          <w:szCs w:val="21"/>
          <w:highlight w:val="none"/>
        </w:rPr>
        <w:t>书</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15.3 质量保证金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经合同当事人协商一致扣留质量保证金的，应在专用合同条款中予以明确。</w:t>
      </w:r>
    </w:p>
    <w:p>
      <w:pPr>
        <w:spacing w:line="360" w:lineRule="auto"/>
        <w:ind w:firstLine="420" w:firstLineChars="200"/>
        <w:jc w:val="left"/>
        <w:rPr>
          <w:rFonts w:ascii="宋体" w:hAnsi="宋体"/>
          <w:iCs w:val="0"/>
          <w:color w:val="auto"/>
          <w:sz w:val="21"/>
          <w:szCs w:val="21"/>
          <w:highlight w:val="none"/>
        </w:rPr>
      </w:pPr>
      <w:r>
        <w:rPr>
          <w:rFonts w:hint="eastAsia" w:ascii="宋体" w:hAnsi="宋体"/>
          <w:iCs w:val="0"/>
          <w:color w:val="auto"/>
          <w:sz w:val="21"/>
          <w:szCs w:val="21"/>
          <w:highlight w:val="none"/>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15.3.1 </w:t>
      </w:r>
      <w:r>
        <w:rPr>
          <w:rFonts w:hint="eastAsia" w:ascii="宋体" w:hAnsi="宋体"/>
          <w:iCs w:val="0"/>
          <w:color w:val="auto"/>
          <w:kern w:val="0"/>
          <w:sz w:val="21"/>
          <w:szCs w:val="21"/>
          <w:highlight w:val="none"/>
        </w:rPr>
        <w:t>承包人提供</w:t>
      </w:r>
      <w:r>
        <w:rPr>
          <w:rFonts w:ascii="宋体" w:hAnsi="宋体"/>
          <w:iCs w:val="0"/>
          <w:color w:val="auto"/>
          <w:kern w:val="0"/>
          <w:sz w:val="21"/>
          <w:szCs w:val="21"/>
          <w:highlight w:val="none"/>
        </w:rPr>
        <w:t>质量保证金的</w:t>
      </w:r>
      <w:r>
        <w:rPr>
          <w:rFonts w:hint="eastAsia" w:ascii="宋体" w:hAnsi="宋体"/>
          <w:iCs w:val="0"/>
          <w:color w:val="auto"/>
          <w:kern w:val="0"/>
          <w:sz w:val="21"/>
          <w:szCs w:val="21"/>
          <w:highlight w:val="none"/>
        </w:rPr>
        <w:t>方</w:t>
      </w:r>
      <w:r>
        <w:rPr>
          <w:rFonts w:ascii="宋体" w:hAnsi="宋体"/>
          <w:iCs w:val="0"/>
          <w:color w:val="auto"/>
          <w:kern w:val="0"/>
          <w:sz w:val="21"/>
          <w:szCs w:val="21"/>
          <w:highlight w:val="none"/>
        </w:rPr>
        <w:t>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承包人提供</w:t>
      </w:r>
      <w:r>
        <w:rPr>
          <w:rFonts w:ascii="宋体" w:hAnsi="宋体"/>
          <w:iCs w:val="0"/>
          <w:color w:val="auto"/>
          <w:kern w:val="0"/>
          <w:sz w:val="21"/>
          <w:szCs w:val="21"/>
          <w:highlight w:val="none"/>
        </w:rPr>
        <w:t>质量保证金</w:t>
      </w:r>
      <w:r>
        <w:rPr>
          <w:rFonts w:hint="eastAsia" w:ascii="宋体" w:hAnsi="宋体"/>
          <w:iCs w:val="0"/>
          <w:color w:val="auto"/>
          <w:kern w:val="0"/>
          <w:sz w:val="21"/>
          <w:szCs w:val="21"/>
          <w:highlight w:val="none"/>
        </w:rPr>
        <w:t>有</w:t>
      </w:r>
      <w:r>
        <w:rPr>
          <w:rFonts w:ascii="宋体" w:hAnsi="宋体"/>
          <w:iCs w:val="0"/>
          <w:color w:val="auto"/>
          <w:kern w:val="0"/>
          <w:sz w:val="21"/>
          <w:szCs w:val="21"/>
          <w:highlight w:val="none"/>
        </w:rPr>
        <w:t>以下</w:t>
      </w:r>
      <w:r>
        <w:rPr>
          <w:rFonts w:hint="eastAsia" w:ascii="宋体" w:hAnsi="宋体"/>
          <w:iCs w:val="0"/>
          <w:color w:val="auto"/>
          <w:kern w:val="0"/>
          <w:sz w:val="21"/>
          <w:szCs w:val="21"/>
          <w:highlight w:val="none"/>
        </w:rPr>
        <w:t>三种方</w:t>
      </w:r>
      <w:r>
        <w:rPr>
          <w:rFonts w:ascii="宋体" w:hAnsi="宋体"/>
          <w:iCs w:val="0"/>
          <w:color w:val="auto"/>
          <w:kern w:val="0"/>
          <w:sz w:val="21"/>
          <w:szCs w:val="21"/>
          <w:highlight w:val="none"/>
        </w:rPr>
        <w:t>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（1）质量保证金保函；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2）相应比例的工程款；</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（3）双方约定的其他</w:t>
      </w:r>
      <w:r>
        <w:rPr>
          <w:rFonts w:hint="eastAsia" w:ascii="宋体" w:hAnsi="宋体"/>
          <w:iCs w:val="0"/>
          <w:color w:val="auto"/>
          <w:kern w:val="0"/>
          <w:sz w:val="21"/>
          <w:szCs w:val="21"/>
          <w:highlight w:val="none"/>
        </w:rPr>
        <w:t>方</w:t>
      </w:r>
      <w:r>
        <w:rPr>
          <w:rFonts w:ascii="宋体" w:hAnsi="宋体"/>
          <w:iCs w:val="0"/>
          <w:color w:val="auto"/>
          <w:kern w:val="0"/>
          <w:sz w:val="21"/>
          <w:szCs w:val="21"/>
          <w:highlight w:val="none"/>
        </w:rPr>
        <w:t>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除专用合同条款另有约定外，质量保证金</w:t>
      </w:r>
      <w:r>
        <w:rPr>
          <w:rFonts w:hint="eastAsia" w:ascii="宋体" w:hAnsi="宋体"/>
          <w:iCs w:val="0"/>
          <w:color w:val="auto"/>
          <w:kern w:val="0"/>
          <w:sz w:val="21"/>
          <w:szCs w:val="21"/>
          <w:highlight w:val="none"/>
        </w:rPr>
        <w:t>原则上</w:t>
      </w:r>
      <w:r>
        <w:rPr>
          <w:rFonts w:ascii="宋体" w:hAnsi="宋体"/>
          <w:iCs w:val="0"/>
          <w:color w:val="auto"/>
          <w:kern w:val="0"/>
          <w:sz w:val="21"/>
          <w:szCs w:val="21"/>
          <w:highlight w:val="none"/>
        </w:rPr>
        <w:t>采</w:t>
      </w:r>
      <w:r>
        <w:rPr>
          <w:rFonts w:hint="eastAsia" w:ascii="宋体" w:hAnsi="宋体"/>
          <w:iCs w:val="0"/>
          <w:color w:val="auto"/>
          <w:kern w:val="0"/>
          <w:sz w:val="21"/>
          <w:szCs w:val="21"/>
          <w:highlight w:val="none"/>
        </w:rPr>
        <w:t>用上述</w:t>
      </w:r>
      <w:r>
        <w:rPr>
          <w:rFonts w:ascii="宋体" w:hAnsi="宋体"/>
          <w:iCs w:val="0"/>
          <w:color w:val="auto"/>
          <w:kern w:val="0"/>
          <w:sz w:val="21"/>
          <w:szCs w:val="21"/>
          <w:highlight w:val="none"/>
        </w:rPr>
        <w:t>第（1）种</w:t>
      </w:r>
      <w:r>
        <w:rPr>
          <w:rFonts w:hint="eastAsia" w:ascii="宋体" w:hAnsi="宋体"/>
          <w:iCs w:val="0"/>
          <w:color w:val="auto"/>
          <w:kern w:val="0"/>
          <w:sz w:val="21"/>
          <w:szCs w:val="21"/>
          <w:highlight w:val="none"/>
        </w:rPr>
        <w:t>方式。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15.3.2 质量保证金的扣留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质量保证金</w:t>
      </w:r>
      <w:r>
        <w:rPr>
          <w:rFonts w:hint="eastAsia" w:ascii="宋体" w:hAnsi="宋体"/>
          <w:iCs w:val="0"/>
          <w:color w:val="auto"/>
          <w:kern w:val="0"/>
          <w:sz w:val="21"/>
          <w:szCs w:val="21"/>
          <w:highlight w:val="none"/>
        </w:rPr>
        <w:t>的</w:t>
      </w:r>
      <w:r>
        <w:rPr>
          <w:rFonts w:ascii="宋体" w:hAnsi="宋体"/>
          <w:iCs w:val="0"/>
          <w:color w:val="auto"/>
          <w:kern w:val="0"/>
          <w:sz w:val="21"/>
          <w:szCs w:val="21"/>
          <w:highlight w:val="none"/>
        </w:rPr>
        <w:t>扣留</w:t>
      </w:r>
      <w:r>
        <w:rPr>
          <w:rFonts w:hint="eastAsia" w:ascii="宋体" w:hAnsi="宋体"/>
          <w:iCs w:val="0"/>
          <w:color w:val="auto"/>
          <w:kern w:val="0"/>
          <w:sz w:val="21"/>
          <w:szCs w:val="21"/>
          <w:highlight w:val="none"/>
        </w:rPr>
        <w:t>有</w:t>
      </w:r>
      <w:r>
        <w:rPr>
          <w:rFonts w:ascii="宋体" w:hAnsi="宋体"/>
          <w:iCs w:val="0"/>
          <w:color w:val="auto"/>
          <w:kern w:val="0"/>
          <w:sz w:val="21"/>
          <w:szCs w:val="21"/>
          <w:highlight w:val="none"/>
        </w:rPr>
        <w:t>以下</w:t>
      </w:r>
      <w:r>
        <w:rPr>
          <w:rFonts w:hint="eastAsia" w:ascii="宋体" w:hAnsi="宋体"/>
          <w:iCs w:val="0"/>
          <w:color w:val="auto"/>
          <w:kern w:val="0"/>
          <w:sz w:val="21"/>
          <w:szCs w:val="21"/>
          <w:highlight w:val="none"/>
        </w:rPr>
        <w:t>三</w:t>
      </w:r>
      <w:r>
        <w:rPr>
          <w:rFonts w:ascii="宋体" w:hAnsi="宋体"/>
          <w:iCs w:val="0"/>
          <w:color w:val="auto"/>
          <w:kern w:val="0"/>
          <w:sz w:val="21"/>
          <w:szCs w:val="21"/>
          <w:highlight w:val="none"/>
        </w:rPr>
        <w:t>种</w:t>
      </w:r>
      <w:r>
        <w:rPr>
          <w:rFonts w:hint="eastAsia" w:ascii="宋体" w:hAnsi="宋体"/>
          <w:iCs w:val="0"/>
          <w:color w:val="auto"/>
          <w:kern w:val="0"/>
          <w:sz w:val="21"/>
          <w:szCs w:val="21"/>
          <w:highlight w:val="none"/>
        </w:rPr>
        <w:t>方式</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（2）工</w:t>
      </w:r>
      <w:bookmarkStart w:id="151" w:name="#go6"/>
      <w:bookmarkEnd w:id="151"/>
      <w:r>
        <w:rPr>
          <w:rFonts w:ascii="宋体" w:hAnsi="宋体"/>
          <w:iCs w:val="0"/>
          <w:color w:val="auto"/>
          <w:kern w:val="0"/>
          <w:sz w:val="21"/>
          <w:szCs w:val="21"/>
          <w:highlight w:val="none"/>
        </w:rPr>
        <w:t>程竣工结算时一次性扣留质量保证金；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（3）双方约定的其他扣留方式。</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除专用合同条款另有约定外，质量保证金</w:t>
      </w:r>
      <w:r>
        <w:rPr>
          <w:rFonts w:hint="eastAsia" w:ascii="宋体" w:hAnsi="宋体"/>
          <w:iCs w:val="0"/>
          <w:color w:val="auto"/>
          <w:kern w:val="0"/>
          <w:sz w:val="21"/>
          <w:szCs w:val="21"/>
          <w:highlight w:val="none"/>
        </w:rPr>
        <w:t>的</w:t>
      </w:r>
      <w:r>
        <w:rPr>
          <w:rFonts w:ascii="宋体" w:hAnsi="宋体"/>
          <w:iCs w:val="0"/>
          <w:color w:val="auto"/>
          <w:kern w:val="0"/>
          <w:sz w:val="21"/>
          <w:szCs w:val="21"/>
          <w:highlight w:val="none"/>
        </w:rPr>
        <w:t>扣留</w:t>
      </w:r>
      <w:r>
        <w:rPr>
          <w:rFonts w:hint="eastAsia" w:ascii="宋体" w:hAnsi="宋体"/>
          <w:iCs w:val="0"/>
          <w:color w:val="auto"/>
          <w:kern w:val="0"/>
          <w:sz w:val="21"/>
          <w:szCs w:val="21"/>
          <w:highlight w:val="none"/>
        </w:rPr>
        <w:t>原则上</w:t>
      </w:r>
      <w:r>
        <w:rPr>
          <w:rFonts w:ascii="宋体" w:hAnsi="宋体"/>
          <w:iCs w:val="0"/>
          <w:color w:val="auto"/>
          <w:kern w:val="0"/>
          <w:sz w:val="21"/>
          <w:szCs w:val="21"/>
          <w:highlight w:val="none"/>
        </w:rPr>
        <w:t>采</w:t>
      </w:r>
      <w:r>
        <w:rPr>
          <w:rFonts w:hint="eastAsia" w:ascii="宋体" w:hAnsi="宋体"/>
          <w:iCs w:val="0"/>
          <w:color w:val="auto"/>
          <w:kern w:val="0"/>
          <w:sz w:val="21"/>
          <w:szCs w:val="21"/>
          <w:highlight w:val="none"/>
        </w:rPr>
        <w:t>用上述</w:t>
      </w:r>
      <w:r>
        <w:rPr>
          <w:rFonts w:ascii="宋体" w:hAnsi="宋体"/>
          <w:iCs w:val="0"/>
          <w:color w:val="auto"/>
          <w:kern w:val="0"/>
          <w:sz w:val="21"/>
          <w:szCs w:val="21"/>
          <w:highlight w:val="none"/>
        </w:rPr>
        <w:t>第（1）种方式</w:t>
      </w:r>
      <w:r>
        <w:rPr>
          <w:rFonts w:hint="eastAsia"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w:t>
      </w:r>
      <w:bookmarkStart w:id="152" w:name="#go4"/>
      <w:bookmarkEnd w:id="152"/>
      <w:r>
        <w:rPr>
          <w:rFonts w:ascii="宋体" w:hAnsi="宋体"/>
          <w:iCs w:val="0"/>
          <w:color w:val="auto"/>
          <w:kern w:val="0"/>
          <w:sz w:val="21"/>
          <w:szCs w:val="21"/>
          <w:highlight w:val="none"/>
        </w:rPr>
        <w:t>包人累计扣留的质量保证金不得超过</w:t>
      </w:r>
      <w:r>
        <w:rPr>
          <w:rFonts w:hint="eastAsia" w:ascii="宋体" w:hAnsi="宋体"/>
          <w:iCs w:val="0"/>
          <w:color w:val="auto"/>
          <w:kern w:val="0"/>
          <w:sz w:val="21"/>
          <w:szCs w:val="21"/>
          <w:highlight w:val="none"/>
        </w:rPr>
        <w:t>工程价款结算总额</w:t>
      </w:r>
      <w:r>
        <w:rPr>
          <w:rFonts w:ascii="宋体" w:hAnsi="宋体"/>
          <w:iCs w:val="0"/>
          <w:color w:val="auto"/>
          <w:kern w:val="0"/>
          <w:sz w:val="21"/>
          <w:szCs w:val="21"/>
          <w:highlight w:val="none"/>
        </w:rPr>
        <w:t>的3%</w:t>
      </w:r>
      <w:r>
        <w:rPr>
          <w:rFonts w:hint="eastAsia" w:ascii="宋体" w:hAnsi="宋体"/>
          <w:iCs w:val="0"/>
          <w:color w:val="auto"/>
          <w:kern w:val="0"/>
          <w:sz w:val="21"/>
          <w:szCs w:val="21"/>
          <w:highlight w:val="none"/>
        </w:rPr>
        <w:t>。如</w:t>
      </w:r>
      <w:r>
        <w:rPr>
          <w:rFonts w:ascii="宋体" w:hAnsi="宋体"/>
          <w:iCs w:val="0"/>
          <w:color w:val="auto"/>
          <w:kern w:val="0"/>
          <w:sz w:val="21"/>
          <w:szCs w:val="21"/>
          <w:highlight w:val="none"/>
        </w:rPr>
        <w:t>承包人在发包人签发竣工付款证书后28天内提交质量保证金保函，发包人应同时退还扣留的作为质量保证金的工程价款</w:t>
      </w:r>
      <w:r>
        <w:rPr>
          <w:rFonts w:hint="eastAsia" w:ascii="宋体" w:hAnsi="宋体"/>
          <w:iCs w:val="0"/>
          <w:color w:val="auto"/>
          <w:kern w:val="0"/>
          <w:sz w:val="21"/>
          <w:szCs w:val="21"/>
          <w:highlight w:val="none"/>
        </w:rPr>
        <w:t>；保函金额不得超过工程价款结算总额的3%</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发包人在退还质量保证金的同时</w:t>
      </w:r>
      <w:r>
        <w:rPr>
          <w:rFonts w:ascii="宋体" w:hAnsi="宋体"/>
          <w:iCs w:val="0"/>
          <w:color w:val="auto"/>
          <w:kern w:val="0"/>
          <w:sz w:val="21"/>
          <w:szCs w:val="21"/>
          <w:highlight w:val="none"/>
        </w:rPr>
        <w:t>按照中国人民银行发布的同期同类贷款基准利率支付</w:t>
      </w:r>
      <w:r>
        <w:rPr>
          <w:rFonts w:hint="eastAsia" w:ascii="宋体" w:hAnsi="宋体"/>
          <w:iCs w:val="0"/>
          <w:color w:val="auto"/>
          <w:kern w:val="0"/>
          <w:sz w:val="21"/>
          <w:szCs w:val="21"/>
          <w:highlight w:val="none"/>
        </w:rPr>
        <w:t>利息。</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15.3.3 </w:t>
      </w:r>
      <w:r>
        <w:rPr>
          <w:rFonts w:ascii="宋体" w:hAnsi="宋体"/>
          <w:iCs w:val="0"/>
          <w:color w:val="auto"/>
          <w:sz w:val="21"/>
          <w:szCs w:val="21"/>
          <w:highlight w:val="none"/>
        </w:rPr>
        <w:t>质量保证金</w:t>
      </w:r>
      <w:r>
        <w:rPr>
          <w:rFonts w:ascii="宋体" w:hAnsi="宋体"/>
          <w:iCs w:val="0"/>
          <w:color w:val="auto"/>
          <w:kern w:val="0"/>
          <w:sz w:val="21"/>
          <w:szCs w:val="21"/>
          <w:highlight w:val="none"/>
        </w:rPr>
        <w:t>的退还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发包人和承包人对保证金预留、返还以及工程维修质量、费用有争议的，按本合同第20条约定的争议和纠纷解决程序处理</w:t>
      </w:r>
      <w:r>
        <w:rPr>
          <w:rFonts w:ascii="宋体" w:hAnsi="宋体"/>
          <w:iCs w:val="0"/>
          <w:color w:val="auto"/>
          <w:kern w:val="0"/>
          <w:sz w:val="21"/>
          <w:szCs w:val="21"/>
          <w:highlight w:val="none"/>
        </w:rPr>
        <w:t>。</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15.4 保修</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15.4.1保修责任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发包人未经竣工验收擅自使用工程的，保修期自</w:t>
      </w:r>
      <w:r>
        <w:rPr>
          <w:rFonts w:ascii="宋体" w:hAnsi="宋体"/>
          <w:iCs w:val="0"/>
          <w:color w:val="auto"/>
          <w:kern w:val="0"/>
          <w:sz w:val="21"/>
          <w:szCs w:val="21"/>
          <w:highlight w:val="none"/>
        </w:rPr>
        <w:t>转移占有之日起算</w:t>
      </w:r>
      <w:r>
        <w:rPr>
          <w:rFonts w:ascii="宋体" w:hAnsi="宋体"/>
          <w:iCs w:val="0"/>
          <w:color w:val="auto"/>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15.4.2 修复费用</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保修期内，修复的费用按照以下约定处理：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15.4.3 修复通知</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15.4.4 未能修复</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宋体" w:hAnsi="宋体"/>
          <w:iCs w:val="0"/>
          <w:color w:val="auto"/>
          <w:kern w:val="0"/>
          <w:sz w:val="21"/>
          <w:szCs w:val="21"/>
          <w:highlight w:val="none"/>
        </w:rPr>
        <w:t>但修复范围超出缺陷或损坏范围的，超出范围部分的修复费用由发包人承担。</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15.4.5 承包人出入权</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16. 违约</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16.1 发包人违约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16.1.1 发包人违约的情形</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在合同履行过程中发生的下列情形，属于发包人违约：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（1）因发包人原因未能在计划开工日期前7天内下达开工通知的；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（2）因发包人原因未能按合同约定支付合同价款的；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（3）发包人违反第10.1款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变更的范围</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第（2）项约定，自行实施被取消的工作或转由他人实施的；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（5）因发包人违反合同约定造成暂停施工的；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（6）发包人无正当理由没有在约定期限内发出复工指示，导致承包人无法复工的；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（7）发包人明确表示或者以其行为表明不履行合同主要义务的；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（8）发包人未能按照合同约定履行其他义务的。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16.1.2 发包人违约的责任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16.1.3 因发包人违约解除合同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除专用合同条款另有约定外，承包人按第16.1.1项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约定暂停施工满28天后</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发包人仍不纠正其违约行为并致使合同目的不能实现的，</w:t>
      </w:r>
      <w:r>
        <w:rPr>
          <w:rFonts w:hint="eastAsia" w:ascii="宋体" w:hAnsi="宋体"/>
          <w:iCs w:val="0"/>
          <w:color w:val="auto"/>
          <w:kern w:val="0"/>
          <w:sz w:val="21"/>
          <w:szCs w:val="21"/>
          <w:highlight w:val="none"/>
        </w:rPr>
        <w:t>或</w:t>
      </w:r>
      <w:r>
        <w:rPr>
          <w:rFonts w:ascii="宋体" w:hAnsi="宋体"/>
          <w:iCs w:val="0"/>
          <w:color w:val="auto"/>
          <w:kern w:val="0"/>
          <w:sz w:val="21"/>
          <w:szCs w:val="21"/>
          <w:highlight w:val="none"/>
        </w:rPr>
        <w:t>出现第16.1.1项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发包人违约的情形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第（7）目约定的违约情况，承包人有权解除合同，发包人应承担由此增加的费用，并支付承包人合理的利润。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ascii="宋体" w:hAnsi="宋体"/>
          <w:iCs w:val="0"/>
          <w:color w:val="auto"/>
          <w:sz w:val="21"/>
          <w:szCs w:val="21"/>
          <w:highlight w:val="none"/>
        </w:rPr>
      </w:pPr>
      <w:r>
        <w:rPr>
          <w:rFonts w:ascii="宋体" w:hAnsi="宋体"/>
          <w:iCs w:val="0"/>
          <w:color w:val="auto"/>
          <w:kern w:val="0"/>
          <w:sz w:val="21"/>
          <w:szCs w:val="21"/>
          <w:highlight w:val="none"/>
        </w:rPr>
        <w:t>16.1.4 因发包人违约解除合同后的付款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承包人按照本款约定解除合同的，发包人应在解除合同后28天内支付下列款项，并解除履约担保：</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（1）合同解除前所完成工作的价款；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（2）承包人为工程施工订购并已付款的材料、工程设备和其他物品的价款；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（3）承包人撤离施工现场以及遣散承包人人员的款项；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（4）按照合同约定在合同解除前应支付的违约金；</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（5）按照合同约定应当支付给承包人的其他款项；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（6）按照合同约定应退还的质量保证金；</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（7）因解除合同给承包人造成的损失。</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合同当事人未能就解除合同后的结清达成一致的，按照第20条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承包人应妥善做好已完工程和与工程有关的已购材料、工程设备的保护和移交工作，并将施工设备和人员撤出施工现场，发包人应为承包人撤出提供必要条件。</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16.2 承包人违约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16.2.1 承包人违约的情形</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在合同履行过程中发生的下列情形，属于承包人违约：</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（1）承包人违反合同约定进行转包或违法分包的；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（2）承包人违反合同约定采购和使用不合格的材料和工程设备的；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（3）因承包人原因导致工程质量不符合合同要求的；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（4）承包人违反第8.9款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材料与设备专用</w:t>
      </w:r>
      <w:r>
        <w:rPr>
          <w:rFonts w:hint="eastAsia" w:ascii="宋体" w:hAnsi="宋体"/>
          <w:iCs w:val="0"/>
          <w:color w:val="auto"/>
          <w:kern w:val="0"/>
          <w:sz w:val="21"/>
          <w:szCs w:val="21"/>
          <w:highlight w:val="none"/>
        </w:rPr>
        <w:t>要求〕</w:t>
      </w:r>
      <w:r>
        <w:rPr>
          <w:rFonts w:ascii="宋体" w:hAnsi="宋体"/>
          <w:iCs w:val="0"/>
          <w:color w:val="auto"/>
          <w:kern w:val="0"/>
          <w:sz w:val="21"/>
          <w:szCs w:val="21"/>
          <w:highlight w:val="none"/>
        </w:rPr>
        <w:t>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（5）承包人未能按施工进度计划及时完成合同约定的工作，造成工期延误的；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（7）承包人明确表示或者以其行为表明不履行合同主要义务的；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（8）承包人未能按照合同约定履行其他义务的。</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承包人发生除本项第（7）目约定以外的其他违约情况时，监理人可向承包人发出整改通知，要求其在指定的期限内改正。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16.2.2 承包人违约的责任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承包人应承担因其违约行为而增加的费用</w:t>
      </w:r>
      <w:r>
        <w:rPr>
          <w:rFonts w:hint="eastAsia" w:ascii="宋体" w:hAnsi="宋体"/>
          <w:iCs w:val="0"/>
          <w:color w:val="auto"/>
          <w:kern w:val="0"/>
          <w:sz w:val="21"/>
          <w:szCs w:val="21"/>
          <w:highlight w:val="none"/>
        </w:rPr>
        <w:t>和（或）延误的</w:t>
      </w:r>
      <w:r>
        <w:rPr>
          <w:rFonts w:ascii="宋体" w:hAnsi="宋体"/>
          <w:iCs w:val="0"/>
          <w:color w:val="auto"/>
          <w:kern w:val="0"/>
          <w:sz w:val="21"/>
          <w:szCs w:val="21"/>
          <w:highlight w:val="none"/>
        </w:rPr>
        <w:t>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16.2.3 因承包人违约解除合同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除专用合同条款另有约定外，出现第16.2.1项</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承包人违约的情形</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宋体" w:hAnsi="宋体"/>
          <w:iCs w:val="0"/>
          <w:color w:val="auto"/>
          <w:kern w:val="0"/>
          <w:sz w:val="21"/>
          <w:szCs w:val="21"/>
          <w:highlight w:val="none"/>
        </w:rPr>
        <w:t>合同当事人应在专用合同条款约定相应费用的承担方式。</w:t>
      </w:r>
      <w:r>
        <w:rPr>
          <w:rFonts w:ascii="宋体" w:hAnsi="宋体"/>
          <w:iCs w:val="0"/>
          <w:color w:val="auto"/>
          <w:kern w:val="0"/>
          <w:sz w:val="21"/>
          <w:szCs w:val="21"/>
          <w:highlight w:val="none"/>
        </w:rPr>
        <w:t>发包人</w:t>
      </w:r>
      <w:r>
        <w:rPr>
          <w:rFonts w:hint="eastAsia" w:ascii="宋体" w:hAnsi="宋体"/>
          <w:iCs w:val="0"/>
          <w:color w:val="auto"/>
          <w:kern w:val="0"/>
          <w:sz w:val="21"/>
          <w:szCs w:val="21"/>
          <w:highlight w:val="none"/>
        </w:rPr>
        <w:t>继续使用的</w:t>
      </w:r>
      <w:r>
        <w:rPr>
          <w:rFonts w:ascii="宋体" w:hAnsi="宋体"/>
          <w:iCs w:val="0"/>
          <w:color w:val="auto"/>
          <w:kern w:val="0"/>
          <w:sz w:val="21"/>
          <w:szCs w:val="21"/>
          <w:highlight w:val="none"/>
        </w:rPr>
        <w:t>行为不免除或减轻承包人应承担的违约责任。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16.2.4因承包人违约解除合同后的处理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因承包人原因导致合同解除的，则合同当事人应在合同解除后28天内完成估价、付款和清算，并按以下约定执行：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（1）合同解除后，按第4.4款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商定或确定承包人实际完成工作对应的合同价款，以及承包人已提供的材料、工程设备、施工设备和临时工程等的价值；</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（2）合同解除后，承包人应支付的违约金；</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（3）合同解除后，因解除合同给发包人造成的损失；</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（4）合同解除后，承包人应按照发包人要求和监理人的指示完成现场的清理和撤离；</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（5）发包人和承包人应在合同解除后进行清算，出具最终结清付款证书，结清全部款项。</w:t>
      </w:r>
    </w:p>
    <w:p>
      <w:pPr>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因承包人违约解除合同的，</w:t>
      </w:r>
      <w:r>
        <w:rPr>
          <w:rFonts w:ascii="宋体" w:hAnsi="宋体"/>
          <w:iCs w:val="0"/>
          <w:color w:val="auto"/>
          <w:kern w:val="0"/>
          <w:sz w:val="21"/>
          <w:szCs w:val="21"/>
          <w:highlight w:val="none"/>
        </w:rPr>
        <w:t>发包人有权暂停对承包人的付款，查清各项付款和已扣款项。发包人和承包人未能就合同解除后的清算和款项支付达成一致的，按照第20条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的约定处理。</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16.2.5采购合同权益转让</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16.3 第三人造成的违约</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在履行合同过程中，一方当事人因第三人的原因造成违约的，应当向对方当事人承担违约责任。一方当事人和第三人之间的纠纷，依照法律规定或者按照约定解决。</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 xml:space="preserve">17. 不可抗力 </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17.1 不可抗力的确认</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的约定处理。发生争议时，按第20条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的约定处理。</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17.2 不可抗力的通知</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hint="eastAsia" w:ascii="宋体" w:hAnsi="宋体"/>
          <w:iCs w:val="0"/>
          <w:color w:val="auto"/>
          <w:kern w:val="0"/>
          <w:sz w:val="21"/>
          <w:szCs w:val="21"/>
          <w:highlight w:val="none"/>
        </w:rPr>
        <w:t>合同</w:t>
      </w:r>
      <w:r>
        <w:rPr>
          <w:rFonts w:ascii="宋体" w:hAnsi="宋体"/>
          <w:iCs w:val="0"/>
          <w:color w:val="auto"/>
          <w:kern w:val="0"/>
          <w:sz w:val="21"/>
          <w:szCs w:val="21"/>
          <w:highlight w:val="none"/>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17.3 不可抗力后果的承担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17.3.1 </w:t>
      </w:r>
      <w:r>
        <w:rPr>
          <w:rFonts w:hint="eastAsia" w:ascii="宋体" w:hAnsi="宋体"/>
          <w:iCs w:val="0"/>
          <w:color w:val="auto"/>
          <w:kern w:val="0"/>
          <w:sz w:val="21"/>
          <w:szCs w:val="21"/>
          <w:highlight w:val="none"/>
        </w:rPr>
        <w:t>不可抗力引起的后果及造成的损失由合同当事人按照法律规定及合同约定各自承担。</w:t>
      </w:r>
      <w:r>
        <w:rPr>
          <w:rFonts w:ascii="宋体" w:hAnsi="宋体"/>
          <w:iCs w:val="0"/>
          <w:color w:val="auto"/>
          <w:kern w:val="0"/>
          <w:sz w:val="21"/>
          <w:szCs w:val="21"/>
          <w:highlight w:val="none"/>
        </w:rPr>
        <w:t>不可抗力发生前已完</w:t>
      </w:r>
      <w:r>
        <w:rPr>
          <w:rFonts w:hint="eastAsia" w:ascii="宋体" w:hAnsi="宋体"/>
          <w:iCs w:val="0"/>
          <w:color w:val="auto"/>
          <w:kern w:val="0"/>
          <w:sz w:val="21"/>
          <w:szCs w:val="21"/>
          <w:highlight w:val="none"/>
        </w:rPr>
        <w:t>成的</w:t>
      </w:r>
      <w:r>
        <w:rPr>
          <w:rFonts w:ascii="宋体" w:hAnsi="宋体"/>
          <w:iCs w:val="0"/>
          <w:color w:val="auto"/>
          <w:kern w:val="0"/>
          <w:sz w:val="21"/>
          <w:szCs w:val="21"/>
          <w:highlight w:val="none"/>
        </w:rPr>
        <w:t>工程应当按照合同约定进行计量</w:t>
      </w:r>
      <w:r>
        <w:rPr>
          <w:rFonts w:hint="eastAsia" w:ascii="宋体" w:hAnsi="宋体"/>
          <w:iCs w:val="0"/>
          <w:color w:val="auto"/>
          <w:kern w:val="0"/>
          <w:sz w:val="21"/>
          <w:szCs w:val="21"/>
          <w:highlight w:val="none"/>
        </w:rPr>
        <w:t>支付</w:t>
      </w:r>
      <w:r>
        <w:rPr>
          <w:rFonts w:ascii="宋体" w:hAnsi="宋体"/>
          <w:iCs w:val="0"/>
          <w:color w:val="auto"/>
          <w:kern w:val="0"/>
          <w:sz w:val="21"/>
          <w:szCs w:val="21"/>
          <w:highlight w:val="none"/>
        </w:rPr>
        <w:t>。</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17.3.2 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（2）承包人施工设备的损坏由承包人承担；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（3）发包人和承包人承担各自人员伤亡和财产的损失；</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（6）承包人在停工期间按照发包人要求照管、清理和修复工程的费用由发包人承担。</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因合同一方迟延履行合同义务，在迟延履行期间遭遇不可抗力的，不免除其违约责任。</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17.4 因不可抗力解除合同</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因不可抗力导致合同无法履行连续超过84天或累计超过140天的，发包人和承包人均有权解除合同。合同解除后，由双方当事人按照第4.4款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商定或确定发包人应支付的款项，该款项包括：</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（1）合同解除前承包人已完成工作的价款；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（2）承包人为工程订购的并已交付给承包人，或承包人有责任接受交付的材料、工程设备和其他物品的价款；</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（3）发包人要求承包人退货或解除订货合同而产生的费用，或因不能退货或解除合同而产生的损失；</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（4）承包人撤离施工现场以及遣散承包人人员的费用；</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（5）按照合同约定在合同解除前应支付给承包人的其他款项；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（6）扣减承包人按照合同约定应向发包人支付的款项；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（7）双方商定或确定的其他款项。</w:t>
      </w:r>
    </w:p>
    <w:p>
      <w:pPr>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除专用合同条款另有约定外，合同解除后，发包人应在商定或确定上述款项后28天内完成上述款项的支付。</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18. 保险</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18.1 工程保险</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除专用合同条款另有约定外，发包人应投保建筑工程一切险或安装工程一切险；发包人委托承包人投保的，因投保产生的保险费和其他相关费用由发包人承担。</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18.2 工伤保险</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18.2.2 承包人应依照法律规定参加工伤保险，并为其履行合同的全部员工办理工伤保险，缴纳工伤保险费，并要求分包人及由承包人为履行合同聘请的第三方依法参加工伤保险。</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18.3其他保险</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除专用合同条款另有约定外，承包人应为其施工设备等办理财产保险。</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18.4持续保险</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合同当事人应与保险人保持联系，使保险人能够随时了解工程实施中的变动，并确保按保险合同条款要求持续保险。</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18.5 保险凭证</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合同当事人应及时向另一方当事人提交其已投保的各项保险的凭证和保险单复印件。</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18.6 未按约定投保的补救</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18.7 通知义务</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ascii="宋体" w:hAnsi="宋体"/>
          <w:iCs w:val="0"/>
          <w:color w:val="auto"/>
          <w:sz w:val="21"/>
          <w:szCs w:val="21"/>
          <w:highlight w:val="none"/>
        </w:rPr>
      </w:pPr>
      <w:r>
        <w:rPr>
          <w:rFonts w:ascii="宋体" w:hAnsi="宋体"/>
          <w:iCs w:val="0"/>
          <w:color w:val="auto"/>
          <w:sz w:val="21"/>
          <w:szCs w:val="21"/>
          <w:highlight w:val="none"/>
        </w:rPr>
        <w:t>保险事故发生时，投保人应按照保险合同规定的条件和期限及时向保险人报告。发包人和承包人应当在知道保险事故发生后及时通知对方。</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19. 索赔</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19.1承包人的索赔</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根据合同约定，承包人认为有权得到追加付款和（或）延长工期的，应按以下程序向</w:t>
      </w:r>
      <w:r>
        <w:rPr>
          <w:rFonts w:hint="eastAsia" w:ascii="宋体" w:hAnsi="宋体"/>
          <w:iCs w:val="0"/>
          <w:color w:val="auto"/>
          <w:kern w:val="0"/>
          <w:sz w:val="21"/>
          <w:szCs w:val="21"/>
          <w:highlight w:val="none"/>
        </w:rPr>
        <w:t>发包</w:t>
      </w:r>
      <w:r>
        <w:rPr>
          <w:rFonts w:ascii="宋体" w:hAnsi="宋体"/>
          <w:iCs w:val="0"/>
          <w:color w:val="auto"/>
          <w:kern w:val="0"/>
          <w:sz w:val="21"/>
          <w:szCs w:val="21"/>
          <w:highlight w:val="none"/>
        </w:rPr>
        <w:t>人提出索赔：</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（4）在索赔事件影响结束后28天内，承包人应向监理人递交最终索赔报告，说明最终要求索赔的追加付款金额和（或）延长的工期，并附必要的记录和证明材料。</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19.2 对承包人索赔的处理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对承包人索赔的处理如下：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（3）承包人接受索赔处理结果的，索赔款项在当期进度款中进行支付；承包人不接受索赔处理结果的，按照第20条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约定处理。</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19.3发包人的索赔</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19.4 对发包人索赔的处理</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对发包人索赔的处理如下：</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（3）承包人接受索赔处理结果的，发包人可从应支付给承包人的合同价款中扣除赔付的金额或延长缺陷责任期；发包人不接受索赔处理结果的，按第20条</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争议解决</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约定处理。</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19.5 提出索赔的期限</w:t>
      </w:r>
    </w:p>
    <w:p>
      <w:pPr>
        <w:spacing w:line="360" w:lineRule="auto"/>
        <w:ind w:firstLine="420" w:firstLineChars="200"/>
        <w:rPr>
          <w:rFonts w:ascii="宋体" w:hAnsi="宋体"/>
          <w:iCs w:val="0"/>
          <w:color w:val="auto"/>
          <w:kern w:val="0"/>
          <w:sz w:val="21"/>
          <w:szCs w:val="21"/>
          <w:highlight w:val="none"/>
        </w:rPr>
      </w:pPr>
      <w:r>
        <w:rPr>
          <w:rFonts w:ascii="宋体" w:hAnsi="宋体"/>
          <w:iCs w:val="0"/>
          <w:color w:val="auto"/>
          <w:kern w:val="0"/>
          <w:sz w:val="21"/>
          <w:szCs w:val="21"/>
          <w:highlight w:val="none"/>
        </w:rPr>
        <w:t>（1）承包人按第14.2款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竣工结算审核</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约定接收竣工付款证书后，应被视为已无权再提出在工程接收证书颁发前所发生的任何索赔。</w:t>
      </w:r>
    </w:p>
    <w:p>
      <w:pPr>
        <w:spacing w:line="360" w:lineRule="auto"/>
        <w:ind w:firstLine="420" w:firstLineChars="200"/>
        <w:rPr>
          <w:rFonts w:ascii="宋体" w:hAnsi="宋体"/>
          <w:iCs w:val="0"/>
          <w:color w:val="auto"/>
          <w:kern w:val="0"/>
          <w:sz w:val="21"/>
          <w:szCs w:val="21"/>
          <w:highlight w:val="none"/>
        </w:rPr>
      </w:pPr>
      <w:r>
        <w:rPr>
          <w:rFonts w:ascii="宋体" w:hAnsi="宋体"/>
          <w:iCs w:val="0"/>
          <w:color w:val="auto"/>
          <w:kern w:val="0"/>
          <w:sz w:val="21"/>
          <w:szCs w:val="21"/>
          <w:highlight w:val="none"/>
        </w:rPr>
        <w:t>（2）承包人按第14.4款</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最终结清</w:t>
      </w:r>
      <w:r>
        <w:rPr>
          <w:rFonts w:hint="eastAsia" w:ascii="宋体" w:hAnsi="宋体"/>
          <w:iCs w:val="0"/>
          <w:color w:val="auto"/>
          <w:kern w:val="0"/>
          <w:sz w:val="21"/>
          <w:szCs w:val="21"/>
          <w:highlight w:val="none"/>
        </w:rPr>
        <w:t>〕</w:t>
      </w:r>
      <w:r>
        <w:rPr>
          <w:rFonts w:ascii="宋体" w:hAnsi="宋体"/>
          <w:iCs w:val="0"/>
          <w:color w:val="auto"/>
          <w:kern w:val="0"/>
          <w:sz w:val="21"/>
          <w:szCs w:val="21"/>
          <w:highlight w:val="none"/>
        </w:rPr>
        <w:t>提交的最终结清申请单中，只限于提出工程接收证书颁发后发生的索赔。提出索赔的期限自接受最终结清证书时终止。</w:t>
      </w:r>
    </w:p>
    <w:p>
      <w:pPr>
        <w:keepNext/>
        <w:keepLines/>
        <w:spacing w:before="120" w:after="120" w:line="360" w:lineRule="auto"/>
        <w:outlineLvl w:val="3"/>
        <w:rPr>
          <w:rFonts w:ascii="宋体" w:hAnsi="宋体"/>
          <w:bCs/>
          <w:iCs w:val="0"/>
          <w:color w:val="auto"/>
          <w:sz w:val="21"/>
          <w:szCs w:val="21"/>
          <w:highlight w:val="none"/>
        </w:rPr>
      </w:pPr>
      <w:r>
        <w:rPr>
          <w:rFonts w:ascii="宋体" w:hAnsi="宋体"/>
          <w:bCs/>
          <w:iCs w:val="0"/>
          <w:color w:val="auto"/>
          <w:sz w:val="21"/>
          <w:szCs w:val="21"/>
          <w:highlight w:val="none"/>
        </w:rPr>
        <w:t>20. 争议解决</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20.1和解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合同当事人可以就争议自行和解，自行和解达成协议的经双方签字并盖章后作为合同补充文件，双方均应遵照执行。</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20.2调解</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合同当事人可以就争议请求建设行政主管部门</w:t>
      </w:r>
      <w:r>
        <w:rPr>
          <w:rFonts w:hint="eastAsia" w:ascii="宋体" w:hAnsi="宋体"/>
          <w:iCs w:val="0"/>
          <w:color w:val="auto"/>
          <w:kern w:val="0"/>
          <w:sz w:val="21"/>
          <w:szCs w:val="21"/>
          <w:highlight w:val="none"/>
        </w:rPr>
        <w:t>、行业协会</w:t>
      </w:r>
      <w:r>
        <w:rPr>
          <w:rFonts w:ascii="宋体" w:hAnsi="宋体"/>
          <w:iCs w:val="0"/>
          <w:color w:val="auto"/>
          <w:kern w:val="0"/>
          <w:sz w:val="21"/>
          <w:szCs w:val="21"/>
          <w:highlight w:val="none"/>
        </w:rPr>
        <w:t>或</w:t>
      </w:r>
      <w:r>
        <w:rPr>
          <w:rFonts w:hint="eastAsia" w:ascii="宋体" w:hAnsi="宋体"/>
          <w:iCs w:val="0"/>
          <w:color w:val="auto"/>
          <w:kern w:val="0"/>
          <w:sz w:val="21"/>
          <w:szCs w:val="21"/>
          <w:highlight w:val="none"/>
        </w:rPr>
        <w:t>其他</w:t>
      </w:r>
      <w:r>
        <w:rPr>
          <w:rFonts w:ascii="宋体" w:hAnsi="宋体"/>
          <w:iCs w:val="0"/>
          <w:color w:val="auto"/>
          <w:kern w:val="0"/>
          <w:sz w:val="21"/>
          <w:szCs w:val="21"/>
          <w:highlight w:val="none"/>
        </w:rPr>
        <w:t>第三方进行调解，调解达成协议的，经双方签字并盖章后作为合同补充文件，双方均应遵照执行。</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20.3争议评审</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合同当事人在专用合同条款中约定采取争议评审方式解决争议</w:t>
      </w:r>
      <w:r>
        <w:rPr>
          <w:rFonts w:hint="eastAsia" w:ascii="宋体" w:hAnsi="宋体"/>
          <w:iCs w:val="0"/>
          <w:color w:val="auto"/>
          <w:kern w:val="0"/>
          <w:sz w:val="21"/>
          <w:szCs w:val="21"/>
          <w:highlight w:val="none"/>
        </w:rPr>
        <w:t>以及评审规则，并</w:t>
      </w:r>
      <w:r>
        <w:rPr>
          <w:rFonts w:ascii="宋体" w:hAnsi="宋体"/>
          <w:iCs w:val="0"/>
          <w:color w:val="auto"/>
          <w:kern w:val="0"/>
          <w:sz w:val="21"/>
          <w:szCs w:val="21"/>
          <w:highlight w:val="none"/>
        </w:rPr>
        <w:t xml:space="preserve">按下列约定执行：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20.3.1 争议评审小组的确定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iCs w:val="0"/>
          <w:color w:val="auto"/>
          <w:kern w:val="0"/>
          <w:sz w:val="21"/>
          <w:szCs w:val="21"/>
          <w:highlight w:val="none"/>
        </w:rPr>
        <w:t>评审</w:t>
      </w:r>
      <w:r>
        <w:rPr>
          <w:rFonts w:ascii="宋体" w:hAnsi="宋体"/>
          <w:iCs w:val="0"/>
          <w:color w:val="auto"/>
          <w:kern w:val="0"/>
          <w:sz w:val="21"/>
          <w:szCs w:val="21"/>
          <w:highlight w:val="none"/>
        </w:rPr>
        <w:t xml:space="preserve">机构指定第三名首席争议评审员。 </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除专用合同条款另有约定外，评审员报酬由发包人和承包人各承担一半。</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20.3.2 争议评审小组的决定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20.3.3 争议评审小组决定的效力</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任何一方当事人不接受争议评审小组决定</w:t>
      </w:r>
      <w:r>
        <w:rPr>
          <w:rFonts w:hint="eastAsia" w:ascii="宋体" w:hAnsi="宋体"/>
          <w:iCs w:val="0"/>
          <w:color w:val="auto"/>
          <w:kern w:val="0"/>
          <w:sz w:val="21"/>
          <w:szCs w:val="21"/>
          <w:highlight w:val="none"/>
        </w:rPr>
        <w:t>或不履行争议评审小组决定的</w:t>
      </w:r>
      <w:r>
        <w:rPr>
          <w:rFonts w:ascii="宋体" w:hAnsi="宋体"/>
          <w:iCs w:val="0"/>
          <w:color w:val="auto"/>
          <w:kern w:val="0"/>
          <w:sz w:val="21"/>
          <w:szCs w:val="21"/>
          <w:highlight w:val="none"/>
        </w:rPr>
        <w:t>，双方可选择采用其他争议解决方式。</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20.4仲裁或诉讼</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（1）向约定的仲裁委员会申请仲裁；</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（2）向有管辖权的人民法院起诉。</w:t>
      </w:r>
    </w:p>
    <w:p>
      <w:pPr>
        <w:keepNext/>
        <w:keepLines/>
        <w:spacing w:before="120" w:after="120" w:line="360" w:lineRule="auto"/>
        <w:ind w:firstLine="420" w:firstLineChars="200"/>
        <w:outlineLvl w:val="4"/>
        <w:rPr>
          <w:rFonts w:ascii="宋体" w:hAnsi="宋体"/>
          <w:bCs/>
          <w:iCs w:val="0"/>
          <w:color w:val="auto"/>
          <w:sz w:val="21"/>
          <w:szCs w:val="21"/>
          <w:highlight w:val="none"/>
        </w:rPr>
      </w:pPr>
      <w:r>
        <w:rPr>
          <w:rFonts w:ascii="宋体" w:hAnsi="宋体"/>
          <w:bCs/>
          <w:iCs w:val="0"/>
          <w:color w:val="auto"/>
          <w:sz w:val="21"/>
          <w:szCs w:val="21"/>
          <w:highlight w:val="none"/>
        </w:rPr>
        <w:t>20.5争议解决条款效力</w:t>
      </w:r>
    </w:p>
    <w:p>
      <w:pPr>
        <w:autoSpaceDE w:val="0"/>
        <w:autoSpaceDN w:val="0"/>
        <w:adjustRightInd w:val="0"/>
        <w:spacing w:line="360" w:lineRule="auto"/>
        <w:ind w:firstLine="420" w:firstLineChars="200"/>
        <w:jc w:val="left"/>
        <w:rPr>
          <w:rFonts w:ascii="宋体" w:hAnsi="宋体"/>
          <w:iCs w:val="0"/>
          <w:color w:val="auto"/>
          <w:kern w:val="0"/>
          <w:sz w:val="21"/>
          <w:szCs w:val="21"/>
          <w:highlight w:val="none"/>
        </w:rPr>
      </w:pPr>
      <w:r>
        <w:rPr>
          <w:rFonts w:ascii="宋体" w:hAnsi="宋体"/>
          <w:iCs w:val="0"/>
          <w:color w:val="auto"/>
          <w:kern w:val="0"/>
          <w:sz w:val="21"/>
          <w:szCs w:val="21"/>
          <w:highlight w:val="none"/>
        </w:rPr>
        <w:t xml:space="preserve">合同有关争议解决的条款独立存在，合同的变更、解除、终止、无效或者被撤销均不影响其效力。 </w:t>
      </w:r>
    </w:p>
    <w:bookmarkEnd w:id="144"/>
    <w:p>
      <w:pPr>
        <w:widowControl/>
        <w:jc w:val="left"/>
        <w:rPr>
          <w:rFonts w:ascii="宋体" w:hAnsi="宋体"/>
          <w:iCs w:val="0"/>
          <w:color w:val="auto"/>
          <w:kern w:val="0"/>
          <w:sz w:val="21"/>
          <w:szCs w:val="21"/>
          <w:highlight w:val="none"/>
        </w:rPr>
      </w:pPr>
      <w:r>
        <w:rPr>
          <w:rFonts w:ascii="宋体" w:hAnsi="宋体"/>
          <w:iCs w:val="0"/>
          <w:color w:val="auto"/>
          <w:kern w:val="0"/>
          <w:sz w:val="21"/>
          <w:szCs w:val="21"/>
          <w:highlight w:val="none"/>
        </w:rPr>
        <w:br w:type="page"/>
      </w:r>
    </w:p>
    <w:p>
      <w:pPr>
        <w:keepNext/>
        <w:keepLines/>
        <w:spacing w:after="120" w:line="360" w:lineRule="auto"/>
        <w:ind w:firstLine="103"/>
        <w:jc w:val="center"/>
        <w:outlineLvl w:val="2"/>
        <w:rPr>
          <w:rFonts w:ascii="宋体" w:hAnsi="宋体" w:cs="宋体"/>
          <w:b/>
          <w:iCs w:val="0"/>
          <w:color w:val="auto"/>
          <w:szCs w:val="28"/>
          <w:highlight w:val="none"/>
        </w:rPr>
      </w:pPr>
      <w:bookmarkStart w:id="153" w:name="_Toc407203342"/>
      <w:bookmarkStart w:id="154" w:name="_Toc434959537"/>
      <w:bookmarkStart w:id="155" w:name="_Toc407198326"/>
      <w:r>
        <w:rPr>
          <w:rFonts w:hint="eastAsia" w:ascii="宋体" w:hAnsi="宋体" w:cs="宋体"/>
          <w:b/>
          <w:iCs w:val="0"/>
          <w:color w:val="auto"/>
          <w:szCs w:val="28"/>
          <w:highlight w:val="none"/>
        </w:rPr>
        <w:t>第三部分  专用合同条款</w:t>
      </w:r>
      <w:bookmarkEnd w:id="153"/>
      <w:bookmarkEnd w:id="154"/>
      <w:bookmarkEnd w:id="155"/>
    </w:p>
    <w:p>
      <w:pPr>
        <w:numPr>
          <w:ilvl w:val="0"/>
          <w:numId w:val="58"/>
        </w:numPr>
        <w:outlineLvl w:val="1"/>
        <w:rPr>
          <w:rFonts w:ascii="宋体" w:hAnsi="宋体" w:cs="宋体"/>
          <w:b/>
          <w:iCs w:val="0"/>
          <w:color w:val="auto"/>
          <w:sz w:val="20"/>
          <w:szCs w:val="20"/>
          <w:highlight w:val="none"/>
        </w:rPr>
      </w:pPr>
      <w:bookmarkStart w:id="156" w:name="_Toc351203633"/>
      <w:bookmarkStart w:id="157" w:name="_Toc296944495"/>
      <w:bookmarkStart w:id="158" w:name="_Toc296891196"/>
      <w:bookmarkStart w:id="159" w:name="_Toc296503156"/>
      <w:bookmarkStart w:id="160" w:name="_Toc296347155"/>
      <w:bookmarkStart w:id="161" w:name="_Toc407198327"/>
      <w:bookmarkStart w:id="162" w:name="_Toc407203343"/>
      <w:bookmarkStart w:id="163" w:name="_Toc296890984"/>
      <w:bookmarkStart w:id="164" w:name="_Toc292559361"/>
      <w:bookmarkStart w:id="165" w:name="_Toc296346657"/>
      <w:bookmarkStart w:id="166" w:name="_Toc297120456"/>
      <w:bookmarkStart w:id="167" w:name="_Toc292559866"/>
      <w:bookmarkStart w:id="168" w:name="_Toc434959538"/>
      <w:bookmarkStart w:id="169" w:name="_Toc297048342"/>
      <w:bookmarkStart w:id="170" w:name="_Toc23661"/>
      <w:r>
        <w:rPr>
          <w:rFonts w:hint="eastAsia" w:ascii="宋体" w:hAnsi="宋体" w:cs="宋体"/>
          <w:b/>
          <w:iCs w:val="0"/>
          <w:color w:val="auto"/>
          <w:sz w:val="20"/>
          <w:szCs w:val="20"/>
          <w:highlight w:val="none"/>
        </w:rPr>
        <w:t>一般约定</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outlineLvl w:val="1"/>
        <w:rPr>
          <w:rFonts w:ascii="宋体" w:hAnsi="宋体" w:cs="宋体"/>
          <w:iCs w:val="0"/>
          <w:color w:val="auto"/>
          <w:sz w:val="20"/>
          <w:szCs w:val="20"/>
          <w:highlight w:val="none"/>
        </w:rPr>
      </w:pPr>
      <w:bookmarkStart w:id="171" w:name="_Toc434959539"/>
      <w:bookmarkStart w:id="172" w:name="_Toc7646"/>
      <w:r>
        <w:rPr>
          <w:rFonts w:hint="eastAsia" w:ascii="宋体" w:hAnsi="宋体" w:cs="宋体"/>
          <w:iCs w:val="0"/>
          <w:color w:val="auto"/>
          <w:sz w:val="20"/>
          <w:szCs w:val="20"/>
          <w:highlight w:val="none"/>
        </w:rPr>
        <w:t>1.1 词语定义</w:t>
      </w:r>
      <w:bookmarkEnd w:id="171"/>
      <w:bookmarkEnd w:id="172"/>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1.1.1合同</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1.1.1.10其他合同文件包括：</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1.1.2 合同当事人及其他相关方</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1.1.2.4监理人：</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名称：；</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资质类别和等级：；</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联系电话：；</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电子信箱：；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通信地址：。</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1.1.2.5 设计人：</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名称：；</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资质类别和等级：；</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联系电话:；</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电子信箱：；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通信地址：。</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1.1.2.6 分包人：是指按照法律规定和合同约定，分包部分工程或工作，并与承包人签订分包合同的具有相应资质的法人。</w:t>
      </w:r>
      <w:r>
        <w:rPr>
          <w:rFonts w:hint="eastAsia" w:ascii="宋体" w:hAnsi="宋体" w:cs="宋体"/>
          <w:iCs w:val="0"/>
          <w:color w:val="auto"/>
          <w:sz w:val="20"/>
          <w:szCs w:val="20"/>
          <w:highlight w:val="none"/>
        </w:rPr>
        <w:t>本项目分包人为</w:t>
      </w:r>
      <w:r>
        <w:rPr>
          <w:rFonts w:hint="eastAsia" w:ascii="宋体" w:hAnsi="宋体" w:cs="宋体"/>
          <w:iCs w:val="0"/>
          <w:color w:val="auto"/>
          <w:sz w:val="20"/>
          <w:szCs w:val="20"/>
          <w:highlight w:val="none"/>
          <w:u w:val="single"/>
        </w:rPr>
        <w:t xml:space="preserve">                  。</w:t>
      </w:r>
    </w:p>
    <w:p>
      <w:pPr>
        <w:autoSpaceDE w:val="0"/>
        <w:autoSpaceDN w:val="0"/>
        <w:adjustRightInd w:val="0"/>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1.1.2.7 发包人代表：是指由发包人任命并派驻施工现场在发包人授权范围内行使发包人权利的人。本项目发包人代表为</w:t>
      </w:r>
      <w:r>
        <w:rPr>
          <w:rFonts w:hint="eastAsia" w:ascii="宋体" w:hAnsi="宋体" w:cs="宋体"/>
          <w:i/>
          <w:iCs w:val="0"/>
          <w:color w:val="auto"/>
          <w:kern w:val="0"/>
          <w:sz w:val="20"/>
          <w:szCs w:val="20"/>
          <w:highlight w:val="none"/>
          <w:u w:val="single"/>
        </w:rPr>
        <w:t xml:space="preserve">                    。</w:t>
      </w:r>
    </w:p>
    <w:p>
      <w:pPr>
        <w:autoSpaceDE w:val="0"/>
        <w:autoSpaceDN w:val="0"/>
        <w:adjustRightInd w:val="0"/>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1.1.2.8 项目经理：是指由承包人任命并派驻施工现场，在承包人授权范围内负责合同履行，且按照法律规定具有相应资格的项目负责人。本项目项目经理为。</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1.1.2.9 总监理工程师：是指由监理人任命并派驻施工现场进行工程监理的总负责人。本项目总监理工程师为 。</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1.1.3 工程和设备</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1.1.3.7 作为施工现场组成部分的其他场所包括：。</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1.1.3.9 永久占地包括：</w:t>
      </w:r>
      <w:r>
        <w:rPr>
          <w:rFonts w:hint="eastAsia" w:ascii="宋体" w:hAnsi="宋体" w:cs="宋体"/>
          <w:iCs w:val="0"/>
          <w:color w:val="auto"/>
          <w:kern w:val="0"/>
          <w:sz w:val="20"/>
          <w:szCs w:val="20"/>
          <w:highlight w:val="none"/>
          <w:u w:val="single"/>
        </w:rPr>
        <w:t>红线范围内的永久工程所占用的土地</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1.1.3.10 临时占地包括：</w:t>
      </w:r>
      <w:r>
        <w:rPr>
          <w:rFonts w:hint="eastAsia" w:ascii="宋体" w:hAnsi="宋体" w:cs="宋体"/>
          <w:iCs w:val="0"/>
          <w:color w:val="auto"/>
          <w:kern w:val="0"/>
          <w:sz w:val="20"/>
          <w:szCs w:val="20"/>
          <w:highlight w:val="none"/>
          <w:u w:val="single"/>
        </w:rPr>
        <w:t>本合同工程需临时占用的土地</w:t>
      </w:r>
      <w:r>
        <w:rPr>
          <w:rFonts w:hint="eastAsia" w:ascii="宋体" w:hAnsi="宋体" w:cs="宋体"/>
          <w:iCs w:val="0"/>
          <w:color w:val="auto"/>
          <w:kern w:val="0"/>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1.2 语言文字</w:t>
      </w:r>
    </w:p>
    <w:p>
      <w:pPr>
        <w:spacing w:line="420" w:lineRule="exact"/>
        <w:ind w:firstLine="400" w:firstLineChars="20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除专用术语外，合同使用的语言文字为中文（汉语言），还使用 </w:t>
      </w:r>
      <w:r>
        <w:rPr>
          <w:rFonts w:hint="eastAsia" w:ascii="宋体" w:hAnsi="宋体" w:cs="宋体"/>
          <w:iCs w:val="0"/>
          <w:color w:val="auto"/>
          <w:sz w:val="20"/>
          <w:szCs w:val="20"/>
          <w:highlight w:val="none"/>
          <w:u w:val="single"/>
        </w:rPr>
        <w:t xml:space="preserve">/  </w:t>
      </w:r>
      <w:r>
        <w:rPr>
          <w:rFonts w:hint="eastAsia" w:ascii="宋体" w:hAnsi="宋体" w:cs="宋体"/>
          <w:iCs w:val="0"/>
          <w:color w:val="auto"/>
          <w:sz w:val="20"/>
          <w:szCs w:val="20"/>
          <w:highlight w:val="none"/>
        </w:rPr>
        <w:t>语言文字。</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1.3法律</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适用于合同的其他规范性文件：</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1.4 标准和规范</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1.4.1适用于工程的标准规范包括：</w:t>
      </w:r>
      <w:r>
        <w:rPr>
          <w:rFonts w:hint="eastAsia" w:ascii="宋体" w:hAnsi="宋体" w:cs="宋体"/>
          <w:iCs w:val="0"/>
          <w:color w:val="auto"/>
          <w:kern w:val="0"/>
          <w:sz w:val="20"/>
          <w:szCs w:val="20"/>
          <w:highlight w:val="none"/>
          <w:u w:val="single"/>
        </w:rPr>
        <w:t>除通用合同条款外，还包括本工程</w:t>
      </w:r>
      <w:r>
        <w:rPr>
          <w:rFonts w:hint="eastAsia" w:ascii="宋体" w:hAnsi="宋体" w:cs="宋体"/>
          <w:iCs w:val="0"/>
          <w:color w:val="auto"/>
          <w:kern w:val="0"/>
          <w:sz w:val="20"/>
          <w:szCs w:val="20"/>
          <w:highlight w:val="none"/>
          <w:u w:val="single"/>
          <w:lang w:eastAsia="zh-CN"/>
        </w:rPr>
        <w:t>采购</w:t>
      </w:r>
      <w:r>
        <w:rPr>
          <w:rFonts w:hint="eastAsia" w:ascii="宋体" w:hAnsi="宋体" w:cs="宋体"/>
          <w:iCs w:val="0"/>
          <w:color w:val="auto"/>
          <w:kern w:val="0"/>
          <w:sz w:val="20"/>
          <w:szCs w:val="20"/>
          <w:highlight w:val="none"/>
          <w:u w:val="single"/>
        </w:rPr>
        <w:t>文件约定的，施工图设计文件及工程量清单所适用的标准和规范及国家、行业和地方现行的有关工程建设的标准和规范、规程、施工质量验收规范及相关配套文件</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1.4.2 发包人提供国外标准、规范的名称：；</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发包人提供国外标准、规范的份数：</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发包人提供国外标准、规范的名称：</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1.4.3发包人对工程的技术标准和功能要求的特殊要求：</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本工程</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文件、施工图设计文件及工程量清单有特殊要求的，从其要求</w:t>
      </w:r>
      <w:r>
        <w:rPr>
          <w:rFonts w:hint="eastAsia" w:ascii="宋体" w:hAnsi="宋体" w:cs="宋体"/>
          <w:iCs w:val="0"/>
          <w:color w:val="auto"/>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1.5 合同文件的优先顺序</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合同文件组成及优先顺序为：</w:t>
      </w:r>
      <w:r>
        <w:rPr>
          <w:rFonts w:hint="eastAsia" w:ascii="宋体" w:hAnsi="宋体" w:cs="宋体"/>
          <w:iCs w:val="0"/>
          <w:color w:val="auto"/>
          <w:sz w:val="20"/>
          <w:szCs w:val="20"/>
          <w:highlight w:val="none"/>
          <w:u w:val="single"/>
        </w:rPr>
        <w:t>本工程通用合同条款和专用合同条款就同一内容约定不一致的，按专用合同条款的约定执行</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(1)合同协议书；</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(2)中标通知书（装订到合同中）；</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(3)投标函及投标函附录；</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(4)专用合同条款及其附件；</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(5)通用合同条款；</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(6)技术标准和要求；</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(7)图纸；</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(8)已标价工程量清单或预算书；</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(9) 其他合同文件。</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上述各项合同文件包括合同当事人就该项合同文件所作出的补充和修改，属于同一类内容的文件，应以最新签署的为准</w:t>
      </w:r>
      <w:r>
        <w:rPr>
          <w:rFonts w:hint="eastAsia" w:ascii="宋体" w:hAnsi="宋体" w:cs="宋体"/>
          <w:iCs w:val="0"/>
          <w:color w:val="auto"/>
          <w:sz w:val="20"/>
          <w:szCs w:val="20"/>
          <w:highlight w:val="none"/>
        </w:rPr>
        <w:t>。</w:t>
      </w:r>
      <w:r>
        <w:rPr>
          <w:rFonts w:hint="eastAsia" w:ascii="宋体" w:hAnsi="宋体" w:cs="宋体"/>
          <w:iCs w:val="0"/>
          <w:color w:val="auto"/>
          <w:sz w:val="20"/>
          <w:szCs w:val="20"/>
          <w:highlight w:val="none"/>
          <w:u w:val="single"/>
        </w:rPr>
        <w:t>图纸与技术标准和要求之间有矛盾或者不一致的，以其中要求较严格的标准为准</w:t>
      </w:r>
      <w:r>
        <w:rPr>
          <w:rFonts w:hint="eastAsia" w:ascii="宋体" w:hAnsi="宋体" w:cs="宋体"/>
          <w:iCs w:val="0"/>
          <w:color w:val="auto"/>
          <w:sz w:val="20"/>
          <w:szCs w:val="20"/>
          <w:highlight w:val="none"/>
        </w:rPr>
        <w:t>。</w:t>
      </w:r>
      <w:r>
        <w:rPr>
          <w:rFonts w:hint="eastAsia" w:ascii="宋体" w:hAnsi="宋体" w:cs="宋体"/>
          <w:iCs w:val="0"/>
          <w:color w:val="auto"/>
          <w:sz w:val="20"/>
          <w:szCs w:val="20"/>
          <w:highlight w:val="none"/>
          <w:u w:val="single"/>
        </w:rPr>
        <w:t>合同双方在合同履行过程中签订的补充协议亦构成合同文件的组成部分，其解释顺序视其内容与其他合同文件的相互关系而定</w:t>
      </w:r>
      <w:r>
        <w:rPr>
          <w:rFonts w:hint="eastAsia" w:ascii="宋体" w:hAnsi="宋体" w:cs="宋体"/>
          <w:iCs w:val="0"/>
          <w:color w:val="auto"/>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1.6 图纸和承包人文件</w:t>
      </w:r>
      <w:r>
        <w:rPr>
          <w:rFonts w:hint="eastAsia" w:ascii="宋体" w:hAnsi="宋体" w:cs="宋体"/>
          <w:iCs w:val="0"/>
          <w:color w:val="auto"/>
          <w:sz w:val="20"/>
          <w:szCs w:val="20"/>
          <w:highlight w:val="none"/>
        </w:rPr>
        <w:tab/>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1.6.1 图纸的提供</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发包人向承包人提供图纸的期限：</w:t>
      </w:r>
      <w:r>
        <w:rPr>
          <w:rFonts w:hint="eastAsia" w:ascii="宋体" w:hAnsi="宋体" w:cs="宋体"/>
          <w:iCs w:val="0"/>
          <w:color w:val="auto"/>
          <w:sz w:val="20"/>
          <w:szCs w:val="20"/>
          <w:highlight w:val="none"/>
          <w:u w:val="single"/>
        </w:rPr>
        <w:t>签订本合同后7个工作日内</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发包人向承包人提供图纸的数量：</w:t>
      </w:r>
      <w:r>
        <w:rPr>
          <w:rFonts w:hint="eastAsia" w:ascii="宋体" w:hAnsi="宋体" w:cs="宋体"/>
          <w:iCs w:val="0"/>
          <w:color w:val="auto"/>
          <w:sz w:val="20"/>
          <w:szCs w:val="20"/>
          <w:highlight w:val="none"/>
          <w:u w:val="single"/>
        </w:rPr>
        <w:t>2套（含</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时提供的1套电子文档）。承包人需要增加图纸套数的，发包人应代为印制，印制费用由承包人承担；</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发包人向承包人提供图纸的内容：</w:t>
      </w:r>
      <w:r>
        <w:rPr>
          <w:rFonts w:hint="eastAsia" w:ascii="宋体" w:hAnsi="宋体" w:cs="宋体"/>
          <w:iCs w:val="0"/>
          <w:color w:val="auto"/>
          <w:sz w:val="20"/>
          <w:szCs w:val="20"/>
          <w:highlight w:val="none"/>
          <w:u w:val="single"/>
        </w:rPr>
        <w:t>完成本工程承包范围内容所需的应当由发包人提供的施工图纸及相关设计成果文件</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1.6.4 承包人文件</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需要由承包人提供的文件，包括：</w:t>
      </w:r>
      <w:r>
        <w:rPr>
          <w:rFonts w:hint="eastAsia" w:ascii="宋体" w:hAnsi="宋体" w:cs="宋体"/>
          <w:iCs w:val="0"/>
          <w:color w:val="auto"/>
          <w:sz w:val="20"/>
          <w:szCs w:val="20"/>
          <w:highlight w:val="none"/>
          <w:u w:val="single"/>
        </w:rPr>
        <w:t>按发包人及监理单位要求提供，包括但不限于施工组织设计、专项施工方案、进度计划、材料和设备计划</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承包人提供的文件的期限为：</w:t>
      </w:r>
      <w:r>
        <w:rPr>
          <w:rFonts w:hint="eastAsia" w:ascii="宋体" w:hAnsi="宋体" w:cs="宋体"/>
          <w:iCs w:val="0"/>
          <w:color w:val="auto"/>
          <w:sz w:val="20"/>
          <w:szCs w:val="20"/>
          <w:highlight w:val="none"/>
          <w:u w:val="single"/>
        </w:rPr>
        <w:t>开工日前14天按发包人及监理单位要求提供</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承包人提供的文件的数量为：</w:t>
      </w:r>
      <w:r>
        <w:rPr>
          <w:rFonts w:hint="eastAsia" w:ascii="宋体" w:hAnsi="宋体" w:cs="宋体"/>
          <w:iCs w:val="0"/>
          <w:color w:val="auto"/>
          <w:sz w:val="20"/>
          <w:szCs w:val="20"/>
          <w:highlight w:val="none"/>
          <w:u w:val="single"/>
        </w:rPr>
        <w:t>按发包人及监理单位要求提供</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承包人提供的文件的形式为：</w:t>
      </w:r>
      <w:r>
        <w:rPr>
          <w:rFonts w:hint="eastAsia" w:ascii="宋体" w:hAnsi="宋体" w:cs="宋体"/>
          <w:iCs w:val="0"/>
          <w:color w:val="auto"/>
          <w:sz w:val="20"/>
          <w:szCs w:val="20"/>
          <w:highlight w:val="none"/>
          <w:u w:val="single"/>
        </w:rPr>
        <w:t>纸质文件(部分文件含电子版)</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发包人审批承包人文件的期限：</w:t>
      </w:r>
      <w:r>
        <w:rPr>
          <w:rFonts w:hint="eastAsia" w:ascii="宋体" w:hAnsi="宋体" w:cs="宋体"/>
          <w:iCs w:val="0"/>
          <w:color w:val="auto"/>
          <w:sz w:val="20"/>
          <w:szCs w:val="20"/>
          <w:highlight w:val="none"/>
          <w:u w:val="single"/>
        </w:rPr>
        <w:t>收到监理人报送的承包人文件后7个工作日内，承包人文件需发包人按规定程序报送政府有关部门或设计单位审批的除外</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1.6.5 现场图纸准备</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关于现场图纸准备的约定：</w:t>
      </w:r>
      <w:r>
        <w:rPr>
          <w:rFonts w:hint="eastAsia" w:ascii="宋体" w:hAnsi="宋体" w:cs="宋体"/>
          <w:iCs w:val="0"/>
          <w:color w:val="auto"/>
          <w:sz w:val="20"/>
          <w:szCs w:val="20"/>
          <w:highlight w:val="none"/>
          <w:u w:val="single"/>
        </w:rPr>
        <w:t>一套盖审图章的图纸供质监站备查</w:t>
      </w:r>
      <w:r>
        <w:rPr>
          <w:rFonts w:hint="eastAsia" w:ascii="宋体" w:hAnsi="宋体" w:cs="宋体"/>
          <w:iCs w:val="0"/>
          <w:color w:val="auto"/>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1.7 联络</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1.7.1发包人和承包人应当在</w:t>
      </w:r>
      <w:r>
        <w:rPr>
          <w:rFonts w:hint="eastAsia" w:ascii="宋体" w:hAnsi="宋体" w:cs="宋体"/>
          <w:iCs w:val="0"/>
          <w:color w:val="auto"/>
          <w:sz w:val="20"/>
          <w:szCs w:val="20"/>
          <w:highlight w:val="none"/>
          <w:u w:val="single"/>
        </w:rPr>
        <w:t>3</w:t>
      </w:r>
      <w:r>
        <w:rPr>
          <w:rFonts w:hint="eastAsia" w:ascii="宋体" w:hAnsi="宋体" w:cs="宋体"/>
          <w:iCs w:val="0"/>
          <w:color w:val="auto"/>
          <w:kern w:val="0"/>
          <w:sz w:val="20"/>
          <w:szCs w:val="20"/>
          <w:highlight w:val="none"/>
        </w:rPr>
        <w:t>天内将与合同有关的通知、批准、证明、证书、指示、指令、要求、请求、同意、意见、确定和决定等书面函件送达对方当事人。</w:t>
      </w:r>
    </w:p>
    <w:p>
      <w:pPr>
        <w:spacing w:line="360" w:lineRule="exact"/>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1.7.2 发包人接收文件的地点：</w:t>
      </w:r>
      <w:r>
        <w:rPr>
          <w:rFonts w:hint="eastAsia" w:ascii="宋体" w:hAnsi="宋体" w:cs="宋体"/>
          <w:iCs w:val="0"/>
          <w:color w:val="auto"/>
          <w:kern w:val="0"/>
          <w:sz w:val="20"/>
          <w:szCs w:val="20"/>
          <w:highlight w:val="none"/>
          <w:u w:val="single"/>
        </w:rPr>
        <w:t>发包人办公地点或项目现场</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发包人指定的接收人为：</w:t>
      </w:r>
      <w:r>
        <w:rPr>
          <w:rFonts w:hint="eastAsia" w:ascii="宋体" w:hAnsi="宋体" w:cs="宋体"/>
          <w:iCs w:val="0"/>
          <w:color w:val="auto"/>
          <w:sz w:val="20"/>
          <w:szCs w:val="20"/>
          <w:highlight w:val="none"/>
          <w:u w:val="single"/>
        </w:rPr>
        <w:t>专用合同条款第2.2款约定的发包人代表</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承包人接收文件的地点：</w:t>
      </w:r>
      <w:r>
        <w:rPr>
          <w:rFonts w:hint="eastAsia" w:ascii="宋体" w:hAnsi="宋体" w:cs="宋体"/>
          <w:iCs w:val="0"/>
          <w:color w:val="auto"/>
          <w:sz w:val="20"/>
          <w:szCs w:val="20"/>
          <w:highlight w:val="none"/>
          <w:u w:val="single"/>
        </w:rPr>
        <w:t>项目现场</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承包人指定的接收人为：</w:t>
      </w:r>
      <w:r>
        <w:rPr>
          <w:rFonts w:hint="eastAsia" w:ascii="宋体" w:hAnsi="宋体" w:cs="宋体"/>
          <w:iCs w:val="0"/>
          <w:color w:val="auto"/>
          <w:sz w:val="20"/>
          <w:szCs w:val="20"/>
          <w:highlight w:val="none"/>
          <w:u w:val="single"/>
        </w:rPr>
        <w:t>专用合同条款第3.2款约定的承包人项目经理或其授权代表</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监理人接收文件的地点：</w:t>
      </w:r>
      <w:r>
        <w:rPr>
          <w:rFonts w:hint="eastAsia" w:ascii="宋体" w:hAnsi="宋体" w:cs="宋体"/>
          <w:iCs w:val="0"/>
          <w:color w:val="auto"/>
          <w:sz w:val="20"/>
          <w:szCs w:val="20"/>
          <w:highlight w:val="none"/>
          <w:u w:val="single"/>
        </w:rPr>
        <w:t>项目现场</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监理人指定的接收人为：</w:t>
      </w:r>
      <w:r>
        <w:rPr>
          <w:rFonts w:hint="eastAsia" w:ascii="宋体" w:hAnsi="宋体" w:cs="宋体"/>
          <w:iCs w:val="0"/>
          <w:color w:val="auto"/>
          <w:sz w:val="20"/>
          <w:szCs w:val="20"/>
          <w:highlight w:val="none"/>
          <w:u w:val="single"/>
        </w:rPr>
        <w:t>专用合同条款第4.2款约定的总监理工程师或现场监理工程师</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1.7.3.1</w:t>
      </w:r>
      <w:r>
        <w:rPr>
          <w:rFonts w:hint="eastAsia" w:ascii="宋体" w:hAnsi="宋体" w:cs="宋体"/>
          <w:iCs w:val="0"/>
          <w:color w:val="auto"/>
          <w:kern w:val="0"/>
          <w:sz w:val="20"/>
          <w:szCs w:val="20"/>
          <w:highlight w:val="none"/>
          <w:u w:val="single"/>
        </w:rPr>
        <w:t>承包人指定的接收人为合同条款中载明的承包人项目经理本人或者项目经理的授权代表。承包人应在收到开工通知后7天内，将授权代表其接收来往信函的项目经理的授权代表姓名和授权范围通知监理人和发包人。除合同另有约定外，承包人施工场地管理机构的办公地点即为承包人指定的接收地点</w:t>
      </w:r>
      <w:r>
        <w:rPr>
          <w:rFonts w:hint="eastAsia" w:ascii="宋体" w:hAnsi="宋体" w:cs="宋体"/>
          <w:iCs w:val="0"/>
          <w:color w:val="auto"/>
          <w:kern w:val="0"/>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1.7.3.2</w:t>
      </w:r>
      <w:r>
        <w:rPr>
          <w:rFonts w:hint="eastAsia" w:ascii="宋体" w:hAnsi="宋体" w:cs="宋体"/>
          <w:iCs w:val="0"/>
          <w:color w:val="auto"/>
          <w:kern w:val="0"/>
          <w:sz w:val="20"/>
          <w:szCs w:val="20"/>
          <w:highlight w:val="none"/>
          <w:u w:val="single"/>
        </w:rPr>
        <w:t>发包人(包括监理人)和承包人中任何一方指定的接收人或者接收地点发生变动，应当在实际变动前提前至少三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r>
        <w:rPr>
          <w:rFonts w:hint="eastAsia" w:ascii="宋体" w:hAnsi="宋体" w:cs="宋体"/>
          <w:iCs w:val="0"/>
          <w:color w:val="auto"/>
          <w:kern w:val="0"/>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1.10 交通运输</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Start w:id="173" w:name="_Toc300934943"/>
      <w:bookmarkStart w:id="174" w:name="_Toc303539100"/>
      <w:bookmarkStart w:id="175" w:name="_Toc312677986"/>
      <w:bookmarkStart w:id="176" w:name="_Toc318581155"/>
      <w:bookmarkStart w:id="177" w:name="_Toc304295521"/>
      <w:r>
        <w:rPr>
          <w:rFonts w:hint="eastAsia" w:ascii="宋体" w:hAnsi="宋体" w:cs="宋体"/>
          <w:iCs w:val="0"/>
          <w:color w:val="auto"/>
          <w:sz w:val="20"/>
          <w:szCs w:val="20"/>
          <w:highlight w:val="none"/>
        </w:rPr>
        <w:t>.10.1 出入现场的权利</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关于出入现场的权利的约定：</w:t>
      </w:r>
      <w:r>
        <w:rPr>
          <w:rFonts w:hint="eastAsia" w:ascii="宋体" w:hAnsi="宋体" w:cs="宋体"/>
          <w:iCs w:val="0"/>
          <w:color w:val="auto"/>
          <w:kern w:val="0"/>
          <w:sz w:val="20"/>
          <w:szCs w:val="20"/>
          <w:highlight w:val="none"/>
          <w:u w:val="single"/>
        </w:rPr>
        <w:t>承包人有使用权，但承包人未合理预见所增加的费用和延误的工期由承包人承担</w:t>
      </w:r>
      <w:r>
        <w:rPr>
          <w:rFonts w:hint="eastAsia" w:ascii="宋体" w:hAnsi="宋体" w:cs="宋体"/>
          <w:iCs w:val="0"/>
          <w:color w:val="auto"/>
          <w:kern w:val="0"/>
          <w:sz w:val="20"/>
          <w:szCs w:val="20"/>
          <w:highlight w:val="none"/>
        </w:rPr>
        <w:t>。</w:t>
      </w:r>
    </w:p>
    <w:bookmarkEnd w:id="173"/>
    <w:bookmarkEnd w:id="174"/>
    <w:bookmarkEnd w:id="175"/>
    <w:bookmarkEnd w:id="176"/>
    <w:bookmarkEnd w:id="177"/>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Start w:id="178" w:name="_Toc318581156"/>
      <w:bookmarkStart w:id="179" w:name="_Toc303539101"/>
      <w:bookmarkStart w:id="180" w:name="_Toc304295522"/>
      <w:bookmarkStart w:id="181" w:name="_Toc312677987"/>
      <w:bookmarkStart w:id="182" w:name="_Toc300934944"/>
      <w:r>
        <w:rPr>
          <w:rFonts w:hint="eastAsia" w:ascii="宋体" w:hAnsi="宋体" w:cs="宋体"/>
          <w:iCs w:val="0"/>
          <w:color w:val="auto"/>
          <w:sz w:val="20"/>
          <w:szCs w:val="20"/>
          <w:highlight w:val="none"/>
        </w:rPr>
        <w:t>.10.3 场内交通</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关于场外交通和场内交通的边界的约定：</w:t>
      </w:r>
      <w:r>
        <w:rPr>
          <w:rFonts w:hint="eastAsia" w:ascii="宋体" w:hAnsi="宋体" w:cs="宋体"/>
          <w:iCs w:val="0"/>
          <w:color w:val="auto"/>
          <w:sz w:val="20"/>
          <w:szCs w:val="20"/>
          <w:highlight w:val="none"/>
          <w:u w:val="single"/>
        </w:rPr>
        <w:t>按照政府相关职能部门出具的红线图确定，红线范围内为场内交通，红线范围外为场外交通。</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关于发包人向承包人免费提供满足工程施工需要的场内道路和交通设施的约定：</w:t>
      </w:r>
      <w:r>
        <w:rPr>
          <w:rFonts w:hint="eastAsia" w:ascii="宋体" w:hAnsi="宋体" w:cs="宋体"/>
          <w:iCs w:val="0"/>
          <w:color w:val="auto"/>
          <w:sz w:val="20"/>
          <w:szCs w:val="20"/>
          <w:highlight w:val="none"/>
          <w:u w:val="single"/>
        </w:rPr>
        <w:t>发包人和监理人可以免费使用承包人修建的场内临时道路和交通设施</w:t>
      </w:r>
      <w:r>
        <w:rPr>
          <w:rFonts w:hint="eastAsia" w:ascii="宋体" w:hAnsi="宋体" w:cs="宋体"/>
          <w:iCs w:val="0"/>
          <w:color w:val="auto"/>
          <w:sz w:val="20"/>
          <w:szCs w:val="20"/>
          <w:highlight w:val="none"/>
        </w:rPr>
        <w:t>。</w:t>
      </w:r>
      <w:bookmarkEnd w:id="178"/>
      <w:bookmarkEnd w:id="179"/>
      <w:bookmarkEnd w:id="180"/>
      <w:bookmarkEnd w:id="181"/>
      <w:bookmarkEnd w:id="182"/>
      <w:bookmarkStart w:id="183" w:name="_Toc318581157"/>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1.10.4超大件和超重件的运输</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运输超大件或超重件所需的道路和桥梁临时加固改造费用和其他有关费用由</w:t>
      </w:r>
      <w:r>
        <w:rPr>
          <w:rFonts w:hint="eastAsia" w:ascii="宋体" w:hAnsi="宋体" w:cs="宋体"/>
          <w:iCs w:val="0"/>
          <w:color w:val="auto"/>
          <w:sz w:val="20"/>
          <w:szCs w:val="20"/>
          <w:highlight w:val="none"/>
          <w:u w:val="single"/>
        </w:rPr>
        <w:t>承包人自行</w:t>
      </w:r>
      <w:r>
        <w:rPr>
          <w:rFonts w:hint="eastAsia" w:ascii="宋体" w:hAnsi="宋体" w:cs="宋体"/>
          <w:iCs w:val="0"/>
          <w:color w:val="auto"/>
          <w:sz w:val="20"/>
          <w:szCs w:val="20"/>
          <w:highlight w:val="none"/>
        </w:rPr>
        <w:t>承担。</w:t>
      </w:r>
    </w:p>
    <w:bookmarkEnd w:id="183"/>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1.11 知识产权</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iCs w:val="0"/>
          <w:color w:val="auto"/>
          <w:sz w:val="20"/>
          <w:szCs w:val="20"/>
          <w:highlight w:val="none"/>
          <w:u w:val="single"/>
        </w:rPr>
        <w:t>发包人</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关于发包人提供的上述文件的使用限制的要求：</w:t>
      </w:r>
      <w:r>
        <w:rPr>
          <w:rFonts w:hint="eastAsia" w:ascii="宋体" w:hAnsi="宋体" w:cs="宋体"/>
          <w:iCs w:val="0"/>
          <w:color w:val="auto"/>
          <w:sz w:val="20"/>
          <w:szCs w:val="20"/>
          <w:highlight w:val="none"/>
          <w:u w:val="single"/>
        </w:rPr>
        <w:t>本工程</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1.11.2 关于承包人为实施工程所编制文件的著作权的归属：</w:t>
      </w:r>
      <w:r>
        <w:rPr>
          <w:rFonts w:hint="eastAsia" w:ascii="宋体" w:hAnsi="宋体" w:cs="宋体"/>
          <w:iCs w:val="0"/>
          <w:color w:val="auto"/>
          <w:sz w:val="20"/>
          <w:szCs w:val="20"/>
          <w:highlight w:val="none"/>
          <w:u w:val="single"/>
        </w:rPr>
        <w:t>/</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关于承包人提供的上述文件的使用限制的要求：</w:t>
      </w:r>
      <w:r>
        <w:rPr>
          <w:rFonts w:hint="eastAsia" w:ascii="宋体" w:hAnsi="宋体" w:cs="宋体"/>
          <w:iCs w:val="0"/>
          <w:color w:val="auto"/>
          <w:sz w:val="20"/>
          <w:szCs w:val="20"/>
          <w:highlight w:val="none"/>
          <w:u w:val="single"/>
        </w:rPr>
        <w:t>/</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1.11.4 承包人在施工过程中所采用的专利、专有技术、技术秘密的使用费的承担方式：</w:t>
      </w:r>
      <w:r>
        <w:rPr>
          <w:rFonts w:hint="eastAsia" w:ascii="宋体" w:hAnsi="宋体" w:cs="宋体"/>
          <w:iCs w:val="0"/>
          <w:color w:val="auto"/>
          <w:sz w:val="20"/>
          <w:szCs w:val="20"/>
          <w:highlight w:val="none"/>
          <w:u w:val="single"/>
        </w:rPr>
        <w:t>/</w:t>
      </w:r>
      <w:r>
        <w:rPr>
          <w:rFonts w:hint="eastAsia" w:ascii="宋体" w:hAnsi="宋体" w:cs="宋体"/>
          <w:iCs w:val="0"/>
          <w:color w:val="auto"/>
          <w:kern w:val="0"/>
          <w:sz w:val="20"/>
          <w:szCs w:val="20"/>
          <w:highlight w:val="none"/>
        </w:rPr>
        <w:t>。</w:t>
      </w:r>
    </w:p>
    <w:p>
      <w:pPr>
        <w:outlineLvl w:val="1"/>
        <w:rPr>
          <w:rFonts w:ascii="宋体" w:hAnsi="宋体" w:cs="宋体"/>
          <w:b/>
          <w:iCs w:val="0"/>
          <w:color w:val="auto"/>
          <w:sz w:val="20"/>
          <w:szCs w:val="20"/>
          <w:highlight w:val="none"/>
        </w:rPr>
      </w:pPr>
      <w:bookmarkStart w:id="184" w:name="_Toc351203634"/>
      <w:bookmarkStart w:id="185" w:name="_Toc407198328"/>
      <w:bookmarkStart w:id="186" w:name="_Toc434959540"/>
      <w:bookmarkStart w:id="187" w:name="_Toc407203344"/>
      <w:bookmarkStart w:id="188" w:name="_Toc30010"/>
      <w:r>
        <w:rPr>
          <w:rFonts w:hint="eastAsia" w:ascii="宋体" w:hAnsi="宋体" w:cs="宋体"/>
          <w:b/>
          <w:iCs w:val="0"/>
          <w:color w:val="auto"/>
          <w:sz w:val="20"/>
          <w:szCs w:val="20"/>
          <w:highlight w:val="none"/>
        </w:rPr>
        <w:t>2</w:t>
      </w:r>
      <w:bookmarkStart w:id="189" w:name="_Toc296944496"/>
      <w:bookmarkStart w:id="190" w:name="_Toc292559867"/>
      <w:bookmarkStart w:id="191" w:name="_Toc296346658"/>
      <w:bookmarkStart w:id="192" w:name="_Toc292559362"/>
      <w:bookmarkStart w:id="193" w:name="_Toc296890985"/>
      <w:bookmarkStart w:id="194" w:name="_Toc296891197"/>
      <w:bookmarkStart w:id="195" w:name="_Toc296347156"/>
      <w:bookmarkStart w:id="196" w:name="_Toc297048343"/>
      <w:bookmarkStart w:id="197" w:name="_Toc297120457"/>
      <w:bookmarkStart w:id="198" w:name="_Toc296503157"/>
      <w:r>
        <w:rPr>
          <w:rFonts w:hint="eastAsia" w:ascii="宋体" w:hAnsi="宋体" w:cs="宋体"/>
          <w:b/>
          <w:iCs w:val="0"/>
          <w:color w:val="auto"/>
          <w:sz w:val="20"/>
          <w:szCs w:val="20"/>
          <w:highlight w:val="none"/>
        </w:rPr>
        <w:t>. 发包人</w:t>
      </w:r>
      <w:bookmarkEnd w:id="184"/>
      <w:bookmarkEnd w:id="185"/>
      <w:bookmarkEnd w:id="186"/>
      <w:bookmarkEnd w:id="187"/>
      <w:bookmarkEnd w:id="188"/>
    </w:p>
    <w:bookmarkEnd w:id="189"/>
    <w:bookmarkEnd w:id="190"/>
    <w:bookmarkEnd w:id="191"/>
    <w:bookmarkEnd w:id="192"/>
    <w:bookmarkEnd w:id="193"/>
    <w:bookmarkEnd w:id="194"/>
    <w:bookmarkEnd w:id="195"/>
    <w:bookmarkEnd w:id="196"/>
    <w:bookmarkEnd w:id="197"/>
    <w:bookmarkEnd w:id="198"/>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2.1许可和批准</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委托承包人代为办理的施工所需的工程质量监督、安全监督、施工许可证、合同备案等相关证件及手续，承包人应无偿代为办理，并提供相关资料及配合人员,及相关许可、批准或备案。若因发包人原因未能及时办理完毕，如因此导致承包人工期延误的，经发包人批准后工期相应顺延，由此增加的费用以及承包人合理的利润由承包人自行解决，发包人不予承担。</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2.2 发包人代表</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发包人代表：</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姓名：；</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职务：；</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联系电话：；</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通信地址：。</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发包人对发包人代表的授权范围如下：</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代表发包人对工程质量、投资、进度和安全生产进行控制及监督管理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（2）</w:t>
      </w:r>
      <w:r>
        <w:rPr>
          <w:rFonts w:hint="eastAsia" w:ascii="宋体" w:hAnsi="宋体" w:cs="宋体"/>
          <w:iCs w:val="0"/>
          <w:color w:val="auto"/>
          <w:sz w:val="20"/>
          <w:szCs w:val="20"/>
          <w:highlight w:val="none"/>
          <w:u w:val="single"/>
        </w:rPr>
        <w:t>协调设计、监理、施工和其他相关单位之间的关系</w:t>
      </w:r>
      <w:r>
        <w:rPr>
          <w:rFonts w:hint="eastAsia" w:ascii="宋体" w:hAnsi="宋体" w:cs="宋体"/>
          <w:iCs w:val="0"/>
          <w:color w:val="auto"/>
          <w:sz w:val="20"/>
          <w:szCs w:val="20"/>
          <w:highlight w:val="none"/>
        </w:rPr>
        <w:t>；</w:t>
      </w:r>
    </w:p>
    <w:p>
      <w:pPr>
        <w:spacing w:line="360" w:lineRule="exact"/>
        <w:ind w:firstLine="500" w:firstLineChars="25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r>
        <w:rPr>
          <w:rFonts w:hint="eastAsia" w:ascii="宋体" w:hAnsi="宋体" w:cs="宋体"/>
          <w:iCs w:val="0"/>
          <w:color w:val="auto"/>
          <w:sz w:val="20"/>
          <w:szCs w:val="20"/>
          <w:highlight w:val="none"/>
          <w:u w:val="single"/>
        </w:rPr>
        <w:t>现场技术、经济签证单的初审；</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（4）</w:t>
      </w:r>
      <w:r>
        <w:rPr>
          <w:rFonts w:hint="eastAsia" w:ascii="宋体" w:hAnsi="宋体" w:cs="宋体"/>
          <w:iCs w:val="0"/>
          <w:color w:val="auto"/>
          <w:sz w:val="20"/>
          <w:szCs w:val="20"/>
          <w:highlight w:val="none"/>
          <w:u w:val="single"/>
        </w:rPr>
        <w:t>负责处理合同履行过程中与发包人有关的具体事宜</w:t>
      </w:r>
      <w:r>
        <w:rPr>
          <w:rFonts w:hint="eastAsia" w:ascii="宋体" w:hAnsi="宋体" w:cs="宋体"/>
          <w:iCs w:val="0"/>
          <w:color w:val="auto"/>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2.4 施工现场、施工条件和基础资料的提供</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2.4.1 提供施工现场</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关于发包人移交施工现场的期限要求：</w:t>
      </w:r>
      <w:r>
        <w:rPr>
          <w:rFonts w:hint="eastAsia" w:ascii="宋体" w:hAnsi="宋体" w:cs="宋体"/>
          <w:iCs w:val="0"/>
          <w:color w:val="auto"/>
          <w:sz w:val="20"/>
          <w:szCs w:val="20"/>
          <w:highlight w:val="none"/>
          <w:u w:val="single"/>
        </w:rPr>
        <w:t>以发包人提供书面通知为准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2.4.2 提供施工条件</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（1.1）施工场地具备施工条件的要求及完成的时间：</w:t>
      </w:r>
      <w:r>
        <w:rPr>
          <w:rFonts w:hint="eastAsia" w:ascii="宋体" w:hAnsi="宋体" w:cs="宋体"/>
          <w:iCs w:val="0"/>
          <w:color w:val="auto"/>
          <w:sz w:val="20"/>
          <w:szCs w:val="20"/>
          <w:highlight w:val="none"/>
          <w:u w:val="single"/>
        </w:rPr>
        <w:t>开工前</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（1.2）本工程施工用水、电、讯接入均由承包人自行解决，发包人可协助承包人协调相关行政主管部门。在</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前，发包人根据项目建设需求和现场条件编制相应的接入、使用方案，已编制相关费用并列入</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控制总价。承包人中标后，临水、临电安装方案报监理人、发包人和供应单位审批并办理相关手续后实施，其相关费用由承包人在申请报价中综合考虑。</w:t>
      </w:r>
      <w:r>
        <w:rPr>
          <w:rFonts w:hint="eastAsia" w:ascii="宋体" w:hAnsi="宋体" w:cs="宋体"/>
          <w:iCs w:val="0"/>
          <w:color w:val="auto"/>
          <w:sz w:val="20"/>
          <w:szCs w:val="20"/>
          <w:highlight w:val="none"/>
          <w:u w:val="single"/>
        </w:rPr>
        <w:t>同时，施工用水、用电费用由承包人向相关单位或部门缴纳，若承包人未缴纳，经监理及发包人现场代表签字确认后，发包人有权直接从承包人工程进度款或工程竣工结算款中扣除后缴纳（不论承包人是否签字确认）。</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（3.1）协调处理施工场地周围地下管线和邻近建筑物、构筑物（含文物保护建筑）、古树名木的等保护工作，承包人负责，发包人派人员协助。</w:t>
      </w:r>
      <w:r>
        <w:rPr>
          <w:rFonts w:hint="eastAsia" w:ascii="宋体" w:hAnsi="宋体" w:cs="宋体"/>
          <w:iCs w:val="0"/>
          <w:color w:val="auto"/>
          <w:sz w:val="20"/>
          <w:szCs w:val="20"/>
          <w:highlight w:val="none"/>
          <w:u w:val="single"/>
        </w:rPr>
        <w:t>因承包人原因导致上述地下管线和邻近建筑物、构筑物、古树名木破坏、损毁或损失扩大的，由承包人承担相应全部责任并赔偿损失</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2.4.3 提供基础资料</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（1）工程地质和地下管线资料的提供：</w:t>
      </w:r>
      <w:r>
        <w:rPr>
          <w:rFonts w:hint="eastAsia" w:ascii="宋体" w:hAnsi="宋体" w:cs="宋体"/>
          <w:iCs w:val="0"/>
          <w:color w:val="auto"/>
          <w:sz w:val="20"/>
          <w:szCs w:val="20"/>
          <w:highlight w:val="none"/>
          <w:u w:val="single"/>
        </w:rPr>
        <w:t>发包人可向承包人提供施工场地范围内的工程地质、地下管线资料等数据参考，但需特别声明的是：发包人所提供的各类工程数据、资料是发包人在既有条件下收集、整理、购买到的技术成果，供承包人参考，发包人对承包人依据各技术资料作出的任何推论、理解和结论均不负责任。</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承包人认为发包人提供的资料尚不足以满足设计和施工要求，则承包人应自行勘察、收集地质管线等相关资料，相关费用包含在各项综合单价中，不单独计列，承包人在报价时综合考虑。</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（2）水准点与座标控制点交验要求：</w:t>
      </w:r>
      <w:r>
        <w:rPr>
          <w:rFonts w:hint="eastAsia" w:ascii="宋体" w:hAnsi="宋体" w:cs="宋体"/>
          <w:iCs w:val="0"/>
          <w:color w:val="auto"/>
          <w:sz w:val="20"/>
          <w:szCs w:val="20"/>
          <w:highlight w:val="none"/>
          <w:u w:val="single"/>
        </w:rPr>
        <w:t>于开工前3天内，由发包人或其委托的监理人联系勘察测绘部门向承包人提供水准点与座标控制点等书面资料，交付承包人后由承包人负责保管。</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（3）双方约定发包人应做的其他工作</w:t>
      </w:r>
      <w:r>
        <w:rPr>
          <w:rFonts w:hint="eastAsia" w:ascii="宋体" w:hAnsi="宋体" w:cs="宋体"/>
          <w:iCs w:val="0"/>
          <w:color w:val="auto"/>
          <w:sz w:val="20"/>
          <w:szCs w:val="20"/>
          <w:highlight w:val="none"/>
          <w:u w:val="single"/>
        </w:rPr>
        <w:t>：发生时另行协商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2.4.4 逾期提供的责任</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因发包人原因未能按合同约定及时向承包人提供施工现场、施工条件、基础资料等，如因此导致承包人工期延误的，经发包人批准后顺延延误的工期相应顺延，</w:t>
      </w:r>
      <w:r>
        <w:rPr>
          <w:rFonts w:hint="eastAsia" w:ascii="宋体" w:hAnsi="宋体" w:cs="宋体"/>
          <w:iCs w:val="0"/>
          <w:color w:val="auto"/>
          <w:sz w:val="20"/>
          <w:szCs w:val="20"/>
          <w:highlight w:val="none"/>
        </w:rPr>
        <w:t>由此增加的费用以及承包人合理的利润由承包人自行解决，发包人不予承担。</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2.5 资金来源证明及支付担保</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发包人提供资金来源证明的期限要求：</w:t>
      </w:r>
      <w:r>
        <w:rPr>
          <w:rFonts w:hint="eastAsia" w:ascii="宋体" w:hAnsi="宋体" w:cs="宋体"/>
          <w:iCs w:val="0"/>
          <w:color w:val="auto"/>
          <w:sz w:val="20"/>
          <w:szCs w:val="20"/>
          <w:highlight w:val="none"/>
          <w:u w:val="single"/>
        </w:rPr>
        <w:t>不提供</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发包人是否提供支付担保：</w:t>
      </w:r>
      <w:r>
        <w:rPr>
          <w:rFonts w:hint="eastAsia" w:ascii="宋体" w:hAnsi="宋体" w:cs="宋体"/>
          <w:iCs w:val="0"/>
          <w:color w:val="auto"/>
          <w:sz w:val="20"/>
          <w:szCs w:val="20"/>
          <w:highlight w:val="none"/>
          <w:u w:val="single"/>
        </w:rPr>
        <w:t>不提供</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发包人提供支付担保的形式：</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bookmarkStart w:id="199" w:name="_Toc351203635"/>
    </w:p>
    <w:p>
      <w:pPr>
        <w:outlineLvl w:val="1"/>
        <w:rPr>
          <w:rFonts w:ascii="宋体" w:hAnsi="宋体" w:cs="宋体"/>
          <w:b/>
          <w:iCs w:val="0"/>
          <w:color w:val="auto"/>
          <w:sz w:val="20"/>
          <w:szCs w:val="20"/>
          <w:highlight w:val="none"/>
        </w:rPr>
      </w:pPr>
      <w:bookmarkStart w:id="200" w:name="_Toc434959541"/>
      <w:bookmarkStart w:id="201" w:name="_Toc407198329"/>
      <w:bookmarkStart w:id="202" w:name="_Toc407203345"/>
      <w:bookmarkStart w:id="203" w:name="_Toc24904"/>
      <w:r>
        <w:rPr>
          <w:rFonts w:hint="eastAsia" w:ascii="宋体" w:hAnsi="宋体" w:cs="宋体"/>
          <w:b/>
          <w:iCs w:val="0"/>
          <w:color w:val="auto"/>
          <w:sz w:val="20"/>
          <w:szCs w:val="20"/>
          <w:highlight w:val="none"/>
        </w:rPr>
        <w:t>3</w:t>
      </w:r>
      <w:bookmarkStart w:id="204" w:name="_Toc296503158"/>
      <w:bookmarkStart w:id="205" w:name="_Toc292559363"/>
      <w:bookmarkStart w:id="206" w:name="_Toc296944497"/>
      <w:bookmarkStart w:id="207" w:name="_Toc296347157"/>
      <w:bookmarkStart w:id="208" w:name="_Toc292559868"/>
      <w:bookmarkStart w:id="209" w:name="_Toc296891198"/>
      <w:bookmarkStart w:id="210" w:name="_Toc296346659"/>
      <w:bookmarkStart w:id="211" w:name="_Toc297048344"/>
      <w:bookmarkStart w:id="212" w:name="_Toc297120458"/>
      <w:bookmarkStart w:id="213" w:name="_Toc296890986"/>
      <w:r>
        <w:rPr>
          <w:rFonts w:hint="eastAsia" w:ascii="宋体" w:hAnsi="宋体" w:cs="宋体"/>
          <w:b/>
          <w:iCs w:val="0"/>
          <w:color w:val="auto"/>
          <w:sz w:val="20"/>
          <w:szCs w:val="20"/>
          <w:highlight w:val="none"/>
        </w:rPr>
        <w:t>. 承包人</w:t>
      </w:r>
      <w:bookmarkEnd w:id="199"/>
      <w:bookmarkEnd w:id="200"/>
      <w:bookmarkEnd w:id="201"/>
      <w:bookmarkEnd w:id="202"/>
      <w:bookmarkEnd w:id="203"/>
    </w:p>
    <w:bookmarkEnd w:id="204"/>
    <w:bookmarkEnd w:id="205"/>
    <w:bookmarkEnd w:id="206"/>
    <w:bookmarkEnd w:id="207"/>
    <w:bookmarkEnd w:id="208"/>
    <w:bookmarkEnd w:id="209"/>
    <w:bookmarkEnd w:id="210"/>
    <w:bookmarkEnd w:id="211"/>
    <w:bookmarkEnd w:id="212"/>
    <w:bookmarkEnd w:id="213"/>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3.1 承包人的一般义务</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w:t>
      </w:r>
      <w:r>
        <w:rPr>
          <w:rFonts w:hint="eastAsia" w:ascii="宋体" w:hAnsi="宋体" w:cs="宋体"/>
          <w:iCs w:val="0"/>
          <w:color w:val="auto"/>
          <w:sz w:val="20"/>
          <w:szCs w:val="20"/>
          <w:highlight w:val="none"/>
          <w:u w:val="single"/>
        </w:rPr>
        <w:t>承包人提交的竣工资料的内容：符合工程所在地建设行政主管部门和城市建设档案管理机构有关施工资料的要求及发包人相关管理办法。包括但不限于</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（9.1）</w:t>
      </w:r>
      <w:r>
        <w:rPr>
          <w:rFonts w:hint="eastAsia" w:ascii="宋体" w:hAnsi="宋体" w:cs="宋体"/>
          <w:iCs w:val="0"/>
          <w:color w:val="auto"/>
          <w:sz w:val="20"/>
          <w:szCs w:val="20"/>
          <w:highlight w:val="none"/>
          <w:u w:val="single"/>
        </w:rPr>
        <w:t>已竣工工程移交清单（包括工程设备）</w:t>
      </w:r>
      <w:r>
        <w:rPr>
          <w:rFonts w:hint="eastAsia" w:ascii="宋体" w:hAnsi="宋体" w:cs="宋体"/>
          <w:iCs w:val="0"/>
          <w:color w:val="auto"/>
          <w:sz w:val="20"/>
          <w:szCs w:val="20"/>
          <w:highlight w:val="none"/>
        </w:rPr>
        <w:t>；</w:t>
      </w:r>
    </w:p>
    <w:p>
      <w:pPr>
        <w:adjustRightInd w:val="0"/>
        <w:snapToGrid w:val="0"/>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（9.2）</w:t>
      </w:r>
      <w:r>
        <w:rPr>
          <w:rFonts w:hint="eastAsia" w:ascii="宋体" w:hAnsi="宋体" w:cs="宋体"/>
          <w:iCs w:val="0"/>
          <w:color w:val="auto"/>
          <w:sz w:val="20"/>
          <w:szCs w:val="20"/>
          <w:highlight w:val="none"/>
          <w:u w:val="single"/>
        </w:rPr>
        <w:t>各类设计文件及竣工图</w:t>
      </w:r>
      <w:r>
        <w:rPr>
          <w:rFonts w:hint="eastAsia" w:ascii="宋体" w:hAnsi="宋体" w:cs="宋体"/>
          <w:iCs w:val="0"/>
          <w:color w:val="auto"/>
          <w:sz w:val="20"/>
          <w:szCs w:val="20"/>
          <w:highlight w:val="none"/>
        </w:rPr>
        <w:t>；</w:t>
      </w:r>
    </w:p>
    <w:p>
      <w:pPr>
        <w:adjustRightInd w:val="0"/>
        <w:snapToGrid w:val="0"/>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（9.3）</w:t>
      </w:r>
      <w:r>
        <w:rPr>
          <w:rFonts w:hint="eastAsia" w:ascii="宋体" w:hAnsi="宋体" w:cs="宋体"/>
          <w:iCs w:val="0"/>
          <w:color w:val="auto"/>
          <w:sz w:val="20"/>
          <w:szCs w:val="20"/>
          <w:highlight w:val="none"/>
          <w:u w:val="single"/>
        </w:rPr>
        <w:t>列入保修期责任范围内的缺陷工程清单及整改资料</w:t>
      </w:r>
      <w:r>
        <w:rPr>
          <w:rFonts w:hint="eastAsia" w:ascii="宋体" w:hAnsi="宋体" w:cs="宋体"/>
          <w:iCs w:val="0"/>
          <w:color w:val="auto"/>
          <w:sz w:val="20"/>
          <w:szCs w:val="20"/>
          <w:highlight w:val="none"/>
        </w:rPr>
        <w:t>；</w:t>
      </w:r>
    </w:p>
    <w:p>
      <w:pPr>
        <w:adjustRightInd w:val="0"/>
        <w:snapToGrid w:val="0"/>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（9.4）</w:t>
      </w:r>
      <w:r>
        <w:rPr>
          <w:rFonts w:hint="eastAsia" w:ascii="宋体" w:hAnsi="宋体" w:cs="宋体"/>
          <w:iCs w:val="0"/>
          <w:color w:val="auto"/>
          <w:sz w:val="20"/>
          <w:szCs w:val="20"/>
          <w:highlight w:val="none"/>
          <w:u w:val="single"/>
        </w:rPr>
        <w:t>重大质量问题（如有时）原始记录，相关单位处理意见及整改后复查记录，施工原始记录（含施工日志）继续施工的尾工工程项目清单，工序评定资料，影像资料，安全资料等</w:t>
      </w:r>
      <w:r>
        <w:rPr>
          <w:rFonts w:hint="eastAsia" w:ascii="宋体" w:hAnsi="宋体" w:cs="宋体"/>
          <w:iCs w:val="0"/>
          <w:color w:val="auto"/>
          <w:sz w:val="20"/>
          <w:szCs w:val="20"/>
          <w:highlight w:val="none"/>
        </w:rPr>
        <w:t>；</w:t>
      </w:r>
    </w:p>
    <w:p>
      <w:pPr>
        <w:adjustRightInd w:val="0"/>
        <w:snapToGrid w:val="0"/>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（9.5）</w:t>
      </w:r>
      <w:r>
        <w:rPr>
          <w:rFonts w:hint="eastAsia" w:ascii="宋体" w:hAnsi="宋体" w:cs="宋体"/>
          <w:iCs w:val="0"/>
          <w:color w:val="auto"/>
          <w:sz w:val="20"/>
          <w:szCs w:val="20"/>
          <w:highlight w:val="none"/>
          <w:u w:val="single"/>
        </w:rPr>
        <w:t>未完成的质量保修清单</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（9.6）</w:t>
      </w:r>
      <w:r>
        <w:rPr>
          <w:rFonts w:hint="eastAsia" w:ascii="宋体" w:hAnsi="宋体" w:cs="宋体"/>
          <w:iCs w:val="0"/>
          <w:color w:val="auto"/>
          <w:sz w:val="20"/>
          <w:szCs w:val="20"/>
          <w:highlight w:val="none"/>
          <w:u w:val="single"/>
        </w:rPr>
        <w:t>安全事故（如有时）原始资料处理方案及处理结果书面材料</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（9.7）</w:t>
      </w:r>
      <w:r>
        <w:rPr>
          <w:rFonts w:hint="eastAsia" w:ascii="宋体" w:hAnsi="宋体" w:cs="宋体"/>
          <w:iCs w:val="0"/>
          <w:color w:val="auto"/>
          <w:sz w:val="20"/>
          <w:szCs w:val="20"/>
          <w:highlight w:val="none"/>
          <w:u w:val="single"/>
        </w:rPr>
        <w:t>过程质检、抽检资料，隐蔽资料，施工原始记录（原材料、各项检测资料、工序资料、影像资料等</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（9.8）</w:t>
      </w:r>
      <w:r>
        <w:rPr>
          <w:rFonts w:hint="eastAsia" w:ascii="宋体" w:hAnsi="宋体" w:cs="宋体"/>
          <w:iCs w:val="0"/>
          <w:color w:val="auto"/>
          <w:sz w:val="20"/>
          <w:szCs w:val="20"/>
          <w:highlight w:val="none"/>
          <w:u w:val="single"/>
        </w:rPr>
        <w:t>结算审计资料</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（9.9）</w:t>
      </w:r>
      <w:r>
        <w:rPr>
          <w:rFonts w:hint="eastAsia" w:ascii="宋体" w:hAnsi="宋体" w:cs="宋体"/>
          <w:iCs w:val="0"/>
          <w:color w:val="auto"/>
          <w:sz w:val="20"/>
          <w:szCs w:val="20"/>
          <w:highlight w:val="none"/>
          <w:u w:val="single"/>
        </w:rPr>
        <w:t>竣工验收报告及监理通知单回复</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（9.10）</w:t>
      </w:r>
      <w:r>
        <w:rPr>
          <w:rFonts w:hint="eastAsia" w:ascii="宋体" w:hAnsi="宋体" w:cs="宋体"/>
          <w:iCs w:val="0"/>
          <w:color w:val="auto"/>
          <w:sz w:val="20"/>
          <w:szCs w:val="20"/>
          <w:highlight w:val="none"/>
          <w:u w:val="single"/>
        </w:rPr>
        <w:t>其它应补充的竣工资料</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（9.10.1）承包人需要提交的竣工资料套数：</w:t>
      </w:r>
      <w:r>
        <w:rPr>
          <w:rFonts w:hint="eastAsia" w:ascii="宋体" w:hAnsi="宋体" w:cs="宋体"/>
          <w:iCs w:val="0"/>
          <w:color w:val="auto"/>
          <w:sz w:val="20"/>
          <w:szCs w:val="20"/>
          <w:highlight w:val="none"/>
          <w:u w:val="single"/>
        </w:rPr>
        <w:t>伍套，必须保证贰套为原件</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（9.10.2）承包人提交的竣工资料的费用承担：</w:t>
      </w:r>
      <w:r>
        <w:rPr>
          <w:rFonts w:hint="eastAsia" w:ascii="宋体" w:hAnsi="宋体" w:cs="宋体"/>
          <w:iCs w:val="0"/>
          <w:color w:val="auto"/>
          <w:sz w:val="20"/>
          <w:szCs w:val="20"/>
          <w:highlight w:val="none"/>
          <w:u w:val="single"/>
        </w:rPr>
        <w:t>全部由承包人自行承担（含竣工图编制费用）；</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（9.10.3）承包人提交的竣工资料移交时间：</w:t>
      </w:r>
      <w:r>
        <w:rPr>
          <w:rFonts w:hint="eastAsia" w:ascii="宋体" w:hAnsi="宋体" w:cs="宋体"/>
          <w:iCs w:val="0"/>
          <w:color w:val="auto"/>
          <w:sz w:val="20"/>
          <w:szCs w:val="20"/>
          <w:highlight w:val="none"/>
          <w:u w:val="single"/>
        </w:rPr>
        <w:t>竣工验收后28日历天内</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（9.10.4）承包人提交的竣工资料形式要求：</w:t>
      </w:r>
      <w:r>
        <w:rPr>
          <w:rFonts w:hint="eastAsia" w:ascii="宋体" w:hAnsi="宋体" w:cs="宋体"/>
          <w:iCs w:val="0"/>
          <w:color w:val="auto"/>
          <w:sz w:val="20"/>
          <w:szCs w:val="20"/>
          <w:highlight w:val="none"/>
          <w:u w:val="single"/>
        </w:rPr>
        <w:t>符合存档单位要求，书面及电子文档（图纸及结算书须附电子文档）</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bCs/>
          <w:iCs w:val="0"/>
          <w:color w:val="auto"/>
          <w:kern w:val="0"/>
          <w:sz w:val="20"/>
          <w:szCs w:val="20"/>
          <w:highlight w:val="none"/>
        </w:rPr>
      </w:pPr>
      <w:r>
        <w:rPr>
          <w:rFonts w:hint="eastAsia" w:ascii="宋体" w:hAnsi="宋体" w:cs="宋体"/>
          <w:bCs/>
          <w:iCs w:val="0"/>
          <w:color w:val="auto"/>
          <w:kern w:val="0"/>
          <w:sz w:val="20"/>
          <w:szCs w:val="20"/>
          <w:highlight w:val="none"/>
        </w:rPr>
        <w:t>（10）承包人应履行的其他义务：</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bCs/>
          <w:iCs w:val="0"/>
          <w:color w:val="auto"/>
          <w:kern w:val="0"/>
          <w:sz w:val="20"/>
          <w:szCs w:val="20"/>
          <w:highlight w:val="none"/>
        </w:rPr>
        <w:t>（10.1）</w:t>
      </w:r>
      <w:r>
        <w:rPr>
          <w:rFonts w:hint="eastAsia" w:ascii="宋体" w:hAnsi="宋体" w:cs="宋体"/>
          <w:iCs w:val="0"/>
          <w:color w:val="auto"/>
          <w:sz w:val="20"/>
          <w:szCs w:val="20"/>
          <w:highlight w:val="none"/>
        </w:rPr>
        <w:t>依法纳税承包人应根据政府相关规定，缴纳增值税，发包人可在工程款计量支付时代扣代缴，应缴纳的税金包括在合同价款内。</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10.2）除专用合同条款约定由发包人提供的施工设备和临时设施外，承包人应负责提供为完成合同工作所需的劳务、材料、施工设备、工程设备和其他物品，并按合同约定负责临时设施的设计、建造、运行、维护、管理和拆除(含建渣清运）。由此发生的费用被认为已经包括在承包人的签约合同价(投标总报价)中。</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（10.3）向发包人提供的办公和生活房屋及设施的要求：</w:t>
      </w:r>
      <w:r>
        <w:rPr>
          <w:rFonts w:hint="eastAsia" w:ascii="宋体" w:hAnsi="宋体" w:cs="宋体"/>
          <w:iCs w:val="0"/>
          <w:color w:val="auto"/>
          <w:sz w:val="20"/>
          <w:szCs w:val="20"/>
          <w:highlight w:val="none"/>
          <w:u w:val="single"/>
        </w:rPr>
        <w:t>开工前10日负责提供发包人、监理、或跟踪审计不小于20平方米办公室各</w:t>
      </w:r>
      <w:r>
        <w:rPr>
          <w:rFonts w:hint="eastAsia" w:ascii="宋体" w:hAnsi="宋体" w:cs="宋体"/>
          <w:b/>
          <w:iCs w:val="0"/>
          <w:color w:val="auto"/>
          <w:sz w:val="20"/>
          <w:szCs w:val="20"/>
          <w:highlight w:val="none"/>
          <w:u w:val="single"/>
        </w:rPr>
        <w:t>一</w:t>
      </w:r>
      <w:r>
        <w:rPr>
          <w:rFonts w:hint="eastAsia" w:ascii="宋体" w:hAnsi="宋体" w:cs="宋体"/>
          <w:iCs w:val="0"/>
          <w:color w:val="auto"/>
          <w:sz w:val="20"/>
          <w:szCs w:val="20"/>
          <w:highlight w:val="none"/>
          <w:u w:val="single"/>
        </w:rPr>
        <w:t>间。</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10.4）需承包人办理的有关施工场地交通、环卫、夜间施工和噪声管理等手续：_按国家、省市、锦江区法律、法规、规章和政策，办理相关手续并承担费用。如果承包人因自身原因违反上述有关规定，承包人将承担由此带来的一切损失和相关处罚。</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10.5）已完工程成品保护的特殊要求及费用承担：已施工工程未交付发包人之前，承包人负责已完工程的保护工作，其费用已包含在合同价中。已完工程的成品受到损害，承包人向发包人承担责任。承包人承担责任后，有权责成责任方修复和赔偿，费用由责任方承担。</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10.6）施工场地周围地下管线和邻近建筑物、构筑物（含文物保护建筑）、古树名木的保护要求及费用承担：发包人负责通过设计单位向承包人提供已获取的施工场地周围地下管线和邻近建筑物、构筑物（含文物保护建筑）与古树名木的资料，并向上述物体的所有者或管理部门通知、介绍承包人，以便于承包人获取更详细的资料，通过监理单位审查承包人对上述物体的保护措施，并在必要时向上述物体的所有者或管理部门通报，发包人承担相关费用。施工场地周围地下管线资料不详尽的部分由承包人自行完善，其完善资料费用包含在申请报价中，迁、改等费用由发包人承担。如因措施缺陷对相关保护对象造成损坏，应及时向发包人及政府有关部门报告，相关损失赔偿费用由承包人承担。</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（10.7）承包人应按</w:t>
      </w:r>
      <w:r>
        <w:rPr>
          <w:rFonts w:hint="eastAsia" w:ascii="宋体" w:hAnsi="宋体" w:cs="宋体"/>
          <w:iCs w:val="0"/>
          <w:color w:val="auto"/>
          <w:sz w:val="20"/>
          <w:szCs w:val="20"/>
          <w:highlight w:val="none"/>
          <w:lang w:eastAsia="zh-CN"/>
        </w:rPr>
        <w:t>资格预审</w:t>
      </w:r>
      <w:r>
        <w:rPr>
          <w:rFonts w:hint="eastAsia" w:ascii="宋体" w:hAnsi="宋体" w:cs="宋体"/>
          <w:iCs w:val="0"/>
          <w:color w:val="auto"/>
          <w:sz w:val="20"/>
          <w:szCs w:val="20"/>
          <w:highlight w:val="none"/>
        </w:rPr>
        <w:t>申请文件指定的人选委派项目经理和技术负责人。项目经理和技术负责人必须常驻现场，若发包人抽查到承包人无正当理由不在现场，发包人有权要求承包人支付10000元/次的违约金，连续三次或累计5次项目经理或技术负责人无正当理由不在现场，发包人将视为承包人严重违约，发包人将终止本合同，承包人递交的履约保证金不予退还，承包人还应支付违约金，并赔偿发包人的全部损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（10.8）按</w:t>
      </w:r>
      <w:r>
        <w:rPr>
          <w:rFonts w:hint="eastAsia" w:ascii="宋体" w:hAnsi="宋体" w:cs="宋体"/>
          <w:iCs w:val="0"/>
          <w:color w:val="auto"/>
          <w:sz w:val="20"/>
          <w:szCs w:val="20"/>
          <w:highlight w:val="none"/>
          <w:lang w:eastAsia="zh-CN"/>
        </w:rPr>
        <w:t>资格预审</w:t>
      </w:r>
      <w:r>
        <w:rPr>
          <w:rFonts w:hint="eastAsia" w:ascii="宋体" w:hAnsi="宋体" w:cs="宋体"/>
          <w:iCs w:val="0"/>
          <w:color w:val="auto"/>
          <w:sz w:val="20"/>
          <w:szCs w:val="20"/>
          <w:highlight w:val="none"/>
        </w:rPr>
        <w:t>文件要求实行压证施工制度，本合同签定后三日内，承包人须向发包人提供项目经理、工程技术管理人员及安全人员名单。按开工通知要求及时进场施工，保证施工使用的临时设施配置。并按区建设局、交通局等行政职能部门要求完善压证手续。发包人和监理工程师有权清退不具备此类合格证件的人员离开施工现场。承包人应按</w:t>
      </w:r>
      <w:r>
        <w:rPr>
          <w:rFonts w:hint="eastAsia" w:ascii="宋体" w:hAnsi="宋体" w:cs="宋体"/>
          <w:iCs w:val="0"/>
          <w:color w:val="auto"/>
          <w:sz w:val="20"/>
          <w:szCs w:val="20"/>
          <w:highlight w:val="none"/>
          <w:lang w:eastAsia="zh-CN"/>
        </w:rPr>
        <w:t>资格预审</w:t>
      </w:r>
      <w:r>
        <w:rPr>
          <w:rFonts w:hint="eastAsia" w:ascii="宋体" w:hAnsi="宋体" w:cs="宋体"/>
          <w:iCs w:val="0"/>
          <w:color w:val="auto"/>
          <w:sz w:val="20"/>
          <w:szCs w:val="20"/>
          <w:highlight w:val="none"/>
        </w:rPr>
        <w:t>申请文件所报名单委派派驻现场的各类专业技术人员和质检人员。未经监理工程师的批准，这些人员不应无故不到位或被替换；若确实无法到位或需替换，需经监理工程师批准、发包人审核同意后并报建设行政主管部门备案，用不低于原资质和经历的人员替换。</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（10.9）民工工资保证金：</w:t>
      </w:r>
      <w:r>
        <w:rPr>
          <w:rFonts w:hint="eastAsia" w:ascii="宋体" w:hAnsi="宋体" w:cs="宋体"/>
          <w:iCs w:val="0"/>
          <w:color w:val="auto"/>
          <w:sz w:val="20"/>
          <w:szCs w:val="20"/>
          <w:highlight w:val="none"/>
          <w:u w:val="single"/>
        </w:rPr>
        <w:t>按《成都市城乡建设委员会关于落实主体责任做好保障建设领域农民工工资支付工作的通知》（成建委〔2015〕398号）文件及锦江区有关民工工资保证金管理规定办理，以现金担保或银行保函形式缴纳。</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10.10）任何一方或其雇员或代理人获得的所有资料和文件（不论是财务、技术或其它方面），如果尚未公布或公开即应保密，未经另一方事先书面同意，不得向第三方透露或公开，但是法律要求的除外。这一限制不应影响一方经另一方同意后发布包括与项目进展有关的非敏感信息的新闻出版物。本承诺在本合同终止后仍然有效。</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（10.11）应提供计划、报表的名称及完成时间：</w:t>
      </w:r>
      <w:r>
        <w:rPr>
          <w:rFonts w:hint="eastAsia" w:ascii="宋体" w:hAnsi="宋体" w:cs="宋体"/>
          <w:iCs w:val="0"/>
          <w:color w:val="auto"/>
          <w:sz w:val="20"/>
          <w:szCs w:val="20"/>
          <w:highlight w:val="none"/>
          <w:u w:val="single"/>
        </w:rPr>
        <w:t>发生时承包人按发包人要求提供。</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（10.12）施工场地清洁卫生的要求：</w:t>
      </w:r>
      <w:r>
        <w:rPr>
          <w:rFonts w:hint="eastAsia" w:ascii="宋体" w:hAnsi="宋体" w:cs="宋体"/>
          <w:iCs w:val="0"/>
          <w:color w:val="auto"/>
          <w:sz w:val="20"/>
          <w:szCs w:val="20"/>
          <w:highlight w:val="none"/>
          <w:u w:val="single"/>
        </w:rPr>
        <w:t>按成都市锦江区政府规定，做好施工场地及周边清洁卫生，文明施工。在签发交工证书时，承包人应从施工现场清除并运出承包人装备、剩余材料、垃圾和各种临时设施，并保持整个现场及工程整洁，达到监理工程师认为合格的使用状态，其费用已包括在投标总价中，但承包人在现场指定范围内保留为缺陷责任期内履行本身义务所需的材料、装备及临时设施除外。</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（10.13）承包人自行采购的材料和工程设备须满足</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文件约定的品牌范围及规格要求，发包人有权要求承包人在</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文件约定的品牌范围内对其投标时所选用的材料、设备的品牌进行调换，价格不予调整，承包人应无条件响应。发包人将委托监理人按</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文件列明的条件对承包人自行采购材料进行现场验收。</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承包人自行采购的材料和工程设备不满足</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约定的品牌范围及规格要求且未在发包人指定的时间内完成更换工作，则发包人有权取消承包人对此项材料的采购承包权，由发包人代为购买。相关材料价款在工程款中由发包人按施工工程同期成都市造价信息公布的该档次的市场价格直接扣取；如信息价没有的，由甲乙双方共同进行市场考察协商确认的价格进行扣取，此项费用在当期进度款中扣除，由此引起的工期延误责任及承包人已签采购合同所发生的违约责任及相关损失由承包人承担。若确需更换品牌、规格的，须经发包人专题书面核准。</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10.14）在合同许可的范围内，实施和完成本工程及缺陷修复工程中的一切施工作业，应不影响邻近建筑物、构造物的安全与正常使用，也不干扰群众的通行方便（难以避免的一定程度的干扰除外）。如果发生上述情况，并由此导致索赔、赔偿、诉讼费用、律师费及其他开支时，应由承包人承担一切责任及费用。</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10.15）从开工之日起，承包人应全面负责照管与维护本工程和将用于或安装在本工程的材料、设备，直到本合同工程交工证书签发之日为止。此后的照管与维护责任即交给发包人，而且：上述规定也适用于有单独完工期并签发交工证书的单项工程。承包人应对在缺陷责任期内承担的未完工程和将用于或安装在该工程中的材料、设备的照管与维护负责，直到该工程完工为止。在承包人负责照管与维护期间，如果本合同工程或其组成部分等损失和损害，不论出于什么原因（不可抗力除外），承包人均应自费弥补，达到合同要求。除另有规定外，承包人应承担并支付为获得本工程所需的材料等所发生的料场使用费及其他开支或补偿费。</w:t>
      </w:r>
    </w:p>
    <w:p>
      <w:pPr>
        <w:spacing w:line="420" w:lineRule="exact"/>
        <w:ind w:firstLine="400" w:firstLineChars="200"/>
        <w:rPr>
          <w:rFonts w:ascii="宋体" w:hAnsi="宋体" w:cs="宋体"/>
          <w:iCs w:val="0"/>
          <w:color w:val="auto"/>
          <w:sz w:val="20"/>
          <w:szCs w:val="20"/>
          <w:highlight w:val="none"/>
        </w:rPr>
      </w:pPr>
      <w:r>
        <w:rPr>
          <w:rFonts w:hint="eastAsia" w:ascii="宋体" w:hAnsi="宋体" w:cs="宋体"/>
          <w:iCs w:val="0"/>
          <w:color w:val="auto"/>
          <w:sz w:val="20"/>
          <w:szCs w:val="20"/>
          <w:highlight w:val="none"/>
        </w:rPr>
        <w:t>（10.16）须于竣工验收合格后在发包人要求的时间内向管理单位完成移交工作。</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3.2 项目经理</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3.2.1 项目经理：</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姓名：；</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身份证号：；</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建造师执业资格等级：；</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建造师注册证书号：；</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建造师执业印章号：；</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安全生产考核合格证书号：；</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联系电话：； </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电子信箱：；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通信地址：；</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承包人对项目经理的授权范围如下：</w:t>
      </w:r>
      <w:r>
        <w:rPr>
          <w:rFonts w:hint="eastAsia" w:ascii="宋体" w:hAnsi="宋体" w:cs="宋体"/>
          <w:iCs w:val="0"/>
          <w:color w:val="auto"/>
          <w:sz w:val="20"/>
          <w:szCs w:val="20"/>
          <w:highlight w:val="none"/>
          <w:u w:val="single"/>
        </w:rPr>
        <w:t>代表承包人负责履行合同，对本合同工程进行全面施工管理。承包人为履行合同发出的一切函件均应盖有承包人单位章并由承包人项目经理签字。未经发包人同意，承包人项目经理不得授权其他人员履行其按合同约定应当履行的职责</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关于项目经理每月在施工现场的时间要求：</w:t>
      </w:r>
      <w:r>
        <w:rPr>
          <w:rFonts w:hint="eastAsia" w:ascii="宋体" w:hAnsi="宋体" w:cs="宋体"/>
          <w:iCs w:val="0"/>
          <w:color w:val="auto"/>
          <w:sz w:val="20"/>
          <w:szCs w:val="20"/>
          <w:highlight w:val="none"/>
          <w:u w:val="single"/>
        </w:rPr>
        <w:t>项目经理应常驻施工现场，且每月在施工现场时间不得少于30天（含，下同）</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承包人未提交劳动合同，以及没有为项目经理缴纳社会保险证明的违约责任：</w:t>
      </w:r>
      <w:r>
        <w:rPr>
          <w:rFonts w:hint="eastAsia" w:ascii="宋体" w:hAnsi="宋体" w:cs="宋体"/>
          <w:iCs w:val="0"/>
          <w:color w:val="auto"/>
          <w:sz w:val="20"/>
          <w:szCs w:val="20"/>
          <w:highlight w:val="none"/>
          <w:u w:val="single"/>
        </w:rPr>
        <w:t>承包人不按要求提交上述文件或者经查实承包人在</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申请文件中提供虚假的上述文件骗取中标的，发包人有权与承包人解除或终止合同，由承包人承担全部责任（包括按规定承担行政责任），并由承包人按照专用合同条款第16.2.3项的约定承担违约责任</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项目经理未经批准，擅自离开施工现场的违约责任：</w:t>
      </w:r>
      <w:r>
        <w:rPr>
          <w:rFonts w:hint="eastAsia" w:ascii="宋体" w:hAnsi="宋体" w:cs="宋体"/>
          <w:iCs w:val="0"/>
          <w:color w:val="auto"/>
          <w:sz w:val="20"/>
          <w:szCs w:val="20"/>
          <w:highlight w:val="none"/>
          <w:u w:val="single"/>
        </w:rPr>
        <w:t>连续三次或累计5次不在现场，发包人将视为承包人严重违约，处以不少于1万元违约金，并要求限期改正，且发包人有权终止本项目施工总承包合同，承包人递交的履约保证金不予退还，并承担违约责任和赔偿发包人的全部损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3.2.3 承包人擅自更换项目经理的违约责任：</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未经发包人和监理工程师批准,承包人项目经理必须为</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申请文件上所填报人员，擅自更换项目经理,将视为承包人严重违约，发包人有权终止本项目施工合同，且发包人有权按转包论处上报主管部门，承包人递交的履约保证金不予退还，并承担违约责任和赔偿发包人的全部损失。特殊情况如需更换，承包人必须以书面形式提出申请，更换人员不得低于原技术职称等级，并征得发包人同意，按照发包人相关管理规定，接受处罚（处罚金1万元/次）后方可变更，并报行业行政主管部门备案，否则不予退还履约保证金。违约金可直接在履约保证金或工程进度款支付中扣除</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3.2.4 承包人无正当理由拒绝更换项目经理的违约责任：</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经发包人和监理工程师确认承包人项目经理和技术负责人必须更换时，承包人无正当理由拒绝更换，将视为承包人严重违约，发包人有权终止本项目施工总承包合同，承包人递交的履约保证金不予退还，并承担违约责任和赔偿发包人的全部损失。</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3.3 承包人人员</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3.3.1 承包人提交项目管理机构及施工现场管理人员安排报告的期限：</w:t>
      </w:r>
      <w:r>
        <w:rPr>
          <w:rFonts w:hint="eastAsia" w:ascii="宋体" w:hAnsi="宋体" w:cs="宋体"/>
          <w:iCs w:val="0"/>
          <w:color w:val="auto"/>
          <w:sz w:val="20"/>
          <w:szCs w:val="20"/>
          <w:highlight w:val="none"/>
          <w:u w:val="single"/>
        </w:rPr>
        <w:t>按</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申请文件拟派项目管理机构及施工现场管理人员安排，在开工前7日内提供</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3.3.3 承包人无正当理由拒绝撤换主要施工管理人员的违约责任：</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未经发包人书面同意将视为承包人严重违约，发包人有权终止本项目施工总承包合同，承包人递交的履约保证金不予退还，并承担违约责任和赔偿发包人的全部损失</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3.3.4 承包人主要施工管理人员离开施工现场的批准要求：</w:t>
      </w:r>
      <w:r>
        <w:rPr>
          <w:rFonts w:hint="eastAsia" w:ascii="宋体" w:hAnsi="宋体" w:cs="宋体"/>
          <w:iCs w:val="0"/>
          <w:color w:val="auto"/>
          <w:sz w:val="20"/>
          <w:szCs w:val="20"/>
          <w:highlight w:val="none"/>
          <w:u w:val="single"/>
        </w:rPr>
        <w:t>须经发包人书面同意。</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bookmarkStart w:id="214" w:name="_Toc297120459"/>
      <w:bookmarkStart w:id="215" w:name="_Toc297123492"/>
      <w:bookmarkStart w:id="216" w:name="_Toc296891199"/>
      <w:bookmarkStart w:id="217" w:name="_Toc292559869"/>
      <w:bookmarkStart w:id="218" w:name="_Toc296503159"/>
      <w:bookmarkStart w:id="219" w:name="_Toc300934945"/>
      <w:bookmarkStart w:id="220" w:name="_Toc296944498"/>
      <w:bookmarkStart w:id="221" w:name="_Toc312677988"/>
      <w:bookmarkStart w:id="222" w:name="_Toc296346660"/>
      <w:bookmarkStart w:id="223" w:name="_Toc296347158"/>
      <w:bookmarkStart w:id="224" w:name="_Toc297216151"/>
      <w:bookmarkStart w:id="225" w:name="_Toc296890987"/>
      <w:bookmarkStart w:id="226" w:name="_Toc297048345"/>
      <w:bookmarkStart w:id="227" w:name="_Toc292559364"/>
      <w:bookmarkStart w:id="228" w:name="_Toc303539102"/>
      <w:bookmarkStart w:id="229" w:name="_Toc304295523"/>
      <w:r>
        <w:rPr>
          <w:rFonts w:hint="eastAsia" w:ascii="宋体" w:hAnsi="宋体" w:cs="宋体"/>
          <w:iCs w:val="0"/>
          <w:color w:val="auto"/>
          <w:sz w:val="20"/>
          <w:szCs w:val="20"/>
          <w:highlight w:val="none"/>
        </w:rPr>
        <w:t>.5 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bookmarkStart w:id="230" w:name="_Toc297216152"/>
      <w:bookmarkStart w:id="231" w:name="_Toc296890988"/>
      <w:bookmarkStart w:id="232" w:name="_Toc297123493"/>
      <w:bookmarkStart w:id="233" w:name="_Toc297120460"/>
      <w:bookmarkStart w:id="234" w:name="_Toc296944499"/>
      <w:bookmarkStart w:id="235" w:name="_Toc296891200"/>
      <w:bookmarkStart w:id="236" w:name="_Toc296503160"/>
      <w:bookmarkStart w:id="237" w:name="_Toc300934946"/>
      <w:bookmarkStart w:id="238" w:name="_Toc296347159"/>
      <w:bookmarkStart w:id="239" w:name="_Toc303539103"/>
      <w:bookmarkStart w:id="240" w:name="_Toc296346661"/>
      <w:bookmarkStart w:id="241" w:name="_Toc292559365"/>
      <w:bookmarkStart w:id="242" w:name="_Toc297048346"/>
      <w:bookmarkStart w:id="243" w:name="_Toc304295524"/>
      <w:bookmarkStart w:id="244" w:name="_Toc292559870"/>
      <w:bookmarkStart w:id="245" w:name="_Toc318581158"/>
      <w:bookmarkStart w:id="246" w:name="_Toc312677989"/>
      <w:r>
        <w:rPr>
          <w:rFonts w:hint="eastAsia" w:ascii="宋体" w:hAnsi="宋体" w:cs="宋体"/>
          <w:iCs w:val="0"/>
          <w:color w:val="auto"/>
          <w:sz w:val="20"/>
          <w:szCs w:val="20"/>
          <w:highlight w:val="none"/>
        </w:rPr>
        <w:t>.5.1 分包的一般约定</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禁止分包的工程包括：</w:t>
      </w:r>
      <w:r>
        <w:rPr>
          <w:rFonts w:hint="eastAsia" w:ascii="宋体" w:hAnsi="宋体" w:cs="宋体"/>
          <w:iCs w:val="0"/>
          <w:color w:val="auto"/>
          <w:sz w:val="20"/>
          <w:szCs w:val="20"/>
          <w:highlight w:val="none"/>
          <w:u w:val="single"/>
        </w:rPr>
        <w:t>主体结构、关键性工作</w:t>
      </w:r>
      <w:r>
        <w:rPr>
          <w:rFonts w:hint="eastAsia" w:ascii="宋体" w:hAnsi="宋体" w:cs="宋体"/>
          <w:iCs w:val="0"/>
          <w:color w:val="auto"/>
          <w:sz w:val="20"/>
          <w:szCs w:val="20"/>
          <w:highlight w:val="none"/>
        </w:rPr>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Start w:id="247" w:name="_Toc297120461"/>
      <w:bookmarkStart w:id="248" w:name="_Toc296346662"/>
      <w:bookmarkStart w:id="249" w:name="_Toc304295525"/>
      <w:bookmarkStart w:id="250" w:name="_Toc296890989"/>
      <w:bookmarkStart w:id="251" w:name="_Toc296503161"/>
      <w:bookmarkStart w:id="252" w:name="_Toc297048347"/>
      <w:bookmarkStart w:id="253" w:name="_Toc297123494"/>
      <w:bookmarkStart w:id="254" w:name="_Toc296891201"/>
      <w:bookmarkStart w:id="255" w:name="_Toc300934947"/>
      <w:bookmarkStart w:id="256" w:name="_Toc296347160"/>
      <w:bookmarkStart w:id="257" w:name="_Toc296944500"/>
      <w:bookmarkStart w:id="258" w:name="_Toc297216153"/>
      <w:bookmarkStart w:id="259" w:name="_Toc30353910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bookmarkStart w:id="260" w:name="_Toc312677990"/>
      <w:bookmarkStart w:id="261" w:name="_Toc318581159"/>
      <w:r>
        <w:rPr>
          <w:rFonts w:hint="eastAsia" w:ascii="宋体" w:hAnsi="宋体" w:cs="宋体"/>
          <w:iCs w:val="0"/>
          <w:color w:val="auto"/>
          <w:sz w:val="20"/>
          <w:szCs w:val="20"/>
          <w:highlight w:val="none"/>
        </w:rPr>
        <w:t>.5.2分包的确定</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允许分包的专业工程包括：</w:t>
      </w:r>
      <w:r>
        <w:rPr>
          <w:rFonts w:hint="eastAsia" w:ascii="宋体" w:hAnsi="宋体" w:cs="宋体"/>
          <w:iCs w:val="0"/>
          <w:color w:val="auto"/>
          <w:sz w:val="20"/>
          <w:szCs w:val="20"/>
          <w:highlight w:val="none"/>
          <w:u w:val="single"/>
        </w:rPr>
        <w:t>发包人同意承包人分包的非主体、非关键性工作见投标函附录。除通用合同条款第3.5款的约定外，分包还应遵循以下约定</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除投标函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(2)</w:t>
      </w:r>
      <w:r>
        <w:rPr>
          <w:rFonts w:hint="eastAsia" w:ascii="宋体" w:hAnsi="宋体" w:cs="宋体"/>
          <w:iCs w:val="0"/>
          <w:color w:val="auto"/>
          <w:sz w:val="20"/>
          <w:szCs w:val="20"/>
          <w:highlight w:val="none"/>
          <w:u w:val="single"/>
        </w:rPr>
        <w:t>发包人在工程量清单中给定暂估价的专业工程，包括从暂列金额开支的专业工程，达到依法应当</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的规模标准的，由发包人和承包人以</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方式确定专业分包人。除项目审批部门有特别核准外，暂估价的专业工程的</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应当采用与施工总承包同样的</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方式</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r>
        <w:rPr>
          <w:rFonts w:hint="eastAsia" w:ascii="宋体" w:hAnsi="宋体" w:cs="宋体"/>
          <w:iCs w:val="0"/>
          <w:color w:val="auto"/>
          <w:sz w:val="20"/>
          <w:szCs w:val="20"/>
          <w:highlight w:val="none"/>
          <w:u w:val="single"/>
        </w:rPr>
        <w:t>其他关于分包的约定：在相关分包合同签订并报送有关建设行政主管部门备案后7天内，承包人应当将一份副本提交给监理人，承包人应保证分包工作不得再次分包；未经发包人和监理人审批同意的分包工程和分包人，发包人有权拒绝验收分包工程和支付相应款项，由此引起的发包人费用增加和(或)延误的工期由承包人承担</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3.5.4 分包合同价款</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关于分包合同价款支付的约定：</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r>
        <w:rPr>
          <w:rFonts w:hint="eastAsia" w:ascii="宋体" w:hAnsi="宋体" w:cs="宋体"/>
          <w:iCs w:val="0"/>
          <w:color w:val="auto"/>
          <w:sz w:val="20"/>
          <w:szCs w:val="20"/>
          <w:highlight w:val="none"/>
        </w:rPr>
        <w:t>。（法律另有规定除外）</w:t>
      </w:r>
    </w:p>
    <w:bookmarkEnd w:id="260"/>
    <w:bookmarkEnd w:id="261"/>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3.6 工程照管与成品、半成品保护</w:t>
      </w:r>
    </w:p>
    <w:p>
      <w:pPr>
        <w:spacing w:line="360" w:lineRule="exact"/>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承包人负责照管工程及工程相关的材料、工程设备的起始时间：</w:t>
      </w:r>
      <w:r>
        <w:rPr>
          <w:rFonts w:hint="eastAsia" w:ascii="宋体" w:hAnsi="宋体" w:cs="宋体"/>
          <w:iCs w:val="0"/>
          <w:color w:val="auto"/>
          <w:kern w:val="0"/>
          <w:sz w:val="20"/>
          <w:szCs w:val="20"/>
          <w:highlight w:val="none"/>
          <w:u w:val="single"/>
        </w:rPr>
        <w:t>材料及设备进场至工程竣工验收、移交，移交于发包人为止</w:t>
      </w:r>
      <w:r>
        <w:rPr>
          <w:rFonts w:hint="eastAsia" w:ascii="宋体" w:hAnsi="宋体" w:cs="宋体"/>
          <w:iCs w:val="0"/>
          <w:color w:val="auto"/>
          <w:kern w:val="0"/>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3.7 履约担保</w:t>
      </w:r>
    </w:p>
    <w:p>
      <w:pPr>
        <w:spacing w:line="276" w:lineRule="auto"/>
        <w:ind w:firstLine="402" w:firstLineChars="200"/>
        <w:rPr>
          <w:rFonts w:ascii="宋体" w:hAnsi="宋体" w:cs="宋体"/>
          <w:b/>
          <w:bCs/>
          <w:iCs w:val="0"/>
          <w:color w:val="auto"/>
          <w:sz w:val="20"/>
          <w:szCs w:val="20"/>
          <w:highlight w:val="none"/>
          <w:u w:val="single"/>
        </w:rPr>
      </w:pPr>
      <w:r>
        <w:rPr>
          <w:rFonts w:hint="eastAsia" w:ascii="宋体" w:hAnsi="宋体" w:cs="宋体"/>
          <w:b/>
          <w:bCs/>
          <w:iCs w:val="0"/>
          <w:color w:val="auto"/>
          <w:sz w:val="20"/>
          <w:szCs w:val="20"/>
          <w:highlight w:val="none"/>
        </w:rPr>
        <w:t>（1）履约保证金=中标价（扣除</w:t>
      </w:r>
      <w:r>
        <w:rPr>
          <w:rFonts w:hint="eastAsia" w:ascii="宋体" w:hAnsi="宋体" w:cs="宋体"/>
          <w:b/>
          <w:bCs/>
          <w:iCs w:val="0"/>
          <w:color w:val="auto"/>
          <w:sz w:val="20"/>
          <w:szCs w:val="20"/>
          <w:highlight w:val="none"/>
          <w:lang w:eastAsia="zh-CN"/>
        </w:rPr>
        <w:t>采购</w:t>
      </w:r>
      <w:r>
        <w:rPr>
          <w:rFonts w:hint="eastAsia" w:ascii="宋体" w:hAnsi="宋体" w:cs="宋体"/>
          <w:b/>
          <w:bCs/>
          <w:iCs w:val="0"/>
          <w:color w:val="auto"/>
          <w:sz w:val="20"/>
          <w:szCs w:val="20"/>
          <w:highlight w:val="none"/>
        </w:rPr>
        <w:t>人暂定部分）的</w:t>
      </w:r>
      <w:r>
        <w:rPr>
          <w:rFonts w:hint="eastAsia" w:ascii="宋体" w:hAnsi="宋体" w:cs="宋体"/>
          <w:b/>
          <w:bCs/>
          <w:iCs w:val="0"/>
          <w:color w:val="auto"/>
          <w:sz w:val="20"/>
          <w:szCs w:val="20"/>
          <w:highlight w:val="none"/>
          <w:u w:val="single"/>
        </w:rPr>
        <w:t xml:space="preserve"> 10 </w:t>
      </w:r>
      <w:r>
        <w:rPr>
          <w:rFonts w:hint="eastAsia" w:ascii="宋体" w:hAnsi="宋体" w:cs="宋体"/>
          <w:b/>
          <w:bCs/>
          <w:iCs w:val="0"/>
          <w:color w:val="auto"/>
          <w:sz w:val="20"/>
          <w:szCs w:val="20"/>
          <w:highlight w:val="none"/>
        </w:rPr>
        <w:t>%，在领取中标通知书后20个工作日内(以到账时间计算)递交履约保证金。</w:t>
      </w:r>
    </w:p>
    <w:p>
      <w:pPr>
        <w:rPr>
          <w:rFonts w:ascii="宋体" w:hAnsi="宋体" w:cs="宋体"/>
          <w:b/>
          <w:bCs/>
          <w:iCs w:val="0"/>
          <w:color w:val="auto"/>
          <w:sz w:val="20"/>
          <w:szCs w:val="20"/>
          <w:highlight w:val="none"/>
          <w:u w:val="single"/>
        </w:rPr>
      </w:pPr>
      <w:r>
        <w:rPr>
          <w:rFonts w:hint="eastAsia" w:ascii="宋体" w:hAnsi="宋体" w:cs="宋体"/>
          <w:b/>
          <w:bCs/>
          <w:iCs w:val="0"/>
          <w:color w:val="auto"/>
          <w:sz w:val="20"/>
          <w:szCs w:val="20"/>
          <w:highlight w:val="none"/>
        </w:rPr>
        <w:t xml:space="preserve">   （2）</w:t>
      </w:r>
      <w:r>
        <w:rPr>
          <w:rFonts w:hint="eastAsia" w:ascii="宋体" w:hAnsi="宋体" w:cs="宋体"/>
          <w:b/>
          <w:bCs/>
          <w:iCs w:val="0"/>
          <w:color w:val="auto"/>
          <w:sz w:val="20"/>
          <w:szCs w:val="20"/>
          <w:highlight w:val="none"/>
          <w:u w:val="single"/>
        </w:rPr>
        <w:t>履约担保形式：可采用银行保函或现金担保形式，必须提供经发包人认可的无条件、不可撤销的银行保函，若未按</w:t>
      </w:r>
      <w:r>
        <w:rPr>
          <w:rFonts w:hint="eastAsia" w:ascii="宋体" w:hAnsi="宋体" w:cs="宋体"/>
          <w:b/>
          <w:bCs/>
          <w:iCs w:val="0"/>
          <w:color w:val="auto"/>
          <w:sz w:val="20"/>
          <w:szCs w:val="20"/>
          <w:highlight w:val="none"/>
          <w:u w:val="single"/>
          <w:lang w:eastAsia="zh-CN"/>
        </w:rPr>
        <w:t>采购</w:t>
      </w:r>
      <w:r>
        <w:rPr>
          <w:rFonts w:hint="eastAsia" w:ascii="宋体" w:hAnsi="宋体" w:cs="宋体"/>
          <w:b/>
          <w:bCs/>
          <w:iCs w:val="0"/>
          <w:color w:val="auto"/>
          <w:sz w:val="20"/>
          <w:szCs w:val="20"/>
          <w:highlight w:val="none"/>
          <w:u w:val="single"/>
        </w:rPr>
        <w:t>文件规定的时间足额缴纳的，</w:t>
      </w:r>
      <w:r>
        <w:rPr>
          <w:rFonts w:hint="eastAsia" w:ascii="宋体" w:hAnsi="宋体" w:cs="宋体"/>
          <w:b/>
          <w:bCs/>
          <w:iCs w:val="0"/>
          <w:color w:val="auto"/>
          <w:sz w:val="20"/>
          <w:szCs w:val="20"/>
          <w:highlight w:val="none"/>
          <w:u w:val="single"/>
          <w:lang w:eastAsia="zh-CN"/>
        </w:rPr>
        <w:t>采购</w:t>
      </w:r>
      <w:r>
        <w:rPr>
          <w:rFonts w:hint="eastAsia" w:ascii="宋体" w:hAnsi="宋体" w:cs="宋体"/>
          <w:b/>
          <w:bCs/>
          <w:iCs w:val="0"/>
          <w:color w:val="auto"/>
          <w:sz w:val="20"/>
          <w:szCs w:val="20"/>
          <w:highlight w:val="none"/>
          <w:u w:val="single"/>
        </w:rPr>
        <w:t>人可取消其中标资格，没收投标保证金并按照中选候选人公示排名重新确定中选人。</w:t>
      </w:r>
    </w:p>
    <w:p>
      <w:pPr>
        <w:spacing w:line="276" w:lineRule="auto"/>
        <w:rPr>
          <w:rFonts w:ascii="宋体" w:hAnsi="宋体" w:cs="宋体"/>
          <w:iCs w:val="0"/>
          <w:color w:val="auto"/>
          <w:sz w:val="20"/>
          <w:szCs w:val="20"/>
          <w:highlight w:val="none"/>
        </w:rPr>
      </w:pPr>
      <w:r>
        <w:rPr>
          <w:rFonts w:hint="eastAsia" w:ascii="宋体" w:hAnsi="宋体" w:cs="宋体"/>
          <w:b/>
          <w:iCs w:val="0"/>
          <w:color w:val="auto"/>
          <w:sz w:val="20"/>
          <w:szCs w:val="20"/>
          <w:highlight w:val="none"/>
        </w:rPr>
        <w:t xml:space="preserve">   （3）</w:t>
      </w:r>
      <w:r>
        <w:rPr>
          <w:rFonts w:hint="eastAsia" w:ascii="宋体" w:hAnsi="宋体" w:cs="宋体"/>
          <w:b/>
          <w:bCs/>
          <w:iCs w:val="0"/>
          <w:color w:val="auto"/>
          <w:sz w:val="20"/>
          <w:szCs w:val="20"/>
          <w:highlight w:val="none"/>
        </w:rPr>
        <w:t>履约担保的退还：</w:t>
      </w:r>
      <w:r>
        <w:rPr>
          <w:rFonts w:hint="eastAsia" w:ascii="宋体" w:hAnsi="宋体" w:cs="宋体"/>
          <w:b/>
          <w:bCs/>
          <w:iCs w:val="0"/>
          <w:color w:val="auto"/>
          <w:sz w:val="20"/>
          <w:szCs w:val="20"/>
          <w:highlight w:val="none"/>
          <w:u w:val="single"/>
        </w:rPr>
        <w:t>本工程竣工验收合格，各单项工程完成初步移交且承包人完成竣工结算资料报审后退还履约保证金（无息）。业主发包人不承担承包人与履约担保有关的任何利息或其它类似的费用或者收益。</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3.9道路通行权和场外设施</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本项目承包人应自行办理施工场地外道路的通行权，费用自理；发包人配合提供相关证明文件。</w:t>
      </w:r>
    </w:p>
    <w:p>
      <w:pPr>
        <w:outlineLvl w:val="1"/>
        <w:rPr>
          <w:rFonts w:ascii="宋体" w:hAnsi="宋体" w:cs="宋体"/>
          <w:b/>
          <w:iCs w:val="0"/>
          <w:color w:val="auto"/>
          <w:sz w:val="20"/>
          <w:szCs w:val="20"/>
          <w:highlight w:val="none"/>
        </w:rPr>
      </w:pPr>
      <w:bookmarkStart w:id="262" w:name="_Toc351203636"/>
      <w:bookmarkStart w:id="263" w:name="_Toc434959542"/>
      <w:bookmarkStart w:id="264" w:name="_Toc407198330"/>
      <w:bookmarkStart w:id="265" w:name="_Toc407203346"/>
      <w:bookmarkStart w:id="266" w:name="_Toc14124"/>
      <w:r>
        <w:rPr>
          <w:rFonts w:hint="eastAsia" w:ascii="宋体" w:hAnsi="宋体" w:cs="宋体"/>
          <w:b/>
          <w:iCs w:val="0"/>
          <w:color w:val="auto"/>
          <w:sz w:val="20"/>
          <w:szCs w:val="20"/>
          <w:highlight w:val="none"/>
        </w:rPr>
        <w:t>4</w:t>
      </w:r>
      <w:bookmarkStart w:id="267" w:name="_Toc297048348"/>
      <w:bookmarkStart w:id="268" w:name="_Toc292559871"/>
      <w:bookmarkStart w:id="269" w:name="_Toc292559366"/>
      <w:bookmarkStart w:id="270" w:name="_Toc267251413"/>
      <w:bookmarkStart w:id="271" w:name="_Toc296503162"/>
      <w:bookmarkStart w:id="272" w:name="_Toc297120462"/>
      <w:bookmarkStart w:id="273" w:name="_Toc296890990"/>
      <w:bookmarkStart w:id="274" w:name="_Toc296346663"/>
      <w:bookmarkStart w:id="275" w:name="_Toc296891202"/>
      <w:bookmarkStart w:id="276" w:name="_Toc296347161"/>
      <w:bookmarkStart w:id="277" w:name="_Toc296944501"/>
      <w:r>
        <w:rPr>
          <w:rFonts w:hint="eastAsia" w:ascii="宋体" w:hAnsi="宋体" w:cs="宋体"/>
          <w:b/>
          <w:iCs w:val="0"/>
          <w:color w:val="auto"/>
          <w:sz w:val="20"/>
          <w:szCs w:val="20"/>
          <w:highlight w:val="none"/>
        </w:rPr>
        <w:t>. 监</w:t>
      </w:r>
      <w:bookmarkEnd w:id="267"/>
      <w:bookmarkEnd w:id="268"/>
      <w:bookmarkEnd w:id="269"/>
      <w:bookmarkEnd w:id="270"/>
      <w:bookmarkEnd w:id="271"/>
      <w:bookmarkEnd w:id="272"/>
      <w:bookmarkEnd w:id="273"/>
      <w:bookmarkEnd w:id="274"/>
      <w:bookmarkEnd w:id="275"/>
      <w:bookmarkEnd w:id="276"/>
      <w:bookmarkEnd w:id="277"/>
      <w:r>
        <w:rPr>
          <w:rFonts w:hint="eastAsia" w:ascii="宋体" w:hAnsi="宋体" w:cs="宋体"/>
          <w:b/>
          <w:iCs w:val="0"/>
          <w:color w:val="auto"/>
          <w:sz w:val="20"/>
          <w:szCs w:val="20"/>
          <w:highlight w:val="none"/>
        </w:rPr>
        <w:t>理人</w:t>
      </w:r>
      <w:bookmarkEnd w:id="262"/>
      <w:bookmarkEnd w:id="263"/>
      <w:bookmarkEnd w:id="264"/>
      <w:bookmarkEnd w:id="265"/>
      <w:bookmarkEnd w:id="266"/>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4.1监理人的一般规定</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关于监理人的监理内容：</w:t>
      </w:r>
      <w:r>
        <w:rPr>
          <w:rFonts w:hint="eastAsia" w:ascii="宋体" w:hAnsi="宋体" w:cs="宋体"/>
          <w:iCs w:val="0"/>
          <w:color w:val="auto"/>
          <w:sz w:val="20"/>
          <w:szCs w:val="20"/>
          <w:highlight w:val="none"/>
          <w:u w:val="single"/>
        </w:rPr>
        <w:t>本工程施工图范围内的全部监理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关于监理人的监理权限：</w:t>
      </w:r>
      <w:r>
        <w:rPr>
          <w:rFonts w:hint="eastAsia" w:ascii="宋体" w:hAnsi="宋体" w:cs="宋体"/>
          <w:iCs w:val="0"/>
          <w:color w:val="auto"/>
          <w:sz w:val="20"/>
          <w:szCs w:val="20"/>
          <w:highlight w:val="none"/>
          <w:u w:val="single"/>
        </w:rPr>
        <w:t>涉及工程开工、竣工、停工、复工、工期变化、工程变更、工程范围变化、实体结构安全、工程费用变化的事项须发包人事先批准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关于监理人在施工现场的办公场所、生活场所的提供和费用承担的约定：</w:t>
      </w:r>
      <w:r>
        <w:rPr>
          <w:rFonts w:hint="eastAsia" w:ascii="宋体" w:hAnsi="宋体" w:cs="宋体"/>
          <w:iCs w:val="0"/>
          <w:color w:val="auto"/>
          <w:sz w:val="20"/>
          <w:szCs w:val="20"/>
          <w:highlight w:val="none"/>
          <w:u w:val="single"/>
        </w:rPr>
        <w:t>由承包人无偿提供相关设施</w:t>
      </w:r>
      <w:r>
        <w:rPr>
          <w:rFonts w:hint="eastAsia" w:ascii="宋体" w:hAnsi="宋体" w:cs="宋体"/>
          <w:iCs w:val="0"/>
          <w:color w:val="auto"/>
          <w:sz w:val="20"/>
          <w:szCs w:val="20"/>
          <w:highlight w:val="none"/>
        </w:rPr>
        <w:t>。</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4.2 监理人员</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总监理工程师：</w:t>
      </w:r>
      <w:r>
        <w:rPr>
          <w:rFonts w:hint="eastAsia" w:ascii="宋体" w:hAnsi="宋体" w:cs="宋体"/>
          <w:iCs w:val="0"/>
          <w:color w:val="auto"/>
          <w:sz w:val="20"/>
          <w:szCs w:val="20"/>
          <w:highlight w:val="none"/>
          <w:u w:val="single"/>
        </w:rPr>
        <w:t xml:space="preserve">             ；</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姓名：；</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职务：；</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监理工程师执业资格证书号：；</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联系电话：；</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电子信箱：；</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通信地址：；</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关于监理人的其他约定：.</w:t>
      </w:r>
    </w:p>
    <w:p>
      <w:pPr>
        <w:spacing w:before="120" w:beforeLines="50" w:line="420" w:lineRule="exact"/>
        <w:rPr>
          <w:rFonts w:ascii="宋体" w:hAnsi="宋体" w:cs="宋体"/>
          <w:iCs w:val="0"/>
          <w:color w:val="auto"/>
          <w:sz w:val="20"/>
          <w:szCs w:val="20"/>
          <w:highlight w:val="none"/>
        </w:rPr>
      </w:pPr>
      <w:r>
        <w:rPr>
          <w:rFonts w:hint="eastAsia" w:ascii="宋体" w:hAnsi="宋体" w:cs="宋体"/>
          <w:iCs w:val="0"/>
          <w:color w:val="auto"/>
          <w:sz w:val="20"/>
          <w:szCs w:val="20"/>
          <w:highlight w:val="none"/>
        </w:rPr>
        <w:t>4.4 商定或确定</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在发包人和承包人不能通过协商达成一致意见时，发包人授权监理人对以下事项进行确定：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outlineLvl w:val="1"/>
        <w:rPr>
          <w:rFonts w:ascii="宋体" w:hAnsi="宋体" w:cs="宋体"/>
          <w:b/>
          <w:iCs w:val="0"/>
          <w:color w:val="auto"/>
          <w:sz w:val="20"/>
          <w:szCs w:val="20"/>
          <w:highlight w:val="none"/>
        </w:rPr>
      </w:pPr>
      <w:bookmarkStart w:id="278" w:name="_Toc351203637"/>
      <w:bookmarkStart w:id="279" w:name="_Toc434959543"/>
      <w:bookmarkStart w:id="280" w:name="_Toc407203347"/>
      <w:bookmarkStart w:id="281" w:name="_Toc407198331"/>
      <w:bookmarkStart w:id="282" w:name="_Toc22028"/>
      <w:r>
        <w:rPr>
          <w:rFonts w:hint="eastAsia" w:ascii="宋体" w:hAnsi="宋体" w:cs="宋体"/>
          <w:b/>
          <w:iCs w:val="0"/>
          <w:color w:val="auto"/>
          <w:sz w:val="20"/>
          <w:szCs w:val="20"/>
          <w:highlight w:val="none"/>
        </w:rPr>
        <w:t>5</w:t>
      </w:r>
      <w:bookmarkStart w:id="283" w:name="_Toc297120463"/>
      <w:bookmarkStart w:id="284" w:name="_Toc296891203"/>
      <w:bookmarkStart w:id="285" w:name="_Toc296347162"/>
      <w:bookmarkStart w:id="286" w:name="_Toc292559872"/>
      <w:bookmarkStart w:id="287" w:name="_Toc296346664"/>
      <w:bookmarkStart w:id="288" w:name="_Toc296944502"/>
      <w:bookmarkStart w:id="289" w:name="_Toc296503163"/>
      <w:bookmarkStart w:id="290" w:name="_Toc296890991"/>
      <w:bookmarkStart w:id="291" w:name="_Toc292559367"/>
      <w:bookmarkStart w:id="292" w:name="_Toc297048349"/>
      <w:r>
        <w:rPr>
          <w:rFonts w:hint="eastAsia" w:ascii="宋体" w:hAnsi="宋体" w:cs="宋体"/>
          <w:b/>
          <w:iCs w:val="0"/>
          <w:color w:val="auto"/>
          <w:sz w:val="20"/>
          <w:szCs w:val="20"/>
          <w:highlight w:val="none"/>
        </w:rPr>
        <w:t>. 工程质量</w:t>
      </w:r>
      <w:bookmarkEnd w:id="278"/>
      <w:bookmarkEnd w:id="279"/>
      <w:bookmarkEnd w:id="280"/>
      <w:bookmarkEnd w:id="281"/>
      <w:bookmarkEnd w:id="282"/>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5.1 质量要求</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5</w:t>
      </w:r>
      <w:bookmarkStart w:id="293" w:name="_Toc304295527"/>
      <w:bookmarkStart w:id="294" w:name="_Toc312677997"/>
      <w:bookmarkStart w:id="295" w:name="_Toc303539106"/>
      <w:bookmarkStart w:id="296" w:name="_Toc297123496"/>
      <w:bookmarkStart w:id="297" w:name="_Toc297216155"/>
      <w:bookmarkStart w:id="298" w:name="_Toc318581164"/>
      <w:bookmarkStart w:id="299" w:name="_Toc300934949"/>
      <w:r>
        <w:rPr>
          <w:rFonts w:hint="eastAsia" w:ascii="宋体" w:hAnsi="宋体" w:cs="宋体"/>
          <w:iCs w:val="0"/>
          <w:color w:val="auto"/>
          <w:sz w:val="20"/>
          <w:szCs w:val="20"/>
          <w:highlight w:val="none"/>
        </w:rPr>
        <w:t>.1.1 特殊质量标准和要求：</w:t>
      </w:r>
      <w:r>
        <w:rPr>
          <w:rFonts w:hint="eastAsia" w:ascii="宋体" w:hAnsi="宋体" w:cs="宋体"/>
          <w:iCs w:val="0"/>
          <w:color w:val="auto"/>
          <w:sz w:val="20"/>
          <w:szCs w:val="20"/>
          <w:highlight w:val="none"/>
          <w:u w:val="single"/>
        </w:rPr>
        <w:t>工程质量验收合格</w:t>
      </w:r>
      <w:r>
        <w:rPr>
          <w:rFonts w:hint="eastAsia" w:ascii="宋体" w:hAnsi="宋体" w:cs="宋体"/>
          <w:iCs w:val="0"/>
          <w:color w:val="auto"/>
          <w:sz w:val="20"/>
          <w:szCs w:val="20"/>
          <w:highlight w:val="none"/>
        </w:rPr>
        <w:t>。关于工程奖项的约定：</w:t>
      </w:r>
      <w:r>
        <w:rPr>
          <w:rFonts w:hint="eastAsia" w:ascii="宋体" w:hAnsi="宋体" w:cs="宋体"/>
          <w:iCs w:val="0"/>
          <w:color w:val="auto"/>
          <w:sz w:val="20"/>
          <w:szCs w:val="20"/>
          <w:highlight w:val="none"/>
          <w:u w:val="single"/>
        </w:rPr>
        <w:t>无</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5.3 隐蔽工程检查</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5.3.2承包人提前通知监理人隐蔽工程检查的期限的约定：</w:t>
      </w:r>
      <w:r>
        <w:rPr>
          <w:rFonts w:hint="eastAsia" w:ascii="宋体" w:hAnsi="宋体" w:cs="宋体"/>
          <w:iCs w:val="0"/>
          <w:color w:val="auto"/>
          <w:sz w:val="20"/>
          <w:szCs w:val="20"/>
          <w:highlight w:val="none"/>
          <w:u w:val="single"/>
        </w:rPr>
        <w:t>自检合格后，提前48小时邀请监理、项管、业主代表进行检查。</w:t>
      </w:r>
      <w:bookmarkStart w:id="300" w:name="_Toc351203638"/>
      <w:r>
        <w:rPr>
          <w:rFonts w:hint="eastAsia" w:ascii="宋体" w:hAnsi="宋体" w:cs="宋体"/>
          <w:iCs w:val="0"/>
          <w:color w:val="auto"/>
          <w:sz w:val="20"/>
          <w:szCs w:val="20"/>
          <w:highlight w:val="none"/>
        </w:rPr>
        <w:t>监理人不能按时进行检查时，</w:t>
      </w:r>
      <w:r>
        <w:rPr>
          <w:rFonts w:hint="eastAsia" w:ascii="宋体" w:hAnsi="宋体" w:cs="宋体"/>
          <w:iCs w:val="0"/>
          <w:color w:val="auto"/>
          <w:sz w:val="20"/>
          <w:szCs w:val="20"/>
          <w:highlight w:val="none"/>
          <w:u w:val="single"/>
        </w:rPr>
        <w:t>应提前24小时</w:t>
      </w:r>
      <w:r>
        <w:rPr>
          <w:rFonts w:hint="eastAsia" w:ascii="宋体" w:hAnsi="宋体" w:cs="宋体"/>
          <w:iCs w:val="0"/>
          <w:color w:val="auto"/>
          <w:sz w:val="20"/>
          <w:szCs w:val="20"/>
          <w:highlight w:val="none"/>
        </w:rPr>
        <w:t>提交书面延期要求。关于延期最长不得超过：</w:t>
      </w:r>
      <w:r>
        <w:rPr>
          <w:rFonts w:hint="eastAsia" w:ascii="宋体" w:hAnsi="宋体" w:cs="宋体"/>
          <w:iCs w:val="0"/>
          <w:color w:val="auto"/>
          <w:sz w:val="20"/>
          <w:szCs w:val="20"/>
          <w:highlight w:val="none"/>
          <w:u w:val="single"/>
        </w:rPr>
        <w:t xml:space="preserve"> 48</w:t>
      </w:r>
      <w:r>
        <w:rPr>
          <w:rFonts w:hint="eastAsia" w:ascii="宋体" w:hAnsi="宋体" w:cs="宋体"/>
          <w:iCs w:val="0"/>
          <w:color w:val="auto"/>
          <w:sz w:val="20"/>
          <w:szCs w:val="20"/>
          <w:highlight w:val="none"/>
        </w:rPr>
        <w:t>小时。</w:t>
      </w:r>
    </w:p>
    <w:p>
      <w:pPr>
        <w:outlineLvl w:val="1"/>
        <w:rPr>
          <w:rFonts w:ascii="宋体" w:hAnsi="宋体" w:cs="宋体"/>
          <w:b/>
          <w:iCs w:val="0"/>
          <w:color w:val="auto"/>
          <w:sz w:val="20"/>
          <w:szCs w:val="20"/>
          <w:highlight w:val="none"/>
        </w:rPr>
      </w:pPr>
      <w:bookmarkStart w:id="301" w:name="_Toc407198332"/>
      <w:bookmarkStart w:id="302" w:name="_Toc434959544"/>
      <w:bookmarkStart w:id="303" w:name="_Toc407203348"/>
      <w:bookmarkStart w:id="304" w:name="_Toc2998"/>
      <w:r>
        <w:rPr>
          <w:rFonts w:hint="eastAsia" w:ascii="宋体" w:hAnsi="宋体" w:cs="宋体"/>
          <w:b/>
          <w:iCs w:val="0"/>
          <w:color w:val="auto"/>
          <w:sz w:val="20"/>
          <w:szCs w:val="20"/>
          <w:highlight w:val="none"/>
        </w:rPr>
        <w:t>6. 安全文明施工与环境保护</w:t>
      </w:r>
      <w:bookmarkEnd w:id="300"/>
      <w:bookmarkEnd w:id="301"/>
      <w:bookmarkEnd w:id="302"/>
      <w:bookmarkEnd w:id="303"/>
      <w:bookmarkEnd w:id="304"/>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6.1安全文明施工</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6.1.1 项目安全生产的达标目标及相应事项的约定：</w:t>
      </w:r>
      <w:r>
        <w:rPr>
          <w:rFonts w:hint="eastAsia" w:ascii="宋体" w:hAnsi="宋体" w:cs="宋体"/>
          <w:iCs w:val="0"/>
          <w:color w:val="auto"/>
          <w:sz w:val="20"/>
          <w:szCs w:val="20"/>
          <w:highlight w:val="none"/>
          <w:u w:val="single"/>
        </w:rPr>
        <w:t>杜绝重大恶性事故的发生；确保无重大伤亡事故</w:t>
      </w:r>
      <w:r>
        <w:rPr>
          <w:rFonts w:hint="eastAsia" w:ascii="宋体" w:hAnsi="宋体" w:cs="宋体"/>
          <w:iCs w:val="0"/>
          <w:color w:val="auto"/>
          <w:sz w:val="20"/>
          <w:szCs w:val="20"/>
          <w:highlight w:val="none"/>
        </w:rPr>
        <w:t>。</w:t>
      </w:r>
      <w:r>
        <w:rPr>
          <w:rFonts w:hint="eastAsia" w:ascii="宋体" w:hAnsi="宋体" w:cs="宋体"/>
          <w:iCs w:val="0"/>
          <w:color w:val="auto"/>
          <w:sz w:val="20"/>
          <w:szCs w:val="20"/>
          <w:highlight w:val="none"/>
          <w:u w:val="single"/>
        </w:rPr>
        <w:t>按照相关法律法规、规章制度执行，充分关注和保障所有在现场工作人员的安全，采取有效措施，使现场和合同工程的实施保持有条不紊，以免使上述人员的安全受到威胁</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6.1.4 关于治安保卫的特别约定：</w:t>
      </w:r>
      <w:r>
        <w:rPr>
          <w:rFonts w:hint="eastAsia" w:ascii="宋体" w:hAnsi="宋体" w:cs="宋体"/>
          <w:iCs w:val="0"/>
          <w:color w:val="auto"/>
          <w:sz w:val="20"/>
          <w:szCs w:val="20"/>
          <w:highlight w:val="none"/>
          <w:u w:val="single"/>
        </w:rPr>
        <w:t>认真执行成都市有关公安治安管理規定，严禁出现打架、赌博、酗酒滋事等违反治安条例的现象。现场治安管理机构或联防组织的组建由承包人负责与公安部门协商，承包人另应负责组建自身安保队伍，协助公安部门管理施工现场内的治安保卫工作</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关于编制施工场地治安管理计划的约定：</w:t>
      </w:r>
      <w:r>
        <w:rPr>
          <w:rFonts w:hint="eastAsia" w:ascii="宋体" w:hAnsi="宋体" w:cs="宋体"/>
          <w:iCs w:val="0"/>
          <w:color w:val="auto"/>
          <w:sz w:val="20"/>
          <w:szCs w:val="20"/>
          <w:highlight w:val="none"/>
          <w:u w:val="single"/>
        </w:rPr>
        <w:t>由承包人负责编制施工场地治安管理计划和突发治安事件紧急预案。承包人做好施工現场的保卫安全工作，采取必要防盗措施，确保工程材料，设备、人员的安全。承包人在施工现场应设置员工生活设施，不得与工程项目的办公区混合</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6.1.5 文明施工</w:t>
      </w:r>
    </w:p>
    <w:p>
      <w:pPr>
        <w:tabs>
          <w:tab w:val="left" w:pos="8080"/>
        </w:tabs>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合同发包人对文明施工的要求：</w:t>
      </w:r>
      <w:r>
        <w:rPr>
          <w:rFonts w:hint="eastAsia" w:ascii="宋体" w:hAnsi="宋体" w:cs="宋体"/>
          <w:iCs w:val="0"/>
          <w:color w:val="auto"/>
          <w:sz w:val="20"/>
          <w:szCs w:val="20"/>
          <w:highlight w:val="none"/>
          <w:u w:val="single"/>
        </w:rPr>
        <w:t>按照相关法律法规、规章制度执行，承包人应积极履行“以人为本、安全第一，文明施工”</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6.1.6 关于安全文明施工费支付比例和支付期限的约定：</w:t>
      </w:r>
      <w:r>
        <w:rPr>
          <w:rFonts w:hint="eastAsia" w:ascii="宋体" w:hAnsi="宋体" w:cs="宋体"/>
          <w:iCs w:val="0"/>
          <w:color w:val="auto"/>
          <w:sz w:val="20"/>
          <w:szCs w:val="20"/>
          <w:highlight w:val="none"/>
          <w:u w:val="single"/>
        </w:rPr>
        <w:t>详见安全文明施工措施费支付协议</w:t>
      </w:r>
      <w:r>
        <w:rPr>
          <w:rFonts w:hint="eastAsia" w:ascii="宋体" w:hAnsi="宋体" w:cs="宋体"/>
          <w:iCs w:val="0"/>
          <w:color w:val="auto"/>
          <w:sz w:val="20"/>
          <w:szCs w:val="20"/>
          <w:highlight w:val="none"/>
        </w:rPr>
        <w:t>。</w:t>
      </w:r>
    </w:p>
    <w:bookmarkEnd w:id="293"/>
    <w:bookmarkEnd w:id="294"/>
    <w:bookmarkEnd w:id="295"/>
    <w:bookmarkEnd w:id="296"/>
    <w:bookmarkEnd w:id="297"/>
    <w:bookmarkEnd w:id="298"/>
    <w:bookmarkEnd w:id="299"/>
    <w:p>
      <w:pPr>
        <w:outlineLvl w:val="1"/>
        <w:rPr>
          <w:rFonts w:ascii="宋体" w:hAnsi="宋体" w:cs="宋体"/>
          <w:b/>
          <w:iCs w:val="0"/>
          <w:color w:val="auto"/>
          <w:sz w:val="20"/>
          <w:szCs w:val="20"/>
          <w:highlight w:val="none"/>
        </w:rPr>
      </w:pPr>
      <w:bookmarkStart w:id="305" w:name="_Toc434959545"/>
      <w:bookmarkStart w:id="306" w:name="_Toc407203349"/>
      <w:bookmarkStart w:id="307" w:name="_Toc407198333"/>
      <w:bookmarkStart w:id="308" w:name="_Toc351203639"/>
      <w:bookmarkStart w:id="309" w:name="_Toc6152"/>
      <w:r>
        <w:rPr>
          <w:rFonts w:hint="eastAsia" w:ascii="宋体" w:hAnsi="宋体" w:cs="宋体"/>
          <w:b/>
          <w:iCs w:val="0"/>
          <w:color w:val="auto"/>
          <w:sz w:val="20"/>
          <w:szCs w:val="20"/>
          <w:highlight w:val="none"/>
        </w:rPr>
        <w:t>7. 工期和进度</w:t>
      </w:r>
      <w:bookmarkEnd w:id="305"/>
      <w:bookmarkEnd w:id="306"/>
      <w:bookmarkEnd w:id="307"/>
      <w:bookmarkEnd w:id="308"/>
      <w:bookmarkEnd w:id="309"/>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7.1 施工组织设计</w:t>
      </w:r>
    </w:p>
    <w:p>
      <w:pPr>
        <w:autoSpaceDE w:val="0"/>
        <w:autoSpaceDN w:val="0"/>
        <w:adjustRightInd w:val="0"/>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7.1.1 合</w:t>
      </w:r>
      <w:r>
        <w:rPr>
          <w:rFonts w:hint="eastAsia" w:ascii="宋体" w:hAnsi="宋体" w:cs="宋体"/>
          <w:iCs w:val="0"/>
          <w:color w:val="auto"/>
          <w:kern w:val="0"/>
          <w:sz w:val="20"/>
          <w:szCs w:val="20"/>
          <w:highlight w:val="none"/>
        </w:rPr>
        <w:t>同当事人约定的施工组织设计应包括的其他内容：</w:t>
      </w:r>
      <w:r>
        <w:rPr>
          <w:rFonts w:hint="eastAsia" w:ascii="宋体" w:hAnsi="宋体" w:cs="宋体"/>
          <w:iCs w:val="0"/>
          <w:color w:val="auto"/>
          <w:sz w:val="20"/>
          <w:szCs w:val="20"/>
          <w:highlight w:val="none"/>
          <w:u w:val="single"/>
        </w:rPr>
        <w:t>按发包人及监理人要求提供，包括但不限于：</w:t>
      </w:r>
      <w:r>
        <w:rPr>
          <w:rFonts w:hint="eastAsia" w:ascii="宋体" w:hAnsi="宋体" w:cs="宋体"/>
          <w:iCs w:val="0"/>
          <w:color w:val="auto"/>
          <w:sz w:val="20"/>
          <w:szCs w:val="20"/>
          <w:highlight w:val="none"/>
          <w:u w:val="single"/>
        </w:rPr>
        <w:fldChar w:fldCharType="begin"/>
      </w:r>
      <w:r>
        <w:rPr>
          <w:rFonts w:hint="eastAsia" w:ascii="宋体" w:hAnsi="宋体" w:cs="宋体"/>
          <w:iCs w:val="0"/>
          <w:color w:val="auto"/>
          <w:sz w:val="20"/>
          <w:szCs w:val="20"/>
          <w:highlight w:val="none"/>
          <w:u w:val="single"/>
        </w:rPr>
        <w:instrText xml:space="preserve"> = 1 \* GB3 \* MERGEFORMAT </w:instrText>
      </w:r>
      <w:r>
        <w:rPr>
          <w:rFonts w:hint="eastAsia" w:ascii="宋体" w:hAnsi="宋体" w:cs="宋体"/>
          <w:iCs w:val="0"/>
          <w:color w:val="auto"/>
          <w:sz w:val="20"/>
          <w:szCs w:val="20"/>
          <w:highlight w:val="none"/>
          <w:u w:val="single"/>
        </w:rPr>
        <w:fldChar w:fldCharType="separate"/>
      </w:r>
      <w:r>
        <w:rPr>
          <w:rFonts w:hint="eastAsia" w:ascii="宋体" w:hAnsi="宋体" w:cs="宋体"/>
          <w:iCs w:val="0"/>
          <w:color w:val="auto"/>
          <w:sz w:val="20"/>
          <w:szCs w:val="20"/>
          <w:highlight w:val="none"/>
        </w:rPr>
        <w:t>①</w:t>
      </w:r>
      <w:r>
        <w:rPr>
          <w:rFonts w:hint="eastAsia" w:ascii="宋体" w:hAnsi="宋体" w:cs="宋体"/>
          <w:iCs w:val="0"/>
          <w:color w:val="auto"/>
          <w:sz w:val="20"/>
          <w:szCs w:val="20"/>
          <w:highlight w:val="none"/>
          <w:u w:val="single"/>
        </w:rPr>
        <w:fldChar w:fldCharType="end"/>
      </w:r>
      <w:r>
        <w:rPr>
          <w:rFonts w:hint="eastAsia" w:ascii="宋体" w:hAnsi="宋体" w:cs="宋体"/>
          <w:iCs w:val="0"/>
          <w:color w:val="auto"/>
          <w:sz w:val="20"/>
          <w:szCs w:val="20"/>
          <w:highlight w:val="none"/>
          <w:u w:val="single"/>
        </w:rPr>
        <w:t>关键节点施工计划；</w:t>
      </w:r>
      <w:r>
        <w:rPr>
          <w:rFonts w:hint="eastAsia" w:ascii="宋体" w:hAnsi="宋体" w:cs="宋体"/>
          <w:iCs w:val="0"/>
          <w:color w:val="auto"/>
          <w:sz w:val="20"/>
          <w:szCs w:val="20"/>
          <w:highlight w:val="none"/>
          <w:u w:val="single"/>
        </w:rPr>
        <w:fldChar w:fldCharType="begin"/>
      </w:r>
      <w:r>
        <w:rPr>
          <w:rFonts w:hint="eastAsia" w:ascii="宋体" w:hAnsi="宋体" w:cs="宋体"/>
          <w:iCs w:val="0"/>
          <w:color w:val="auto"/>
          <w:sz w:val="20"/>
          <w:szCs w:val="20"/>
          <w:highlight w:val="none"/>
          <w:u w:val="single"/>
        </w:rPr>
        <w:instrText xml:space="preserve"> = 2 \* GB3 \* MERGEFORMAT </w:instrText>
      </w:r>
      <w:r>
        <w:rPr>
          <w:rFonts w:hint="eastAsia" w:ascii="宋体" w:hAnsi="宋体" w:cs="宋体"/>
          <w:iCs w:val="0"/>
          <w:color w:val="auto"/>
          <w:sz w:val="20"/>
          <w:szCs w:val="20"/>
          <w:highlight w:val="none"/>
          <w:u w:val="single"/>
        </w:rPr>
        <w:fldChar w:fldCharType="separate"/>
      </w:r>
      <w:r>
        <w:rPr>
          <w:rFonts w:hint="eastAsia" w:ascii="宋体" w:hAnsi="宋体" w:cs="宋体"/>
          <w:iCs w:val="0"/>
          <w:color w:val="auto"/>
          <w:sz w:val="20"/>
          <w:szCs w:val="20"/>
          <w:highlight w:val="none"/>
        </w:rPr>
        <w:t>②</w:t>
      </w:r>
      <w:r>
        <w:rPr>
          <w:rFonts w:hint="eastAsia" w:ascii="宋体" w:hAnsi="宋体" w:cs="宋体"/>
          <w:iCs w:val="0"/>
          <w:color w:val="auto"/>
          <w:sz w:val="20"/>
          <w:szCs w:val="20"/>
          <w:highlight w:val="none"/>
          <w:u w:val="single"/>
        </w:rPr>
        <w:fldChar w:fldCharType="end"/>
      </w:r>
      <w:r>
        <w:rPr>
          <w:rFonts w:hint="eastAsia" w:ascii="宋体" w:hAnsi="宋体" w:cs="宋体"/>
          <w:iCs w:val="0"/>
          <w:color w:val="auto"/>
          <w:sz w:val="20"/>
          <w:szCs w:val="20"/>
          <w:highlight w:val="none"/>
          <w:u w:val="single"/>
        </w:rPr>
        <w:t>深化的施工方案；</w:t>
      </w:r>
      <w:r>
        <w:rPr>
          <w:rFonts w:hint="eastAsia" w:ascii="宋体" w:hAnsi="宋体" w:cs="宋体"/>
          <w:iCs w:val="0"/>
          <w:color w:val="auto"/>
          <w:sz w:val="20"/>
          <w:szCs w:val="20"/>
          <w:highlight w:val="none"/>
          <w:u w:val="single"/>
        </w:rPr>
        <w:fldChar w:fldCharType="begin"/>
      </w:r>
      <w:r>
        <w:rPr>
          <w:rFonts w:hint="eastAsia" w:ascii="宋体" w:hAnsi="宋体" w:cs="宋体"/>
          <w:iCs w:val="0"/>
          <w:color w:val="auto"/>
          <w:sz w:val="20"/>
          <w:szCs w:val="20"/>
          <w:highlight w:val="none"/>
          <w:u w:val="single"/>
        </w:rPr>
        <w:instrText xml:space="preserve"> = 3 \* GB3 \* MERGEFORMAT </w:instrText>
      </w:r>
      <w:r>
        <w:rPr>
          <w:rFonts w:hint="eastAsia" w:ascii="宋体" w:hAnsi="宋体" w:cs="宋体"/>
          <w:iCs w:val="0"/>
          <w:color w:val="auto"/>
          <w:sz w:val="20"/>
          <w:szCs w:val="20"/>
          <w:highlight w:val="none"/>
          <w:u w:val="single"/>
        </w:rPr>
        <w:fldChar w:fldCharType="separate"/>
      </w:r>
      <w:r>
        <w:rPr>
          <w:rFonts w:hint="eastAsia" w:ascii="宋体" w:hAnsi="宋体" w:cs="宋体"/>
          <w:iCs w:val="0"/>
          <w:color w:val="auto"/>
          <w:sz w:val="20"/>
          <w:szCs w:val="20"/>
          <w:highlight w:val="none"/>
        </w:rPr>
        <w:t>③</w:t>
      </w:r>
      <w:r>
        <w:rPr>
          <w:rFonts w:hint="eastAsia" w:ascii="宋体" w:hAnsi="宋体" w:cs="宋体"/>
          <w:iCs w:val="0"/>
          <w:color w:val="auto"/>
          <w:sz w:val="20"/>
          <w:szCs w:val="20"/>
          <w:highlight w:val="none"/>
          <w:u w:val="single"/>
        </w:rPr>
        <w:fldChar w:fldCharType="end"/>
      </w:r>
      <w:r>
        <w:rPr>
          <w:rFonts w:hint="eastAsia" w:ascii="宋体" w:hAnsi="宋体" w:cs="宋体"/>
          <w:iCs w:val="0"/>
          <w:color w:val="auto"/>
          <w:sz w:val="20"/>
          <w:szCs w:val="20"/>
          <w:highlight w:val="none"/>
          <w:u w:val="single"/>
        </w:rPr>
        <w:t>特殊安全防护方案；④技术措施方案；⑤施工总进度计划</w:t>
      </w:r>
      <w:r>
        <w:rPr>
          <w:rFonts w:hint="eastAsia" w:ascii="宋体" w:hAnsi="宋体" w:cs="宋体"/>
          <w:iCs w:val="0"/>
          <w:color w:val="auto"/>
          <w:sz w:val="20"/>
          <w:szCs w:val="20"/>
          <w:highlight w:val="none"/>
        </w:rPr>
        <w:t>。</w:t>
      </w:r>
    </w:p>
    <w:p>
      <w:pPr>
        <w:autoSpaceDE w:val="0"/>
        <w:autoSpaceDN w:val="0"/>
        <w:adjustRightInd w:val="0"/>
        <w:spacing w:line="360" w:lineRule="exact"/>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 xml:space="preserve">7.1.2 </w:t>
      </w:r>
      <w:r>
        <w:rPr>
          <w:rFonts w:hint="eastAsia" w:ascii="宋体" w:hAnsi="宋体" w:cs="宋体"/>
          <w:iCs w:val="0"/>
          <w:color w:val="auto"/>
          <w:kern w:val="0"/>
          <w:sz w:val="20"/>
          <w:szCs w:val="20"/>
          <w:highlight w:val="none"/>
        </w:rPr>
        <w:t>施工组织设计的提交和修改</w:t>
      </w:r>
    </w:p>
    <w:p>
      <w:pPr>
        <w:autoSpaceDE w:val="0"/>
        <w:autoSpaceDN w:val="0"/>
        <w:adjustRightInd w:val="0"/>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承包人提交详细施工组织设计的期限的约定：</w:t>
      </w:r>
      <w:r>
        <w:rPr>
          <w:rFonts w:hint="eastAsia" w:ascii="宋体" w:hAnsi="宋体" w:cs="宋体"/>
          <w:iCs w:val="0"/>
          <w:color w:val="auto"/>
          <w:sz w:val="20"/>
          <w:szCs w:val="20"/>
          <w:highlight w:val="none"/>
          <w:u w:val="single"/>
        </w:rPr>
        <w:t>开工日期前15天</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发包人和监理人在收到详细的施工组织设计后确认或提出修改意见的期限：</w:t>
      </w:r>
      <w:r>
        <w:rPr>
          <w:rFonts w:hint="eastAsia" w:ascii="宋体" w:hAnsi="宋体" w:cs="宋体"/>
          <w:iCs w:val="0"/>
          <w:color w:val="auto"/>
          <w:sz w:val="20"/>
          <w:szCs w:val="20"/>
          <w:highlight w:val="none"/>
          <w:u w:val="single"/>
        </w:rPr>
        <w:t>7天内</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w:t>
      </w:r>
      <w:bookmarkStart w:id="310" w:name="_Toc312677479"/>
      <w:bookmarkStart w:id="311" w:name="_Toc300934966"/>
      <w:bookmarkStart w:id="312" w:name="_Toc297216173"/>
      <w:bookmarkStart w:id="313" w:name="_Toc297123514"/>
      <w:bookmarkStart w:id="314" w:name="_Toc304295541"/>
      <w:bookmarkStart w:id="315" w:name="_Toc303539123"/>
      <w:bookmarkStart w:id="316" w:name="_Toc312678005"/>
      <w:r>
        <w:rPr>
          <w:rFonts w:hint="eastAsia" w:ascii="宋体" w:hAnsi="宋体" w:cs="宋体"/>
          <w:iCs w:val="0"/>
          <w:color w:val="auto"/>
          <w:sz w:val="20"/>
          <w:szCs w:val="20"/>
          <w:highlight w:val="none"/>
        </w:rPr>
        <w:t>.2 施工进度计划</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7.2.2 施工进度计划的修订</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发包人和监理人在收到修订的施工进度计划后确认或提出修改意见的期限：监理人应在收到</w:t>
      </w:r>
      <w:r>
        <w:rPr>
          <w:rFonts w:hint="eastAsia" w:ascii="宋体" w:hAnsi="宋体" w:cs="宋体"/>
          <w:iCs w:val="0"/>
          <w:color w:val="auto"/>
          <w:sz w:val="20"/>
          <w:szCs w:val="20"/>
          <w:highlight w:val="none"/>
          <w:u w:val="single"/>
        </w:rPr>
        <w:t>施工组织设计7天内回复或提出修改意见，否则该进度计划视为已得到批准。经监理人批准的施工进度计划称合同进度计划，是控制合同工程进度的依据。承包人还应根据合同进度计划，编制更为详细的分阶段或分项进度计划，报监理人审批</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7.3 开工</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7.3.1 开工准备</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关于承包人提交</w:t>
      </w:r>
      <w:r>
        <w:rPr>
          <w:rFonts w:hint="eastAsia" w:ascii="宋体" w:hAnsi="宋体" w:cs="宋体"/>
          <w:iCs w:val="0"/>
          <w:color w:val="auto"/>
          <w:kern w:val="0"/>
          <w:sz w:val="20"/>
          <w:szCs w:val="20"/>
          <w:highlight w:val="none"/>
        </w:rPr>
        <w:t>工程开工报审表的期限：</w:t>
      </w:r>
      <w:r>
        <w:rPr>
          <w:rFonts w:hint="eastAsia" w:ascii="宋体" w:hAnsi="宋体" w:cs="宋体"/>
          <w:iCs w:val="0"/>
          <w:color w:val="auto"/>
          <w:sz w:val="20"/>
          <w:szCs w:val="20"/>
          <w:highlight w:val="none"/>
          <w:u w:val="single"/>
        </w:rPr>
        <w:t>开工前7个日历天。</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关于发包人应完成的其他开工准备工作及期限：</w:t>
      </w:r>
      <w:r>
        <w:rPr>
          <w:rFonts w:hint="eastAsia" w:ascii="宋体" w:hAnsi="宋体" w:cs="宋体"/>
          <w:iCs w:val="0"/>
          <w:color w:val="auto"/>
          <w:sz w:val="20"/>
          <w:szCs w:val="20"/>
          <w:highlight w:val="none"/>
          <w:u w:val="single"/>
        </w:rPr>
        <w:t>开工前7天移交施工场地，使场地具备合同约定的开工条件</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关于承包人应完成的其他开工准备工作及期限：</w:t>
      </w:r>
      <w:r>
        <w:rPr>
          <w:rFonts w:hint="eastAsia" w:ascii="宋体" w:hAnsi="宋体" w:cs="宋体"/>
          <w:iCs w:val="0"/>
          <w:color w:val="auto"/>
          <w:sz w:val="20"/>
          <w:szCs w:val="20"/>
          <w:highlight w:val="none"/>
          <w:u w:val="single"/>
        </w:rPr>
        <w:t>开工前3个日历天。由承包人办理本项目工程的全部施工手续和审批，并在人员、资金、材料和设备、基础设施上具备开工条件。临时设施、临时施工水电，测量基准点、基准线和水准点放线复核经监理确认</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7.3.2开工通知</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因发包人原因不能按照协议书约定的开工日期开工，监理人应以书面形式通知承包人推迟开</w:t>
      </w:r>
      <w:bookmarkEnd w:id="310"/>
      <w:bookmarkEnd w:id="311"/>
      <w:bookmarkEnd w:id="312"/>
      <w:bookmarkEnd w:id="313"/>
      <w:bookmarkEnd w:id="314"/>
      <w:bookmarkEnd w:id="315"/>
      <w:bookmarkEnd w:id="316"/>
      <w:r>
        <w:rPr>
          <w:rFonts w:hint="eastAsia" w:ascii="宋体" w:hAnsi="宋体" w:cs="宋体"/>
          <w:iCs w:val="0"/>
          <w:color w:val="auto"/>
          <w:sz w:val="20"/>
          <w:szCs w:val="20"/>
          <w:highlight w:val="none"/>
        </w:rPr>
        <w:t>工日期，承包人无权提出价格调整要求，无权解除合同。发包人应顺延工期，由此增加的费用以及承包人合理的利润由承包人自行解决，发包人不予承担。</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7.4 测量放线</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7.4.1发包人通过监理人向承包人提供测量基准点、基准线和水准点及其书面资料的期限：</w:t>
      </w:r>
      <w:r>
        <w:rPr>
          <w:rFonts w:hint="eastAsia" w:ascii="宋体" w:hAnsi="宋体" w:cs="宋体"/>
          <w:iCs w:val="0"/>
          <w:color w:val="auto"/>
          <w:sz w:val="20"/>
          <w:szCs w:val="20"/>
          <w:highlight w:val="none"/>
          <w:u w:val="single"/>
        </w:rPr>
        <w:t>满足施工时间要求。发包人应在于开工前7天，通过监理人向承包人提供测量基准点、基准线和水准点及其书面资料。承包人应根据国家测绘基准、测绘系统和工程测量技术规范，按上述基准点（线）以及合同工程精度要求，测设施工控制网，承包人就此建立的施工控制网资料应在开工前三日报送监理人审批及复核</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因承包人未对发包人提供的测量基准点进行复核，或复核出现偏差，造成由此建立的施工控制网出现失误，由此造成的损失由承包人承担。</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承包人应负责管理施工控制网点。施工控制网点丢失或损坏的，承包人应及时修复。承包人应承担施工控制网点的管理与修复费用，并在工程竣工后将施工控制网点移交发包人</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w:t>
      </w:r>
      <w:bookmarkStart w:id="317" w:name="_Toc300934968"/>
      <w:bookmarkStart w:id="318" w:name="_Toc303539125"/>
      <w:bookmarkStart w:id="319" w:name="_Toc304295546"/>
      <w:bookmarkStart w:id="320" w:name="_Toc312678010"/>
      <w:bookmarkStart w:id="321" w:name="_Toc312677484"/>
      <w:bookmarkStart w:id="322" w:name="_Toc297123516"/>
      <w:bookmarkStart w:id="323" w:name="_Toc297216175"/>
      <w:r>
        <w:rPr>
          <w:rFonts w:hint="eastAsia" w:ascii="宋体" w:hAnsi="宋体" w:cs="宋体"/>
          <w:iCs w:val="0"/>
          <w:color w:val="auto"/>
          <w:sz w:val="20"/>
          <w:szCs w:val="20"/>
          <w:highlight w:val="none"/>
        </w:rPr>
        <w:t>.5 工期延误</w:t>
      </w:r>
    </w:p>
    <w:bookmarkEnd w:id="317"/>
    <w:bookmarkEnd w:id="318"/>
    <w:bookmarkEnd w:id="319"/>
    <w:bookmarkEnd w:id="320"/>
    <w:bookmarkEnd w:id="321"/>
    <w:bookmarkEnd w:id="322"/>
    <w:bookmarkEnd w:id="323"/>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7.5.1 因发包人原因导致工期延误</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将通用合同条款7.5.1项内容全部修改如下</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在合同履行过程中，因下列情况导致工期延误的，承包人可提出书面要求延长工期，经监理人审核、报发包人批准后，工期顺延，但由工期顺延额外造成的费用（包括但不限于现场施工人员窝工费、机械台班停置费、承包人管理费以及承包人合理的利润）均由承包人自行解决，发包人不予承担</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（a）</w:t>
      </w:r>
      <w:r>
        <w:rPr>
          <w:rFonts w:hint="eastAsia" w:ascii="宋体" w:hAnsi="宋体" w:cs="宋体"/>
          <w:iCs w:val="0"/>
          <w:color w:val="auto"/>
          <w:sz w:val="20"/>
          <w:szCs w:val="20"/>
          <w:highlight w:val="none"/>
          <w:u w:val="single"/>
        </w:rPr>
        <w:t>发包人未能按合同约定提供图纸或所提供图纸不符合合同约定的</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（b）</w:t>
      </w:r>
      <w:r>
        <w:rPr>
          <w:rFonts w:hint="eastAsia" w:ascii="宋体" w:hAnsi="宋体" w:cs="宋体"/>
          <w:iCs w:val="0"/>
          <w:color w:val="auto"/>
          <w:sz w:val="20"/>
          <w:szCs w:val="20"/>
          <w:highlight w:val="none"/>
          <w:u w:val="single"/>
        </w:rPr>
        <w:t>发包人未能按合同约定提供施工现场、施工条件、基础资料的</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（c）</w:t>
      </w:r>
      <w:r>
        <w:rPr>
          <w:rFonts w:hint="eastAsia" w:ascii="宋体" w:hAnsi="宋体" w:cs="宋体"/>
          <w:iCs w:val="0"/>
          <w:color w:val="auto"/>
          <w:sz w:val="20"/>
          <w:szCs w:val="20"/>
          <w:highlight w:val="none"/>
          <w:u w:val="single"/>
        </w:rPr>
        <w:t>发包人提供的测量基准点、基准线和水准点及其书面资料存在错误或疏漏的</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（d）</w:t>
      </w:r>
      <w:r>
        <w:rPr>
          <w:rFonts w:hint="eastAsia" w:ascii="宋体" w:hAnsi="宋体" w:cs="宋体"/>
          <w:iCs w:val="0"/>
          <w:color w:val="auto"/>
          <w:sz w:val="20"/>
          <w:szCs w:val="20"/>
          <w:highlight w:val="none"/>
          <w:u w:val="single"/>
        </w:rPr>
        <w:t>发包人、监理人未按合同约定期限发出指示、批准等文件的</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（e）</w:t>
      </w:r>
      <w:r>
        <w:rPr>
          <w:rFonts w:hint="eastAsia" w:ascii="宋体" w:hAnsi="宋体" w:cs="宋体"/>
          <w:iCs w:val="0"/>
          <w:color w:val="auto"/>
          <w:sz w:val="20"/>
          <w:szCs w:val="20"/>
          <w:highlight w:val="none"/>
          <w:u w:val="single"/>
        </w:rPr>
        <w:t>因变更导致工程量增加的</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（f）</w:t>
      </w:r>
      <w:r>
        <w:rPr>
          <w:rFonts w:hint="eastAsia" w:ascii="宋体" w:hAnsi="宋体" w:cs="宋体"/>
          <w:iCs w:val="0"/>
          <w:color w:val="auto"/>
          <w:sz w:val="20"/>
          <w:szCs w:val="20"/>
          <w:highlight w:val="none"/>
          <w:u w:val="single"/>
        </w:rPr>
        <w:t>因发包人原因导致的暂停施工</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（g）</w:t>
      </w:r>
      <w:r>
        <w:rPr>
          <w:rFonts w:hint="eastAsia" w:ascii="宋体" w:hAnsi="宋体" w:cs="宋体"/>
          <w:iCs w:val="0"/>
          <w:color w:val="auto"/>
          <w:sz w:val="20"/>
          <w:szCs w:val="20"/>
          <w:highlight w:val="none"/>
          <w:u w:val="single"/>
        </w:rPr>
        <w:t>因不可抗力导致的工期延误</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（h）</w:t>
      </w:r>
      <w:r>
        <w:rPr>
          <w:rFonts w:hint="eastAsia" w:ascii="宋体" w:hAnsi="宋体" w:cs="宋体"/>
          <w:iCs w:val="0"/>
          <w:color w:val="auto"/>
          <w:sz w:val="20"/>
          <w:szCs w:val="20"/>
          <w:highlight w:val="none"/>
          <w:u w:val="single"/>
        </w:rPr>
        <w:t>因发包人原因导致工期延误的其他情形</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未经发包人书面同意，承包人不得以发包人未能按合同约定支付工程进度款为由暂停施工或拖延工期，否则，属于承包人工期违约，由此延误的工期和（或）增加的费用由承包人自行承担</w:t>
      </w:r>
      <w:r>
        <w:rPr>
          <w:rFonts w:hint="eastAsia" w:ascii="宋体" w:hAnsi="宋体" w:cs="宋体"/>
          <w:iCs w:val="0"/>
          <w:color w:val="auto"/>
          <w:sz w:val="20"/>
          <w:szCs w:val="20"/>
          <w:highlight w:val="none"/>
        </w:rPr>
        <w:t>。</w:t>
      </w:r>
      <w:r>
        <w:rPr>
          <w:rFonts w:hint="eastAsia" w:ascii="宋体" w:hAnsi="宋体" w:cs="宋体"/>
          <w:iCs w:val="0"/>
          <w:color w:val="auto"/>
          <w:sz w:val="20"/>
          <w:szCs w:val="20"/>
          <w:highlight w:val="none"/>
          <w:u w:val="single"/>
        </w:rPr>
        <w:t>并承担承包人给发包人造成的损失</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7</w:t>
      </w:r>
      <w:bookmarkStart w:id="324" w:name="_Toc312677486"/>
      <w:bookmarkStart w:id="325" w:name="_Toc318581169"/>
      <w:bookmarkStart w:id="326" w:name="_Toc312678012"/>
      <w:bookmarkStart w:id="327" w:name="_Toc300934970"/>
      <w:bookmarkStart w:id="328" w:name="_Toc297216177"/>
      <w:bookmarkStart w:id="329" w:name="_Toc304295548"/>
      <w:bookmarkStart w:id="330" w:name="_Toc297123518"/>
      <w:bookmarkStart w:id="331" w:name="_Toc303539127"/>
      <w:r>
        <w:rPr>
          <w:rFonts w:hint="eastAsia" w:ascii="宋体" w:hAnsi="宋体" w:cs="宋体"/>
          <w:iCs w:val="0"/>
          <w:color w:val="auto"/>
          <w:sz w:val="20"/>
          <w:szCs w:val="20"/>
          <w:highlight w:val="none"/>
        </w:rPr>
        <w:t>.5.2 因承包人原因导致工期延误</w:t>
      </w:r>
    </w:p>
    <w:bookmarkEnd w:id="324"/>
    <w:bookmarkEnd w:id="325"/>
    <w:bookmarkEnd w:id="326"/>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因</w:t>
      </w:r>
      <w:bookmarkStart w:id="332" w:name="_Toc312677487"/>
      <w:bookmarkStart w:id="333" w:name="_Toc312678013"/>
      <w:bookmarkStart w:id="334" w:name="_Toc318581170"/>
      <w:r>
        <w:rPr>
          <w:rFonts w:hint="eastAsia" w:ascii="宋体" w:hAnsi="宋体" w:cs="宋体"/>
          <w:iCs w:val="0"/>
          <w:color w:val="auto"/>
          <w:sz w:val="20"/>
          <w:szCs w:val="20"/>
          <w:highlight w:val="none"/>
        </w:rPr>
        <w:t>承包人原因造成工期延误，逾期竣工违约金的计算方法为：</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因承包人无正当理由停工或承包人自身原因造成工期延误（包括但不限于未按进度计划施工和未按期竣工）的，每延误一天承包人应按照2000元/天的金额向发包人支付逾期竣工违约金。因承包人实际进度比合同进度计划严重滞后，承包人延误天数占合同工期20%以上的，发包人有权提前与承包人解除合同，并由承包人按照专用合同条款第16.2.3项的约定承担违约责任</w:t>
      </w:r>
      <w:r>
        <w:rPr>
          <w:rFonts w:hint="eastAsia" w:ascii="宋体" w:hAnsi="宋体" w:cs="宋体"/>
          <w:iCs w:val="0"/>
          <w:color w:val="auto"/>
          <w:sz w:val="20"/>
          <w:szCs w:val="20"/>
          <w:highlight w:val="none"/>
        </w:rPr>
        <w:t>。</w:t>
      </w:r>
      <w:bookmarkEnd w:id="327"/>
      <w:bookmarkEnd w:id="328"/>
      <w:bookmarkEnd w:id="329"/>
      <w:bookmarkEnd w:id="330"/>
      <w:bookmarkEnd w:id="331"/>
      <w:bookmarkEnd w:id="332"/>
      <w:bookmarkEnd w:id="333"/>
    </w:p>
    <w:bookmarkEnd w:id="334"/>
    <w:p>
      <w:pPr>
        <w:spacing w:line="36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因承包人原因造成工期延误，逾</w:t>
      </w:r>
      <w:bookmarkStart w:id="335" w:name="_Toc312678014"/>
      <w:bookmarkStart w:id="336" w:name="_Toc318581171"/>
      <w:r>
        <w:rPr>
          <w:rFonts w:hint="eastAsia" w:ascii="宋体" w:hAnsi="宋体" w:cs="宋体"/>
          <w:iCs w:val="0"/>
          <w:color w:val="auto"/>
          <w:sz w:val="20"/>
          <w:szCs w:val="20"/>
          <w:highlight w:val="none"/>
        </w:rPr>
        <w:t>期违约金的上限：</w:t>
      </w:r>
      <w:r>
        <w:rPr>
          <w:rFonts w:hint="eastAsia" w:ascii="宋体" w:hAnsi="宋体" w:cs="宋体"/>
          <w:iCs w:val="0"/>
          <w:color w:val="auto"/>
          <w:sz w:val="20"/>
          <w:szCs w:val="20"/>
          <w:highlight w:val="none"/>
          <w:u w:val="single"/>
        </w:rPr>
        <w:t>签约合同价（扣除暂列金额）3%的金额。承包人应充分考虑施工期间因降雨、停水、停电等因素对工程进度可能造成的影响，承包人应采取有效措施降低不利因素对施工的影响而确保工期。因降雨、停水、停电造成的工期延误和（或）增加的费用由承包人自行承担</w:t>
      </w:r>
      <w:r>
        <w:rPr>
          <w:rFonts w:hint="eastAsia" w:ascii="宋体" w:hAnsi="宋体" w:cs="宋体"/>
          <w:iCs w:val="0"/>
          <w:color w:val="auto"/>
          <w:sz w:val="20"/>
          <w:szCs w:val="20"/>
          <w:highlight w:val="none"/>
        </w:rPr>
        <w:t>。</w:t>
      </w:r>
    </w:p>
    <w:bookmarkEnd w:id="335"/>
    <w:bookmarkEnd w:id="336"/>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w:t>
      </w:r>
      <w:bookmarkStart w:id="337" w:name="_Toc300934971"/>
      <w:bookmarkStart w:id="338" w:name="_Toc303539128"/>
      <w:bookmarkStart w:id="339" w:name="_Toc297216178"/>
      <w:bookmarkStart w:id="340" w:name="_Toc312678015"/>
      <w:bookmarkStart w:id="341" w:name="_Toc304295549"/>
      <w:bookmarkStart w:id="342" w:name="_Toc297123519"/>
      <w:r>
        <w:rPr>
          <w:rFonts w:hint="eastAsia" w:ascii="宋体" w:hAnsi="宋体" w:cs="宋体"/>
          <w:iCs w:val="0"/>
          <w:color w:val="auto"/>
          <w:sz w:val="20"/>
          <w:szCs w:val="20"/>
          <w:highlight w:val="none"/>
        </w:rPr>
        <w:t>.6 不</w:t>
      </w:r>
      <w:bookmarkEnd w:id="337"/>
      <w:bookmarkEnd w:id="338"/>
      <w:bookmarkEnd w:id="339"/>
      <w:bookmarkEnd w:id="340"/>
      <w:bookmarkEnd w:id="341"/>
      <w:bookmarkEnd w:id="342"/>
      <w:r>
        <w:rPr>
          <w:rFonts w:hint="eastAsia" w:ascii="宋体" w:hAnsi="宋体" w:cs="宋体"/>
          <w:iCs w:val="0"/>
          <w:color w:val="auto"/>
          <w:sz w:val="20"/>
          <w:szCs w:val="20"/>
          <w:highlight w:val="none"/>
        </w:rPr>
        <w:t>利物质条件</w:t>
      </w:r>
    </w:p>
    <w:p>
      <w:pPr>
        <w:spacing w:line="360" w:lineRule="exact"/>
        <w:ind w:firstLine="400" w:firstLineChars="200"/>
        <w:jc w:val="left"/>
        <w:rPr>
          <w:rFonts w:ascii="宋体" w:hAnsi="宋体" w:cs="宋体"/>
          <w:iCs w:val="0"/>
          <w:color w:val="auto"/>
          <w:sz w:val="20"/>
          <w:szCs w:val="20"/>
          <w:highlight w:val="none"/>
        </w:rPr>
      </w:pPr>
      <w:bookmarkStart w:id="343" w:name="_Toc300934972"/>
      <w:bookmarkStart w:id="344" w:name="_Toc304295550"/>
      <w:bookmarkStart w:id="345" w:name="_Toc303539129"/>
      <w:bookmarkStart w:id="346" w:name="_Toc297123520"/>
      <w:bookmarkStart w:id="347" w:name="_Toc318581172"/>
      <w:bookmarkStart w:id="348" w:name="_Toc297216179"/>
      <w:bookmarkStart w:id="349" w:name="_Toc312678016"/>
      <w:r>
        <w:rPr>
          <w:rFonts w:hint="eastAsia" w:ascii="宋体" w:hAnsi="宋体" w:cs="宋体"/>
          <w:iCs w:val="0"/>
          <w:color w:val="auto"/>
          <w:sz w:val="20"/>
          <w:szCs w:val="20"/>
          <w:highlight w:val="none"/>
        </w:rPr>
        <w:t>不利物质条件的其他情形和有关约定：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bookmarkEnd w:id="343"/>
    <w:bookmarkEnd w:id="344"/>
    <w:bookmarkEnd w:id="345"/>
    <w:bookmarkEnd w:id="346"/>
    <w:bookmarkEnd w:id="347"/>
    <w:bookmarkEnd w:id="348"/>
    <w:bookmarkEnd w:id="349"/>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7</w:t>
      </w:r>
      <w:bookmarkStart w:id="350" w:name="_Toc297216180"/>
      <w:bookmarkStart w:id="351" w:name="_Toc300934973"/>
      <w:bookmarkStart w:id="352" w:name="_Toc312678017"/>
      <w:bookmarkStart w:id="353" w:name="_Toc297123521"/>
      <w:bookmarkStart w:id="354" w:name="_Toc303539130"/>
      <w:bookmarkStart w:id="355" w:name="_Toc304295551"/>
      <w:r>
        <w:rPr>
          <w:rFonts w:hint="eastAsia" w:ascii="宋体" w:hAnsi="宋体" w:cs="宋体"/>
          <w:iCs w:val="0"/>
          <w:color w:val="auto"/>
          <w:sz w:val="20"/>
          <w:szCs w:val="20"/>
          <w:highlight w:val="none"/>
        </w:rPr>
        <w:t>.7异常恶劣的气候条件</w:t>
      </w:r>
    </w:p>
    <w:bookmarkEnd w:id="350"/>
    <w:bookmarkEnd w:id="351"/>
    <w:bookmarkEnd w:id="352"/>
    <w:bookmarkEnd w:id="353"/>
    <w:bookmarkEnd w:id="354"/>
    <w:bookmarkEnd w:id="355"/>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发包人和承包人同意以下情形视为异常恶劣的气候条件：</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施工现场风力达到6级及以上，持续降雨（雪）24小时且降雨（雪）量为100mm及以上，且对工程进度造成实质影响。以政府气象部门出具的证明文件为准</w:t>
      </w:r>
      <w:r>
        <w:rPr>
          <w:rFonts w:hint="eastAsia" w:ascii="宋体" w:hAnsi="宋体" w:cs="宋体"/>
          <w:iCs w:val="0"/>
          <w:color w:val="auto"/>
          <w:sz w:val="20"/>
          <w:szCs w:val="20"/>
          <w:highlight w:val="none"/>
        </w:rPr>
        <w:t>；</w:t>
      </w:r>
    </w:p>
    <w:p>
      <w:pPr>
        <w:spacing w:line="360" w:lineRule="exact"/>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w:t>
      </w:r>
      <w:r>
        <w:rPr>
          <w:rFonts w:hint="eastAsia" w:ascii="宋体" w:hAnsi="宋体" w:cs="宋体"/>
          <w:iCs w:val="0"/>
          <w:color w:val="auto"/>
          <w:sz w:val="20"/>
          <w:szCs w:val="20"/>
          <w:highlight w:val="none"/>
          <w:u w:val="single"/>
        </w:rPr>
        <w:t>由成都市气象站发布的50年不遇的洪水</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7.9 提前竣工的奖励</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7.9.2提前竣工的奖励：</w:t>
      </w:r>
      <w:r>
        <w:rPr>
          <w:rFonts w:hint="eastAsia" w:ascii="宋体" w:hAnsi="宋体" w:cs="宋体"/>
          <w:iCs w:val="0"/>
          <w:color w:val="auto"/>
          <w:sz w:val="20"/>
          <w:szCs w:val="20"/>
          <w:highlight w:val="none"/>
          <w:u w:val="single"/>
        </w:rPr>
        <w:t>提前竣工不奖励</w:t>
      </w:r>
      <w:r>
        <w:rPr>
          <w:rFonts w:hint="eastAsia" w:ascii="宋体" w:hAnsi="宋体" w:cs="宋体"/>
          <w:iCs w:val="0"/>
          <w:color w:val="auto"/>
          <w:sz w:val="20"/>
          <w:szCs w:val="20"/>
          <w:highlight w:val="none"/>
        </w:rPr>
        <w:t>。</w:t>
      </w:r>
    </w:p>
    <w:p>
      <w:pPr>
        <w:outlineLvl w:val="1"/>
        <w:rPr>
          <w:rFonts w:ascii="宋体" w:hAnsi="宋体" w:cs="宋体"/>
          <w:b/>
          <w:iCs w:val="0"/>
          <w:color w:val="auto"/>
          <w:sz w:val="20"/>
          <w:szCs w:val="20"/>
          <w:highlight w:val="none"/>
        </w:rPr>
      </w:pPr>
      <w:bookmarkStart w:id="356" w:name="_Toc407198334"/>
      <w:bookmarkStart w:id="357" w:name="_Toc407203350"/>
      <w:bookmarkStart w:id="358" w:name="_Toc351203640"/>
      <w:bookmarkStart w:id="359" w:name="_Toc434959546"/>
      <w:bookmarkStart w:id="360" w:name="_Toc32407"/>
      <w:r>
        <w:rPr>
          <w:rFonts w:hint="eastAsia" w:ascii="宋体" w:hAnsi="宋体" w:cs="宋体"/>
          <w:b/>
          <w:iCs w:val="0"/>
          <w:color w:val="auto"/>
          <w:sz w:val="20"/>
          <w:szCs w:val="20"/>
          <w:highlight w:val="none"/>
        </w:rPr>
        <w:t>8. 材料与设备</w:t>
      </w:r>
      <w:bookmarkEnd w:id="356"/>
      <w:bookmarkEnd w:id="357"/>
      <w:bookmarkEnd w:id="358"/>
      <w:bookmarkEnd w:id="359"/>
      <w:bookmarkEnd w:id="360"/>
    </w:p>
    <w:bookmarkEnd w:id="283"/>
    <w:bookmarkEnd w:id="284"/>
    <w:bookmarkEnd w:id="285"/>
    <w:bookmarkEnd w:id="286"/>
    <w:bookmarkEnd w:id="287"/>
    <w:bookmarkEnd w:id="288"/>
    <w:bookmarkEnd w:id="289"/>
    <w:bookmarkEnd w:id="290"/>
    <w:bookmarkEnd w:id="291"/>
    <w:bookmarkEnd w:id="292"/>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8.2 承包人采购材料与工程设备</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8.2.1 承包人负责采购、运输和保管的材料、工程设备：除发包人提供材料、设备之外的均由承包人负责采购、运输和保管。</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8.2.2承包人应将各项材料和工程设备的供货人及品种、规格、数量和供货时间等报送监理人审批。承包人应向监理人提交其负责提供的材料和工程设备的质量证明文件，并满足合同约定的质量标准。</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8</w:t>
      </w:r>
      <w:bookmarkStart w:id="361" w:name="_Toc303539136"/>
      <w:bookmarkStart w:id="362" w:name="_Toc296347166"/>
      <w:bookmarkStart w:id="363" w:name="_Toc312678019"/>
      <w:bookmarkStart w:id="364" w:name="_Toc280868654"/>
      <w:bookmarkStart w:id="365" w:name="_Toc292559372"/>
      <w:bookmarkStart w:id="366" w:name="_Toc296944506"/>
      <w:bookmarkStart w:id="367" w:name="_Toc300934979"/>
      <w:bookmarkStart w:id="368" w:name="_Toc296346668"/>
      <w:bookmarkStart w:id="369" w:name="_Toc304295556"/>
      <w:bookmarkStart w:id="370" w:name="_Toc297123527"/>
      <w:bookmarkStart w:id="371" w:name="_Toc297048353"/>
      <w:bookmarkStart w:id="372" w:name="_Toc297216186"/>
      <w:bookmarkStart w:id="373" w:name="_Toc297120467"/>
      <w:bookmarkStart w:id="374" w:name="_Toc296891207"/>
      <w:bookmarkStart w:id="375" w:name="_Toc296503167"/>
      <w:bookmarkStart w:id="376" w:name="_Toc292559877"/>
      <w:bookmarkStart w:id="377" w:name="_Toc296890995"/>
      <w:bookmarkStart w:id="378" w:name="_Toc312677493"/>
      <w:bookmarkStart w:id="379" w:name="_Toc280868656"/>
      <w:bookmarkStart w:id="380" w:name="_Toc280868655"/>
      <w:bookmarkStart w:id="381" w:name="_Toc267251424"/>
      <w:r>
        <w:rPr>
          <w:rFonts w:hint="eastAsia" w:ascii="宋体" w:hAnsi="宋体" w:cs="宋体"/>
          <w:iCs w:val="0"/>
          <w:color w:val="auto"/>
          <w:sz w:val="20"/>
          <w:szCs w:val="20"/>
          <w:highlight w:val="none"/>
        </w:rPr>
        <w:t>.4材料与工程设备的保管与使用</w:t>
      </w:r>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8</w:t>
      </w:r>
      <w:bookmarkStart w:id="382" w:name="_Toc292559878"/>
      <w:bookmarkStart w:id="383" w:name="_Toc292559373"/>
      <w:bookmarkStart w:id="384" w:name="_Toc312677494"/>
      <w:bookmarkStart w:id="385" w:name="_Toc297123528"/>
      <w:bookmarkStart w:id="386" w:name="_Toc296890996"/>
      <w:bookmarkStart w:id="387" w:name="_Toc304295557"/>
      <w:bookmarkStart w:id="388" w:name="_Toc296944507"/>
      <w:bookmarkStart w:id="389" w:name="_Toc296346669"/>
      <w:bookmarkStart w:id="390" w:name="_Toc318581173"/>
      <w:bookmarkStart w:id="391" w:name="_Toc296347167"/>
      <w:bookmarkStart w:id="392" w:name="_Toc300934980"/>
      <w:bookmarkStart w:id="393" w:name="_Toc303539137"/>
      <w:bookmarkStart w:id="394" w:name="_Toc297216187"/>
      <w:bookmarkStart w:id="395" w:name="_Toc297048354"/>
      <w:bookmarkStart w:id="396" w:name="_Toc312678020"/>
      <w:bookmarkStart w:id="397" w:name="_Toc296891208"/>
      <w:bookmarkStart w:id="398" w:name="_Toc297120468"/>
      <w:bookmarkStart w:id="399" w:name="_Toc296503168"/>
      <w:r>
        <w:rPr>
          <w:rFonts w:hint="eastAsia" w:ascii="宋体" w:hAnsi="宋体" w:cs="宋体"/>
          <w:iCs w:val="0"/>
          <w:color w:val="auto"/>
          <w:sz w:val="20"/>
          <w:szCs w:val="20"/>
          <w:highlight w:val="none"/>
        </w:rPr>
        <w:t>.4.1发包人供应的材料设备的保管费用的承担：</w:t>
      </w:r>
      <w:r>
        <w:rPr>
          <w:rFonts w:hint="eastAsia" w:ascii="宋体" w:hAnsi="宋体" w:cs="宋体"/>
          <w:iCs w:val="0"/>
          <w:color w:val="auto"/>
          <w:sz w:val="20"/>
          <w:szCs w:val="20"/>
          <w:highlight w:val="none"/>
          <w:u w:val="single"/>
        </w:rPr>
        <w:t>承包人承担</w:t>
      </w:r>
      <w:bookmarkEnd w:id="382"/>
      <w:bookmarkEnd w:id="383"/>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8.6 样品</w:t>
      </w:r>
    </w:p>
    <w:p>
      <w:pPr>
        <w:autoSpaceDE w:val="0"/>
        <w:autoSpaceDN w:val="0"/>
        <w:adjustRightInd w:val="0"/>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8.6.1样品的报送与封存</w:t>
      </w:r>
    </w:p>
    <w:p>
      <w:pPr>
        <w:autoSpaceDE w:val="0"/>
        <w:autoSpaceDN w:val="0"/>
        <w:adjustRightInd w:val="0"/>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需要承包人报送样品的材料或工程设备，样品的种类、名称、规格、数量要求：</w:t>
      </w:r>
      <w:r>
        <w:rPr>
          <w:rFonts w:hint="eastAsia" w:ascii="宋体" w:hAnsi="宋体" w:cs="宋体"/>
          <w:iCs w:val="0"/>
          <w:color w:val="auto"/>
          <w:sz w:val="20"/>
          <w:szCs w:val="20"/>
          <w:highlight w:val="none"/>
          <w:u w:val="single"/>
        </w:rPr>
        <w:t>按现行法律及规范规定以及监理人的要求报送，相关费用由承包人承担</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8.8 施工设备和临时设施</w:t>
      </w:r>
    </w:p>
    <w:p>
      <w:pPr>
        <w:autoSpaceDE w:val="0"/>
        <w:autoSpaceDN w:val="0"/>
        <w:adjustRightInd w:val="0"/>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8.8.1 承包人提供的施工设备和临时设施</w:t>
      </w:r>
    </w:p>
    <w:p>
      <w:pPr>
        <w:autoSpaceDE w:val="0"/>
        <w:autoSpaceDN w:val="0"/>
        <w:adjustRightInd w:val="0"/>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关于修建临时设施费用承担的约定：</w:t>
      </w:r>
      <w:r>
        <w:rPr>
          <w:rFonts w:hint="eastAsia" w:ascii="宋体" w:hAnsi="宋体" w:cs="宋体"/>
          <w:iCs w:val="0"/>
          <w:color w:val="auto"/>
          <w:sz w:val="20"/>
          <w:szCs w:val="20"/>
          <w:highlight w:val="none"/>
          <w:u w:val="single"/>
        </w:rPr>
        <w:t>承包人应自行承担修建临时设施的费用，需要临时占地的，应由承包人办理申请手续并承担相应费用</w:t>
      </w:r>
      <w:r>
        <w:rPr>
          <w:rFonts w:hint="eastAsia" w:ascii="宋体" w:hAnsi="宋体" w:cs="宋体"/>
          <w:iCs w:val="0"/>
          <w:color w:val="auto"/>
          <w:sz w:val="20"/>
          <w:szCs w:val="20"/>
          <w:highlight w:val="none"/>
        </w:rPr>
        <w:t>。</w:t>
      </w: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Pr>
        <w:outlineLvl w:val="1"/>
        <w:rPr>
          <w:rFonts w:ascii="宋体" w:hAnsi="宋体" w:cs="宋体"/>
          <w:b/>
          <w:iCs w:val="0"/>
          <w:color w:val="auto"/>
          <w:sz w:val="20"/>
          <w:szCs w:val="20"/>
          <w:highlight w:val="none"/>
        </w:rPr>
      </w:pPr>
      <w:bookmarkStart w:id="400" w:name="_Toc434959547"/>
      <w:bookmarkStart w:id="401" w:name="_Toc407203351"/>
      <w:bookmarkStart w:id="402" w:name="_Toc407198335"/>
      <w:bookmarkStart w:id="403" w:name="_Toc351203641"/>
      <w:bookmarkStart w:id="404" w:name="_Toc11783"/>
      <w:r>
        <w:rPr>
          <w:rFonts w:hint="eastAsia" w:ascii="宋体" w:hAnsi="宋体" w:cs="宋体"/>
          <w:b/>
          <w:iCs w:val="0"/>
          <w:color w:val="auto"/>
          <w:sz w:val="20"/>
          <w:szCs w:val="20"/>
          <w:highlight w:val="none"/>
        </w:rPr>
        <w:t>9</w:t>
      </w:r>
      <w:bookmarkEnd w:id="379"/>
      <w:bookmarkEnd w:id="380"/>
      <w:bookmarkEnd w:id="381"/>
      <w:bookmarkStart w:id="405" w:name="_Toc303539139"/>
      <w:bookmarkStart w:id="406" w:name="_Toc300934982"/>
      <w:bookmarkStart w:id="407" w:name="_Toc297123533"/>
      <w:bookmarkStart w:id="408" w:name="_Toc312677495"/>
      <w:bookmarkStart w:id="409" w:name="_Toc297216192"/>
      <w:bookmarkStart w:id="410" w:name="_Toc304295559"/>
      <w:bookmarkStart w:id="411" w:name="_Toc312678021"/>
      <w:bookmarkStart w:id="412" w:name="_Toc267251428"/>
      <w:bookmarkStart w:id="413" w:name="_Toc296347172"/>
      <w:bookmarkStart w:id="414" w:name="_Toc267251427"/>
      <w:bookmarkStart w:id="415" w:name="_Toc296503173"/>
      <w:bookmarkStart w:id="416" w:name="_Toc296944512"/>
      <w:bookmarkStart w:id="417" w:name="_Toc292559378"/>
      <w:bookmarkStart w:id="418" w:name="_Toc296891001"/>
      <w:bookmarkStart w:id="419" w:name="_Toc297120473"/>
      <w:bookmarkStart w:id="420" w:name="_Toc297048359"/>
      <w:bookmarkStart w:id="421" w:name="_Toc292559883"/>
      <w:bookmarkStart w:id="422" w:name="_Toc296891213"/>
      <w:bookmarkStart w:id="423" w:name="_Toc296346674"/>
      <w:r>
        <w:rPr>
          <w:rFonts w:hint="eastAsia" w:ascii="宋体" w:hAnsi="宋体" w:cs="宋体"/>
          <w:b/>
          <w:iCs w:val="0"/>
          <w:color w:val="auto"/>
          <w:sz w:val="20"/>
          <w:szCs w:val="20"/>
          <w:highlight w:val="none"/>
        </w:rPr>
        <w:t>. 试验与检验</w:t>
      </w:r>
      <w:bookmarkEnd w:id="400"/>
      <w:bookmarkEnd w:id="401"/>
      <w:bookmarkEnd w:id="402"/>
      <w:bookmarkEnd w:id="403"/>
      <w:bookmarkEnd w:id="404"/>
    </w:p>
    <w:bookmarkEnd w:id="405"/>
    <w:bookmarkEnd w:id="406"/>
    <w:bookmarkEnd w:id="407"/>
    <w:bookmarkEnd w:id="408"/>
    <w:bookmarkEnd w:id="409"/>
    <w:bookmarkEnd w:id="410"/>
    <w:bookmarkEnd w:id="411"/>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9</w:t>
      </w:r>
      <w:bookmarkStart w:id="424" w:name="_Toc297123534"/>
      <w:bookmarkStart w:id="425" w:name="_Toc297216193"/>
      <w:bookmarkStart w:id="426" w:name="_Toc312677496"/>
      <w:bookmarkStart w:id="427" w:name="_Toc304295560"/>
      <w:bookmarkStart w:id="428" w:name="_Toc300934983"/>
      <w:bookmarkStart w:id="429" w:name="_Toc312678022"/>
      <w:bookmarkStart w:id="430" w:name="_Toc303539140"/>
      <w:r>
        <w:rPr>
          <w:rFonts w:hint="eastAsia" w:ascii="宋体" w:hAnsi="宋体" w:cs="宋体"/>
          <w:iCs w:val="0"/>
          <w:color w:val="auto"/>
          <w:sz w:val="20"/>
          <w:szCs w:val="20"/>
          <w:highlight w:val="none"/>
        </w:rPr>
        <w:t>.1试验设备与试验人员</w:t>
      </w:r>
    </w:p>
    <w:bookmarkEnd w:id="424"/>
    <w:bookmarkEnd w:id="425"/>
    <w:bookmarkEnd w:id="426"/>
    <w:bookmarkEnd w:id="427"/>
    <w:bookmarkEnd w:id="428"/>
    <w:bookmarkEnd w:id="429"/>
    <w:bookmarkEnd w:id="430"/>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9</w:t>
      </w:r>
      <w:bookmarkStart w:id="431" w:name="_Toc303539141"/>
      <w:bookmarkStart w:id="432" w:name="_Toc297123535"/>
      <w:bookmarkStart w:id="433" w:name="_Toc304295561"/>
      <w:bookmarkStart w:id="434" w:name="_Toc300934984"/>
      <w:bookmarkStart w:id="435" w:name="_Toc297216194"/>
      <w:bookmarkStart w:id="436" w:name="_Toc312677497"/>
      <w:bookmarkStart w:id="437" w:name="_Toc312678023"/>
      <w:bookmarkStart w:id="438" w:name="_Toc318581174"/>
      <w:r>
        <w:rPr>
          <w:rFonts w:hint="eastAsia" w:ascii="宋体" w:hAnsi="宋体" w:cs="宋体"/>
          <w:iCs w:val="0"/>
          <w:color w:val="auto"/>
          <w:sz w:val="20"/>
          <w:szCs w:val="20"/>
          <w:highlight w:val="none"/>
        </w:rPr>
        <w:t>.1.2 试验设备</w:t>
      </w:r>
    </w:p>
    <w:p>
      <w:pPr>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施工现场需要配置的试验场所：</w:t>
      </w:r>
      <w:bookmarkEnd w:id="431"/>
      <w:bookmarkEnd w:id="432"/>
      <w:bookmarkEnd w:id="433"/>
      <w:bookmarkEnd w:id="434"/>
      <w:bookmarkEnd w:id="435"/>
      <w:bookmarkEnd w:id="436"/>
      <w:bookmarkEnd w:id="437"/>
      <w:bookmarkStart w:id="439" w:name="_Toc312678024"/>
      <w:bookmarkStart w:id="440" w:name="_Toc304295562"/>
      <w:bookmarkStart w:id="441" w:name="_Toc300934985"/>
      <w:bookmarkStart w:id="442" w:name="_Toc312677498"/>
      <w:bookmarkStart w:id="443" w:name="_Toc303539142"/>
      <w:bookmarkStart w:id="444" w:name="_Toc297216195"/>
      <w:bookmarkStart w:id="445" w:name="_Toc297123536"/>
      <w:r>
        <w:rPr>
          <w:rFonts w:hint="eastAsia" w:ascii="宋体" w:hAnsi="宋体" w:cs="宋体"/>
          <w:iCs w:val="0"/>
          <w:color w:val="auto"/>
          <w:sz w:val="20"/>
          <w:szCs w:val="20"/>
          <w:highlight w:val="none"/>
          <w:u w:val="single"/>
        </w:rPr>
        <w:t>按现行法律及规范、规程以及监理人的要求配置，满足试验需要</w:t>
      </w:r>
      <w:r>
        <w:rPr>
          <w:rFonts w:hint="eastAsia" w:ascii="宋体" w:hAnsi="宋体" w:cs="宋体"/>
          <w:iCs w:val="0"/>
          <w:color w:val="auto"/>
          <w:sz w:val="20"/>
          <w:szCs w:val="20"/>
          <w:highlight w:val="none"/>
        </w:rPr>
        <w:t>。</w:t>
      </w:r>
    </w:p>
    <w:p>
      <w:pPr>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施工现场需要配备的试验设备：</w:t>
      </w:r>
      <w:r>
        <w:rPr>
          <w:rFonts w:hint="eastAsia" w:ascii="宋体" w:hAnsi="宋体" w:cs="宋体"/>
          <w:iCs w:val="0"/>
          <w:color w:val="auto"/>
          <w:sz w:val="20"/>
          <w:szCs w:val="20"/>
          <w:highlight w:val="none"/>
          <w:u w:val="single"/>
        </w:rPr>
        <w:t>按现行法律及规范、规程以及监理人的要求配备，满足试验需要</w:t>
      </w:r>
      <w:r>
        <w:rPr>
          <w:rFonts w:hint="eastAsia" w:ascii="宋体" w:hAnsi="宋体" w:cs="宋体"/>
          <w:iCs w:val="0"/>
          <w:color w:val="auto"/>
          <w:sz w:val="20"/>
          <w:szCs w:val="20"/>
          <w:highlight w:val="none"/>
        </w:rPr>
        <w:t>。</w:t>
      </w:r>
    </w:p>
    <w:p>
      <w:pPr>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施工现场需要具备的其他试验条件：</w:t>
      </w:r>
      <w:r>
        <w:rPr>
          <w:rFonts w:hint="eastAsia" w:ascii="宋体" w:hAnsi="宋体" w:cs="宋体"/>
          <w:iCs w:val="0"/>
          <w:color w:val="auto"/>
          <w:sz w:val="20"/>
          <w:szCs w:val="20"/>
          <w:highlight w:val="none"/>
          <w:u w:val="single"/>
        </w:rPr>
        <w:t>按现行法律及规范、规程以及监理人的要求配置，满足试验需要</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9.4 现场工艺试验</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现场工艺试验的有关约定：</w:t>
      </w:r>
      <w:r>
        <w:rPr>
          <w:rFonts w:hint="eastAsia" w:ascii="宋体" w:hAnsi="宋体" w:cs="宋体"/>
          <w:iCs w:val="0"/>
          <w:color w:val="auto"/>
          <w:sz w:val="20"/>
          <w:szCs w:val="20"/>
          <w:highlight w:val="none"/>
          <w:u w:val="single"/>
        </w:rPr>
        <w:t>按照监理人指示进行现场工艺试验并承担费用</w:t>
      </w:r>
      <w:r>
        <w:rPr>
          <w:rFonts w:hint="eastAsia" w:ascii="宋体" w:hAnsi="宋体" w:cs="宋体"/>
          <w:iCs w:val="0"/>
          <w:color w:val="auto"/>
          <w:sz w:val="20"/>
          <w:szCs w:val="20"/>
          <w:highlight w:val="none"/>
        </w:rPr>
        <w:t>。</w:t>
      </w:r>
    </w:p>
    <w:bookmarkEnd w:id="438"/>
    <w:bookmarkEnd w:id="439"/>
    <w:bookmarkEnd w:id="440"/>
    <w:bookmarkEnd w:id="441"/>
    <w:bookmarkEnd w:id="442"/>
    <w:bookmarkEnd w:id="443"/>
    <w:bookmarkEnd w:id="444"/>
    <w:bookmarkEnd w:id="445"/>
    <w:p>
      <w:pPr>
        <w:outlineLvl w:val="1"/>
        <w:rPr>
          <w:rFonts w:ascii="宋体" w:hAnsi="宋体" w:cs="宋体"/>
          <w:b/>
          <w:iCs w:val="0"/>
          <w:color w:val="auto"/>
          <w:sz w:val="20"/>
          <w:szCs w:val="20"/>
          <w:highlight w:val="none"/>
        </w:rPr>
      </w:pPr>
      <w:bookmarkStart w:id="446" w:name="_Toc434959548"/>
      <w:bookmarkStart w:id="447" w:name="_Toc351203642"/>
      <w:bookmarkStart w:id="448" w:name="_Toc407203352"/>
      <w:bookmarkStart w:id="449" w:name="_Toc407198336"/>
      <w:bookmarkStart w:id="450" w:name="_Toc9548"/>
      <w:r>
        <w:rPr>
          <w:rFonts w:hint="eastAsia" w:ascii="宋体" w:hAnsi="宋体" w:cs="宋体"/>
          <w:b/>
          <w:iCs w:val="0"/>
          <w:color w:val="auto"/>
          <w:sz w:val="20"/>
          <w:szCs w:val="20"/>
          <w:highlight w:val="none"/>
        </w:rPr>
        <w:t>1</w:t>
      </w:r>
      <w:bookmarkEnd w:id="412"/>
      <w:bookmarkEnd w:id="413"/>
      <w:bookmarkEnd w:id="414"/>
      <w:bookmarkEnd w:id="415"/>
      <w:bookmarkEnd w:id="416"/>
      <w:bookmarkEnd w:id="417"/>
      <w:bookmarkEnd w:id="418"/>
      <w:bookmarkEnd w:id="419"/>
      <w:bookmarkEnd w:id="420"/>
      <w:bookmarkEnd w:id="421"/>
      <w:bookmarkEnd w:id="422"/>
      <w:bookmarkEnd w:id="423"/>
      <w:bookmarkStart w:id="451" w:name="_Toc303539146"/>
      <w:bookmarkStart w:id="452" w:name="_Toc300934989"/>
      <w:bookmarkStart w:id="453" w:name="_Toc297216199"/>
      <w:bookmarkStart w:id="454" w:name="_Toc296347192"/>
      <w:bookmarkStart w:id="455" w:name="_Toc296891233"/>
      <w:bookmarkStart w:id="456" w:name="_Toc296891021"/>
      <w:bookmarkStart w:id="457" w:name="_Toc297120493"/>
      <w:bookmarkStart w:id="458" w:name="_Toc296944532"/>
      <w:bookmarkStart w:id="459" w:name="_Toc292559903"/>
      <w:bookmarkStart w:id="460" w:name="_Toc304295566"/>
      <w:bookmarkStart w:id="461" w:name="_Toc297048379"/>
      <w:bookmarkStart w:id="462" w:name="_Toc296346694"/>
      <w:bookmarkStart w:id="463" w:name="_Toc292559398"/>
      <w:bookmarkStart w:id="464" w:name="_Toc297123540"/>
      <w:bookmarkStart w:id="465" w:name="_Toc296503193"/>
      <w:bookmarkStart w:id="466" w:name="_Toc312678025"/>
      <w:bookmarkStart w:id="467" w:name="_Toc312677499"/>
      <w:r>
        <w:rPr>
          <w:rFonts w:hint="eastAsia" w:ascii="宋体" w:hAnsi="宋体" w:cs="宋体"/>
          <w:b/>
          <w:iCs w:val="0"/>
          <w:color w:val="auto"/>
          <w:sz w:val="20"/>
          <w:szCs w:val="20"/>
          <w:highlight w:val="none"/>
        </w:rPr>
        <w:t>0. 变更</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bookmarkEnd w:id="466"/>
    <w:bookmarkEnd w:id="467"/>
    <w:p>
      <w:pPr>
        <w:widowControl/>
        <w:jc w:val="left"/>
        <w:rPr>
          <w:rFonts w:ascii="宋体" w:hAnsi="Calibri" w:eastAsia="Calibri"/>
          <w:iCs w:val="0"/>
          <w:color w:val="auto"/>
          <w:kern w:val="0"/>
          <w:sz w:val="20"/>
          <w:szCs w:val="20"/>
          <w:highlight w:val="none"/>
          <w:lang w:val="ru-RU"/>
        </w:rPr>
      </w:pPr>
      <w:bookmarkStart w:id="468" w:name="_Toc292559904"/>
      <w:bookmarkStart w:id="469" w:name="_Toc296944533"/>
      <w:bookmarkStart w:id="470" w:name="_Toc296891022"/>
      <w:bookmarkStart w:id="471" w:name="_Toc303539147"/>
      <w:bookmarkStart w:id="472" w:name="_Toc292559399"/>
      <w:bookmarkStart w:id="473" w:name="_Toc312678026"/>
      <w:bookmarkStart w:id="474" w:name="_Toc297120494"/>
      <w:bookmarkStart w:id="475" w:name="_Toc297123541"/>
      <w:bookmarkStart w:id="476" w:name="_Toc296891234"/>
      <w:bookmarkStart w:id="477" w:name="_Toc296347193"/>
      <w:bookmarkStart w:id="478" w:name="_Toc312677500"/>
      <w:bookmarkStart w:id="479" w:name="_Toc296503194"/>
      <w:bookmarkStart w:id="480" w:name="_Toc297048380"/>
      <w:bookmarkStart w:id="481" w:name="_Toc297216200"/>
      <w:bookmarkStart w:id="482" w:name="_Toc296346695"/>
      <w:bookmarkStart w:id="483" w:name="_Toc304295567"/>
      <w:bookmarkStart w:id="484" w:name="_Toc300934990"/>
      <w:r>
        <w:rPr>
          <w:rFonts w:ascii="宋体" w:hAnsi="Calibri" w:eastAsia="Calibri"/>
          <w:iCs w:val="0"/>
          <w:color w:val="auto"/>
          <w:spacing w:val="13"/>
          <w:kern w:val="0"/>
          <w:sz w:val="20"/>
          <w:szCs w:val="20"/>
          <w:highlight w:val="none"/>
          <w:lang w:val="ru-RU"/>
        </w:rPr>
        <w:t>10.1</w:t>
      </w:r>
      <w:r>
        <w:rPr>
          <w:rFonts w:hint="eastAsia" w:ascii="宋体" w:hAnsi="宋体" w:cs="宋体"/>
          <w:iCs w:val="0"/>
          <w:color w:val="auto"/>
          <w:kern w:val="0"/>
          <w:sz w:val="20"/>
          <w:szCs w:val="20"/>
          <w:highlight w:val="none"/>
          <w:lang w:val="ru-RU"/>
        </w:rPr>
        <w:t>变更的范围</w:t>
      </w:r>
    </w:p>
    <w:p>
      <w:pPr>
        <w:widowControl/>
        <w:ind w:firstLine="396" w:firstLineChars="200"/>
        <w:jc w:val="left"/>
        <w:rPr>
          <w:rFonts w:ascii="宋体" w:hAnsi="Calibri" w:eastAsia="Calibri"/>
          <w:iCs w:val="0"/>
          <w:color w:val="auto"/>
          <w:kern w:val="0"/>
          <w:sz w:val="20"/>
          <w:szCs w:val="20"/>
          <w:highlight w:val="none"/>
          <w:u w:val="single"/>
          <w:lang w:val="ru-RU"/>
        </w:rPr>
      </w:pPr>
      <w:r>
        <w:rPr>
          <w:rFonts w:hint="eastAsia" w:ascii="宋体" w:hAnsi="宋体" w:cs="宋体"/>
          <w:iCs w:val="0"/>
          <w:color w:val="auto"/>
          <w:spacing w:val="-1"/>
          <w:kern w:val="0"/>
          <w:sz w:val="20"/>
          <w:szCs w:val="20"/>
          <w:highlight w:val="none"/>
          <w:lang w:val="ru-RU"/>
        </w:rPr>
        <w:t>关于变更的范围的约定：</w:t>
      </w:r>
      <w:r>
        <w:rPr>
          <w:rFonts w:hint="eastAsia" w:ascii="宋体" w:hAnsi="宋体" w:cs="宋体"/>
          <w:iCs w:val="0"/>
          <w:color w:val="auto"/>
          <w:spacing w:val="-1"/>
          <w:kern w:val="0"/>
          <w:sz w:val="20"/>
          <w:szCs w:val="20"/>
          <w:highlight w:val="none"/>
          <w:u w:val="single"/>
          <w:lang w:val="ru-RU"/>
        </w:rPr>
        <w:t>除通用条款约定外，如果发包人发出的工程变更指令是因承</w:t>
      </w:r>
      <w:r>
        <w:rPr>
          <w:rFonts w:hint="eastAsia" w:ascii="宋体" w:hAnsi="宋体" w:cs="宋体"/>
          <w:iCs w:val="0"/>
          <w:color w:val="auto"/>
          <w:spacing w:val="-3"/>
          <w:kern w:val="0"/>
          <w:sz w:val="20"/>
          <w:szCs w:val="20"/>
          <w:highlight w:val="none"/>
          <w:u w:val="single"/>
          <w:lang w:val="ru-RU"/>
        </w:rPr>
        <w:t>包人过错、承包人违反合同或承包人造成的，则这种违约引起的任何额外费用应由承包人承</w:t>
      </w:r>
      <w:r>
        <w:rPr>
          <w:rFonts w:hint="eastAsia" w:ascii="宋体" w:hAnsi="宋体" w:cs="宋体"/>
          <w:iCs w:val="0"/>
          <w:color w:val="auto"/>
          <w:kern w:val="0"/>
          <w:sz w:val="20"/>
          <w:szCs w:val="20"/>
          <w:highlight w:val="none"/>
          <w:u w:val="single"/>
          <w:lang w:val="ru-RU"/>
        </w:rPr>
        <w:t>担。</w:t>
      </w:r>
    </w:p>
    <w:p>
      <w:pPr>
        <w:widowControl/>
        <w:jc w:val="left"/>
        <w:rPr>
          <w:rFonts w:ascii="宋体" w:hAnsi="Calibri" w:eastAsia="Calibri"/>
          <w:iCs w:val="0"/>
          <w:color w:val="auto"/>
          <w:kern w:val="0"/>
          <w:sz w:val="20"/>
          <w:szCs w:val="20"/>
          <w:highlight w:val="none"/>
          <w:lang w:val="ru-RU"/>
        </w:rPr>
      </w:pPr>
      <w:r>
        <w:rPr>
          <w:rFonts w:hint="eastAsia" w:ascii="宋体" w:hAnsi="Calibri" w:eastAsia="Calibri"/>
          <w:iCs w:val="0"/>
          <w:color w:val="auto"/>
          <w:kern w:val="0"/>
          <w:sz w:val="20"/>
          <w:szCs w:val="20"/>
          <w:highlight w:val="none"/>
          <w:lang w:val="ru-RU"/>
        </w:rPr>
        <w:t>10.2</w:t>
      </w:r>
      <w:r>
        <w:rPr>
          <w:rFonts w:hint="eastAsia" w:ascii="宋体" w:hAnsi="宋体" w:cs="宋体"/>
          <w:iCs w:val="0"/>
          <w:color w:val="auto"/>
          <w:kern w:val="0"/>
          <w:sz w:val="20"/>
          <w:szCs w:val="20"/>
          <w:highlight w:val="none"/>
          <w:lang w:val="ru-RU"/>
        </w:rPr>
        <w:t>变更权</w:t>
      </w:r>
    </w:p>
    <w:p>
      <w:pPr>
        <w:widowControl/>
        <w:ind w:firstLine="400" w:firstLineChars="200"/>
        <w:jc w:val="left"/>
        <w:rPr>
          <w:rFonts w:ascii="宋体" w:hAnsi="Calibri" w:eastAsia="Calibri"/>
          <w:iCs w:val="0"/>
          <w:color w:val="auto"/>
          <w:kern w:val="0"/>
          <w:sz w:val="20"/>
          <w:szCs w:val="20"/>
          <w:highlight w:val="none"/>
          <w:u w:val="single"/>
          <w:lang w:val="ru-RU"/>
        </w:rPr>
      </w:pPr>
      <w:r>
        <w:rPr>
          <w:rFonts w:hint="eastAsia" w:ascii="宋体" w:hAnsi="宋体" w:cs="宋体"/>
          <w:iCs w:val="0"/>
          <w:color w:val="auto"/>
          <w:kern w:val="0"/>
          <w:sz w:val="20"/>
          <w:szCs w:val="20"/>
          <w:highlight w:val="none"/>
          <w:u w:val="single"/>
          <w:lang w:val="ru-RU"/>
        </w:rPr>
        <w:t>没有发包人的书面审核的指令，承包人不能进行任何工程变更，但如果工程量的增减是由于实际工程量超过或少于工程量清单中估算的数量，则不需要变更指令，但承包人应在清标时提出。</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10.3 变更程序</w:t>
      </w:r>
    </w:p>
    <w:p>
      <w:pPr>
        <w:widowControl/>
        <w:ind w:left="42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w:t>
      </w:r>
      <w:r>
        <w:rPr>
          <w:rFonts w:hint="eastAsia" w:ascii="宋体" w:hAnsi="宋体" w:cs="宋体"/>
          <w:iCs w:val="0"/>
          <w:color w:val="auto"/>
          <w:spacing w:val="-1"/>
          <w:kern w:val="0"/>
          <w:sz w:val="20"/>
          <w:szCs w:val="20"/>
          <w:highlight w:val="none"/>
          <w:lang w:val="ru-RU"/>
        </w:rPr>
        <w:t>其他约定</w:t>
      </w:r>
    </w:p>
    <w:p>
      <w:pPr>
        <w:widowControl/>
        <w:ind w:firstLine="400"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10.3.4.1</w:t>
      </w:r>
      <w:r>
        <w:rPr>
          <w:rFonts w:hint="eastAsia" w:ascii="宋体" w:hAnsi="宋体" w:cs="宋体"/>
          <w:iCs w:val="0"/>
          <w:color w:val="auto"/>
          <w:spacing w:val="-4"/>
          <w:kern w:val="0"/>
          <w:sz w:val="20"/>
          <w:szCs w:val="20"/>
          <w:highlight w:val="none"/>
          <w:lang w:val="ru-RU"/>
        </w:rPr>
        <w:t>变更管理的程序严格执行锦江区相关规定</w:t>
      </w:r>
      <w:r>
        <w:rPr>
          <w:rFonts w:hint="eastAsia" w:ascii="宋体" w:hAnsi="宋体" w:cs="宋体"/>
          <w:iCs w:val="0"/>
          <w:color w:val="auto"/>
          <w:spacing w:val="-7"/>
          <w:kern w:val="0"/>
          <w:sz w:val="20"/>
          <w:szCs w:val="20"/>
          <w:highlight w:val="none"/>
          <w:lang w:val="ru-RU"/>
        </w:rPr>
        <w:t>及其他相关文件的规定。</w:t>
      </w:r>
    </w:p>
    <w:p>
      <w:pPr>
        <w:widowControl/>
        <w:ind w:firstLine="400"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10.3.4.2</w:t>
      </w:r>
      <w:r>
        <w:rPr>
          <w:rFonts w:hint="eastAsia" w:ascii="宋体" w:hAnsi="宋体" w:cs="宋体"/>
          <w:iCs w:val="0"/>
          <w:color w:val="auto"/>
          <w:spacing w:val="-8"/>
          <w:kern w:val="0"/>
          <w:sz w:val="20"/>
          <w:szCs w:val="20"/>
          <w:highlight w:val="none"/>
          <w:lang w:val="ru-RU"/>
        </w:rPr>
        <w:t>在收到发包人（或监理人）发出的变更指令并取得有关设计变更文件后</w:t>
      </w:r>
      <w:r>
        <w:rPr>
          <w:rFonts w:ascii="宋体" w:hAnsi="Calibri" w:eastAsia="Calibri"/>
          <w:iCs w:val="0"/>
          <w:color w:val="auto"/>
          <w:spacing w:val="-2"/>
          <w:kern w:val="0"/>
          <w:sz w:val="20"/>
          <w:szCs w:val="20"/>
          <w:highlight w:val="none"/>
          <w:lang w:val="ru-RU"/>
        </w:rPr>
        <w:t>5</w:t>
      </w:r>
      <w:r>
        <w:rPr>
          <w:rFonts w:hint="eastAsia" w:ascii="宋体" w:hAnsi="宋体" w:cs="宋体"/>
          <w:iCs w:val="0"/>
          <w:color w:val="auto"/>
          <w:kern w:val="0"/>
          <w:sz w:val="20"/>
          <w:szCs w:val="20"/>
          <w:highlight w:val="none"/>
          <w:lang w:val="ru-RU"/>
        </w:rPr>
        <w:t>日内，</w:t>
      </w:r>
      <w:r>
        <w:rPr>
          <w:rFonts w:hint="eastAsia" w:ascii="宋体" w:hAnsi="宋体" w:cs="宋体"/>
          <w:iCs w:val="0"/>
          <w:color w:val="auto"/>
          <w:spacing w:val="-3"/>
          <w:kern w:val="0"/>
          <w:sz w:val="20"/>
          <w:szCs w:val="20"/>
          <w:highlight w:val="none"/>
          <w:lang w:val="ru-RU"/>
        </w:rPr>
        <w:t>承包人须报变更资料（变更申请表及相关造价、影像资料）至发包人及监理人、工程造价咨</w:t>
      </w:r>
      <w:r>
        <w:rPr>
          <w:rFonts w:hint="eastAsia" w:ascii="宋体" w:hAnsi="宋体" w:cs="宋体"/>
          <w:iCs w:val="0"/>
          <w:color w:val="auto"/>
          <w:spacing w:val="-6"/>
          <w:kern w:val="0"/>
          <w:sz w:val="20"/>
          <w:szCs w:val="20"/>
          <w:highlight w:val="none"/>
          <w:lang w:val="ru-RU"/>
        </w:rPr>
        <w:t>询单位审批，否则视为该工程变更或签证不会发生额外费用，且承包人应无条件实施该变更。</w:t>
      </w:r>
    </w:p>
    <w:p>
      <w:pPr>
        <w:widowControl/>
        <w:ind w:firstLine="400"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10.3.4.3</w:t>
      </w:r>
      <w:r>
        <w:rPr>
          <w:rFonts w:hint="eastAsia" w:ascii="宋体" w:hAnsi="宋体" w:cs="宋体"/>
          <w:iCs w:val="0"/>
          <w:color w:val="auto"/>
          <w:spacing w:val="-4"/>
          <w:kern w:val="0"/>
          <w:sz w:val="20"/>
          <w:szCs w:val="20"/>
          <w:highlight w:val="none"/>
          <w:lang w:val="ru-RU"/>
        </w:rPr>
        <w:t>由发包人书面提交工程变更申报表，送区评审中心。变更申请表包括以下主要</w:t>
      </w:r>
      <w:r>
        <w:rPr>
          <w:rFonts w:hint="eastAsia" w:ascii="宋体" w:hAnsi="宋体" w:cs="宋体"/>
          <w:iCs w:val="0"/>
          <w:color w:val="auto"/>
          <w:spacing w:val="-3"/>
          <w:kern w:val="0"/>
          <w:sz w:val="20"/>
          <w:szCs w:val="20"/>
          <w:highlight w:val="none"/>
          <w:lang w:val="ru-RU"/>
        </w:rPr>
        <w:t>内容：变更的原因或依据、变更的内容及范围、变更引起的工程量及签约合同价的增减、变更对工期等相关工作的影响、必要的附图、材料认质认价表、工程变更费用估算表及计算资料等。涉及设计变更的，应当由建设、设计、施工、监理单位协商，经确认后由设计单位发</w:t>
      </w:r>
      <w:r>
        <w:rPr>
          <w:rFonts w:hint="eastAsia" w:ascii="宋体" w:hAnsi="宋体" w:cs="宋体"/>
          <w:iCs w:val="0"/>
          <w:color w:val="auto"/>
          <w:spacing w:val="-1"/>
          <w:kern w:val="0"/>
          <w:sz w:val="20"/>
          <w:szCs w:val="20"/>
          <w:highlight w:val="none"/>
          <w:lang w:val="ru-RU"/>
        </w:rPr>
        <w:t>出完整的设计变更通知单，并办理签发手续，再由发包人报原设计审查部门批准。</w:t>
      </w:r>
    </w:p>
    <w:p>
      <w:pPr>
        <w:widowControl/>
        <w:ind w:firstLine="428"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spacing w:val="7"/>
          <w:kern w:val="0"/>
          <w:sz w:val="20"/>
          <w:szCs w:val="20"/>
          <w:highlight w:val="none"/>
          <w:lang w:val="ru-RU"/>
        </w:rPr>
        <w:t>10.3.4.4</w:t>
      </w:r>
      <w:r>
        <w:rPr>
          <w:rFonts w:hint="eastAsia" w:ascii="宋体" w:hAnsi="宋体" w:cs="宋体"/>
          <w:iCs w:val="0"/>
          <w:color w:val="auto"/>
          <w:spacing w:val="-1"/>
          <w:kern w:val="0"/>
          <w:sz w:val="20"/>
          <w:szCs w:val="20"/>
          <w:highlight w:val="none"/>
          <w:lang w:val="ru-RU"/>
        </w:rPr>
        <w:t>变更增加工程费累计在暂列金范围之内的，单项变更金额30万元（不含）以下的，由项目业主在自变更发生之日起30日内报区评审中心备案；单项变更金额30万元（含）以上的，由行业主管部门对业主提交的变更申请和工程变更技术措施进行审查后，组织区发改局、区审计局进行现场踏勘确认，并牵头召开三方会审会，对同意的项目变更方案进行会审签字盖章印发，项目业主在三方会审同意变更之日起30日内报区评审中心备案。</w:t>
      </w:r>
    </w:p>
    <w:p>
      <w:pPr>
        <w:widowControl/>
        <w:ind w:firstLine="424"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spacing w:val="6"/>
          <w:kern w:val="0"/>
          <w:sz w:val="20"/>
          <w:szCs w:val="20"/>
          <w:highlight w:val="none"/>
          <w:lang w:val="ru-RU"/>
        </w:rPr>
        <w:t>10.3.4.5</w:t>
      </w:r>
      <w:r>
        <w:rPr>
          <w:rFonts w:hint="eastAsia" w:ascii="宋体" w:hAnsi="宋体" w:cs="宋体"/>
          <w:iCs w:val="0"/>
          <w:color w:val="auto"/>
          <w:spacing w:val="-3"/>
          <w:kern w:val="0"/>
          <w:sz w:val="20"/>
          <w:szCs w:val="20"/>
          <w:highlight w:val="none"/>
          <w:lang w:val="ru-RU"/>
        </w:rPr>
        <w:t>变更增加工程费累计超出暂列金的或工程费超出中标价的，承包人应无条件</w:t>
      </w:r>
      <w:r>
        <w:rPr>
          <w:rFonts w:hint="eastAsia" w:ascii="宋体" w:hAnsi="宋体" w:cs="宋体"/>
          <w:iCs w:val="0"/>
          <w:color w:val="auto"/>
          <w:spacing w:val="-2"/>
          <w:kern w:val="0"/>
          <w:sz w:val="20"/>
          <w:szCs w:val="20"/>
          <w:highlight w:val="none"/>
          <w:lang w:val="ru-RU"/>
        </w:rPr>
        <w:t>梳理前期所有变更情况并形成自查报告报发包人、工程造价咨询单位，再由发包人报区发改局、区审计局和相关行业主管部门进行三方会审同意后</w:t>
      </w:r>
      <w:r>
        <w:rPr>
          <w:rFonts w:ascii="宋体" w:hAnsi="Calibri" w:eastAsia="Calibri"/>
          <w:iCs w:val="0"/>
          <w:color w:val="auto"/>
          <w:spacing w:val="53"/>
          <w:kern w:val="0"/>
          <w:sz w:val="20"/>
          <w:szCs w:val="20"/>
          <w:highlight w:val="none"/>
          <w:lang w:val="ru-RU"/>
        </w:rPr>
        <w:t>7</w:t>
      </w:r>
      <w:r>
        <w:rPr>
          <w:rFonts w:hint="eastAsia" w:ascii="宋体" w:hAnsi="宋体" w:cs="宋体"/>
          <w:iCs w:val="0"/>
          <w:color w:val="auto"/>
          <w:spacing w:val="-2"/>
          <w:kern w:val="0"/>
          <w:sz w:val="20"/>
          <w:szCs w:val="20"/>
          <w:highlight w:val="none"/>
          <w:lang w:val="ru-RU"/>
        </w:rPr>
        <w:t>日内，由发包人将变更资料报</w:t>
      </w:r>
      <w:r>
        <w:rPr>
          <w:rFonts w:hint="eastAsia" w:ascii="宋体" w:hAnsi="宋体" w:cs="宋体"/>
          <w:iCs w:val="0"/>
          <w:color w:val="auto"/>
          <w:spacing w:val="-1"/>
          <w:kern w:val="0"/>
          <w:sz w:val="20"/>
          <w:szCs w:val="20"/>
          <w:highlight w:val="none"/>
          <w:lang w:val="ru-RU"/>
        </w:rPr>
        <w:t>区评审中心进行变更造价评审。</w:t>
      </w:r>
    </w:p>
    <w:p>
      <w:pPr>
        <w:widowControl/>
        <w:ind w:firstLine="400"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10.3.4.6</w:t>
      </w:r>
      <w:r>
        <w:rPr>
          <w:rFonts w:hint="eastAsia" w:ascii="宋体" w:hAnsi="宋体" w:cs="宋体"/>
          <w:iCs w:val="0"/>
          <w:color w:val="auto"/>
          <w:spacing w:val="-2"/>
          <w:kern w:val="0"/>
          <w:sz w:val="20"/>
          <w:szCs w:val="20"/>
          <w:highlight w:val="none"/>
          <w:lang w:val="ru-RU"/>
        </w:rPr>
        <w:t>隐蔽工程出现变更时，在变更工程实施以前，承包人应通知发包人，由发包</w:t>
      </w:r>
      <w:r>
        <w:rPr>
          <w:rFonts w:hint="eastAsia" w:ascii="宋体" w:hAnsi="宋体" w:cs="宋体"/>
          <w:iCs w:val="0"/>
          <w:color w:val="auto"/>
          <w:spacing w:val="-4"/>
          <w:kern w:val="0"/>
          <w:sz w:val="20"/>
          <w:szCs w:val="20"/>
          <w:highlight w:val="none"/>
          <w:lang w:val="ru-RU"/>
        </w:rPr>
        <w:t>人组织区行业行政主管部门、区审计局和区发改三方会审，并严格按照会审意见组织实施。</w:t>
      </w:r>
      <w:r>
        <w:rPr>
          <w:rFonts w:hint="eastAsia" w:ascii="宋体" w:hAnsi="宋体" w:cs="宋体"/>
          <w:iCs w:val="0"/>
          <w:color w:val="auto"/>
          <w:spacing w:val="-2"/>
          <w:kern w:val="0"/>
          <w:sz w:val="20"/>
          <w:szCs w:val="20"/>
          <w:highlight w:val="none"/>
          <w:lang w:val="ru-RU"/>
        </w:rPr>
        <w:t>若承包人未向发包人报告自行隐蔽，造成无法进行计量或审计的，相关部门有权要求对已隐蔽的工程进行检查和剥露，承包人须在检查后重新隐蔽或修复后隐蔽。检查时返工所发生的费用如检查费用、返工费用、材料费用等全部由承包人负担，承包人还应承担工期延</w:t>
      </w:r>
      <w:r>
        <w:rPr>
          <w:rFonts w:hint="eastAsia" w:ascii="宋体" w:hAnsi="宋体" w:cs="宋体"/>
          <w:iCs w:val="0"/>
          <w:color w:val="auto"/>
          <w:spacing w:val="-1"/>
          <w:kern w:val="0"/>
          <w:sz w:val="20"/>
          <w:szCs w:val="20"/>
          <w:highlight w:val="none"/>
          <w:lang w:val="ru-RU"/>
        </w:rPr>
        <w:t>误的违约责任。</w:t>
      </w:r>
    </w:p>
    <w:p>
      <w:pPr>
        <w:widowControl/>
        <w:ind w:firstLine="424"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spacing w:val="6"/>
          <w:kern w:val="0"/>
          <w:sz w:val="20"/>
          <w:szCs w:val="20"/>
          <w:highlight w:val="none"/>
          <w:lang w:val="ru-RU"/>
        </w:rPr>
        <w:t>10.3.4.7</w:t>
      </w:r>
      <w:r>
        <w:rPr>
          <w:rFonts w:hint="eastAsia" w:ascii="宋体" w:hAnsi="宋体" w:cs="宋体"/>
          <w:iCs w:val="0"/>
          <w:color w:val="auto"/>
          <w:spacing w:val="-3"/>
          <w:kern w:val="0"/>
          <w:sz w:val="20"/>
          <w:szCs w:val="20"/>
          <w:highlight w:val="none"/>
          <w:lang w:val="ru-RU"/>
        </w:rPr>
        <w:t>没有通过区评审中心备案或评审的变更或签证，相关费用将不纳入最终结算，</w:t>
      </w:r>
      <w:r>
        <w:rPr>
          <w:rFonts w:hint="eastAsia" w:ascii="宋体" w:hAnsi="宋体" w:cs="宋体"/>
          <w:iCs w:val="0"/>
          <w:color w:val="auto"/>
          <w:spacing w:val="-2"/>
          <w:kern w:val="0"/>
          <w:sz w:val="20"/>
          <w:szCs w:val="20"/>
          <w:highlight w:val="none"/>
          <w:lang w:val="ru-RU"/>
        </w:rPr>
        <w:t>发包人也不再向承包人支付；已通过区评审中心备案或评审的变更或签证，计入项目总投</w:t>
      </w:r>
      <w:r>
        <w:rPr>
          <w:rFonts w:hint="eastAsia" w:ascii="宋体" w:hAnsi="宋体" w:cs="宋体"/>
          <w:iCs w:val="0"/>
          <w:color w:val="auto"/>
          <w:spacing w:val="-1"/>
          <w:kern w:val="0"/>
          <w:sz w:val="20"/>
          <w:szCs w:val="20"/>
          <w:highlight w:val="none"/>
          <w:lang w:val="ru-RU"/>
        </w:rPr>
        <w:t>资，最终金额以锦江区审计局审计金额为准。</w:t>
      </w:r>
    </w:p>
    <w:p>
      <w:pPr>
        <w:widowControl/>
        <w:ind w:firstLine="424"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spacing w:val="6"/>
          <w:kern w:val="0"/>
          <w:sz w:val="20"/>
          <w:szCs w:val="20"/>
          <w:highlight w:val="none"/>
          <w:lang w:val="ru-RU"/>
        </w:rPr>
        <w:t>10.3.4.8</w:t>
      </w:r>
      <w:r>
        <w:rPr>
          <w:rFonts w:hint="eastAsia" w:ascii="宋体" w:hAnsi="宋体" w:cs="宋体"/>
          <w:iCs w:val="0"/>
          <w:color w:val="auto"/>
          <w:spacing w:val="-3"/>
          <w:kern w:val="0"/>
          <w:sz w:val="20"/>
          <w:szCs w:val="20"/>
          <w:highlight w:val="none"/>
          <w:lang w:val="ru-RU"/>
        </w:rPr>
        <w:t>所有根据锦江区相关</w:t>
      </w:r>
      <w:r>
        <w:rPr>
          <w:rFonts w:hint="eastAsia" w:ascii="宋体" w:hAnsi="宋体" w:cs="宋体"/>
          <w:iCs w:val="0"/>
          <w:color w:val="auto"/>
          <w:spacing w:val="-2"/>
          <w:kern w:val="0"/>
          <w:sz w:val="20"/>
          <w:szCs w:val="20"/>
          <w:highlight w:val="none"/>
          <w:lang w:val="ru-RU"/>
        </w:rPr>
        <w:t>文件要求报经区评审中心备案或评审后的变更，承包人应无条件实施施工，承包人不得以评审价格过低或其他任何理由拒绝实施，否则视为承包人违约，承包人应向发包人支付违约金，且发包人有权委托第三方单位完成该</w:t>
      </w:r>
      <w:r>
        <w:rPr>
          <w:color w:val="auto"/>
          <w:highlight w:val="none"/>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2700" cy="12700"/>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12700" cy="12700"/>
                    </a:xfrm>
                    <a:prstGeom prst="rect">
                      <a:avLst/>
                    </a:prstGeom>
                    <a:noFill/>
                    <a:ln>
                      <a:noFill/>
                    </a:ln>
                  </pic:spPr>
                </pic:pic>
              </a:graphicData>
            </a:graphic>
          </wp:anchor>
        </w:drawing>
      </w:r>
      <w:r>
        <w:rPr>
          <w:rFonts w:hint="eastAsia" w:ascii="宋体" w:hAnsi="宋体" w:cs="宋体"/>
          <w:iCs w:val="0"/>
          <w:color w:val="auto"/>
          <w:spacing w:val="-9"/>
          <w:kern w:val="0"/>
          <w:sz w:val="20"/>
          <w:szCs w:val="20"/>
          <w:highlight w:val="none"/>
          <w:lang w:val="ru-RU"/>
        </w:rPr>
        <w:t>工程变更内容的施工，承包人应无条件配合。其中：若该项变更审定金额小于人民币</w:t>
      </w:r>
      <w:r>
        <w:rPr>
          <w:rFonts w:ascii="宋体" w:hAnsi="Calibri" w:eastAsia="Calibri"/>
          <w:iCs w:val="0"/>
          <w:color w:val="auto"/>
          <w:spacing w:val="-1"/>
          <w:kern w:val="0"/>
          <w:sz w:val="20"/>
          <w:szCs w:val="20"/>
          <w:highlight w:val="none"/>
          <w:lang w:val="ru-RU"/>
        </w:rPr>
        <w:t>100000</w:t>
      </w:r>
      <w:r>
        <w:rPr>
          <w:rFonts w:hint="eastAsia" w:ascii="宋体" w:hAnsi="宋体" w:cs="宋体"/>
          <w:iCs w:val="0"/>
          <w:color w:val="auto"/>
          <w:spacing w:val="-2"/>
          <w:kern w:val="0"/>
          <w:sz w:val="20"/>
          <w:szCs w:val="20"/>
          <w:highlight w:val="none"/>
          <w:lang w:val="ru-RU"/>
        </w:rPr>
        <w:t>元时，违约金按</w:t>
      </w:r>
      <w:r>
        <w:rPr>
          <w:rFonts w:ascii="宋体" w:hAnsi="Calibri" w:eastAsia="Calibri"/>
          <w:iCs w:val="0"/>
          <w:color w:val="auto"/>
          <w:spacing w:val="8"/>
          <w:kern w:val="0"/>
          <w:sz w:val="20"/>
          <w:szCs w:val="20"/>
          <w:highlight w:val="none"/>
          <w:lang w:val="ru-RU"/>
        </w:rPr>
        <w:t>100000</w:t>
      </w:r>
      <w:r>
        <w:rPr>
          <w:rFonts w:hint="eastAsia" w:ascii="宋体" w:hAnsi="宋体" w:cs="宋体"/>
          <w:iCs w:val="0"/>
          <w:color w:val="auto"/>
          <w:spacing w:val="-2"/>
          <w:kern w:val="0"/>
          <w:sz w:val="20"/>
          <w:szCs w:val="20"/>
          <w:highlight w:val="none"/>
          <w:lang w:val="ru-RU"/>
        </w:rPr>
        <w:t>元计；若该项变更审定金额大于或者等于人民币</w:t>
      </w:r>
      <w:r>
        <w:rPr>
          <w:rFonts w:ascii="宋体" w:hAnsi="Calibri" w:eastAsia="Calibri"/>
          <w:iCs w:val="0"/>
          <w:color w:val="auto"/>
          <w:spacing w:val="8"/>
          <w:kern w:val="0"/>
          <w:sz w:val="20"/>
          <w:szCs w:val="20"/>
          <w:highlight w:val="none"/>
          <w:lang w:val="ru-RU"/>
        </w:rPr>
        <w:t>100000</w:t>
      </w:r>
      <w:r>
        <w:rPr>
          <w:rFonts w:hint="eastAsia" w:ascii="宋体" w:hAnsi="宋体" w:cs="宋体"/>
          <w:iCs w:val="0"/>
          <w:color w:val="auto"/>
          <w:spacing w:val="-3"/>
          <w:kern w:val="0"/>
          <w:sz w:val="20"/>
          <w:szCs w:val="20"/>
          <w:highlight w:val="none"/>
          <w:lang w:val="ru-RU"/>
        </w:rPr>
        <w:t>元时，违</w:t>
      </w:r>
      <w:r>
        <w:rPr>
          <w:rFonts w:hint="eastAsia" w:ascii="宋体" w:hAnsi="宋体" w:cs="宋体"/>
          <w:iCs w:val="0"/>
          <w:color w:val="auto"/>
          <w:spacing w:val="-1"/>
          <w:kern w:val="0"/>
          <w:sz w:val="20"/>
          <w:szCs w:val="20"/>
          <w:highlight w:val="none"/>
          <w:lang w:val="ru-RU"/>
        </w:rPr>
        <w:t>约金按审定金额计。</w:t>
      </w:r>
    </w:p>
    <w:p>
      <w:pPr>
        <w:widowControl/>
        <w:ind w:firstLine="424"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spacing w:val="6"/>
          <w:kern w:val="0"/>
          <w:sz w:val="20"/>
          <w:szCs w:val="20"/>
          <w:highlight w:val="none"/>
          <w:lang w:val="ru-RU"/>
        </w:rPr>
        <w:t>10.3.4.9</w:t>
      </w:r>
      <w:r>
        <w:rPr>
          <w:rFonts w:hint="eastAsia" w:ascii="宋体" w:hAnsi="宋体" w:cs="宋体"/>
          <w:iCs w:val="0"/>
          <w:color w:val="auto"/>
          <w:spacing w:val="-5"/>
          <w:kern w:val="0"/>
          <w:sz w:val="20"/>
          <w:szCs w:val="20"/>
          <w:highlight w:val="none"/>
          <w:lang w:val="ru-RU"/>
        </w:rPr>
        <w:t>对已完成的工程进行变更，承包人应在施工前</w:t>
      </w:r>
      <w:r>
        <w:rPr>
          <w:rFonts w:ascii="宋体" w:hAnsi="Calibri" w:eastAsia="Calibri"/>
          <w:iCs w:val="0"/>
          <w:color w:val="auto"/>
          <w:spacing w:val="53"/>
          <w:kern w:val="0"/>
          <w:sz w:val="20"/>
          <w:szCs w:val="20"/>
          <w:highlight w:val="none"/>
          <w:lang w:val="ru-RU"/>
        </w:rPr>
        <w:t>3</w:t>
      </w:r>
      <w:r>
        <w:rPr>
          <w:rFonts w:hint="eastAsia" w:ascii="宋体" w:hAnsi="宋体" w:cs="宋体"/>
          <w:iCs w:val="0"/>
          <w:color w:val="auto"/>
          <w:spacing w:val="-1"/>
          <w:kern w:val="0"/>
          <w:sz w:val="20"/>
          <w:szCs w:val="20"/>
          <w:highlight w:val="none"/>
          <w:lang w:val="ru-RU"/>
        </w:rPr>
        <w:t>个日历天内将施工方案报发</w:t>
      </w:r>
      <w:r>
        <w:rPr>
          <w:rFonts w:hint="eastAsia" w:ascii="宋体" w:hAnsi="宋体" w:cs="宋体"/>
          <w:iCs w:val="0"/>
          <w:color w:val="auto"/>
          <w:spacing w:val="-2"/>
          <w:kern w:val="0"/>
          <w:sz w:val="20"/>
          <w:szCs w:val="20"/>
          <w:highlight w:val="none"/>
          <w:lang w:val="ru-RU"/>
        </w:rPr>
        <w:t>包人确认；对于有可能重复利用的材料设备，承包人应进行保护，属承包人拆除时未采取保护措施或拆除后保护不当造成的损失，由承包人负责。现场签证如涉及可重复利用的设</w:t>
      </w:r>
      <w:r>
        <w:rPr>
          <w:rFonts w:hint="eastAsia" w:ascii="宋体" w:hAnsi="宋体" w:cs="宋体"/>
          <w:iCs w:val="0"/>
          <w:color w:val="auto"/>
          <w:spacing w:val="-1"/>
          <w:kern w:val="0"/>
          <w:sz w:val="20"/>
          <w:szCs w:val="20"/>
          <w:highlight w:val="none"/>
          <w:lang w:val="ru-RU"/>
        </w:rPr>
        <w:t>备、材料，必须在施工前得到发包人人员书面确认。</w:t>
      </w:r>
    </w:p>
    <w:p>
      <w:pPr>
        <w:widowControl/>
        <w:ind w:firstLine="400" w:firstLineChars="200"/>
        <w:jc w:val="left"/>
        <w:rPr>
          <w:rFonts w:ascii="宋体" w:hAnsi="Calibri" w:eastAsia="Calibri"/>
          <w:iCs w:val="0"/>
          <w:color w:val="auto"/>
          <w:kern w:val="0"/>
          <w:sz w:val="20"/>
          <w:szCs w:val="20"/>
          <w:highlight w:val="none"/>
          <w:lang w:val="ru-RU"/>
        </w:rPr>
      </w:pPr>
      <w:r>
        <w:rPr>
          <w:rFonts w:ascii="宋体" w:hAnsi="Calibri" w:eastAsia="Calibri"/>
          <w:iCs w:val="0"/>
          <w:color w:val="auto"/>
          <w:kern w:val="0"/>
          <w:sz w:val="20"/>
          <w:szCs w:val="20"/>
          <w:highlight w:val="none"/>
          <w:lang w:val="ru-RU"/>
        </w:rPr>
        <w:t>10.3.4.10</w:t>
      </w:r>
      <w:r>
        <w:rPr>
          <w:rFonts w:hint="eastAsia" w:ascii="宋体" w:hAnsi="宋体" w:cs="宋体"/>
          <w:iCs w:val="0"/>
          <w:color w:val="auto"/>
          <w:spacing w:val="-1"/>
          <w:kern w:val="0"/>
          <w:sz w:val="20"/>
          <w:szCs w:val="20"/>
          <w:highlight w:val="none"/>
          <w:lang w:val="ru-RU"/>
        </w:rPr>
        <w:t>变更资料提交时限：严格按照发包人要求规范执行。完整的变更资料应包</w:t>
      </w:r>
      <w:r>
        <w:rPr>
          <w:rFonts w:hint="eastAsia" w:ascii="宋体" w:hAnsi="宋体" w:cs="宋体"/>
          <w:iCs w:val="0"/>
          <w:color w:val="auto"/>
          <w:spacing w:val="-2"/>
          <w:kern w:val="0"/>
          <w:sz w:val="20"/>
          <w:szCs w:val="20"/>
          <w:highlight w:val="none"/>
          <w:lang w:val="ru-RU"/>
        </w:rPr>
        <w:t>括变更依据以及相关书面佐证资料等，且必须在约定时间内及时报送。如逾期报送的，区评审中心将视为放弃该变更（签证）的报送，且不再接件受理评审，该变更（签证）所涉</w:t>
      </w:r>
      <w:r>
        <w:rPr>
          <w:rFonts w:hint="eastAsia" w:ascii="宋体" w:hAnsi="宋体" w:cs="宋体"/>
          <w:iCs w:val="0"/>
          <w:color w:val="auto"/>
          <w:spacing w:val="-1"/>
          <w:kern w:val="0"/>
          <w:sz w:val="20"/>
          <w:szCs w:val="20"/>
          <w:highlight w:val="none"/>
          <w:lang w:val="ru-RU"/>
        </w:rPr>
        <w:t>及金额均由承包人自行承担。</w:t>
      </w:r>
    </w:p>
    <w:p>
      <w:pPr>
        <w:widowControl/>
        <w:ind w:firstLine="420" w:firstLineChars="200"/>
        <w:jc w:val="left"/>
        <w:rPr>
          <w:rFonts w:ascii="宋体" w:hAnsi="宋体" w:cs="宋体"/>
          <w:iCs w:val="0"/>
          <w:color w:val="auto"/>
          <w:spacing w:val="-1"/>
          <w:kern w:val="0"/>
          <w:sz w:val="20"/>
          <w:szCs w:val="20"/>
          <w:highlight w:val="none"/>
          <w:lang w:val="ru-RU"/>
        </w:rPr>
      </w:pPr>
      <w:r>
        <w:rPr>
          <w:rFonts w:ascii="宋体" w:hAnsi="Calibri" w:eastAsia="Calibri"/>
          <w:iCs w:val="0"/>
          <w:color w:val="auto"/>
          <w:spacing w:val="5"/>
          <w:kern w:val="0"/>
          <w:sz w:val="20"/>
          <w:szCs w:val="20"/>
          <w:highlight w:val="none"/>
          <w:lang w:val="ru-RU"/>
        </w:rPr>
        <w:t>10.3.4.11</w:t>
      </w:r>
      <w:r>
        <w:rPr>
          <w:rFonts w:hint="eastAsia" w:ascii="宋体" w:hAnsi="宋体" w:cs="宋体"/>
          <w:iCs w:val="0"/>
          <w:color w:val="auto"/>
          <w:spacing w:val="-12"/>
          <w:kern w:val="0"/>
          <w:sz w:val="20"/>
          <w:szCs w:val="20"/>
          <w:highlight w:val="none"/>
          <w:lang w:val="ru-RU"/>
        </w:rPr>
        <w:t>设计变更（技术核定）提出时间：原则上在正式施工图会审后</w:t>
      </w:r>
      <w:r>
        <w:rPr>
          <w:rFonts w:ascii="宋体" w:hAnsi="Calibri" w:eastAsia="Calibri"/>
          <w:iCs w:val="0"/>
          <w:color w:val="auto"/>
          <w:spacing w:val="25"/>
          <w:kern w:val="0"/>
          <w:sz w:val="20"/>
          <w:szCs w:val="20"/>
          <w:highlight w:val="none"/>
          <w:lang w:val="ru-RU"/>
        </w:rPr>
        <w:t>15</w:t>
      </w:r>
      <w:r>
        <w:rPr>
          <w:rFonts w:hint="eastAsia" w:ascii="宋体" w:hAnsi="宋体" w:cs="宋体"/>
          <w:iCs w:val="0"/>
          <w:color w:val="auto"/>
          <w:spacing w:val="-1"/>
          <w:kern w:val="0"/>
          <w:sz w:val="20"/>
          <w:szCs w:val="20"/>
          <w:highlight w:val="none"/>
          <w:lang w:val="ru-RU"/>
        </w:rPr>
        <w:t>日内提出；存在设计条件与现实情况不符合的，需在发现问题后</w:t>
      </w:r>
      <w:r>
        <w:rPr>
          <w:rFonts w:ascii="宋体" w:hAnsi="Calibri" w:eastAsia="Calibri"/>
          <w:iCs w:val="0"/>
          <w:color w:val="auto"/>
          <w:kern w:val="0"/>
          <w:sz w:val="20"/>
          <w:szCs w:val="20"/>
          <w:highlight w:val="none"/>
          <w:lang w:val="ru-RU"/>
        </w:rPr>
        <w:t>2</w:t>
      </w:r>
      <w:r>
        <w:rPr>
          <w:rFonts w:hint="eastAsia" w:ascii="宋体" w:hAnsi="宋体" w:cs="宋体"/>
          <w:iCs w:val="0"/>
          <w:color w:val="auto"/>
          <w:spacing w:val="-1"/>
          <w:kern w:val="0"/>
          <w:sz w:val="20"/>
          <w:szCs w:val="20"/>
          <w:highlight w:val="none"/>
          <w:lang w:val="ru-RU"/>
        </w:rPr>
        <w:t>日内提出；需设计明确或修改的，在施工到该部位前</w:t>
      </w:r>
      <w:r>
        <w:rPr>
          <w:rFonts w:ascii="宋体" w:hAnsi="宋体"/>
          <w:iCs w:val="0"/>
          <w:color w:val="auto"/>
          <w:spacing w:val="51"/>
          <w:kern w:val="0"/>
          <w:sz w:val="20"/>
          <w:szCs w:val="20"/>
          <w:highlight w:val="none"/>
          <w:lang w:val="ru-RU"/>
        </w:rPr>
        <w:t>5</w:t>
      </w:r>
      <w:r>
        <w:rPr>
          <w:rFonts w:hint="eastAsia" w:ascii="宋体" w:hAnsi="宋体" w:cs="宋体"/>
          <w:iCs w:val="0"/>
          <w:color w:val="auto"/>
          <w:spacing w:val="-1"/>
          <w:kern w:val="0"/>
          <w:sz w:val="20"/>
          <w:szCs w:val="20"/>
          <w:highlight w:val="none"/>
          <w:lang w:val="ru-RU"/>
        </w:rPr>
        <w:t>日内提出并及时完善手续。</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10.4 变更估价</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10.4.1 变更估价原则</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关于变更估价的约定: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10.4.1.1</w:t>
      </w:r>
      <w:r>
        <w:rPr>
          <w:rFonts w:hint="eastAsia" w:ascii="宋体" w:hAnsi="宋体" w:cs="宋体"/>
          <w:iCs w:val="0"/>
          <w:color w:val="auto"/>
          <w:sz w:val="20"/>
          <w:szCs w:val="20"/>
          <w:highlight w:val="none"/>
          <w:u w:val="single"/>
        </w:rPr>
        <w:t>承包人不得在未经发包人允许的情况下擅自改变。变更计价评审原则如下</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(a)</w:t>
      </w:r>
      <w:r>
        <w:rPr>
          <w:rFonts w:hint="eastAsia" w:ascii="宋体" w:hAnsi="宋体" w:cs="宋体"/>
          <w:iCs w:val="0"/>
          <w:color w:val="auto"/>
          <w:sz w:val="20"/>
          <w:szCs w:val="20"/>
          <w:highlight w:val="none"/>
          <w:u w:val="single"/>
        </w:rPr>
        <w:t>已标价工程量清单中和合同中没有类似变更工程项目的，须根据变更工程资料、计量规则和计价办法、工程造价管理机构发布的信息价格和承包人报价浮动率提出变更工程项目的单价或总价。即按中标价对</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最高限价的下浮率下浮变更单价或总价</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(b)</w:t>
      </w:r>
      <w:r>
        <w:rPr>
          <w:rFonts w:hint="eastAsia" w:ascii="宋体" w:hAnsi="宋体" w:cs="宋体"/>
          <w:iCs w:val="0"/>
          <w:color w:val="auto"/>
          <w:sz w:val="20"/>
          <w:szCs w:val="20"/>
          <w:highlight w:val="none"/>
          <w:u w:val="single"/>
        </w:rPr>
        <w:t>变更后比变更前项目的工作内容减少、消耗量减少、档次降低、规格减小、施工难度降低、主材价格降低的，其新单价或者总价不得超过变更前的单价或者总价</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(c)</w:t>
      </w:r>
      <w:r>
        <w:rPr>
          <w:rFonts w:hint="eastAsia" w:ascii="宋体" w:hAnsi="宋体" w:cs="宋体"/>
          <w:iCs w:val="0"/>
          <w:color w:val="auto"/>
          <w:sz w:val="20"/>
          <w:szCs w:val="20"/>
          <w:highlight w:val="none"/>
          <w:u w:val="single"/>
        </w:rPr>
        <w:t>变更项目的中标综合单价（或总价）等于或高于按定额正常组价的120%的，变更项目增加部分的计价须按定额正常组价修正中标综合单价</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10.4.1.2</w:t>
      </w:r>
      <w:r>
        <w:rPr>
          <w:rFonts w:hint="eastAsia" w:ascii="宋体" w:hAnsi="宋体" w:cs="宋体"/>
          <w:iCs w:val="0"/>
          <w:color w:val="auto"/>
          <w:sz w:val="20"/>
          <w:szCs w:val="20"/>
          <w:highlight w:val="none"/>
          <w:u w:val="single"/>
        </w:rPr>
        <w:t>除合同另有规定外，由于发包人所提供的工程量清单漏项或设计变更引起的新的工程量清单项目，其结算方式按以下方式计算</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（a）</w:t>
      </w:r>
      <w:r>
        <w:rPr>
          <w:rFonts w:hint="eastAsia" w:ascii="宋体" w:hAnsi="宋体" w:cs="宋体"/>
          <w:iCs w:val="0"/>
          <w:color w:val="auto"/>
          <w:sz w:val="20"/>
          <w:szCs w:val="20"/>
          <w:highlight w:val="none"/>
          <w:u w:val="single"/>
        </w:rPr>
        <w:t>已标价工程量清单或预算书有相同项目的，经发包人确认后按照相同项目单价认定；但当工程变更导致该清单项目的工程量偏差超过15%时，按专用条款12.1调整办法执行。</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（b）</w:t>
      </w:r>
      <w:r>
        <w:rPr>
          <w:rFonts w:hint="eastAsia" w:ascii="宋体" w:hAnsi="宋体" w:cs="宋体"/>
          <w:iCs w:val="0"/>
          <w:color w:val="auto"/>
          <w:sz w:val="20"/>
          <w:szCs w:val="20"/>
          <w:highlight w:val="none"/>
          <w:u w:val="single"/>
        </w:rPr>
        <w:t>已标价工程量清单或预算书中无相同项目，但有类似项目的，经发包人确认后可参照类似的综合单价计算。具体方式如下</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类似于此工程项目的综合单价是指工程量清单项目中除主要材料价格不相同外，其余人工费、机械费及其它材料费均相同的项目，可按中标综合单价加材料价差。材料价差为不同材料时，按当期成都市《工程造价信息》公布的“成都市建筑材料市场价格”中的市场综合价计算价差，调整确定类似工程项目的综合单价</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（c）</w:t>
      </w:r>
      <w:r>
        <w:rPr>
          <w:rFonts w:hint="eastAsia" w:ascii="宋体" w:hAnsi="宋体" w:cs="宋体"/>
          <w:iCs w:val="0"/>
          <w:color w:val="auto"/>
          <w:sz w:val="20"/>
          <w:szCs w:val="20"/>
          <w:highlight w:val="none"/>
          <w:u w:val="single"/>
        </w:rPr>
        <w:t>已标价工程量清单或预算书中无相同项目及类似项目单价的，由承包人按照合理的成本与利润构成原则，根据变更工程资料、成都市工程造价管理机构发布的信息价格和承包人报价浮动率及建设工程工程量清单计价规范GB50500-2013、2015《四川省建设工程工程量清单计价定额》及相关配套文件报送该项目的综合单价，经发包人确认后执行该综合单价。其中该项目的材料价格按承包人的中标材料价格执行，属于新增材料设备的，按施工当月成都市《工程造价信息》中材料价格执行，信息中没有的材料设备由发包人通过询价后确定相应的材料价格</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①</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工程：</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最终综合单价=承包人上报且经发包人审核后的综合单价×（中标价÷</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最高限价）（中标价、</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最高限价均不包含安全文明施工费）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②非</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工程：</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最终综合单价=承包人上报且经发包人审核后的综合单价×（报价值÷施工图预算）（报价值、施工图预算均不包含安全文明施工费）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（d）</w:t>
      </w:r>
      <w:r>
        <w:rPr>
          <w:rFonts w:hint="eastAsia" w:ascii="宋体" w:hAnsi="宋体" w:cs="宋体"/>
          <w:iCs w:val="0"/>
          <w:color w:val="auto"/>
          <w:sz w:val="20"/>
          <w:szCs w:val="20"/>
          <w:highlight w:val="none"/>
          <w:u w:val="single"/>
        </w:rPr>
        <w:t>若对分部分项工程量清单中的某项材料进行变更，则不引起该项综合单价中人工费、机械费及其它材料费等的变化，仅对综合单价中的该项材料费进行价差调整，材料的消耗量按承包人单价分析表中的耗量为准，但不得超出2015《四川省建设工程工程量清单计价定额》的规定耗量。若超出，则以2015《四川省建设工程工程量清单计价定额》的规定耗量为准</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（e）</w:t>
      </w:r>
      <w:r>
        <w:rPr>
          <w:rFonts w:hint="eastAsia" w:ascii="宋体" w:hAnsi="宋体" w:cs="宋体"/>
          <w:iCs w:val="0"/>
          <w:color w:val="auto"/>
          <w:sz w:val="20"/>
          <w:szCs w:val="20"/>
          <w:highlight w:val="none"/>
          <w:u w:val="single"/>
        </w:rPr>
        <w:t>本项目《工程量清单》中的工程量有误或工程变更导致取消或减少分部分项工程量清单项目，则取消的项目不进行工程计量和支付</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10.4.2 变更估价程序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承包人应在收到变更指示后14天内，向监理人提交变更估价申请及相关造价、影像资料，若承包人未在收到变更指示后14天内提交变更估价申请及相关造价、影像资料，则视为承包人对该变更不存在调整价款请求。监理人应在收到承包人提交的变更估价申请等相关资料后7天内审查完毕并报送发包人，监理人对变更估价申请等相关资料有异议，通知承包人修改后重新提交。发包人收到变更估价申请等相关资料后按照锦江区相关文件规定办理变更，承包人应予以配合</w:t>
      </w:r>
      <w:r>
        <w:rPr>
          <w:rFonts w:hint="eastAsia" w:ascii="宋体" w:hAnsi="宋体" w:cs="宋体"/>
          <w:iCs w:val="0"/>
          <w:color w:val="auto"/>
          <w:sz w:val="20"/>
          <w:szCs w:val="20"/>
          <w:highlight w:val="none"/>
        </w:rPr>
        <w:t>。关于工程建设项目增减变化的审计原则如下：（1）中标总价中减少部分的中标价之和与相对应的控制价之差的比例，从变更增加的总价中，同金额同比例扣减；变更后增加的总价超过减少部分控制总价±3%的，按以下原则计价：当变更增加的总价大于减少部分相对应的控制价时，但该项目总价仍在中标总价之内的（未超暂列金）按总中标价低于总控制价同金额的比例扣减， 超中标总价（超暂列金)按应急项目扣减（防止低价中标高价结算）；当变更增加的总价小于减少部分相对应的控制价时，按同金额同比例扣减。（2）变更只增加不减少的项目超中标总价的部分，按应急项目扣减。（3）只减少不增加的项目，按减少部分的中标总价相对应的控制总价之差的比例减去总中标价低于总控制价的比例后，从实施项目的中标总价（审定价）中同比例调整。（4）工程量超清单量15%的项目重新组价或按控制价计价后，再按上述原则调整（防止高价中标高价结算）。</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10.4.3 变更引起的措施费调整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工程变更引起施工方案改变并使措施项目发生变化时，承包人提出调整措施项目费的，应事先在实施变更30日前将拟实施的方案提交发包人确认，并应详细说明与原方案措施项目相比的变化情况。如果承包人未事先在实施变更30日前将拟实施的方案提交给发包人确认，则视为工程变更不引起措施项目费的调整或承包人放弃调整措施项目费的权利。拟实施的方案经发包人确认后执行，并按下列规定调整措施项目费：</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fldChar w:fldCharType="begin"/>
      </w:r>
      <w:r>
        <w:rPr>
          <w:rFonts w:hint="eastAsia" w:ascii="宋体" w:hAnsi="宋体" w:cs="宋体"/>
          <w:iCs w:val="0"/>
          <w:color w:val="auto"/>
          <w:sz w:val="20"/>
          <w:szCs w:val="20"/>
          <w:highlight w:val="none"/>
        </w:rPr>
        <w:instrText xml:space="preserve"> = 1 \* GB3 </w:instrText>
      </w:r>
      <w:r>
        <w:rPr>
          <w:rFonts w:hint="eastAsia" w:ascii="宋体" w:hAnsi="宋体" w:cs="宋体"/>
          <w:iCs w:val="0"/>
          <w:color w:val="auto"/>
          <w:sz w:val="20"/>
          <w:szCs w:val="20"/>
          <w:highlight w:val="none"/>
        </w:rPr>
        <w:fldChar w:fldCharType="separate"/>
      </w:r>
      <w:r>
        <w:rPr>
          <w:rFonts w:hint="eastAsia" w:ascii="宋体" w:hAnsi="宋体" w:cs="宋体"/>
          <w:iCs w:val="0"/>
          <w:color w:val="auto"/>
          <w:sz w:val="20"/>
          <w:szCs w:val="20"/>
          <w:highlight w:val="none"/>
        </w:rPr>
        <w:t>①</w:t>
      </w:r>
      <w:r>
        <w:rPr>
          <w:rFonts w:hint="eastAsia" w:ascii="宋体" w:hAnsi="宋体" w:cs="宋体"/>
          <w:iCs w:val="0"/>
          <w:color w:val="auto"/>
          <w:sz w:val="20"/>
          <w:szCs w:val="20"/>
          <w:highlight w:val="none"/>
        </w:rPr>
        <w:fldChar w:fldCharType="end"/>
      </w:r>
      <w:r>
        <w:rPr>
          <w:rFonts w:hint="eastAsia" w:ascii="宋体" w:hAnsi="宋体" w:cs="宋体"/>
          <w:iCs w:val="0"/>
          <w:color w:val="auto"/>
          <w:sz w:val="20"/>
          <w:szCs w:val="20"/>
          <w:highlight w:val="none"/>
        </w:rPr>
        <w:t>安全文明施工费按照实际发生变化的措施项目依据省市文件规定计算。</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fldChar w:fldCharType="begin"/>
      </w:r>
      <w:r>
        <w:rPr>
          <w:rFonts w:hint="eastAsia" w:ascii="宋体" w:hAnsi="宋体" w:cs="宋体"/>
          <w:iCs w:val="0"/>
          <w:color w:val="auto"/>
          <w:sz w:val="20"/>
          <w:szCs w:val="20"/>
          <w:highlight w:val="none"/>
        </w:rPr>
        <w:instrText xml:space="preserve"> = 2 \* GB3 </w:instrText>
      </w:r>
      <w:r>
        <w:rPr>
          <w:rFonts w:hint="eastAsia" w:ascii="宋体" w:hAnsi="宋体" w:cs="宋体"/>
          <w:iCs w:val="0"/>
          <w:color w:val="auto"/>
          <w:sz w:val="20"/>
          <w:szCs w:val="20"/>
          <w:highlight w:val="none"/>
        </w:rPr>
        <w:fldChar w:fldCharType="separate"/>
      </w:r>
      <w:r>
        <w:rPr>
          <w:rFonts w:hint="eastAsia" w:ascii="宋体" w:hAnsi="宋体" w:cs="宋体"/>
          <w:iCs w:val="0"/>
          <w:color w:val="auto"/>
          <w:sz w:val="20"/>
          <w:szCs w:val="20"/>
          <w:highlight w:val="none"/>
        </w:rPr>
        <w:t>②</w:t>
      </w:r>
      <w:r>
        <w:rPr>
          <w:rFonts w:hint="eastAsia" w:ascii="宋体" w:hAnsi="宋体" w:cs="宋体"/>
          <w:iCs w:val="0"/>
          <w:color w:val="auto"/>
          <w:sz w:val="20"/>
          <w:szCs w:val="20"/>
          <w:highlight w:val="none"/>
        </w:rPr>
        <w:fldChar w:fldCharType="end"/>
      </w:r>
      <w:r>
        <w:rPr>
          <w:rFonts w:hint="eastAsia" w:ascii="宋体" w:hAnsi="宋体" w:cs="宋体"/>
          <w:iCs w:val="0"/>
          <w:color w:val="auto"/>
          <w:sz w:val="20"/>
          <w:szCs w:val="20"/>
          <w:highlight w:val="none"/>
        </w:rPr>
        <w:t>采用单价计算的措施项目，按照实际变化发生的措施项目，依据本合同约定的变更估价原则确定单价。</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fldChar w:fldCharType="begin"/>
      </w:r>
      <w:r>
        <w:rPr>
          <w:rFonts w:hint="eastAsia" w:ascii="宋体" w:hAnsi="宋体" w:cs="宋体"/>
          <w:iCs w:val="0"/>
          <w:color w:val="auto"/>
          <w:sz w:val="20"/>
          <w:szCs w:val="20"/>
          <w:highlight w:val="none"/>
        </w:rPr>
        <w:instrText xml:space="preserve"> = 3 \* GB3 </w:instrText>
      </w:r>
      <w:r>
        <w:rPr>
          <w:rFonts w:hint="eastAsia" w:ascii="宋体" w:hAnsi="宋体" w:cs="宋体"/>
          <w:iCs w:val="0"/>
          <w:color w:val="auto"/>
          <w:sz w:val="20"/>
          <w:szCs w:val="20"/>
          <w:highlight w:val="none"/>
        </w:rPr>
        <w:fldChar w:fldCharType="separate"/>
      </w:r>
      <w:r>
        <w:rPr>
          <w:rFonts w:hint="eastAsia" w:ascii="宋体" w:hAnsi="宋体" w:cs="宋体"/>
          <w:iCs w:val="0"/>
          <w:color w:val="auto"/>
          <w:sz w:val="20"/>
          <w:szCs w:val="20"/>
          <w:highlight w:val="none"/>
        </w:rPr>
        <w:t>③</w:t>
      </w:r>
      <w:r>
        <w:rPr>
          <w:rFonts w:hint="eastAsia" w:ascii="宋体" w:hAnsi="宋体" w:cs="宋体"/>
          <w:iCs w:val="0"/>
          <w:color w:val="auto"/>
          <w:sz w:val="20"/>
          <w:szCs w:val="20"/>
          <w:highlight w:val="none"/>
        </w:rPr>
        <w:fldChar w:fldCharType="end"/>
      </w:r>
      <w:r>
        <w:rPr>
          <w:rFonts w:hint="eastAsia" w:ascii="宋体" w:hAnsi="宋体" w:cs="宋体"/>
          <w:iCs w:val="0"/>
          <w:color w:val="auto"/>
          <w:sz w:val="20"/>
          <w:szCs w:val="20"/>
          <w:highlight w:val="none"/>
        </w:rPr>
        <w:t>按总价（或系数）计算的措施项目费，本工程的措施项目费在没有变更的合同承包范围内一次包干不作调整。</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Start w:id="485" w:name="_Toc296503197"/>
      <w:bookmarkStart w:id="486" w:name="_Toc296346698"/>
      <w:bookmarkStart w:id="487" w:name="_Toc300934993"/>
      <w:bookmarkStart w:id="488" w:name="_Toc303539150"/>
      <w:bookmarkStart w:id="489" w:name="_Toc297048383"/>
      <w:bookmarkStart w:id="490" w:name="_Toc297216203"/>
      <w:bookmarkStart w:id="491" w:name="_Toc292559402"/>
      <w:bookmarkStart w:id="492" w:name="_Toc292559907"/>
      <w:bookmarkStart w:id="493" w:name="_Toc297120497"/>
      <w:bookmarkStart w:id="494" w:name="_Toc296347196"/>
      <w:bookmarkStart w:id="495" w:name="_Toc296891025"/>
      <w:bookmarkStart w:id="496" w:name="_Toc297123544"/>
      <w:bookmarkStart w:id="497" w:name="_Toc296891237"/>
      <w:bookmarkStart w:id="498" w:name="_Toc296944536"/>
      <w:bookmarkStart w:id="499" w:name="_Toc312677503"/>
      <w:bookmarkStart w:id="500" w:name="_Toc304295570"/>
      <w:bookmarkStart w:id="501" w:name="_Toc312678029"/>
      <w:r>
        <w:rPr>
          <w:rFonts w:hint="eastAsia" w:ascii="宋体" w:hAnsi="宋体" w:cs="宋体"/>
          <w:iCs w:val="0"/>
          <w:color w:val="auto"/>
          <w:sz w:val="20"/>
          <w:szCs w:val="20"/>
          <w:highlight w:val="none"/>
        </w:rPr>
        <w:t>0.5承</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Start w:id="502" w:name="_Toc297216204"/>
      <w:bookmarkStart w:id="503" w:name="_Toc296503203"/>
      <w:bookmarkStart w:id="504" w:name="_Toc292559913"/>
      <w:bookmarkStart w:id="505" w:name="_Toc297120503"/>
      <w:bookmarkStart w:id="506" w:name="_Toc296891031"/>
      <w:bookmarkStart w:id="507" w:name="_Toc303539151"/>
      <w:bookmarkStart w:id="508" w:name="_Toc296944542"/>
      <w:bookmarkStart w:id="509" w:name="_Toc296891243"/>
      <w:bookmarkStart w:id="510" w:name="_Toc300934994"/>
      <w:bookmarkStart w:id="511" w:name="_Toc296346704"/>
      <w:bookmarkStart w:id="512" w:name="_Toc297123545"/>
      <w:bookmarkStart w:id="513" w:name="_Toc297048389"/>
      <w:bookmarkStart w:id="514" w:name="_Toc296347202"/>
      <w:bookmarkStart w:id="515" w:name="_Toc292559408"/>
      <w:r>
        <w:rPr>
          <w:rFonts w:hint="eastAsia" w:ascii="宋体" w:hAnsi="宋体" w:cs="宋体"/>
          <w:iCs w:val="0"/>
          <w:color w:val="auto"/>
          <w:sz w:val="20"/>
          <w:szCs w:val="20"/>
          <w:highlight w:val="none"/>
        </w:rPr>
        <w:t>包人的合理化建议</w:t>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监理人审查承包人合理化建议的期限：</w:t>
      </w:r>
      <w:r>
        <w:rPr>
          <w:rFonts w:hint="eastAsia" w:ascii="宋体" w:hAnsi="宋体" w:cs="宋体"/>
          <w:iCs w:val="0"/>
          <w:color w:val="auto"/>
          <w:sz w:val="20"/>
          <w:szCs w:val="20"/>
          <w:highlight w:val="none"/>
          <w:u w:val="single"/>
        </w:rPr>
        <w:t>按通用合同条款执行</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发包人审批承包人合理化建议的期限：</w:t>
      </w:r>
      <w:r>
        <w:rPr>
          <w:rFonts w:hint="eastAsia" w:ascii="宋体" w:hAnsi="宋体" w:cs="宋体"/>
          <w:iCs w:val="0"/>
          <w:color w:val="auto"/>
          <w:sz w:val="20"/>
          <w:szCs w:val="20"/>
          <w:highlight w:val="none"/>
          <w:u w:val="single"/>
        </w:rPr>
        <w:t>按通用合同条款执行</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承</w:t>
      </w:r>
      <w:bookmarkStart w:id="516" w:name="_Toc312678030"/>
      <w:bookmarkStart w:id="517" w:name="_Toc312677504"/>
      <w:bookmarkStart w:id="518" w:name="_Toc296346705"/>
      <w:bookmarkStart w:id="519" w:name="_Toc297123546"/>
      <w:bookmarkStart w:id="520" w:name="_Toc297048390"/>
      <w:bookmarkStart w:id="521" w:name="_Toc297120504"/>
      <w:bookmarkStart w:id="522" w:name="_Toc303539152"/>
      <w:bookmarkStart w:id="523" w:name="_Toc292559914"/>
      <w:bookmarkStart w:id="524" w:name="_Toc300934995"/>
      <w:bookmarkStart w:id="525" w:name="_Toc297216205"/>
      <w:bookmarkStart w:id="526" w:name="_Toc304295571"/>
      <w:bookmarkStart w:id="527" w:name="_Toc318581175"/>
      <w:bookmarkStart w:id="528" w:name="_Toc292559409"/>
      <w:bookmarkStart w:id="529" w:name="_Toc296944543"/>
      <w:bookmarkStart w:id="530" w:name="_Toc296503204"/>
      <w:bookmarkStart w:id="531" w:name="_Toc296891244"/>
      <w:bookmarkStart w:id="532" w:name="_Toc296891032"/>
      <w:bookmarkStart w:id="533" w:name="_Toc296347203"/>
      <w:r>
        <w:rPr>
          <w:rFonts w:hint="eastAsia" w:ascii="宋体" w:hAnsi="宋体" w:cs="宋体"/>
          <w:iCs w:val="0"/>
          <w:color w:val="auto"/>
          <w:sz w:val="20"/>
          <w:szCs w:val="20"/>
          <w:highlight w:val="none"/>
        </w:rPr>
        <w:t>包人提出的合理化建议降低了合同价格或者提高了工程经济效益的奖励的方法和金额为：</w:t>
      </w:r>
      <w:r>
        <w:rPr>
          <w:rFonts w:hint="eastAsia" w:ascii="宋体" w:hAnsi="宋体" w:cs="宋体"/>
          <w:iCs w:val="0"/>
          <w:color w:val="auto"/>
          <w:sz w:val="20"/>
          <w:szCs w:val="20"/>
          <w:highlight w:val="none"/>
          <w:u w:val="single"/>
        </w:rPr>
        <w:t>经发包人确认后，由发包人确定奖励额度</w:t>
      </w:r>
      <w:r>
        <w:rPr>
          <w:rFonts w:hint="eastAsia" w:ascii="宋体" w:hAnsi="宋体" w:cs="宋体"/>
          <w:iCs w:val="0"/>
          <w:color w:val="auto"/>
          <w:sz w:val="20"/>
          <w:szCs w:val="20"/>
          <w:highlight w:val="none"/>
        </w:rPr>
        <w:t>。</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Start w:id="534" w:name="_Toc296944538"/>
      <w:bookmarkStart w:id="535" w:name="_Toc297123548"/>
      <w:bookmarkStart w:id="536" w:name="_Toc296346700"/>
      <w:bookmarkStart w:id="537" w:name="_Toc303539154"/>
      <w:bookmarkStart w:id="538" w:name="_Toc296891027"/>
      <w:bookmarkStart w:id="539" w:name="_Toc300934997"/>
      <w:bookmarkStart w:id="540" w:name="_Toc297216207"/>
      <w:bookmarkStart w:id="541" w:name="_Toc297048385"/>
      <w:bookmarkStart w:id="542" w:name="_Toc296503199"/>
      <w:bookmarkStart w:id="543" w:name="_Toc312678033"/>
      <w:bookmarkStart w:id="544" w:name="_Toc292559404"/>
      <w:bookmarkStart w:id="545" w:name="_Toc296347198"/>
      <w:bookmarkStart w:id="546" w:name="_Toc292559909"/>
      <w:bookmarkStart w:id="547" w:name="_Toc297120499"/>
      <w:bookmarkStart w:id="548" w:name="_Toc312677507"/>
      <w:bookmarkStart w:id="549" w:name="_Toc304295574"/>
      <w:bookmarkStart w:id="550" w:name="_Toc296891239"/>
      <w:r>
        <w:rPr>
          <w:rFonts w:hint="eastAsia" w:ascii="宋体" w:hAnsi="宋体" w:cs="宋体"/>
          <w:iCs w:val="0"/>
          <w:color w:val="auto"/>
          <w:sz w:val="20"/>
          <w:szCs w:val="20"/>
          <w:highlight w:val="none"/>
        </w:rPr>
        <w:t>0.7 暂估价</w:t>
      </w:r>
    </w:p>
    <w:p>
      <w:pPr>
        <w:spacing w:before="120" w:beforeLines="50"/>
        <w:rPr>
          <w:rFonts w:ascii="宋体" w:hAnsi="宋体" w:cs="宋体"/>
          <w:iCs w:val="0"/>
          <w:color w:val="auto"/>
          <w:sz w:val="20"/>
          <w:szCs w:val="20"/>
          <w:highlight w:val="none"/>
        </w:rPr>
      </w:pP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暂</w:t>
      </w:r>
      <w:bookmarkStart w:id="551" w:name="_Toc312677508"/>
      <w:bookmarkStart w:id="552" w:name="_Toc318581176"/>
      <w:bookmarkStart w:id="553" w:name="_Toc312678034"/>
      <w:r>
        <w:rPr>
          <w:rFonts w:hint="eastAsia" w:ascii="宋体" w:hAnsi="宋体" w:cs="宋体"/>
          <w:iCs w:val="0"/>
          <w:color w:val="auto"/>
          <w:kern w:val="0"/>
          <w:sz w:val="20"/>
          <w:szCs w:val="20"/>
          <w:highlight w:val="none"/>
        </w:rPr>
        <w:t>估价材料和工程设备的明细详见附件（如有）。</w:t>
      </w:r>
    </w:p>
    <w:bookmarkEnd w:id="551"/>
    <w:bookmarkEnd w:id="552"/>
    <w:bookmarkEnd w:id="553"/>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Start w:id="554" w:name="_Toc312678035"/>
      <w:bookmarkStart w:id="555" w:name="_Toc312677509"/>
      <w:bookmarkStart w:id="556" w:name="_Toc318581177"/>
      <w:r>
        <w:rPr>
          <w:rFonts w:hint="eastAsia" w:ascii="宋体" w:hAnsi="宋体" w:cs="宋体"/>
          <w:iCs w:val="0"/>
          <w:color w:val="auto"/>
          <w:sz w:val="20"/>
          <w:szCs w:val="20"/>
          <w:highlight w:val="none"/>
        </w:rPr>
        <w:t>0.7.1 依法必须</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的暂估价项目</w:t>
      </w:r>
    </w:p>
    <w:bookmarkEnd w:id="554"/>
    <w:bookmarkEnd w:id="555"/>
    <w:bookmarkEnd w:id="556"/>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对于依法必须</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的暂估价项目的确认和批准采取第</w:t>
      </w:r>
      <w:r>
        <w:rPr>
          <w:rFonts w:hint="eastAsia" w:ascii="宋体" w:hAnsi="宋体" w:cs="宋体"/>
          <w:iCs w:val="0"/>
          <w:color w:val="auto"/>
          <w:sz w:val="20"/>
          <w:szCs w:val="20"/>
          <w:highlight w:val="none"/>
          <w:u w:val="single"/>
        </w:rPr>
        <w:t>/</w:t>
      </w:r>
      <w:r>
        <w:rPr>
          <w:rFonts w:hint="eastAsia" w:ascii="宋体" w:hAnsi="宋体" w:cs="宋体"/>
          <w:iCs w:val="0"/>
          <w:color w:val="auto"/>
          <w:sz w:val="20"/>
          <w:szCs w:val="20"/>
          <w:highlight w:val="none"/>
        </w:rPr>
        <w:t>种方式确定。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10.7.2 不属于依法必须</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的暂估价项目</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对于不属于依法必须</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的暂估价项目的确认和批准采取第</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种方式确定。</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第3种方式：</w:t>
      </w:r>
      <w:r>
        <w:rPr>
          <w:rFonts w:hint="eastAsia" w:ascii="宋体" w:hAnsi="宋体" w:cs="宋体"/>
          <w:iCs w:val="0"/>
          <w:color w:val="auto"/>
          <w:kern w:val="0"/>
          <w:sz w:val="20"/>
          <w:szCs w:val="20"/>
          <w:highlight w:val="none"/>
        </w:rPr>
        <w:t>承包人直接实施的暂估价项目</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承包人直接实施的暂估价项目的约定：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10.8 暂列金额</w:t>
      </w:r>
    </w:p>
    <w:p>
      <w:pPr>
        <w:autoSpaceDE w:val="0"/>
        <w:autoSpaceDN w:val="0"/>
        <w:adjustRightInd w:val="0"/>
        <w:ind w:firstLine="400" w:firstLineChars="200"/>
        <w:jc w:val="left"/>
        <w:rPr>
          <w:rFonts w:ascii="宋体" w:hAnsi="宋体" w:cs="宋体"/>
          <w:bCs/>
          <w:iCs w:val="0"/>
          <w:color w:val="auto"/>
          <w:kern w:val="0"/>
          <w:sz w:val="20"/>
          <w:szCs w:val="20"/>
          <w:highlight w:val="none"/>
        </w:rPr>
      </w:pPr>
      <w:r>
        <w:rPr>
          <w:rFonts w:hint="eastAsia" w:ascii="宋体" w:hAnsi="宋体" w:cs="宋体"/>
          <w:iCs w:val="0"/>
          <w:color w:val="auto"/>
          <w:kern w:val="0"/>
          <w:sz w:val="20"/>
          <w:szCs w:val="20"/>
          <w:highlight w:val="none"/>
        </w:rPr>
        <w:t>合同发包人关于暂列金额使用的约定：</w:t>
      </w:r>
      <w:r>
        <w:rPr>
          <w:rFonts w:hint="eastAsia" w:ascii="宋体" w:hAnsi="宋体" w:cs="宋体"/>
          <w:bCs/>
          <w:iCs w:val="0"/>
          <w:color w:val="auto"/>
          <w:sz w:val="20"/>
          <w:szCs w:val="20"/>
          <w:highlight w:val="none"/>
          <w:u w:val="single"/>
        </w:rPr>
        <w:t>暂列金额由发包人掌握使用，未使用的暂列金额归发包人所有</w:t>
      </w:r>
      <w:r>
        <w:rPr>
          <w:rFonts w:hint="eastAsia" w:ascii="宋体" w:hAnsi="宋体" w:cs="宋体"/>
          <w:bCs/>
          <w:iCs w:val="0"/>
          <w:color w:val="auto"/>
          <w:kern w:val="0"/>
          <w:sz w:val="20"/>
          <w:szCs w:val="20"/>
          <w:highlight w:val="none"/>
        </w:rPr>
        <w:t>。</w:t>
      </w:r>
    </w:p>
    <w:p>
      <w:pPr>
        <w:outlineLvl w:val="1"/>
        <w:rPr>
          <w:rFonts w:ascii="宋体" w:hAnsi="宋体" w:cs="宋体"/>
          <w:b/>
          <w:iCs w:val="0"/>
          <w:color w:val="auto"/>
          <w:sz w:val="20"/>
          <w:szCs w:val="20"/>
          <w:highlight w:val="none"/>
        </w:rPr>
      </w:pPr>
      <w:bookmarkStart w:id="557" w:name="_Toc407198337"/>
      <w:bookmarkStart w:id="558" w:name="_Toc407203353"/>
      <w:bookmarkStart w:id="559" w:name="_Toc434959549"/>
      <w:bookmarkStart w:id="560" w:name="_Toc351203643"/>
      <w:bookmarkStart w:id="561" w:name="_Toc25075"/>
      <w:r>
        <w:rPr>
          <w:rFonts w:hint="eastAsia" w:ascii="宋体" w:hAnsi="宋体" w:cs="宋体"/>
          <w:b/>
          <w:iCs w:val="0"/>
          <w:color w:val="auto"/>
          <w:sz w:val="20"/>
          <w:szCs w:val="20"/>
          <w:highlight w:val="none"/>
        </w:rPr>
        <w:t>11. 价格调整</w:t>
      </w:r>
      <w:bookmarkEnd w:id="557"/>
      <w:bookmarkEnd w:id="558"/>
      <w:bookmarkEnd w:id="559"/>
      <w:bookmarkEnd w:id="560"/>
      <w:bookmarkEnd w:id="561"/>
    </w:p>
    <w:p>
      <w:pPr>
        <w:spacing w:before="120" w:beforeLines="50"/>
        <w:rPr>
          <w:rFonts w:ascii="宋体" w:hAnsi="宋体" w:cs="宋体"/>
          <w:iCs w:val="0"/>
          <w:color w:val="auto"/>
          <w:sz w:val="20"/>
          <w:szCs w:val="20"/>
          <w:highlight w:val="none"/>
        </w:rPr>
      </w:pPr>
      <w:bookmarkStart w:id="562" w:name="_Toc296346702"/>
      <w:bookmarkStart w:id="563" w:name="_Toc296891029"/>
      <w:bookmarkStart w:id="564" w:name="_Toc300935000"/>
      <w:bookmarkStart w:id="565" w:name="_Toc296944540"/>
      <w:bookmarkStart w:id="566" w:name="_Toc297048387"/>
      <w:bookmarkStart w:id="567" w:name="_Toc297120501"/>
      <w:bookmarkStart w:id="568" w:name="_Toc303539157"/>
      <w:bookmarkStart w:id="569" w:name="_Toc312678039"/>
      <w:bookmarkStart w:id="570" w:name="_Toc297216209"/>
      <w:bookmarkStart w:id="571" w:name="_Toc296503201"/>
      <w:bookmarkStart w:id="572" w:name="_Toc292559406"/>
      <w:bookmarkStart w:id="573" w:name="_Toc297123550"/>
      <w:bookmarkStart w:id="574" w:name="_Toc296347200"/>
      <w:bookmarkStart w:id="575" w:name="_Toc296891241"/>
      <w:bookmarkStart w:id="576" w:name="_Toc292559911"/>
      <w:bookmarkStart w:id="577" w:name="_Toc304295577"/>
      <w:r>
        <w:rPr>
          <w:rFonts w:hint="eastAsia" w:ascii="宋体" w:hAnsi="宋体" w:cs="宋体"/>
          <w:iCs w:val="0"/>
          <w:color w:val="auto"/>
          <w:sz w:val="20"/>
          <w:szCs w:val="20"/>
          <w:highlight w:val="none"/>
        </w:rPr>
        <w:t>11.1 市场价格波动引起的调整</w:t>
      </w:r>
    </w:p>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市场价格波动是否调整合同价格的约定：</w:t>
      </w:r>
      <w:r>
        <w:rPr>
          <w:rFonts w:hint="eastAsia" w:ascii="宋体" w:hAnsi="宋体" w:cs="宋体"/>
          <w:iCs w:val="0"/>
          <w:color w:val="auto"/>
          <w:kern w:val="0"/>
          <w:sz w:val="20"/>
          <w:szCs w:val="20"/>
          <w:highlight w:val="none"/>
          <w:u w:val="single"/>
        </w:rPr>
        <w:t>本合同价款采用</w:t>
      </w:r>
      <w:r>
        <w:rPr>
          <w:rFonts w:hint="eastAsia" w:ascii="宋体" w:hAnsi="宋体" w:cs="宋体"/>
          <w:b/>
          <w:bCs/>
          <w:iCs w:val="0"/>
          <w:color w:val="auto"/>
          <w:kern w:val="0"/>
          <w:sz w:val="20"/>
          <w:szCs w:val="20"/>
          <w:highlight w:val="none"/>
          <w:u w:val="single"/>
        </w:rPr>
        <w:t>固定综合单价</w:t>
      </w:r>
      <w:r>
        <w:rPr>
          <w:rFonts w:hint="eastAsia" w:ascii="宋体" w:hAnsi="宋体" w:cs="宋体"/>
          <w:iCs w:val="0"/>
          <w:color w:val="auto"/>
          <w:kern w:val="0"/>
          <w:sz w:val="20"/>
          <w:szCs w:val="20"/>
          <w:highlight w:val="none"/>
          <w:u w:val="single"/>
        </w:rPr>
        <w:t xml:space="preserve">方式确定,除本合同约定的价格调整外，承包人投标所报分部分项工程综合单价和单价计算措施项目价格均固定不变，不做调整。      </w:t>
      </w:r>
      <w:r>
        <w:rPr>
          <w:rFonts w:hint="eastAsia" w:ascii="宋体" w:hAnsi="宋体" w:cs="宋体"/>
          <w:iCs w:val="0"/>
          <w:color w:val="auto"/>
          <w:sz w:val="20"/>
          <w:szCs w:val="20"/>
          <w:highlight w:val="none"/>
        </w:rPr>
        <w:t>因市场价格波动调整合同价格，采用以下第</w:t>
      </w:r>
      <w:r>
        <w:rPr>
          <w:rFonts w:hint="eastAsia" w:ascii="宋体" w:hAnsi="宋体" w:cs="宋体"/>
          <w:b/>
          <w:iCs w:val="0"/>
          <w:color w:val="auto"/>
          <w:sz w:val="20"/>
          <w:szCs w:val="20"/>
          <w:highlight w:val="none"/>
          <w:u w:val="single"/>
        </w:rPr>
        <w:t xml:space="preserve">2 </w:t>
      </w:r>
      <w:r>
        <w:rPr>
          <w:rFonts w:hint="eastAsia" w:ascii="宋体" w:hAnsi="宋体" w:cs="宋体"/>
          <w:iCs w:val="0"/>
          <w:color w:val="auto"/>
          <w:sz w:val="20"/>
          <w:szCs w:val="20"/>
          <w:highlight w:val="none"/>
        </w:rPr>
        <w:t>种方式对合同价格进行调整：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第1种方式：采用价格指数进行价格调整。</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关于各可调因子、定值和变值权重，以及基本价格指数及其来源的约定：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第2种方式：采用造价信息进行价格调整。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（2）关于基准价格的约定：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基准价是指由发包人在</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文件中给定的材料、工程设备的价格。</w:t>
      </w:r>
      <w:r>
        <w:rPr>
          <w:rFonts w:hint="eastAsia" w:ascii="宋体" w:hAnsi="宋体" w:cs="宋体"/>
          <w:iCs w:val="0"/>
          <w:color w:val="auto"/>
          <w:sz w:val="20"/>
          <w:szCs w:val="20"/>
          <w:highlight w:val="none"/>
          <w:u w:val="single"/>
        </w:rPr>
        <w:t>材料调整期数以月为单位，施工各月完成量以监理人、发包人核定的实际完成量为准。可调价材料的材料消耗量按承包人</w:t>
      </w:r>
      <w:r>
        <w:rPr>
          <w:rFonts w:hint="eastAsia" w:ascii="宋体" w:hAnsi="宋体" w:cs="宋体"/>
          <w:iCs w:val="0"/>
          <w:color w:val="auto"/>
          <w:sz w:val="20"/>
          <w:szCs w:val="20"/>
          <w:highlight w:val="none"/>
          <w:u w:val="single"/>
          <w:lang w:eastAsia="zh-CN"/>
        </w:rPr>
        <w:t>采购</w:t>
      </w:r>
      <w:r>
        <w:rPr>
          <w:rFonts w:hint="eastAsia" w:ascii="宋体" w:hAnsi="宋体" w:cs="宋体"/>
          <w:iCs w:val="0"/>
          <w:color w:val="auto"/>
          <w:sz w:val="20"/>
          <w:szCs w:val="20"/>
          <w:highlight w:val="none"/>
          <w:u w:val="single"/>
        </w:rPr>
        <w:t>申请文件中单价分析表中的耗量（或推算耗量）为准，超出2015《四川省建设工程工程量清单计价定额》的规定耗量的按2015《四川省建设工程工程量清单计价定额》规定耗量计</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关于材料、工程设备价格变化风险范围约定如下：</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①承包人在已标价工程量清单或预算书中载明的材料单价低于基准价格的：合同履行期间材料单价涨幅以基准价格为基础超过</w:t>
      </w:r>
      <w:r>
        <w:rPr>
          <w:rFonts w:hint="eastAsia" w:ascii="宋体" w:hAnsi="宋体" w:cs="宋体"/>
          <w:iCs w:val="0"/>
          <w:color w:val="auto"/>
          <w:sz w:val="20"/>
          <w:szCs w:val="20"/>
          <w:highlight w:val="none"/>
          <w:u w:val="single"/>
        </w:rPr>
        <w:t xml:space="preserve">3 </w:t>
      </w:r>
      <w:r>
        <w:rPr>
          <w:rFonts w:hint="eastAsia" w:ascii="宋体" w:hAnsi="宋体" w:cs="宋体"/>
          <w:iCs w:val="0"/>
          <w:color w:val="auto"/>
          <w:sz w:val="20"/>
          <w:szCs w:val="20"/>
          <w:highlight w:val="none"/>
        </w:rPr>
        <w:t>%时，或材料单价跌幅以已标价工程量清单或预算书中载明材料单价为基础超过</w:t>
      </w:r>
      <w:r>
        <w:rPr>
          <w:rFonts w:hint="eastAsia" w:ascii="宋体" w:hAnsi="宋体" w:cs="宋体"/>
          <w:iCs w:val="0"/>
          <w:color w:val="auto"/>
          <w:sz w:val="20"/>
          <w:szCs w:val="20"/>
          <w:highlight w:val="none"/>
          <w:u w:val="single"/>
        </w:rPr>
        <w:t>3</w:t>
      </w:r>
      <w:r>
        <w:rPr>
          <w:rFonts w:hint="eastAsia" w:ascii="宋体" w:hAnsi="宋体" w:cs="宋体"/>
          <w:iCs w:val="0"/>
          <w:color w:val="auto"/>
          <w:sz w:val="20"/>
          <w:szCs w:val="20"/>
          <w:highlight w:val="none"/>
        </w:rPr>
        <w:t>%时，其超过部分据实调整。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②承包人在已标价工程量清单或预算书中载明的材料单价高于基准价格的：合同履行期间材料单价跌幅以基准价格为基础超过</w:t>
      </w:r>
      <w:r>
        <w:rPr>
          <w:rFonts w:hint="eastAsia" w:ascii="宋体" w:hAnsi="宋体" w:cs="宋体"/>
          <w:iCs w:val="0"/>
          <w:color w:val="auto"/>
          <w:sz w:val="20"/>
          <w:szCs w:val="20"/>
          <w:highlight w:val="none"/>
          <w:u w:val="single"/>
        </w:rPr>
        <w:t xml:space="preserve"> 3 </w:t>
      </w:r>
      <w:r>
        <w:rPr>
          <w:rFonts w:hint="eastAsia" w:ascii="宋体" w:hAnsi="宋体" w:cs="宋体"/>
          <w:iCs w:val="0"/>
          <w:color w:val="auto"/>
          <w:sz w:val="20"/>
          <w:szCs w:val="20"/>
          <w:highlight w:val="none"/>
        </w:rPr>
        <w:t>%时，材料单价涨幅以已标价工程量清单或预算书中载明材料单价为基础超过</w:t>
      </w:r>
      <w:r>
        <w:rPr>
          <w:rFonts w:hint="eastAsia" w:ascii="宋体" w:hAnsi="宋体" w:cs="宋体"/>
          <w:iCs w:val="0"/>
          <w:color w:val="auto"/>
          <w:sz w:val="20"/>
          <w:szCs w:val="20"/>
          <w:highlight w:val="none"/>
          <w:u w:val="single"/>
        </w:rPr>
        <w:t>3</w:t>
      </w:r>
      <w:r>
        <w:rPr>
          <w:rFonts w:hint="eastAsia" w:ascii="宋体" w:hAnsi="宋体" w:cs="宋体"/>
          <w:iCs w:val="0"/>
          <w:color w:val="auto"/>
          <w:sz w:val="20"/>
          <w:szCs w:val="20"/>
          <w:highlight w:val="none"/>
        </w:rPr>
        <w:t>%时，其超过部分据实调整。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③承包人在已标价工程量清单或预算书中载明的材料单价等于基准单价的：合同履行期间材料单价涨跌幅以基准单价为基础超过</w:t>
      </w:r>
      <w:r>
        <w:rPr>
          <w:rFonts w:hint="eastAsia" w:ascii="宋体" w:hAnsi="宋体" w:cs="宋体"/>
          <w:iCs w:val="0"/>
          <w:color w:val="auto"/>
          <w:sz w:val="20"/>
          <w:szCs w:val="20"/>
          <w:highlight w:val="none"/>
          <w:u w:val="single"/>
        </w:rPr>
        <w:t xml:space="preserve"> 3 </w:t>
      </w:r>
      <w:r>
        <w:rPr>
          <w:rFonts w:hint="eastAsia" w:ascii="宋体" w:hAnsi="宋体" w:cs="宋体"/>
          <w:iCs w:val="0"/>
          <w:color w:val="auto"/>
          <w:sz w:val="20"/>
          <w:szCs w:val="20"/>
          <w:highlight w:val="none"/>
        </w:rPr>
        <w:t>%时，其超过部分据实调整。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④因承包人原因导致工期延误的，计划进度日期后续工程的价格，应采用计划进度日期与实际进度日期两者的较低者。采用成都市《工程造价信息》的价格按以下办法执行：若有锦江区价格信息的，采用锦江区价格信息；没有锦江区价格信息的，采用成都市区的价格信息。锦江区、成都市区均无价格信息的，以发包人按相关规定核定的为准。</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第3种方式：其他价格调整方式：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税金、规费、安全文明施工费、人工费调整方法：投标截止日前28天为基准日，其后法律、法规、规章和政策发生变化，并由省建设行政主管部门或其授权的工程造价管理机构根据上述变化发布了工程造价中税金、规费、安全文明施工费及人工费等政策性调整的，按照有关调整规定执行。施工机械使用费风险：承包人应承担幅度值10%施工机械使用费风险，变化幅度在10%以内不作调整。施工期间省级或行业建设主管部门或其授权的工程造价管理机构发布有施工机械使用费调整文件的，调整幅度超过10%的部分按实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因承包人原因造成工期延误，在工期延误期间出现法律（含法规、规章、政策）变化的，由此增加的费用和（或）延误的工期由承包人承担，由此减少的费用予以调整。</w:t>
      </w:r>
      <w:r>
        <w:rPr>
          <w:rFonts w:hint="eastAsia" w:ascii="宋体" w:hAnsi="宋体" w:cs="宋体"/>
          <w:iCs w:val="0"/>
          <w:color w:val="auto"/>
          <w:kern w:val="0"/>
          <w:sz w:val="20"/>
          <w:szCs w:val="20"/>
          <w:highlight w:val="none"/>
        </w:rPr>
        <w:t>若因发包人原因造成工期延误，在延误期间</w:t>
      </w:r>
      <w:r>
        <w:rPr>
          <w:rFonts w:hint="eastAsia" w:ascii="宋体" w:hAnsi="宋体" w:cs="宋体"/>
          <w:iCs w:val="0"/>
          <w:color w:val="auto"/>
          <w:sz w:val="20"/>
          <w:szCs w:val="20"/>
          <w:highlight w:val="none"/>
        </w:rPr>
        <w:t>因市场价格波动调整合同价格，采用以上第</w:t>
      </w:r>
      <w:r>
        <w:rPr>
          <w:rFonts w:hint="eastAsia" w:ascii="宋体" w:hAnsi="宋体" w:cs="宋体"/>
          <w:iCs w:val="0"/>
          <w:color w:val="auto"/>
          <w:sz w:val="20"/>
          <w:szCs w:val="20"/>
          <w:highlight w:val="none"/>
          <w:u w:val="single"/>
        </w:rPr>
        <w:t xml:space="preserve"> 2、3</w:t>
      </w:r>
      <w:r>
        <w:rPr>
          <w:rFonts w:hint="eastAsia" w:ascii="宋体" w:hAnsi="宋体" w:cs="宋体"/>
          <w:iCs w:val="0"/>
          <w:color w:val="auto"/>
          <w:sz w:val="20"/>
          <w:szCs w:val="20"/>
          <w:highlight w:val="none"/>
        </w:rPr>
        <w:t>种方式对合同价格进行调整。</w:t>
      </w:r>
    </w:p>
    <w:p>
      <w:pPr>
        <w:outlineLvl w:val="1"/>
        <w:rPr>
          <w:rFonts w:ascii="宋体" w:hAnsi="宋体" w:cs="宋体"/>
          <w:b/>
          <w:iCs w:val="0"/>
          <w:color w:val="auto"/>
          <w:sz w:val="20"/>
          <w:szCs w:val="20"/>
          <w:highlight w:val="none"/>
        </w:rPr>
      </w:pPr>
      <w:bookmarkStart w:id="578" w:name="_Toc296347204"/>
      <w:bookmarkStart w:id="579" w:name="_Toc297120505"/>
      <w:bookmarkStart w:id="580" w:name="_Toc292559915"/>
      <w:bookmarkStart w:id="581" w:name="_Toc296944544"/>
      <w:bookmarkStart w:id="582" w:name="_Toc296503205"/>
      <w:bookmarkStart w:id="583" w:name="_Toc296891033"/>
      <w:bookmarkStart w:id="584" w:name="_Toc296891245"/>
      <w:bookmarkStart w:id="585" w:name="_Toc292559410"/>
      <w:bookmarkStart w:id="586" w:name="_Toc296346706"/>
      <w:bookmarkStart w:id="587" w:name="_Toc297048391"/>
      <w:bookmarkStart w:id="588" w:name="_Toc407203354"/>
      <w:bookmarkStart w:id="589" w:name="_Toc351203644"/>
      <w:bookmarkStart w:id="590" w:name="_Toc407198338"/>
      <w:bookmarkStart w:id="591" w:name="_Toc434959550"/>
      <w:bookmarkStart w:id="592" w:name="_Toc27400"/>
      <w:bookmarkStart w:id="593" w:name="_Toc304295579"/>
      <w:bookmarkStart w:id="594" w:name="_Toc297123552"/>
      <w:bookmarkStart w:id="595" w:name="_Toc300935002"/>
      <w:bookmarkStart w:id="596" w:name="_Toc303539159"/>
      <w:bookmarkStart w:id="597" w:name="_Toc297216211"/>
      <w:bookmarkStart w:id="598" w:name="_Toc312678040"/>
      <w:r>
        <w:rPr>
          <w:rFonts w:hint="eastAsia" w:ascii="宋体" w:hAnsi="宋体" w:cs="宋体"/>
          <w:b/>
          <w:iCs w:val="0"/>
          <w:color w:val="auto"/>
          <w:sz w:val="20"/>
          <w:szCs w:val="20"/>
          <w:highlight w:val="none"/>
        </w:rPr>
        <w:t xml:space="preserve">12. </w:t>
      </w:r>
      <w:bookmarkEnd w:id="578"/>
      <w:bookmarkEnd w:id="579"/>
      <w:bookmarkEnd w:id="580"/>
      <w:bookmarkEnd w:id="581"/>
      <w:bookmarkEnd w:id="582"/>
      <w:bookmarkEnd w:id="583"/>
      <w:bookmarkEnd w:id="584"/>
      <w:bookmarkEnd w:id="585"/>
      <w:bookmarkEnd w:id="586"/>
      <w:bookmarkEnd w:id="587"/>
      <w:r>
        <w:rPr>
          <w:rFonts w:hint="eastAsia" w:ascii="宋体" w:hAnsi="宋体" w:cs="宋体"/>
          <w:b/>
          <w:iCs w:val="0"/>
          <w:color w:val="auto"/>
          <w:sz w:val="20"/>
          <w:szCs w:val="20"/>
          <w:highlight w:val="none"/>
        </w:rPr>
        <w:t>合同价格、计量与支付</w:t>
      </w:r>
      <w:bookmarkEnd w:id="588"/>
      <w:bookmarkEnd w:id="589"/>
      <w:bookmarkEnd w:id="590"/>
      <w:bookmarkEnd w:id="591"/>
      <w:bookmarkEnd w:id="592"/>
    </w:p>
    <w:bookmarkEnd w:id="593"/>
    <w:bookmarkEnd w:id="594"/>
    <w:bookmarkEnd w:id="595"/>
    <w:bookmarkEnd w:id="596"/>
    <w:bookmarkEnd w:id="597"/>
    <w:bookmarkEnd w:id="598"/>
    <w:p>
      <w:pPr>
        <w:spacing w:before="120" w:beforeLines="50"/>
        <w:rPr>
          <w:rFonts w:ascii="宋体" w:hAnsi="宋体" w:cs="宋体"/>
          <w:iCs w:val="0"/>
          <w:color w:val="auto"/>
          <w:sz w:val="20"/>
          <w:szCs w:val="20"/>
          <w:highlight w:val="none"/>
        </w:rPr>
      </w:pPr>
      <w:bookmarkStart w:id="599" w:name="_Toc292559916"/>
      <w:bookmarkStart w:id="600" w:name="_Toc267251461"/>
      <w:bookmarkStart w:id="601" w:name="_Toc292559411"/>
      <w:bookmarkStart w:id="602" w:name="_Toc296347205"/>
      <w:bookmarkStart w:id="603" w:name="_Toc296891246"/>
      <w:bookmarkStart w:id="604" w:name="_Toc296503206"/>
      <w:bookmarkStart w:id="605" w:name="_Toc296346707"/>
      <w:bookmarkStart w:id="606" w:name="_Toc296944545"/>
      <w:bookmarkStart w:id="607" w:name="_Toc297120506"/>
      <w:bookmarkStart w:id="608" w:name="_Toc297048392"/>
      <w:bookmarkStart w:id="609" w:name="_Toc296891034"/>
      <w:bookmarkStart w:id="610" w:name="_Toc297216212"/>
      <w:bookmarkStart w:id="611" w:name="_Toc304295580"/>
      <w:bookmarkStart w:id="612" w:name="_Toc312678041"/>
      <w:bookmarkStart w:id="613" w:name="_Toc303539160"/>
      <w:bookmarkStart w:id="614" w:name="_Toc297123553"/>
      <w:bookmarkStart w:id="615" w:name="_Toc300935003"/>
      <w:r>
        <w:rPr>
          <w:rFonts w:hint="eastAsia" w:ascii="宋体" w:hAnsi="宋体" w:cs="宋体"/>
          <w:iCs w:val="0"/>
          <w:color w:val="auto"/>
          <w:sz w:val="20"/>
          <w:szCs w:val="20"/>
          <w:highlight w:val="none"/>
        </w:rPr>
        <w:t>12.1 合</w:t>
      </w:r>
      <w:bookmarkEnd w:id="599"/>
      <w:bookmarkEnd w:id="600"/>
      <w:bookmarkEnd w:id="601"/>
      <w:r>
        <w:rPr>
          <w:rFonts w:hint="eastAsia" w:ascii="宋体" w:hAnsi="宋体" w:cs="宋体"/>
          <w:iCs w:val="0"/>
          <w:color w:val="auto"/>
          <w:sz w:val="20"/>
          <w:szCs w:val="20"/>
          <w:highlight w:val="none"/>
        </w:rPr>
        <w:t>同价</w:t>
      </w:r>
      <w:bookmarkEnd w:id="602"/>
      <w:bookmarkEnd w:id="603"/>
      <w:bookmarkEnd w:id="604"/>
      <w:bookmarkEnd w:id="605"/>
      <w:bookmarkEnd w:id="606"/>
      <w:bookmarkEnd w:id="607"/>
      <w:bookmarkEnd w:id="608"/>
      <w:bookmarkEnd w:id="609"/>
      <w:r>
        <w:rPr>
          <w:rFonts w:hint="eastAsia" w:ascii="宋体" w:hAnsi="宋体" w:cs="宋体"/>
          <w:iCs w:val="0"/>
          <w:color w:val="auto"/>
          <w:sz w:val="20"/>
          <w:szCs w:val="20"/>
          <w:highlight w:val="none"/>
        </w:rPr>
        <w:t>格形式</w:t>
      </w:r>
    </w:p>
    <w:bookmarkEnd w:id="610"/>
    <w:bookmarkEnd w:id="611"/>
    <w:bookmarkEnd w:id="612"/>
    <w:bookmarkEnd w:id="613"/>
    <w:bookmarkEnd w:id="614"/>
    <w:bookmarkEnd w:id="615"/>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1、固定单价合同。</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综合单价包含的风险范围：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以下风险由承包人自行承担，合同履行期间不作任何调整：</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（1）因市场波动而引起的人工费、材料和工程设备价格、机械使用费在合同约定的风险范围内的风险；</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（2）发包人提供的工程量清单特征描述与设计文件不符或矛盾的风险；</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文件、工程量清单和合同中所有明示和暗示应当由承包人承担的其他风险。</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风险费用的计算方法：</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keepNext/>
        <w:keepLines/>
        <w:tabs>
          <w:tab w:val="left" w:pos="700"/>
        </w:tabs>
        <w:spacing w:after="120"/>
        <w:outlineLvl w:val="2"/>
        <w:rPr>
          <w:rFonts w:ascii="宋体" w:hAnsi="宋体" w:cs="宋体"/>
          <w:iCs w:val="0"/>
          <w:color w:val="auto"/>
          <w:sz w:val="20"/>
          <w:szCs w:val="20"/>
          <w:highlight w:val="none"/>
          <w:u w:val="single"/>
        </w:rPr>
      </w:pPr>
      <w:r>
        <w:rPr>
          <w:rFonts w:hint="eastAsia" w:ascii="宋体" w:hAnsi="宋体" w:cs="宋体"/>
          <w:b/>
          <w:bCs/>
          <w:iCs w:val="0"/>
          <w:color w:val="auto"/>
          <w:sz w:val="20"/>
          <w:szCs w:val="20"/>
          <w:highlight w:val="none"/>
        </w:rPr>
        <w:t xml:space="preserve">    风险范围以外合同价格的调整方法：</w:t>
      </w:r>
      <w:r>
        <w:rPr>
          <w:rFonts w:hint="eastAsia" w:ascii="宋体" w:hAnsi="宋体" w:cs="宋体"/>
          <w:iCs w:val="0"/>
          <w:color w:val="auto"/>
          <w:sz w:val="20"/>
          <w:szCs w:val="20"/>
          <w:highlight w:val="none"/>
        </w:rPr>
        <w:t>若</w:t>
      </w:r>
      <w:r>
        <w:rPr>
          <w:rFonts w:hint="eastAsia" w:ascii="宋体" w:hAnsi="宋体" w:cs="宋体"/>
          <w:iCs w:val="0"/>
          <w:color w:val="auto"/>
          <w:sz w:val="20"/>
          <w:szCs w:val="20"/>
          <w:highlight w:val="none"/>
          <w:u w:val="single"/>
        </w:rPr>
        <w:t>申请报价有算术错误的，先采用第（1）种方式进行调整，再执行第（2）种进行调整。</w:t>
      </w:r>
    </w:p>
    <w:p>
      <w:pPr>
        <w:keepNext/>
        <w:keepLines/>
        <w:tabs>
          <w:tab w:val="left" w:pos="700"/>
        </w:tabs>
        <w:spacing w:after="120"/>
        <w:outlineLvl w:val="2"/>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（1）因</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申请人申请报价有算术错误的，若中标按有利于</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人的就低报价原则修正。如修正后的</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申请价格低于原</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申请价格时，最终</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申请价格为修正后的</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申请价格；如修正后的</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申请价格高于原</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申请价格时，最终</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申请价格为原</w:t>
      </w:r>
      <w:r>
        <w:rPr>
          <w:rFonts w:hint="eastAsia" w:ascii="宋体" w:hAnsi="宋体" w:cs="宋体"/>
          <w:iCs w:val="0"/>
          <w:color w:val="auto"/>
          <w:sz w:val="20"/>
          <w:szCs w:val="20"/>
          <w:highlight w:val="none"/>
          <w:lang w:eastAsia="zh-CN"/>
        </w:rPr>
        <w:t>采购</w:t>
      </w:r>
      <w:r>
        <w:rPr>
          <w:rFonts w:hint="eastAsia" w:ascii="宋体" w:hAnsi="宋体" w:cs="宋体"/>
          <w:iCs w:val="0"/>
          <w:color w:val="auto"/>
          <w:sz w:val="20"/>
          <w:szCs w:val="20"/>
          <w:highlight w:val="none"/>
        </w:rPr>
        <w:t>申请价格，同时同比例下浮修正所有综合单价及相关费用等。</w:t>
      </w:r>
    </w:p>
    <w:p>
      <w:pPr>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 xml:space="preserve">    （2）</w:t>
      </w:r>
      <w:r>
        <w:rPr>
          <w:rFonts w:hint="eastAsia" w:ascii="宋体" w:hAnsi="宋体" w:cs="宋体"/>
          <w:iCs w:val="0"/>
          <w:color w:val="auto"/>
          <w:sz w:val="20"/>
          <w:szCs w:val="20"/>
          <w:highlight w:val="none"/>
          <w:u w:val="single"/>
        </w:rPr>
        <w:t>由于工程量清单的工程量计算有误或工程变更等原因引起的工程量增减，该项工程量变化（增减）在15%（含）以下的，应执行原有已标价工程量清单中的综合单价。当工程量增加超过15%以上时，增加部分的工程量的综合单价，按相关政策规定执行。当工程量减少15%以上时，减少后剩余部分的工程量的综合单价，按《2013清单计价规范》相关规定执行</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2、总价合同。</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总价包含的风险范围：</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风险费用的计算方法：</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风险范围以外合同价格的调整方法：</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3、其他价格方式：</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 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12.3.1 计量原则</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工程量计算规则：</w:t>
      </w:r>
      <w:bookmarkStart w:id="616" w:name="_Toc213339510"/>
      <w:r>
        <w:rPr>
          <w:rFonts w:hint="eastAsia" w:ascii="宋体" w:hAnsi="宋体" w:cs="宋体"/>
          <w:iCs w:val="0"/>
          <w:color w:val="auto"/>
          <w:sz w:val="20"/>
          <w:szCs w:val="20"/>
          <w:highlight w:val="none"/>
        </w:rPr>
        <w:t>本项目的工程量计量规则及优先解释顺序如下：</w:t>
      </w:r>
      <w:bookmarkEnd w:id="616"/>
    </w:p>
    <w:p>
      <w:pPr>
        <w:ind w:firstLine="400" w:firstLineChars="200"/>
        <w:jc w:val="left"/>
        <w:rPr>
          <w:rFonts w:ascii="宋体" w:hAnsi="宋体" w:cs="宋体"/>
          <w:iCs w:val="0"/>
          <w:color w:val="auto"/>
          <w:sz w:val="20"/>
          <w:szCs w:val="20"/>
          <w:highlight w:val="none"/>
        </w:rPr>
      </w:pPr>
      <w:bookmarkStart w:id="617" w:name="_Toc213339511"/>
      <w:r>
        <w:rPr>
          <w:rFonts w:hint="eastAsia" w:ascii="宋体" w:hAnsi="宋体" w:cs="宋体"/>
          <w:iCs w:val="0"/>
          <w:color w:val="auto"/>
          <w:sz w:val="20"/>
          <w:szCs w:val="20"/>
          <w:highlight w:val="none"/>
        </w:rPr>
        <w:t>（1）本项目合同条款和《工程量清单》载明的特殊计量规则；</w:t>
      </w:r>
      <w:bookmarkEnd w:id="617"/>
    </w:p>
    <w:p>
      <w:pPr>
        <w:ind w:firstLine="400" w:firstLineChars="200"/>
        <w:jc w:val="left"/>
        <w:rPr>
          <w:rFonts w:ascii="宋体" w:hAnsi="宋体" w:cs="宋体"/>
          <w:iCs w:val="0"/>
          <w:color w:val="auto"/>
          <w:sz w:val="20"/>
          <w:szCs w:val="20"/>
          <w:highlight w:val="none"/>
        </w:rPr>
      </w:pPr>
      <w:bookmarkStart w:id="618" w:name="_Toc213339512"/>
      <w:r>
        <w:rPr>
          <w:rFonts w:hint="eastAsia" w:ascii="宋体" w:hAnsi="宋体" w:cs="宋体"/>
          <w:iCs w:val="0"/>
          <w:color w:val="auto"/>
          <w:sz w:val="20"/>
          <w:szCs w:val="20"/>
          <w:highlight w:val="none"/>
        </w:rPr>
        <w:t>（2）按GB50500-2013、GB50584-2013等9本工程量计算规范及其配套文件；</w:t>
      </w:r>
      <w:bookmarkEnd w:id="618"/>
    </w:p>
    <w:p>
      <w:pPr>
        <w:ind w:firstLine="400" w:firstLineChars="200"/>
        <w:jc w:val="left"/>
        <w:rPr>
          <w:rFonts w:ascii="宋体" w:hAnsi="宋体" w:cs="宋体"/>
          <w:iCs w:val="0"/>
          <w:color w:val="auto"/>
          <w:sz w:val="20"/>
          <w:szCs w:val="20"/>
          <w:highlight w:val="none"/>
        </w:rPr>
      </w:pPr>
      <w:bookmarkStart w:id="619" w:name="_Toc213339513"/>
      <w:r>
        <w:rPr>
          <w:rFonts w:hint="eastAsia" w:ascii="宋体" w:hAnsi="宋体" w:cs="宋体"/>
          <w:iCs w:val="0"/>
          <w:color w:val="auto"/>
          <w:sz w:val="20"/>
          <w:szCs w:val="20"/>
          <w:highlight w:val="none"/>
        </w:rPr>
        <w:t>（3）</w:t>
      </w:r>
      <w:bookmarkEnd w:id="619"/>
      <w:r>
        <w:rPr>
          <w:rFonts w:hint="eastAsia" w:ascii="宋体" w:hAnsi="宋体" w:cs="宋体"/>
          <w:iCs w:val="0"/>
          <w:color w:val="auto"/>
          <w:sz w:val="20"/>
          <w:szCs w:val="20"/>
          <w:highlight w:val="none"/>
        </w:rPr>
        <w:t>2015《四川省建设工程工程量清单计价定额》计量规则。</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12.3.2 计量周期</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关于计量周期的约定：</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按下列第 1种方式计量</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第1种方式：按月计量</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第2种方式：按形象进度计量</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12.3.3 单价合同的计量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关于单价合同计量的约定：（1）承包人完成合同约定的分部分项工程经监理、发包人检验合格，重要节点须经发包人指定的第三方检测机构或质检站检合格后发包人予以计量。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(2)承包人报送计量报表时，须提交相关检测合格资料证明，发包人予以计量。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12.3.4 总价合同的计量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关于总价合同计量的约定：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12.3.5总价合同采用支付分解表计量支付的，是否适用第</w:t>
      </w:r>
      <w:r>
        <w:rPr>
          <w:rFonts w:hint="eastAsia" w:ascii="宋体" w:hAnsi="宋体" w:cs="宋体"/>
          <w:iCs w:val="0"/>
          <w:color w:val="auto"/>
          <w:kern w:val="0"/>
          <w:sz w:val="20"/>
          <w:szCs w:val="20"/>
          <w:highlight w:val="none"/>
        </w:rPr>
        <w:t xml:space="preserve">12.3.4 </w:t>
      </w:r>
      <w:r>
        <w:rPr>
          <w:rFonts w:hint="eastAsia" w:ascii="宋体" w:hAnsi="宋体" w:cs="宋体"/>
          <w:iCs w:val="0"/>
          <w:color w:val="auto"/>
          <w:sz w:val="20"/>
          <w:szCs w:val="20"/>
          <w:highlight w:val="none"/>
        </w:rPr>
        <w:t>项</w:t>
      </w:r>
      <w:r>
        <w:rPr>
          <w:rFonts w:hint="eastAsia" w:ascii="宋体" w:hAnsi="宋体" w:cs="宋体"/>
          <w:iCs w:val="0"/>
          <w:color w:val="auto"/>
          <w:kern w:val="0"/>
          <w:sz w:val="20"/>
          <w:szCs w:val="20"/>
          <w:highlight w:val="none"/>
        </w:rPr>
        <w:t>〔总价合同的计量〕</w:t>
      </w:r>
      <w:r>
        <w:rPr>
          <w:rFonts w:hint="eastAsia" w:ascii="宋体" w:hAnsi="宋体" w:cs="宋体"/>
          <w:iCs w:val="0"/>
          <w:color w:val="auto"/>
          <w:sz w:val="20"/>
          <w:szCs w:val="20"/>
          <w:highlight w:val="none"/>
        </w:rPr>
        <w:t>约定进行计量：</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12.3.6 其他价格形式合同的计量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其他价格形式的计量方式和程序：</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12.4 工程进度款支付</w:t>
      </w:r>
    </w:p>
    <w:p>
      <w:pPr>
        <w:spacing w:before="120" w:beforeLines="50"/>
        <w:rPr>
          <w:rFonts w:ascii="宋体" w:hAnsi="宋体" w:cs="宋体"/>
          <w:iCs w:val="0"/>
          <w:color w:val="auto"/>
          <w:sz w:val="20"/>
          <w:szCs w:val="20"/>
          <w:highlight w:val="none"/>
        </w:rPr>
      </w:pPr>
      <w:bookmarkStart w:id="620" w:name="_Toc296503211"/>
      <w:bookmarkStart w:id="621" w:name="_Toc297123556"/>
      <w:bookmarkStart w:id="622" w:name="_Toc292559921"/>
      <w:bookmarkStart w:id="623" w:name="_Toc292559416"/>
      <w:bookmarkStart w:id="624" w:name="_Toc296891251"/>
      <w:bookmarkStart w:id="625" w:name="_Toc296891039"/>
      <w:bookmarkStart w:id="626" w:name="_Toc296347210"/>
      <w:bookmarkStart w:id="627" w:name="_Toc303539163"/>
      <w:bookmarkStart w:id="628" w:name="_Toc297048397"/>
      <w:bookmarkStart w:id="629" w:name="_Toc296346712"/>
      <w:bookmarkStart w:id="630" w:name="_Toc297120511"/>
      <w:bookmarkStart w:id="631" w:name="_Toc297216215"/>
      <w:bookmarkStart w:id="632" w:name="_Toc296944550"/>
      <w:bookmarkStart w:id="633" w:name="_Toc300935006"/>
      <w:r>
        <w:rPr>
          <w:rFonts w:hint="eastAsia" w:ascii="宋体" w:hAnsi="宋体" w:cs="宋体"/>
          <w:iCs w:val="0"/>
          <w:color w:val="auto"/>
          <w:sz w:val="20"/>
          <w:szCs w:val="20"/>
          <w:highlight w:val="none"/>
        </w:rPr>
        <w:t>12.4.1 付款周期</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关于付款周期的约定：按下列方式支付。</w:t>
      </w:r>
    </w:p>
    <w:p>
      <w:pPr>
        <w:spacing w:line="360" w:lineRule="auto"/>
        <w:rPr>
          <w:rFonts w:ascii="宋体" w:hAnsi="宋体" w:cs="宋体"/>
          <w:iCs w:val="0"/>
          <w:color w:val="auto"/>
          <w:sz w:val="20"/>
          <w:szCs w:val="20"/>
          <w:highlight w:val="none"/>
        </w:rPr>
      </w:pPr>
      <w:r>
        <w:rPr>
          <w:rFonts w:hint="eastAsia" w:ascii="宋体" w:hAnsi="宋体" w:cs="宋体"/>
          <w:b/>
          <w:bCs/>
          <w:iCs w:val="0"/>
          <w:color w:val="auto"/>
          <w:sz w:val="20"/>
          <w:szCs w:val="20"/>
          <w:highlight w:val="none"/>
        </w:rPr>
        <w:t>1.</w:t>
      </w:r>
      <w:r>
        <w:rPr>
          <w:rFonts w:hint="eastAsia" w:ascii="Calibri" w:hAnsi="Calibri"/>
          <w:iCs w:val="0"/>
          <w:color w:val="auto"/>
          <w:sz w:val="21"/>
          <w:szCs w:val="21"/>
          <w:highlight w:val="none"/>
        </w:rPr>
        <w:t>已完工程量及工程进度款审核方式</w:t>
      </w:r>
      <w:r>
        <w:rPr>
          <w:rFonts w:hint="eastAsia" w:ascii="宋体" w:hAnsi="宋体" w:cs="宋体"/>
          <w:b/>
          <w:bCs/>
          <w:iCs w:val="0"/>
          <w:color w:val="auto"/>
          <w:sz w:val="20"/>
          <w:szCs w:val="20"/>
          <w:highlight w:val="none"/>
        </w:rPr>
        <w:t>：</w:t>
      </w:r>
      <w:r>
        <w:rPr>
          <w:rFonts w:hint="eastAsia" w:ascii="宋体" w:hAnsi="宋体" w:cs="宋体"/>
          <w:iCs w:val="0"/>
          <w:color w:val="auto"/>
          <w:sz w:val="20"/>
          <w:szCs w:val="20"/>
          <w:highlight w:val="none"/>
          <w:u w:val="single"/>
        </w:rPr>
        <w:t>承包人于每月25日前向发包人提交已完工程量报表一式五份 ，监理人、工程造价跟踪审计在收到承包方的月进度报表后于下个月5号前审核完毕。</w:t>
      </w:r>
    </w:p>
    <w:p>
      <w:pPr>
        <w:ind w:firstLine="402" w:firstLineChars="200"/>
        <w:jc w:val="left"/>
        <w:rPr>
          <w:rFonts w:ascii="宋体" w:hAnsi="宋体" w:cs="宋体"/>
          <w:b/>
          <w:bCs/>
          <w:iCs w:val="0"/>
          <w:color w:val="auto"/>
          <w:sz w:val="20"/>
          <w:szCs w:val="20"/>
          <w:highlight w:val="none"/>
          <w:u w:val="single"/>
        </w:rPr>
      </w:pPr>
      <w:r>
        <w:rPr>
          <w:rFonts w:hint="eastAsia" w:ascii="宋体" w:hAnsi="宋体" w:cs="宋体"/>
          <w:b/>
          <w:bCs/>
          <w:iCs w:val="0"/>
          <w:color w:val="auto"/>
          <w:sz w:val="20"/>
          <w:szCs w:val="20"/>
          <w:highlight w:val="none"/>
        </w:rPr>
        <w:t>2.关于进度款的支付约定：</w:t>
      </w:r>
      <w:r>
        <w:rPr>
          <w:rFonts w:hint="eastAsia" w:ascii="宋体" w:hAnsi="宋体" w:cs="宋体"/>
          <w:b/>
          <w:bCs/>
          <w:iCs w:val="0"/>
          <w:color w:val="auto"/>
          <w:sz w:val="20"/>
          <w:szCs w:val="20"/>
          <w:highlight w:val="none"/>
          <w:u w:val="single"/>
        </w:rPr>
        <w:t>按下列方式支付。</w:t>
      </w:r>
    </w:p>
    <w:p>
      <w:pPr>
        <w:spacing w:line="360" w:lineRule="auto"/>
        <w:ind w:firstLine="400" w:firstLineChars="200"/>
        <w:rPr>
          <w:rFonts w:ascii="宋体" w:hAnsi="宋体"/>
          <w:iCs w:val="0"/>
          <w:color w:val="auto"/>
          <w:sz w:val="20"/>
          <w:szCs w:val="20"/>
          <w:highlight w:val="none"/>
        </w:rPr>
      </w:pPr>
      <w:r>
        <w:rPr>
          <w:rFonts w:hint="eastAsia" w:ascii="宋体" w:hAnsi="宋体" w:cs="宋体"/>
          <w:iCs w:val="0"/>
          <w:color w:val="auto"/>
          <w:sz w:val="20"/>
          <w:szCs w:val="20"/>
          <w:highlight w:val="none"/>
        </w:rPr>
        <w:t>①</w:t>
      </w:r>
      <w:r>
        <w:rPr>
          <w:rFonts w:hint="eastAsia" w:ascii="宋体" w:hAnsi="宋体"/>
          <w:iCs w:val="0"/>
          <w:color w:val="auto"/>
          <w:sz w:val="20"/>
          <w:szCs w:val="20"/>
          <w:highlight w:val="none"/>
          <w:u w:val="single"/>
        </w:rPr>
        <w:t>签订施工合同并进场施工，支付不超过合同金额30%（含30%）的工程价款（含预付款）。</w:t>
      </w:r>
    </w:p>
    <w:p>
      <w:pPr>
        <w:spacing w:line="360" w:lineRule="auto"/>
        <w:ind w:firstLine="400" w:firstLineChars="200"/>
        <w:rPr>
          <w:rFonts w:ascii="宋体" w:hAnsi="宋体"/>
          <w:iCs w:val="0"/>
          <w:color w:val="auto"/>
          <w:sz w:val="20"/>
          <w:szCs w:val="20"/>
          <w:highlight w:val="none"/>
        </w:rPr>
      </w:pPr>
      <w:r>
        <w:rPr>
          <w:rFonts w:hint="eastAsia" w:ascii="宋体" w:hAnsi="宋体" w:cs="宋体"/>
          <w:iCs w:val="0"/>
          <w:color w:val="auto"/>
          <w:sz w:val="20"/>
          <w:szCs w:val="20"/>
          <w:highlight w:val="none"/>
        </w:rPr>
        <w:t>②</w:t>
      </w:r>
      <w:r>
        <w:rPr>
          <w:rFonts w:hint="eastAsia" w:ascii="宋体" w:hAnsi="宋体" w:cs="宋体"/>
          <w:iCs w:val="0"/>
          <w:color w:val="auto"/>
          <w:sz w:val="20"/>
          <w:szCs w:val="20"/>
          <w:highlight w:val="none"/>
          <w:u w:val="single"/>
        </w:rPr>
        <w:t>工程进度款按月支付，月进度款按经监理人、全过程造价咨询单位审核报发包人确认后的月实际完成量的 70%支付；工程进度款累计支付至合同金额的70%时暂停支付。</w:t>
      </w:r>
    </w:p>
    <w:p>
      <w:pPr>
        <w:spacing w:line="360" w:lineRule="auto"/>
        <w:ind w:firstLine="400" w:firstLineChars="200"/>
        <w:rPr>
          <w:rFonts w:ascii="宋体" w:hAnsi="宋体"/>
          <w:iCs w:val="0"/>
          <w:color w:val="auto"/>
          <w:sz w:val="20"/>
          <w:szCs w:val="20"/>
          <w:highlight w:val="none"/>
        </w:rPr>
      </w:pPr>
      <w:r>
        <w:rPr>
          <w:rFonts w:ascii="宋体" w:hAnsi="宋体"/>
          <w:iCs w:val="0"/>
          <w:color w:val="auto"/>
          <w:sz w:val="20"/>
          <w:szCs w:val="20"/>
          <w:highlight w:val="none"/>
        </w:rPr>
        <w:fldChar w:fldCharType="begin"/>
      </w:r>
      <w:r>
        <w:rPr>
          <w:rFonts w:hint="eastAsia" w:ascii="宋体" w:hAnsi="宋体"/>
          <w:iCs w:val="0"/>
          <w:color w:val="auto"/>
          <w:sz w:val="20"/>
          <w:szCs w:val="20"/>
          <w:highlight w:val="none"/>
        </w:rPr>
        <w:instrText xml:space="preserve">= 3 \* GB3</w:instrText>
      </w:r>
      <w:r>
        <w:rPr>
          <w:rFonts w:ascii="宋体" w:hAnsi="宋体"/>
          <w:iCs w:val="0"/>
          <w:color w:val="auto"/>
          <w:sz w:val="20"/>
          <w:szCs w:val="20"/>
          <w:highlight w:val="none"/>
        </w:rPr>
        <w:fldChar w:fldCharType="separate"/>
      </w:r>
      <w:r>
        <w:rPr>
          <w:rFonts w:hint="eastAsia" w:ascii="宋体" w:hAnsi="宋体"/>
          <w:iCs w:val="0"/>
          <w:color w:val="auto"/>
          <w:sz w:val="20"/>
          <w:szCs w:val="20"/>
          <w:highlight w:val="none"/>
        </w:rPr>
        <w:t>③</w:t>
      </w:r>
      <w:r>
        <w:rPr>
          <w:rFonts w:ascii="宋体" w:hAnsi="宋体"/>
          <w:iCs w:val="0"/>
          <w:color w:val="auto"/>
          <w:sz w:val="20"/>
          <w:szCs w:val="20"/>
          <w:highlight w:val="none"/>
        </w:rPr>
        <w:fldChar w:fldCharType="end"/>
      </w:r>
      <w:r>
        <w:rPr>
          <w:rFonts w:hint="eastAsia" w:ascii="宋体" w:hAnsi="宋体" w:cs="宋体"/>
          <w:bCs/>
          <w:iCs w:val="0"/>
          <w:color w:val="auto"/>
          <w:sz w:val="20"/>
          <w:szCs w:val="20"/>
          <w:highlight w:val="none"/>
          <w:u w:val="single"/>
        </w:rPr>
        <w:t>工程最终竣工验收合格并</w:t>
      </w:r>
      <w:r>
        <w:rPr>
          <w:rFonts w:ascii="宋体" w:hAnsi="宋体" w:cs="宋体"/>
          <w:iCs w:val="0"/>
          <w:color w:val="auto"/>
          <w:sz w:val="20"/>
          <w:szCs w:val="20"/>
          <w:highlight w:val="none"/>
          <w:u w:val="single"/>
        </w:rPr>
        <w:t>经政府审计完毕</w:t>
      </w:r>
      <w:r>
        <w:rPr>
          <w:rFonts w:hint="eastAsia" w:ascii="宋体" w:hAnsi="宋体" w:cs="宋体"/>
          <w:bCs/>
          <w:iCs w:val="0"/>
          <w:color w:val="auto"/>
          <w:sz w:val="20"/>
          <w:szCs w:val="20"/>
          <w:highlight w:val="none"/>
          <w:u w:val="single"/>
        </w:rPr>
        <w:t>后，</w:t>
      </w:r>
      <w:r>
        <w:rPr>
          <w:rFonts w:hint="eastAsia" w:ascii="宋体" w:hAnsi="宋体"/>
          <w:iCs w:val="0"/>
          <w:color w:val="auto"/>
          <w:sz w:val="20"/>
          <w:szCs w:val="20"/>
          <w:highlight w:val="none"/>
          <w:u w:val="single"/>
        </w:rPr>
        <w:t>逐步结</w:t>
      </w:r>
      <w:r>
        <w:rPr>
          <w:rFonts w:hint="eastAsia" w:ascii="宋体" w:hAnsi="宋体"/>
          <w:iCs w:val="0"/>
          <w:strike/>
          <w:color w:val="auto"/>
          <w:sz w:val="20"/>
          <w:szCs w:val="20"/>
          <w:highlight w:val="none"/>
          <w:u w:val="single"/>
        </w:rPr>
        <w:t>算</w:t>
      </w:r>
      <w:r>
        <w:rPr>
          <w:rFonts w:hint="eastAsia" w:ascii="宋体" w:hAnsi="宋体"/>
          <w:iCs w:val="0"/>
          <w:color w:val="auto"/>
          <w:sz w:val="20"/>
          <w:szCs w:val="20"/>
          <w:highlight w:val="none"/>
          <w:u w:val="single"/>
        </w:rPr>
        <w:t>清剩余工程价款，按工程价款审计总额的3%预留质量保证金，质保期满验收无质量问题后无息支付。</w:t>
      </w:r>
      <w:r>
        <w:rPr>
          <w:rFonts w:hint="eastAsia" w:ascii="宋体" w:hAnsi="宋体" w:cs="宋体"/>
          <w:bCs/>
          <w:iCs w:val="0"/>
          <w:color w:val="auto"/>
          <w:sz w:val="20"/>
          <w:szCs w:val="20"/>
          <w:highlight w:val="none"/>
          <w:u w:val="single"/>
        </w:rPr>
        <w:t>在工程最终竣工验收合格并</w:t>
      </w:r>
      <w:r>
        <w:rPr>
          <w:rFonts w:ascii="宋体" w:hAnsi="宋体" w:cs="宋体"/>
          <w:iCs w:val="0"/>
          <w:color w:val="auto"/>
          <w:sz w:val="20"/>
          <w:szCs w:val="20"/>
          <w:highlight w:val="none"/>
          <w:u w:val="single"/>
        </w:rPr>
        <w:t>经政府审计完毕</w:t>
      </w:r>
      <w:r>
        <w:rPr>
          <w:rFonts w:hint="eastAsia" w:ascii="宋体" w:hAnsi="宋体" w:cs="宋体"/>
          <w:bCs/>
          <w:iCs w:val="0"/>
          <w:color w:val="auto"/>
          <w:sz w:val="20"/>
          <w:szCs w:val="20"/>
          <w:highlight w:val="none"/>
          <w:u w:val="single"/>
        </w:rPr>
        <w:t>后，如以银行保函形式提交工程质量保证金的承包人，应在发包人支付剩余工程款之前，向发包人提供保函金额为工程价款结算总额的3%的银行保函。承包人以银行保函形式提交工程质量保证金的，</w:t>
      </w:r>
      <w:r>
        <w:rPr>
          <w:rFonts w:ascii="宋体" w:hAnsi="宋体" w:cs="宋体"/>
          <w:iCs w:val="0"/>
          <w:color w:val="auto"/>
          <w:sz w:val="20"/>
          <w:szCs w:val="20"/>
          <w:highlight w:val="none"/>
          <w:u w:val="single"/>
        </w:rPr>
        <w:t>工程项目经政府审计完毕后，发包人根据政府审计结果支付全部剩余工程款</w:t>
      </w:r>
      <w:r>
        <w:rPr>
          <w:rFonts w:hint="eastAsia" w:ascii="宋体" w:hAnsi="宋体" w:cs="宋体"/>
          <w:iCs w:val="0"/>
          <w:color w:val="auto"/>
          <w:sz w:val="20"/>
          <w:szCs w:val="20"/>
          <w:highlight w:val="none"/>
          <w:u w:val="singl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12.4.2 进度付款申请单的编制</w:t>
      </w:r>
    </w:p>
    <w:p>
      <w:pPr>
        <w:autoSpaceDE w:val="0"/>
        <w:autoSpaceDN w:val="0"/>
        <w:adjustRightInd w:val="0"/>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关于进度付款申请单编制的约定：</w:t>
      </w:r>
    </w:p>
    <w:p>
      <w:pPr>
        <w:autoSpaceDE w:val="0"/>
        <w:autoSpaceDN w:val="0"/>
        <w:adjustRightInd w:val="0"/>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进度付款申请单应按照发包人和监理人要求的格式编制，包括但不限于下列内容：</w:t>
      </w:r>
    </w:p>
    <w:p>
      <w:pPr>
        <w:autoSpaceDE w:val="0"/>
        <w:autoSpaceDN w:val="0"/>
        <w:adjustRightInd w:val="0"/>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截至本次付款周期已完成工作对应的金额</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Pr>
          <w:rFonts w:hint="eastAsia" w:ascii="宋体" w:hAnsi="宋体" w:cs="宋体"/>
          <w:iCs w:val="0"/>
          <w:color w:val="auto"/>
          <w:sz w:val="20"/>
          <w:szCs w:val="20"/>
          <w:highlight w:val="none"/>
        </w:rPr>
        <w:t>2.4.3 进度付款申请单的提交</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（1）单价合同进度付款申请单提交的约定：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单价合同的进度付款申请单，按照专用合同条款第12.4.1项的约定向监理人提交，并附上已完成工程量报表和有关资料。单价合同中的总价项目按专用合同条款第12.4.6项的约定进行支付分解，并汇总列入当期进度付款申请单</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（2）总价合同进度付款申请单提交的约定：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（3）其他价格形式合同进度付款申请单提交的约定：</w:t>
      </w:r>
      <w:r>
        <w:rPr>
          <w:rFonts w:hint="eastAsia" w:ascii="宋体" w:hAnsi="宋体" w:cs="宋体"/>
          <w:iCs w:val="0"/>
          <w:color w:val="auto"/>
          <w:sz w:val="20"/>
          <w:szCs w:val="20"/>
          <w:highlight w:val="none"/>
          <w:u w:val="single"/>
        </w:rPr>
        <w:t xml:space="preserve">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12.4.4 进度款审核和支付</w:t>
      </w:r>
    </w:p>
    <w:p>
      <w:pPr>
        <w:autoSpaceDE w:val="0"/>
        <w:autoSpaceDN w:val="0"/>
        <w:adjustRightInd w:val="0"/>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（1）监理人审查并报送发包人的期限：</w:t>
      </w:r>
      <w:r>
        <w:rPr>
          <w:rFonts w:hint="eastAsia" w:ascii="宋体" w:hAnsi="宋体" w:cs="宋体"/>
          <w:iCs w:val="0"/>
          <w:color w:val="auto"/>
          <w:sz w:val="20"/>
          <w:szCs w:val="20"/>
          <w:highlight w:val="none"/>
          <w:u w:val="single"/>
        </w:rPr>
        <w:t>监理人在收到承包人进度付款申请单以及相关资料后7天内完成审查并报送项目管理单位审核、发包人审批</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发包人完成审批并签发进度款支付证书的期限：</w:t>
      </w:r>
      <w:r>
        <w:rPr>
          <w:rFonts w:hint="eastAsia" w:ascii="宋体" w:hAnsi="宋体" w:cs="宋体"/>
          <w:iCs w:val="0"/>
          <w:color w:val="auto"/>
          <w:sz w:val="20"/>
          <w:szCs w:val="20"/>
          <w:highlight w:val="none"/>
          <w:u w:val="single"/>
        </w:rPr>
        <w:t>发包人在收到后7天内完成已完成工程量的审核。发包人和监理人对承包人的进度付款申请单有异议的，有权要求承包人修正和提供补充资料</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（2）发包人支付进度款的期限：</w:t>
      </w:r>
      <w:r>
        <w:rPr>
          <w:rFonts w:hint="eastAsia" w:ascii="宋体" w:hAnsi="宋体" w:cs="宋体"/>
          <w:iCs w:val="0"/>
          <w:color w:val="auto"/>
          <w:sz w:val="20"/>
          <w:szCs w:val="20"/>
          <w:highlight w:val="none"/>
          <w:u w:val="single"/>
        </w:rPr>
        <w:t>发包人按照专用合同条款第12.4.1项的约定进行工程款的审批和支付。发包人签发进度付款申请单，不表明发包人已同意、批准或接受了承包人完成的相应部分的工作</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发包人逾期支付进度款的违约金的计算方式：</w:t>
      </w:r>
      <w:r>
        <w:rPr>
          <w:rFonts w:hint="eastAsia" w:ascii="宋体" w:hAnsi="宋体" w:cs="宋体"/>
          <w:iCs w:val="0"/>
          <w:color w:val="auto"/>
          <w:sz w:val="20"/>
          <w:szCs w:val="20"/>
          <w:highlight w:val="none"/>
          <w:u w:val="single"/>
        </w:rPr>
        <w:t>无</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12.4.6 支付分解表的编制</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2、总价合同支付分解表的编制与审批：</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3、单价合同的总价项目支付分解表的编制与审批：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单价合同的总价项目，由承包人根据施工进度计划和总价项目的总价构成、费用性质、计划发生时间和相应工程量等因素进行分解，并汇总列入当期进度付款申请单。</w:t>
      </w:r>
    </w:p>
    <w:p>
      <w:pPr>
        <w:outlineLvl w:val="1"/>
        <w:rPr>
          <w:rFonts w:ascii="宋体" w:hAnsi="宋体" w:cs="宋体"/>
          <w:b/>
          <w:iCs w:val="0"/>
          <w:color w:val="auto"/>
          <w:sz w:val="20"/>
          <w:szCs w:val="20"/>
          <w:highlight w:val="none"/>
        </w:rPr>
      </w:pPr>
      <w:bookmarkStart w:id="634" w:name="_Toc407203355"/>
      <w:bookmarkStart w:id="635" w:name="_Toc351203645"/>
      <w:bookmarkStart w:id="636" w:name="_Toc407198339"/>
      <w:bookmarkStart w:id="637" w:name="_Toc434959551"/>
      <w:bookmarkStart w:id="638" w:name="_Toc24408"/>
      <w:bookmarkStart w:id="639" w:name="_Toc296944558"/>
      <w:bookmarkStart w:id="640" w:name="_Toc304295593"/>
      <w:bookmarkStart w:id="641" w:name="_Toc296891259"/>
      <w:bookmarkStart w:id="642" w:name="_Toc296347218"/>
      <w:bookmarkStart w:id="643" w:name="_Toc312678053"/>
      <w:bookmarkStart w:id="644" w:name="_Toc297048405"/>
      <w:bookmarkStart w:id="645" w:name="_Toc292559929"/>
      <w:bookmarkStart w:id="646" w:name="_Toc296346720"/>
      <w:bookmarkStart w:id="647" w:name="_Toc297123564"/>
      <w:bookmarkStart w:id="648" w:name="_Toc296503219"/>
      <w:bookmarkStart w:id="649" w:name="_Toc303539172"/>
      <w:bookmarkStart w:id="650" w:name="_Toc300935015"/>
      <w:bookmarkStart w:id="651" w:name="_Toc292559424"/>
      <w:bookmarkStart w:id="652" w:name="_Toc296891047"/>
      <w:bookmarkStart w:id="653" w:name="_Toc297120519"/>
      <w:bookmarkStart w:id="654" w:name="_Toc297216223"/>
      <w:r>
        <w:rPr>
          <w:rFonts w:hint="eastAsia" w:ascii="宋体" w:hAnsi="宋体" w:cs="宋体"/>
          <w:b/>
          <w:iCs w:val="0"/>
          <w:color w:val="auto"/>
          <w:sz w:val="20"/>
          <w:szCs w:val="20"/>
          <w:highlight w:val="none"/>
        </w:rPr>
        <w:t>13. 验收和工程试车</w:t>
      </w:r>
      <w:bookmarkEnd w:id="634"/>
      <w:bookmarkEnd w:id="635"/>
      <w:bookmarkEnd w:id="636"/>
      <w:bookmarkEnd w:id="637"/>
      <w:bookmarkEnd w:id="638"/>
    </w:p>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13.1 分部分项工程验收</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13.1.2监理人不能按时进行验收时，应提前</w:t>
      </w:r>
      <w:r>
        <w:rPr>
          <w:rFonts w:hint="eastAsia" w:ascii="宋体" w:hAnsi="宋体" w:cs="宋体"/>
          <w:iCs w:val="0"/>
          <w:color w:val="auto"/>
          <w:sz w:val="20"/>
          <w:szCs w:val="20"/>
          <w:highlight w:val="none"/>
          <w:u w:val="single"/>
        </w:rPr>
        <w:t xml:space="preserve"> 24 </w:t>
      </w:r>
      <w:r>
        <w:rPr>
          <w:rFonts w:hint="eastAsia" w:ascii="宋体" w:hAnsi="宋体" w:cs="宋体"/>
          <w:iCs w:val="0"/>
          <w:color w:val="auto"/>
          <w:sz w:val="20"/>
          <w:szCs w:val="20"/>
          <w:highlight w:val="none"/>
        </w:rPr>
        <w:t>小时提交书面延期要求。</w:t>
      </w:r>
    </w:p>
    <w:p>
      <w:pPr>
        <w:jc w:val="left"/>
        <w:rPr>
          <w:rFonts w:ascii="宋体" w:hAnsi="宋体" w:cs="宋体"/>
          <w:b/>
          <w:iCs w:val="0"/>
          <w:color w:val="auto"/>
          <w:sz w:val="20"/>
          <w:szCs w:val="20"/>
          <w:highlight w:val="none"/>
        </w:rPr>
      </w:pPr>
      <w:r>
        <w:rPr>
          <w:rFonts w:hint="eastAsia" w:ascii="宋体" w:hAnsi="宋体" w:cs="宋体"/>
          <w:iCs w:val="0"/>
          <w:color w:val="auto"/>
          <w:sz w:val="20"/>
          <w:szCs w:val="20"/>
          <w:highlight w:val="none"/>
        </w:rPr>
        <w:t>关于延期最长不得超过：</w:t>
      </w:r>
      <w:r>
        <w:rPr>
          <w:rFonts w:hint="eastAsia" w:ascii="宋体" w:hAnsi="宋体" w:cs="宋体"/>
          <w:iCs w:val="0"/>
          <w:color w:val="auto"/>
          <w:sz w:val="20"/>
          <w:szCs w:val="20"/>
          <w:highlight w:val="none"/>
          <w:u w:val="single"/>
        </w:rPr>
        <w:t>48</w:t>
      </w:r>
      <w:r>
        <w:rPr>
          <w:rFonts w:hint="eastAsia" w:ascii="宋体" w:hAnsi="宋体" w:cs="宋体"/>
          <w:iCs w:val="0"/>
          <w:color w:val="auto"/>
          <w:sz w:val="20"/>
          <w:szCs w:val="20"/>
          <w:highlight w:val="none"/>
        </w:rPr>
        <w:t>小时。</w:t>
      </w:r>
    </w:p>
    <w:p>
      <w:pPr>
        <w:spacing w:before="120" w:beforeLines="50"/>
        <w:rPr>
          <w:rFonts w:ascii="宋体" w:hAnsi="宋体" w:cs="宋体"/>
          <w:iCs w:val="0"/>
          <w:color w:val="auto"/>
          <w:sz w:val="20"/>
          <w:szCs w:val="20"/>
          <w:highlight w:val="none"/>
        </w:rPr>
      </w:pPr>
      <w:bookmarkStart w:id="655" w:name="_Toc296347222"/>
      <w:bookmarkStart w:id="656" w:name="_Toc297048409"/>
      <w:bookmarkStart w:id="657" w:name="_Toc303539173"/>
      <w:bookmarkStart w:id="658" w:name="_Toc300935016"/>
      <w:bookmarkStart w:id="659" w:name="_Toc296891263"/>
      <w:bookmarkStart w:id="660" w:name="_Toc296891051"/>
      <w:bookmarkStart w:id="661" w:name="_Toc296503223"/>
      <w:bookmarkStart w:id="662" w:name="_Toc292559428"/>
      <w:bookmarkStart w:id="663" w:name="_Toc296346724"/>
      <w:bookmarkStart w:id="664" w:name="_Toc304295596"/>
      <w:bookmarkStart w:id="665" w:name="_Toc296944562"/>
      <w:bookmarkStart w:id="666" w:name="_Toc312678056"/>
      <w:bookmarkStart w:id="667" w:name="_Toc292559933"/>
      <w:bookmarkStart w:id="668" w:name="_Toc297123565"/>
      <w:bookmarkStart w:id="669" w:name="_Toc297120523"/>
      <w:bookmarkStart w:id="670" w:name="_Toc297216224"/>
      <w:bookmarkStart w:id="671" w:name="_Toc267251476"/>
      <w:bookmarkStart w:id="672" w:name="_Toc267251474"/>
      <w:bookmarkStart w:id="673" w:name="_Toc267251470"/>
      <w:bookmarkStart w:id="674" w:name="_Toc267251475"/>
      <w:bookmarkStart w:id="675" w:name="_Toc267251471"/>
      <w:bookmarkStart w:id="676" w:name="_Toc267251472"/>
      <w:bookmarkStart w:id="677" w:name="_Toc267251473"/>
      <w:r>
        <w:rPr>
          <w:rFonts w:hint="eastAsia" w:ascii="宋体" w:hAnsi="宋体" w:cs="宋体"/>
          <w:iCs w:val="0"/>
          <w:color w:val="auto"/>
          <w:sz w:val="20"/>
          <w:szCs w:val="20"/>
          <w:highlight w:val="none"/>
        </w:rPr>
        <w:t>13.2 竣工验收</w:t>
      </w:r>
    </w:p>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Pr>
        <w:ind w:firstLine="400" w:firstLineChars="200"/>
        <w:jc w:val="left"/>
        <w:rPr>
          <w:rFonts w:ascii="宋体" w:hAnsi="宋体" w:cs="宋体"/>
          <w:iCs w:val="0"/>
          <w:color w:val="auto"/>
          <w:sz w:val="20"/>
          <w:szCs w:val="20"/>
          <w:highlight w:val="none"/>
        </w:rPr>
      </w:pPr>
      <w:bookmarkStart w:id="678" w:name="_Toc280868704"/>
      <w:bookmarkStart w:id="679" w:name="_Toc280868705"/>
      <w:bookmarkStart w:id="680" w:name="_Toc280868706"/>
      <w:bookmarkStart w:id="681" w:name="_Toc280868707"/>
      <w:bookmarkStart w:id="682" w:name="_Toc280868708"/>
      <w:bookmarkStart w:id="683" w:name="_Toc280868709"/>
      <w:r>
        <w:rPr>
          <w:rFonts w:hint="eastAsia" w:ascii="宋体" w:hAnsi="宋体" w:cs="宋体"/>
          <w:iCs w:val="0"/>
          <w:color w:val="auto"/>
          <w:sz w:val="20"/>
          <w:szCs w:val="20"/>
          <w:highlight w:val="none"/>
        </w:rPr>
        <w:t>13.2.2竣工验收程序</w:t>
      </w:r>
    </w:p>
    <w:bookmarkEnd w:id="678"/>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关于竣工验收程序的约定：</w:t>
      </w:r>
      <w:r>
        <w:rPr>
          <w:rFonts w:hint="eastAsia" w:ascii="宋体" w:hAnsi="宋体" w:cs="宋体"/>
          <w:iCs w:val="0"/>
          <w:color w:val="auto"/>
          <w:sz w:val="20"/>
          <w:szCs w:val="20"/>
          <w:highlight w:val="none"/>
          <w:u w:val="single"/>
        </w:rPr>
        <w:t>按照竣工验收相关法律、法规和规范规定执行。</w:t>
      </w:r>
      <w:r>
        <w:rPr>
          <w:rFonts w:hint="eastAsia" w:ascii="宋体" w:hAnsi="宋体" w:cs="宋体"/>
          <w:iCs w:val="0"/>
          <w:color w:val="auto"/>
          <w:kern w:val="0"/>
          <w:sz w:val="20"/>
          <w:szCs w:val="20"/>
          <w:highlight w:val="none"/>
        </w:rPr>
        <w:t>发包人不按照本项约定组织竣工验收、颁发工程接收证书的违约金的计算方法：</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发包人不支付违约金</w:t>
      </w:r>
      <w:r>
        <w:rPr>
          <w:rFonts w:hint="eastAsia" w:ascii="宋体" w:hAnsi="宋体" w:cs="宋体"/>
          <w:iCs w:val="0"/>
          <w:color w:val="auto"/>
          <w:sz w:val="20"/>
          <w:szCs w:val="20"/>
          <w:highlight w:val="none"/>
        </w:rPr>
        <w:t>。</w:t>
      </w:r>
    </w:p>
    <w:bookmarkEnd w:id="679"/>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13.2.5移交、接收全部与部分工程</w:t>
      </w:r>
    </w:p>
    <w:bookmarkEnd w:id="680"/>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承包人向发包人移交工程的期限：</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u w:val="single"/>
        </w:rPr>
        <w:t>在本合同工程竣工验收合格后30天达到工程移交条件</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发包人未按本合同约定接收全部或部分工程的，违约金的计算方法为：</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发包人自应当接收工程之日起，承担工程照管、成品保护、保管等与工程有关的各项费用，工程损坏、灭失（包括不可抗力引起的）的风险由发包人承担</w:t>
      </w:r>
      <w:r>
        <w:rPr>
          <w:rFonts w:hint="eastAsia" w:ascii="宋体" w:hAnsi="宋体" w:cs="宋体"/>
          <w:iCs w:val="0"/>
          <w:color w:val="auto"/>
          <w:sz w:val="20"/>
          <w:szCs w:val="20"/>
          <w:highlight w:val="none"/>
        </w:rPr>
        <w:t>。</w:t>
      </w:r>
    </w:p>
    <w:bookmarkEnd w:id="681"/>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承包人未按时移交工程的，违约金的计算方法为：</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承包人应承担工程照管、成品保护、保管等与工程有关的各项费用，工程损坏、灭失（包括不可抗力引起的）的风险由承包人承担。同时，每逾期交工一天按照2000元/天的金额向发包人支付逾期交工违约金</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13.3 工程试车</w:t>
      </w:r>
    </w:p>
    <w:bookmarkEnd w:id="682"/>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 xml:space="preserve"> 13.3.1 试车程序</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工程试车内容：</w:t>
      </w:r>
      <w:r>
        <w:rPr>
          <w:rFonts w:hint="eastAsia" w:ascii="宋体" w:hAnsi="宋体" w:cs="宋体"/>
          <w:iCs w:val="0"/>
          <w:color w:val="auto"/>
          <w:sz w:val="20"/>
          <w:szCs w:val="20"/>
          <w:highlight w:val="none"/>
          <w:u w:val="single"/>
        </w:rPr>
        <w:t>/</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（1）单机无负荷试车费用由</w:t>
      </w:r>
      <w:r>
        <w:rPr>
          <w:rFonts w:hint="eastAsia" w:ascii="宋体" w:hAnsi="宋体" w:cs="宋体"/>
          <w:iCs w:val="0"/>
          <w:color w:val="auto"/>
          <w:sz w:val="20"/>
          <w:szCs w:val="20"/>
          <w:highlight w:val="none"/>
          <w:u w:val="single"/>
        </w:rPr>
        <w:t>承包人</w:t>
      </w:r>
      <w:r>
        <w:rPr>
          <w:rFonts w:hint="eastAsia" w:ascii="宋体" w:hAnsi="宋体" w:cs="宋体"/>
          <w:iCs w:val="0"/>
          <w:color w:val="auto"/>
          <w:kern w:val="0"/>
          <w:sz w:val="20"/>
          <w:szCs w:val="20"/>
          <w:highlight w:val="none"/>
        </w:rPr>
        <w:t>承担；</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（2）无负荷联动试车费用由</w:t>
      </w:r>
      <w:r>
        <w:rPr>
          <w:rFonts w:hint="eastAsia" w:ascii="宋体" w:hAnsi="宋体" w:cs="宋体"/>
          <w:iCs w:val="0"/>
          <w:color w:val="auto"/>
          <w:sz w:val="20"/>
          <w:szCs w:val="20"/>
          <w:highlight w:val="none"/>
          <w:u w:val="single"/>
        </w:rPr>
        <w:t>承包人</w:t>
      </w:r>
      <w:r>
        <w:rPr>
          <w:rFonts w:hint="eastAsia" w:ascii="宋体" w:hAnsi="宋体" w:cs="宋体"/>
          <w:iCs w:val="0"/>
          <w:color w:val="auto"/>
          <w:kern w:val="0"/>
          <w:sz w:val="20"/>
          <w:szCs w:val="20"/>
          <w:highlight w:val="none"/>
        </w:rPr>
        <w:t>承担。</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13.3.3 投料试车</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关于投料试车相关事项的约定：</w:t>
      </w:r>
      <w:r>
        <w:rPr>
          <w:rFonts w:hint="eastAsia" w:ascii="宋体" w:hAnsi="宋体" w:cs="宋体"/>
          <w:iCs w:val="0"/>
          <w:color w:val="auto"/>
          <w:sz w:val="20"/>
          <w:szCs w:val="20"/>
          <w:highlight w:val="none"/>
          <w:u w:val="single"/>
        </w:rPr>
        <w:t xml:space="preserve">/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13.6 竣工退场</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13.6.1 竣工退场</w:t>
      </w:r>
    </w:p>
    <w:p>
      <w:pPr>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承包人完成竣工退场的期限：</w:t>
      </w:r>
      <w:r>
        <w:rPr>
          <w:rFonts w:hint="eastAsia" w:ascii="宋体" w:hAnsi="宋体" w:cs="宋体"/>
          <w:iCs w:val="0"/>
          <w:color w:val="auto"/>
          <w:sz w:val="20"/>
          <w:szCs w:val="20"/>
          <w:highlight w:val="none"/>
          <w:u w:val="single"/>
        </w:rPr>
        <w:t>工程竣工验收合格后30天达到工程移交条件</w:t>
      </w:r>
    </w:p>
    <w:p>
      <w:pPr>
        <w:outlineLvl w:val="1"/>
        <w:rPr>
          <w:rFonts w:ascii="宋体" w:hAnsi="宋体" w:cs="宋体"/>
          <w:b/>
          <w:iCs w:val="0"/>
          <w:color w:val="auto"/>
          <w:sz w:val="20"/>
          <w:szCs w:val="20"/>
          <w:highlight w:val="none"/>
        </w:rPr>
      </w:pPr>
      <w:bookmarkStart w:id="684" w:name="_Toc434959552"/>
      <w:bookmarkStart w:id="685" w:name="_Toc351203646"/>
      <w:bookmarkStart w:id="686" w:name="_Toc407203356"/>
      <w:bookmarkStart w:id="687" w:name="_Toc407198340"/>
      <w:bookmarkStart w:id="688" w:name="_Toc11696"/>
      <w:r>
        <w:rPr>
          <w:rFonts w:hint="eastAsia" w:ascii="宋体" w:hAnsi="宋体" w:cs="宋体"/>
          <w:b/>
          <w:iCs w:val="0"/>
          <w:color w:val="auto"/>
          <w:sz w:val="20"/>
          <w:szCs w:val="20"/>
          <w:highlight w:val="none"/>
        </w:rPr>
        <w:t>14. 竣工结算</w:t>
      </w:r>
      <w:bookmarkEnd w:id="684"/>
      <w:bookmarkEnd w:id="685"/>
      <w:bookmarkEnd w:id="686"/>
      <w:bookmarkEnd w:id="687"/>
      <w:bookmarkEnd w:id="688"/>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14.1 竣工付款申请</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承包人提交竣工付款申请单的期限：</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竣工付款申请单应包括的内容：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工程接收证书颁发后，承包人应按专用合同约定的份数和期限向监理人提交竣工付款申请单，并提供相关证明材料。除专用合同条款另有约定外，竣工付款申请单应包括以下内容</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竣工结算合同价格；</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（2）</w:t>
      </w:r>
      <w:r>
        <w:rPr>
          <w:rFonts w:hint="eastAsia" w:ascii="宋体" w:hAnsi="宋体" w:cs="宋体"/>
          <w:iCs w:val="0"/>
          <w:color w:val="auto"/>
          <w:sz w:val="20"/>
          <w:szCs w:val="20"/>
          <w:highlight w:val="none"/>
          <w:u w:val="single"/>
        </w:rPr>
        <w:t>发包人已支付承包人的款项；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（3）</w:t>
      </w:r>
      <w:r>
        <w:rPr>
          <w:rFonts w:hint="eastAsia" w:ascii="宋体" w:hAnsi="宋体" w:cs="宋体"/>
          <w:iCs w:val="0"/>
          <w:color w:val="auto"/>
          <w:sz w:val="20"/>
          <w:szCs w:val="20"/>
          <w:highlight w:val="none"/>
          <w:u w:val="single"/>
        </w:rPr>
        <w:t>应扣留的质量保证金；</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（4）</w:t>
      </w:r>
      <w:r>
        <w:rPr>
          <w:rFonts w:hint="eastAsia" w:ascii="宋体" w:hAnsi="宋体" w:cs="宋体"/>
          <w:iCs w:val="0"/>
          <w:color w:val="auto"/>
          <w:sz w:val="20"/>
          <w:szCs w:val="20"/>
          <w:highlight w:val="none"/>
          <w:u w:val="single"/>
        </w:rPr>
        <w:t>发包人应支付承包人的合同价款。</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 xml:space="preserve"> 14.2 竣工结算审核</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w:t>
      </w:r>
      <w:r>
        <w:rPr>
          <w:rFonts w:hint="eastAsia" w:ascii="宋体" w:hAnsi="宋体" w:cs="宋体"/>
          <w:iCs w:val="0"/>
          <w:color w:val="auto"/>
          <w:sz w:val="20"/>
          <w:szCs w:val="20"/>
          <w:highlight w:val="none"/>
          <w:u w:val="single"/>
        </w:rPr>
        <w:t>承包人在竣工验收合格并移交后方可向发包人提交竣工结算申请单，结算申请单的组成按照发包人规定及合同约定上报。监理人应在收到竣工结算申请单后14天内完成核查并报送发包人。发包人应在收到监理人提交的经审核的竣工结算申请单后28天内完成复核。并由监理人向承包人签发经发包人签认的竣工付款证书。监理人或发包人对竣工结算申请单有异议的，有权要求承包人进行修正和提供补充资料，承包人应提交修正后的竣工结算申请单</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（2）</w:t>
      </w:r>
      <w:r>
        <w:rPr>
          <w:rFonts w:hint="eastAsia" w:ascii="宋体" w:hAnsi="宋体" w:cs="宋体"/>
          <w:iCs w:val="0"/>
          <w:color w:val="auto"/>
          <w:sz w:val="20"/>
          <w:szCs w:val="20"/>
          <w:highlight w:val="none"/>
          <w:u w:val="single"/>
        </w:rPr>
        <w:t>由于该工程为国家（含政府）投资项目，承包人必须按照要求接受国家审计机构的竣工结算终审，审计时间按国家相关政策执行。本工程竣工结算价款为国家审计机关依法审定的金额为唯一的结算依据，审计完成后，按国家审计机关的审定工程价款的97%支付余款，剩余3%作为质量保证金。如结算最终审减率大于5％，则审减率超过5％（不含5%）以上部分的效益审计费用按审减金额的3%计算，由承包人承担（具体要求按成都市锦江区相关文件执行），发包人将从承包人结算工程款中代扣代付</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关于竣工付款证书异议部分复核的方式和程序：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u w:val="single"/>
        </w:rPr>
        <w:t>详细竣工结算有关约定按发包人工程竣工结算管理办法执行</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14.3 甩项竣工协议：  / 。</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14.4 最终结清</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14.4.1 最终结清申请单</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承包人提交最终结清申请单的份数：</w:t>
      </w:r>
      <w:r>
        <w:rPr>
          <w:rFonts w:hint="eastAsia" w:ascii="宋体" w:hAnsi="宋体" w:cs="宋体"/>
          <w:iCs w:val="0"/>
          <w:color w:val="auto"/>
          <w:sz w:val="20"/>
          <w:szCs w:val="20"/>
          <w:highlight w:val="none"/>
          <w:u w:val="single"/>
        </w:rPr>
        <w:t xml:space="preserve"> 3份</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承包人提交最终结算申请单的期限：</w:t>
      </w:r>
      <w:r>
        <w:rPr>
          <w:rFonts w:hint="eastAsia" w:ascii="宋体" w:hAnsi="宋体" w:cs="宋体"/>
          <w:iCs w:val="0"/>
          <w:color w:val="auto"/>
          <w:sz w:val="20"/>
          <w:szCs w:val="20"/>
          <w:highlight w:val="none"/>
          <w:u w:val="single"/>
        </w:rPr>
        <w:t>缺陷责任期终止证书颁发后7天内</w:t>
      </w:r>
      <w:r>
        <w:rPr>
          <w:rFonts w:hint="eastAsia" w:ascii="宋体" w:hAnsi="宋体" w:cs="宋体"/>
          <w:iCs w:val="0"/>
          <w:color w:val="auto"/>
          <w:sz w:val="20"/>
          <w:szCs w:val="20"/>
          <w:highlight w:val="none"/>
        </w:rPr>
        <w:t>。</w:t>
      </w:r>
      <w:r>
        <w:rPr>
          <w:rFonts w:hint="eastAsia" w:ascii="宋体" w:hAnsi="宋体" w:cs="宋体"/>
          <w:iCs w:val="0"/>
          <w:color w:val="auto"/>
          <w:sz w:val="20"/>
          <w:szCs w:val="20"/>
          <w:highlight w:val="none"/>
          <w:u w:val="single"/>
        </w:rPr>
        <w:t>最终结清申请单应列明质量保证金、应扣除的质量保证金、缺陷责任期内发生的增减费用。</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14.4.2 最终结清证书和支付</w:t>
      </w:r>
    </w:p>
    <w:p>
      <w:pPr>
        <w:numPr>
          <w:ilvl w:val="0"/>
          <w:numId w:val="59"/>
        </w:num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发包人完成最终结清申请单的审批并颁发最终结清证书的期限：</w:t>
      </w:r>
      <w:r>
        <w:rPr>
          <w:rFonts w:hint="eastAsia" w:ascii="宋体" w:hAnsi="宋体" w:cs="宋体"/>
          <w:iCs w:val="0"/>
          <w:color w:val="auto"/>
          <w:sz w:val="20"/>
          <w:szCs w:val="20"/>
          <w:highlight w:val="none"/>
          <w:u w:val="single"/>
        </w:rPr>
        <w:t>发包人应在收到承包人提交的最终结清申请单后28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r>
        <w:rPr>
          <w:rFonts w:hint="eastAsia" w:ascii="宋体" w:hAnsi="宋体" w:cs="宋体"/>
          <w:iCs w:val="0"/>
          <w:color w:val="auto"/>
          <w:sz w:val="20"/>
          <w:szCs w:val="20"/>
          <w:highlight w:val="none"/>
        </w:rPr>
        <w:t>。</w:t>
      </w:r>
    </w:p>
    <w:p>
      <w:pPr>
        <w:numPr>
          <w:ilvl w:val="0"/>
          <w:numId w:val="59"/>
        </w:num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发包人完成支付的期限：</w:t>
      </w:r>
      <w:r>
        <w:rPr>
          <w:rFonts w:hint="eastAsia" w:ascii="宋体" w:hAnsi="宋体" w:cs="宋体"/>
          <w:iCs w:val="0"/>
          <w:color w:val="auto"/>
          <w:sz w:val="20"/>
          <w:szCs w:val="20"/>
          <w:highlight w:val="none"/>
          <w:u w:val="single"/>
        </w:rPr>
        <w:t>发包人应在颁发最终结清证书后28天内完成支付</w:t>
      </w:r>
      <w:r>
        <w:rPr>
          <w:rFonts w:hint="eastAsia" w:ascii="宋体" w:hAnsi="宋体" w:cs="宋体"/>
          <w:iCs w:val="0"/>
          <w:color w:val="auto"/>
          <w:sz w:val="20"/>
          <w:szCs w:val="20"/>
          <w:highlight w:val="none"/>
        </w:rPr>
        <w:t>。</w:t>
      </w:r>
    </w:p>
    <w:bookmarkEnd w:id="671"/>
    <w:bookmarkEnd w:id="672"/>
    <w:bookmarkEnd w:id="673"/>
    <w:bookmarkEnd w:id="674"/>
    <w:bookmarkEnd w:id="675"/>
    <w:bookmarkEnd w:id="676"/>
    <w:bookmarkEnd w:id="677"/>
    <w:bookmarkEnd w:id="683"/>
    <w:p>
      <w:pPr>
        <w:outlineLvl w:val="1"/>
        <w:rPr>
          <w:rFonts w:ascii="宋体" w:hAnsi="宋体" w:cs="宋体"/>
          <w:b/>
          <w:iCs w:val="0"/>
          <w:color w:val="auto"/>
          <w:sz w:val="20"/>
          <w:szCs w:val="20"/>
          <w:highlight w:val="none"/>
        </w:rPr>
      </w:pPr>
      <w:bookmarkStart w:id="689" w:name="_Toc407203357"/>
      <w:bookmarkStart w:id="690" w:name="_Toc407198341"/>
      <w:bookmarkStart w:id="691" w:name="_Toc434959553"/>
      <w:bookmarkStart w:id="692" w:name="_Toc351203647"/>
      <w:bookmarkStart w:id="693" w:name="_Toc29444"/>
      <w:bookmarkStart w:id="694" w:name="_Toc267251483"/>
      <w:bookmarkStart w:id="695" w:name="_Toc267251484"/>
      <w:bookmarkStart w:id="696" w:name="_Toc267251482"/>
      <w:bookmarkStart w:id="697" w:name="_Toc267251485"/>
      <w:bookmarkStart w:id="698" w:name="_Toc267251489"/>
      <w:bookmarkStart w:id="699" w:name="_Toc267251488"/>
      <w:bookmarkStart w:id="700" w:name="_Toc267251490"/>
      <w:bookmarkStart w:id="701" w:name="_Toc267251486"/>
      <w:bookmarkStart w:id="702" w:name="_Toc267251495"/>
      <w:bookmarkStart w:id="703" w:name="_Toc267251502"/>
      <w:bookmarkStart w:id="704" w:name="_Toc267251497"/>
      <w:bookmarkStart w:id="705" w:name="_Toc267251503"/>
      <w:bookmarkStart w:id="706" w:name="_Toc267251501"/>
      <w:bookmarkStart w:id="707" w:name="_Toc267251496"/>
      <w:bookmarkStart w:id="708" w:name="_Toc267251499"/>
      <w:bookmarkStart w:id="709" w:name="_Toc267251494"/>
      <w:bookmarkStart w:id="710" w:name="_Toc267251492"/>
      <w:bookmarkStart w:id="711" w:name="_Toc267251491"/>
      <w:bookmarkStart w:id="712" w:name="_Toc267251498"/>
      <w:bookmarkStart w:id="713" w:name="_Toc267251493"/>
      <w:bookmarkStart w:id="714" w:name="_Toc267251506"/>
      <w:bookmarkStart w:id="715" w:name="_Toc267251504"/>
      <w:bookmarkStart w:id="716" w:name="_Toc267251507"/>
      <w:bookmarkStart w:id="717" w:name="_Toc267251508"/>
      <w:bookmarkStart w:id="718" w:name="_Toc267251509"/>
      <w:bookmarkStart w:id="719" w:name="_Toc267251514"/>
      <w:bookmarkStart w:id="720" w:name="_Toc267251511"/>
      <w:bookmarkStart w:id="721" w:name="_Toc267251513"/>
      <w:bookmarkStart w:id="722" w:name="_Toc267251515"/>
      <w:bookmarkStart w:id="723" w:name="_Toc267251510"/>
      <w:r>
        <w:rPr>
          <w:rFonts w:hint="eastAsia" w:ascii="宋体" w:hAnsi="宋体" w:cs="宋体"/>
          <w:b/>
          <w:iCs w:val="0"/>
          <w:color w:val="auto"/>
          <w:sz w:val="20"/>
          <w:szCs w:val="20"/>
          <w:highlight w:val="none"/>
        </w:rPr>
        <w:t>15. 缺陷责任期与保修</w:t>
      </w:r>
      <w:bookmarkEnd w:id="689"/>
      <w:bookmarkEnd w:id="690"/>
      <w:bookmarkEnd w:id="691"/>
      <w:bookmarkEnd w:id="692"/>
      <w:bookmarkEnd w:id="693"/>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15.2缺陷责任期</w:t>
      </w:r>
      <w:bookmarkEnd w:id="694"/>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缺陷责任期的具体期限：</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15.3 质量保证金</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关于是否扣留质量保证金的约定：</w:t>
      </w:r>
      <w:r>
        <w:rPr>
          <w:rFonts w:hint="eastAsia" w:ascii="宋体" w:hAnsi="宋体" w:cs="宋体"/>
          <w:iCs w:val="0"/>
          <w:color w:val="auto"/>
          <w:sz w:val="20"/>
          <w:szCs w:val="20"/>
          <w:highlight w:val="none"/>
          <w:u w:val="single"/>
        </w:rPr>
        <w:t>工程竣工验收合格之日起24个月</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15.3.1 承包人提供质量保证金的方式</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质量保证金采用以下第</w:t>
      </w:r>
      <w:r>
        <w:rPr>
          <w:rFonts w:hint="eastAsia" w:ascii="宋体" w:hAnsi="宋体" w:cs="宋体"/>
          <w:iCs w:val="0"/>
          <w:color w:val="auto"/>
          <w:sz w:val="20"/>
          <w:szCs w:val="20"/>
          <w:highlight w:val="none"/>
          <w:u w:val="single"/>
        </w:rPr>
        <w:t xml:space="preserve"> (2)、（3） </w:t>
      </w:r>
      <w:r>
        <w:rPr>
          <w:rFonts w:hint="eastAsia" w:ascii="宋体" w:hAnsi="宋体" w:cs="宋体"/>
          <w:iCs w:val="0"/>
          <w:color w:val="auto"/>
          <w:sz w:val="20"/>
          <w:szCs w:val="20"/>
          <w:highlight w:val="none"/>
        </w:rPr>
        <w:t>种方式：</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（1）质量保证金保函，保证金额为：</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autoSpaceDE w:val="0"/>
        <w:autoSpaceDN w:val="0"/>
        <w:adjustRightInd w:val="0"/>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（2）</w:t>
      </w:r>
      <w:r>
        <w:rPr>
          <w:rFonts w:hint="eastAsia" w:ascii="宋体" w:hAnsi="宋体" w:cs="宋体"/>
          <w:iCs w:val="0"/>
          <w:color w:val="auto"/>
          <w:kern w:val="0"/>
          <w:sz w:val="20"/>
          <w:szCs w:val="20"/>
          <w:highlight w:val="none"/>
          <w:u w:val="single"/>
        </w:rPr>
        <w:t xml:space="preserve">3 </w:t>
      </w:r>
      <w:r>
        <w:rPr>
          <w:rFonts w:hint="eastAsia" w:ascii="宋体" w:hAnsi="宋体" w:cs="宋体"/>
          <w:iCs w:val="0"/>
          <w:color w:val="auto"/>
          <w:kern w:val="0"/>
          <w:sz w:val="20"/>
          <w:szCs w:val="20"/>
          <w:highlight w:val="none"/>
        </w:rPr>
        <w:t>%的工程竣工结算价款；</w:t>
      </w:r>
    </w:p>
    <w:p>
      <w:pPr>
        <w:autoSpaceDE w:val="0"/>
        <w:autoSpaceDN w:val="0"/>
        <w:adjustRightInd w:val="0"/>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（3）其他方式:</w:t>
      </w:r>
      <w:r>
        <w:rPr>
          <w:rFonts w:hint="eastAsia" w:ascii="宋体" w:hAnsi="宋体" w:cs="宋体"/>
          <w:bCs/>
          <w:iCs w:val="0"/>
          <w:color w:val="auto"/>
          <w:sz w:val="20"/>
          <w:szCs w:val="20"/>
          <w:highlight w:val="none"/>
          <w:u w:val="single"/>
        </w:rPr>
        <w:t>承包人以银行保函形式提交工程质量保证金</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15.3.2 质量保证金的扣留</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质量保证金的扣留采取以下第</w:t>
      </w:r>
      <w:r>
        <w:rPr>
          <w:rFonts w:hint="eastAsia" w:ascii="宋体" w:hAnsi="宋体" w:cs="宋体"/>
          <w:iCs w:val="0"/>
          <w:color w:val="auto"/>
          <w:sz w:val="20"/>
          <w:szCs w:val="20"/>
          <w:highlight w:val="none"/>
          <w:u w:val="single"/>
        </w:rPr>
        <w:t>(2)</w:t>
      </w:r>
      <w:r>
        <w:rPr>
          <w:rFonts w:hint="eastAsia" w:ascii="宋体" w:hAnsi="宋体" w:cs="宋体"/>
          <w:iCs w:val="0"/>
          <w:color w:val="auto"/>
          <w:sz w:val="20"/>
          <w:szCs w:val="20"/>
          <w:highlight w:val="none"/>
        </w:rPr>
        <w:t>种方式：</w:t>
      </w:r>
    </w:p>
    <w:p>
      <w:pPr>
        <w:autoSpaceDE w:val="0"/>
        <w:autoSpaceDN w:val="0"/>
        <w:adjustRightInd w:val="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 xml:space="preserve">   （1）在支付工程进度款时逐次扣留，在此情形下，质量保证金的计算基数不包括预付款的支付、扣回以及价格调整的金额；</w:t>
      </w:r>
    </w:p>
    <w:p>
      <w:pPr>
        <w:autoSpaceDE w:val="0"/>
        <w:autoSpaceDN w:val="0"/>
        <w:adjustRightInd w:val="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 xml:space="preserve">   （2）工程竣工结算时一次性扣留质量保证金；</w:t>
      </w:r>
    </w:p>
    <w:p>
      <w:pPr>
        <w:autoSpaceDE w:val="0"/>
        <w:autoSpaceDN w:val="0"/>
        <w:adjustRightInd w:val="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 xml:space="preserve">   （3）其他扣留方式:</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关于质量保证金的补充约定：</w:t>
      </w:r>
      <w:r>
        <w:rPr>
          <w:rFonts w:ascii="宋体" w:hAnsi="宋体" w:cs="宋体"/>
          <w:iCs w:val="0"/>
          <w:color w:val="auto"/>
          <w:sz w:val="20"/>
          <w:szCs w:val="20"/>
          <w:highlight w:val="none"/>
        </w:rPr>
        <w:fldChar w:fldCharType="begin"/>
      </w:r>
      <w:r>
        <w:rPr>
          <w:rFonts w:hint="eastAsia" w:ascii="宋体" w:hAnsi="宋体" w:cs="宋体"/>
          <w:iCs w:val="0"/>
          <w:color w:val="auto"/>
          <w:sz w:val="20"/>
          <w:szCs w:val="20"/>
          <w:highlight w:val="none"/>
        </w:rPr>
        <w:instrText xml:space="preserve">= 1 \* GB3</w:instrText>
      </w:r>
      <w:r>
        <w:rPr>
          <w:rFonts w:ascii="宋体" w:hAnsi="宋体" w:cs="宋体"/>
          <w:iCs w:val="0"/>
          <w:color w:val="auto"/>
          <w:sz w:val="20"/>
          <w:szCs w:val="20"/>
          <w:highlight w:val="none"/>
        </w:rPr>
        <w:fldChar w:fldCharType="separate"/>
      </w:r>
      <w:r>
        <w:rPr>
          <w:rFonts w:hint="eastAsia" w:ascii="宋体" w:hAnsi="宋体" w:cs="宋体"/>
          <w:iCs w:val="0"/>
          <w:color w:val="auto"/>
          <w:sz w:val="20"/>
          <w:szCs w:val="20"/>
          <w:highlight w:val="none"/>
        </w:rPr>
        <w:t>①</w:t>
      </w:r>
      <w:r>
        <w:rPr>
          <w:rFonts w:ascii="宋体" w:hAnsi="宋体" w:cs="宋体"/>
          <w:iCs w:val="0"/>
          <w:color w:val="auto"/>
          <w:sz w:val="20"/>
          <w:szCs w:val="20"/>
          <w:highlight w:val="none"/>
        </w:rPr>
        <w:fldChar w:fldCharType="end"/>
      </w:r>
      <w:r>
        <w:rPr>
          <w:rFonts w:hint="eastAsia" w:ascii="宋体" w:hAnsi="宋体" w:cs="宋体"/>
          <w:iCs w:val="0"/>
          <w:color w:val="auto"/>
          <w:sz w:val="20"/>
          <w:szCs w:val="20"/>
          <w:highlight w:val="none"/>
          <w:u w:val="single"/>
        </w:rPr>
        <w:t>承包人未能履行缺陷修复义务的，发包人有权扣除相应金额的维修费用，并有权要求承包人延长缺陷责任期，直至完成剩余工作为止。承包人未能履行缺陷修复义务，发包人有权自行修复或委托第三方修复，所需费用超过扣留质量保证金的部分由承包人另行支付；承包人未另行支付的，发包人有权向承包人追索。</w:t>
      </w:r>
      <w:r>
        <w:rPr>
          <w:rFonts w:ascii="宋体" w:hAnsi="宋体" w:cs="宋体"/>
          <w:iCs w:val="0"/>
          <w:color w:val="auto"/>
          <w:sz w:val="20"/>
          <w:szCs w:val="20"/>
          <w:highlight w:val="none"/>
          <w:u w:val="single"/>
        </w:rPr>
        <w:fldChar w:fldCharType="begin"/>
      </w:r>
      <w:r>
        <w:rPr>
          <w:rFonts w:hint="eastAsia" w:ascii="宋体" w:hAnsi="宋体" w:cs="宋体"/>
          <w:iCs w:val="0"/>
          <w:color w:val="auto"/>
          <w:sz w:val="20"/>
          <w:szCs w:val="20"/>
          <w:highlight w:val="none"/>
          <w:u w:val="single"/>
        </w:rPr>
        <w:instrText xml:space="preserve">= 2 \* GB3</w:instrText>
      </w:r>
      <w:r>
        <w:rPr>
          <w:rFonts w:ascii="宋体" w:hAnsi="宋体" w:cs="宋体"/>
          <w:iCs w:val="0"/>
          <w:color w:val="auto"/>
          <w:sz w:val="20"/>
          <w:szCs w:val="20"/>
          <w:highlight w:val="none"/>
          <w:u w:val="single"/>
        </w:rPr>
        <w:fldChar w:fldCharType="separate"/>
      </w:r>
      <w:r>
        <w:rPr>
          <w:rFonts w:hint="eastAsia" w:ascii="宋体" w:hAnsi="宋体" w:cs="宋体"/>
          <w:iCs w:val="0"/>
          <w:color w:val="auto"/>
          <w:sz w:val="20"/>
          <w:szCs w:val="20"/>
          <w:highlight w:val="none"/>
          <w:u w:val="single"/>
        </w:rPr>
        <w:t>②</w:t>
      </w:r>
      <w:r>
        <w:rPr>
          <w:rFonts w:ascii="宋体" w:hAnsi="宋体" w:cs="宋体"/>
          <w:iCs w:val="0"/>
          <w:color w:val="auto"/>
          <w:sz w:val="20"/>
          <w:szCs w:val="20"/>
          <w:highlight w:val="none"/>
          <w:u w:val="single"/>
        </w:rPr>
        <w:fldChar w:fldCharType="end"/>
      </w:r>
      <w:r>
        <w:rPr>
          <w:rFonts w:hint="eastAsia" w:ascii="宋体" w:hAnsi="宋体" w:cs="宋体"/>
          <w:iCs w:val="0"/>
          <w:color w:val="auto"/>
          <w:sz w:val="20"/>
          <w:szCs w:val="20"/>
          <w:highlight w:val="none"/>
          <w:u w:val="single"/>
        </w:rPr>
        <w:t>缺陷责任期满后，发包人在接到承包人返还保证金申请后，应于14天内会同承包人按照合同约定的内容进行核实。如无异议，发包人应当按照约定将保证金无息返还给承包人。</w:t>
      </w:r>
    </w:p>
    <w:bookmarkEnd w:id="695"/>
    <w:bookmarkEnd w:id="696"/>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15.4保修</w:t>
      </w:r>
    </w:p>
    <w:bookmarkEnd w:id="697"/>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15.4.1 保修责任</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sz w:val="20"/>
          <w:szCs w:val="20"/>
          <w:highlight w:val="none"/>
        </w:rPr>
        <w:t>工程保修期为：</w:t>
      </w:r>
      <w:r>
        <w:rPr>
          <w:rFonts w:hint="eastAsia" w:ascii="宋体" w:hAnsi="宋体" w:cs="宋体"/>
          <w:iCs w:val="0"/>
          <w:color w:val="auto"/>
          <w:sz w:val="20"/>
          <w:szCs w:val="20"/>
          <w:highlight w:val="none"/>
          <w:u w:val="single"/>
        </w:rPr>
        <w:t>详见附件1《工程质量保修书》。</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15.4.3 修复通知</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承包人收到保修通知并到达工程现场的合理时间：</w:t>
      </w:r>
      <w:r>
        <w:rPr>
          <w:rFonts w:hint="eastAsia" w:ascii="宋体" w:hAnsi="宋体" w:cs="宋体"/>
          <w:iCs w:val="0"/>
          <w:color w:val="auto"/>
          <w:sz w:val="20"/>
          <w:szCs w:val="20"/>
          <w:highlight w:val="none"/>
          <w:u w:val="single"/>
        </w:rPr>
        <w:t>承包人应在收到发包人通知后的24小时内到达工程现场并修复缺陷或损坏</w:t>
      </w:r>
      <w:r>
        <w:rPr>
          <w:rFonts w:hint="eastAsia" w:ascii="宋体" w:hAnsi="宋体" w:cs="宋体"/>
          <w:iCs w:val="0"/>
          <w:color w:val="auto"/>
          <w:sz w:val="20"/>
          <w:szCs w:val="20"/>
          <w:highlight w:val="none"/>
        </w:rPr>
        <w:t>。</w:t>
      </w:r>
    </w:p>
    <w:bookmarkEnd w:id="698"/>
    <w:bookmarkEnd w:id="699"/>
    <w:bookmarkEnd w:id="700"/>
    <w:bookmarkEnd w:id="701"/>
    <w:p>
      <w:pPr>
        <w:outlineLvl w:val="1"/>
        <w:rPr>
          <w:rFonts w:ascii="宋体" w:hAnsi="宋体" w:cs="宋体"/>
          <w:b/>
          <w:iCs w:val="0"/>
          <w:color w:val="auto"/>
          <w:sz w:val="20"/>
          <w:szCs w:val="20"/>
          <w:highlight w:val="none"/>
        </w:rPr>
      </w:pPr>
      <w:bookmarkStart w:id="724" w:name="_Toc351203648"/>
      <w:bookmarkStart w:id="725" w:name="_Toc407198342"/>
      <w:bookmarkStart w:id="726" w:name="_Toc407203358"/>
      <w:bookmarkStart w:id="727" w:name="_Toc434959554"/>
      <w:bookmarkStart w:id="728" w:name="_Toc15204"/>
      <w:bookmarkStart w:id="729" w:name="_Toc280868717"/>
      <w:bookmarkStart w:id="730" w:name="_Toc280868718"/>
      <w:r>
        <w:rPr>
          <w:rFonts w:hint="eastAsia" w:ascii="宋体" w:hAnsi="宋体" w:cs="宋体"/>
          <w:b/>
          <w:iCs w:val="0"/>
          <w:color w:val="auto"/>
          <w:sz w:val="20"/>
          <w:szCs w:val="20"/>
          <w:highlight w:val="none"/>
        </w:rPr>
        <w:t>16. 违约</w:t>
      </w:r>
      <w:bookmarkEnd w:id="724"/>
      <w:bookmarkEnd w:id="725"/>
      <w:bookmarkEnd w:id="726"/>
      <w:bookmarkEnd w:id="727"/>
      <w:bookmarkEnd w:id="728"/>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16.1 发包人违约</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16.1.1发包人违约的情形</w:t>
      </w:r>
    </w:p>
    <w:p>
      <w:pPr>
        <w:autoSpaceDE w:val="0"/>
        <w:autoSpaceDN w:val="0"/>
        <w:adjustRightInd w:val="0"/>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发包人违约的其他情形：</w:t>
      </w:r>
      <w:r>
        <w:rPr>
          <w:rFonts w:hint="eastAsia" w:ascii="宋体" w:hAnsi="宋体" w:cs="宋体"/>
          <w:iCs w:val="0"/>
          <w:color w:val="auto"/>
          <w:sz w:val="20"/>
          <w:szCs w:val="20"/>
          <w:highlight w:val="none"/>
          <w:u w:val="single"/>
        </w:rPr>
        <w:t>合同专用合同条款明确约定属于发包人原因造成工期延误或暂停施工的，经发包人批准后工期顺延，发包人不承担承包人因此增加的费用和相应利润</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16.1.2 发包人违约的责任</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发包人违约责任的承担方式和计算方法：</w:t>
      </w:r>
    </w:p>
    <w:p>
      <w:pPr>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kern w:val="0"/>
          <w:sz w:val="20"/>
          <w:szCs w:val="20"/>
          <w:highlight w:val="none"/>
        </w:rPr>
        <w:t>（1）因发包人原因未能在计划开工日期前7天内下达开工通知的违约责任：</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（2）因发包人原因未能按合同约定支付合同价款的违约责任：</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（3）发包人违反第10.1款〔变更的范围〕第（2）项约定，自行实施被取消的工作或转由他人实施的违约责任：</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（4）发包人提供的材料、工程设备的规格、数量或质量不符合合同约定，或因发包人原因导致交货日期延误或交货地点变更等情况的违约责任：</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（5）因发包人违反合同约定造成暂停施工的违约责任：</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（6）发包人无正当理由没有在约定期限内发出复工指示，导致承包人无法复工的违约责任：</w:t>
      </w:r>
      <w:r>
        <w:rPr>
          <w:rFonts w:hint="eastAsia" w:ascii="宋体" w:hAnsi="宋体" w:cs="宋体"/>
          <w:iCs w:val="0"/>
          <w:color w:val="auto"/>
          <w:kern w:val="0"/>
          <w:sz w:val="20"/>
          <w:szCs w:val="20"/>
          <w:highlight w:val="none"/>
          <w:u w:val="single"/>
        </w:rPr>
        <w:t xml:space="preserve"> /。</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（7）其他：</w:t>
      </w:r>
      <w:r>
        <w:rPr>
          <w:rFonts w:hint="eastAsia" w:ascii="宋体" w:hAnsi="宋体" w:cs="宋体"/>
          <w:iCs w:val="0"/>
          <w:color w:val="auto"/>
          <w:kern w:val="0"/>
          <w:sz w:val="20"/>
          <w:szCs w:val="20"/>
          <w:highlight w:val="none"/>
          <w:u w:val="single"/>
        </w:rPr>
        <w:t xml:space="preserve">   /  </w:t>
      </w:r>
      <w:r>
        <w:rPr>
          <w:rFonts w:hint="eastAsia" w:ascii="宋体" w:hAnsi="宋体" w:cs="宋体"/>
          <w:iCs w:val="0"/>
          <w:color w:val="auto"/>
          <w:kern w:val="0"/>
          <w:sz w:val="20"/>
          <w:szCs w:val="20"/>
          <w:highlight w:val="none"/>
        </w:rPr>
        <w:t>。</w:t>
      </w:r>
    </w:p>
    <w:p>
      <w:pPr>
        <w:tabs>
          <w:tab w:val="left" w:pos="6720"/>
        </w:tabs>
        <w:autoSpaceDE w:val="0"/>
        <w:autoSpaceDN w:val="0"/>
        <w:adjustRightInd w:val="0"/>
        <w:jc w:val="left"/>
        <w:rPr>
          <w:rFonts w:ascii="宋体" w:hAnsi="宋体" w:cs="宋体"/>
          <w:iCs w:val="0"/>
          <w:color w:val="auto"/>
          <w:kern w:val="0"/>
          <w:sz w:val="20"/>
          <w:szCs w:val="20"/>
          <w:highlight w:val="none"/>
        </w:rPr>
      </w:pPr>
      <w:r>
        <w:rPr>
          <w:rFonts w:ascii="宋体" w:hAnsi="宋体" w:cs="宋体"/>
          <w:iCs w:val="0"/>
          <w:color w:val="auto"/>
          <w:kern w:val="0"/>
          <w:sz w:val="20"/>
          <w:szCs w:val="20"/>
          <w:highlight w:val="none"/>
        </w:rPr>
        <w:tab/>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16.2 承包人违约</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16.2.1 承包人违约的情形</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承包人违约的其他情形：</w:t>
      </w:r>
      <w:r>
        <w:rPr>
          <w:rFonts w:hint="eastAsia" w:ascii="宋体" w:hAnsi="宋体" w:cs="宋体"/>
          <w:iCs w:val="0"/>
          <w:color w:val="auto"/>
          <w:sz w:val="20"/>
          <w:szCs w:val="20"/>
          <w:highlight w:val="none"/>
          <w:u w:val="single"/>
        </w:rPr>
        <w:t>（1）承包人在施工期间如果在各种报表及检查试验记录中作假或诱导监理人作假，一经查实，视其严重情况和影响程度，由承包人按1万元～5万元/次支付违约金。（2）承包人若发生未能及时支付材料费、机械使用费和工人（含民工）工资等，由此造成相关人员、单位集体上访的, 每发生上访一次，承包人需承担最高30万元的违约金；造成停工、阻塞交通等的，承包人需承担最高50万元的违约金；情节严重造成恶劣社会影响或影响施工进程的，发包人有权提前解除合同，并由承包人按照专用合同条款第16.2.3项的约定承担违约责任。（3）因承包人原因（如人员、资金、技术力量等不足，拖欠民工工资、发生重特大安全事故或其他内部管理问题等）造成工程连续全面停工超过5天或比进度计划工期拖延超过7天的（承包人不得以发包人未支付工程进度款为由停工或拖延工期），视为承包人严重违约，发包人有权提前解除合同，并由承包人按照专用合同条款第16.2.3项的约定承担违约责任。（4）本合同补充协议、发包人建设项目管理实施细则及业主单位（项目投资人）最新颁发的相关工程管理制度的情形</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16.2.2承包人违约的责任</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承包人违约责任的承担方式和计算方法：</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合同约定应当由承包人赔偿发包人的损失或支付的违约金，发包人按照下列顺序扣除：承包人以现金形式缴纳的履约保证金，发包人尚未支付的工程款（含质量保证金）。发包人尚未支付的工程款不足扣除的，发包人有权就剩余金额进行追索。违约责任计算方法按照专用合同条款的有关约定执行</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sz w:val="20"/>
          <w:szCs w:val="20"/>
          <w:highlight w:val="none"/>
          <w:u w:val="single"/>
        </w:rPr>
        <w:t>承包人因拖欠民工等施工人员工资而引起上访或劳资纠纷的，发包人有权从承包人以现金形式缴纳的民工保证金、以现金形式缴纳的履约保证金或发包人尚未支付的工程款（含质量保证金）中扣除相应金额兑付承包人应付的民工等施工人员工资</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16.2.3 因承包人违约解除合同</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kern w:val="0"/>
          <w:sz w:val="20"/>
          <w:szCs w:val="20"/>
          <w:highlight w:val="none"/>
        </w:rPr>
        <w:t>关于承包人违约解除合同的特别约定：</w:t>
      </w:r>
      <w:r>
        <w:rPr>
          <w:rFonts w:hint="eastAsia" w:ascii="宋体" w:hAnsi="宋体" w:cs="宋体"/>
          <w:iCs w:val="0"/>
          <w:color w:val="auto"/>
          <w:sz w:val="20"/>
          <w:szCs w:val="20"/>
          <w:highlight w:val="none"/>
          <w:u w:val="single"/>
        </w:rPr>
        <w:t>出现专用合同条款约定因承包人违约发包人有权解除合同，以及出现通用合同条款第16.2.1项〔承包人违约的情形〕第（7）目约定的违约情况时，或监理人、发包人发出整改通知后，承包人在指定的合理期限内仍不纠正违约行为并致使合同目的不能实现的，发包人有权解除合同，同时承包人应当按照签约合同价20%的金额承担合同解除的违约责任。因解除合同给发包人造成损失的，承包人还应当赔偿相应的损失</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发包人继续使用承包人在施工现场的材料、设备、临时工程、承包人文件和由承包人或以其名义编制的其他文件的费用承担方式：</w:t>
      </w:r>
      <w:r>
        <w:rPr>
          <w:rFonts w:hint="eastAsia" w:ascii="宋体" w:hAnsi="宋体" w:cs="宋体"/>
          <w:iCs w:val="0"/>
          <w:color w:val="auto"/>
          <w:sz w:val="20"/>
          <w:szCs w:val="20"/>
          <w:highlight w:val="none"/>
          <w:u w:val="single"/>
        </w:rPr>
        <w:t>合同解除后，因继续完成工程的需要，发包人有权免费使用承包人在施工现场的临时工程、承包人文件和由承包人或以其名义编制的其他文件，承包人在施工现场的材料、设备由承包人按照发包人要求和监理人的指示在合理期限内自行撤离现场，限期内未完成现场的清理和撤离的，发包人有权免费使用</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bookmarkStart w:id="731" w:name="_Toc351203649"/>
      <w:r>
        <w:rPr>
          <w:rFonts w:hint="eastAsia" w:ascii="宋体" w:hAnsi="宋体" w:cs="宋体"/>
          <w:iCs w:val="0"/>
          <w:color w:val="auto"/>
          <w:sz w:val="20"/>
          <w:szCs w:val="20"/>
          <w:highlight w:val="none"/>
        </w:rPr>
        <w:t>16.4 除上述违约行为、违约责任外，本合同约定与附件建设项目管理实施细则不一致的，以附件建设项目管理实施细则为准。</w:t>
      </w:r>
    </w:p>
    <w:p>
      <w:pPr>
        <w:outlineLvl w:val="1"/>
        <w:rPr>
          <w:rFonts w:ascii="宋体" w:hAnsi="宋体" w:cs="宋体"/>
          <w:b/>
          <w:iCs w:val="0"/>
          <w:color w:val="auto"/>
          <w:sz w:val="20"/>
          <w:szCs w:val="20"/>
          <w:highlight w:val="none"/>
        </w:rPr>
      </w:pPr>
      <w:bookmarkStart w:id="732" w:name="_Toc407203359"/>
      <w:bookmarkStart w:id="733" w:name="_Toc407198343"/>
      <w:bookmarkStart w:id="734" w:name="_Toc434959555"/>
      <w:bookmarkStart w:id="735" w:name="_Toc23771"/>
      <w:r>
        <w:rPr>
          <w:rFonts w:hint="eastAsia" w:ascii="宋体" w:hAnsi="宋体" w:cs="宋体"/>
          <w:b/>
          <w:iCs w:val="0"/>
          <w:color w:val="auto"/>
          <w:sz w:val="20"/>
          <w:szCs w:val="20"/>
          <w:highlight w:val="none"/>
        </w:rPr>
        <w:t>17. 不可抗力</w:t>
      </w:r>
      <w:bookmarkEnd w:id="729"/>
      <w:bookmarkEnd w:id="731"/>
      <w:bookmarkEnd w:id="732"/>
      <w:bookmarkEnd w:id="733"/>
      <w:bookmarkEnd w:id="734"/>
      <w:bookmarkEnd w:id="735"/>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17.1 不可抗力的确认</w:t>
      </w:r>
    </w:p>
    <w:p>
      <w:pPr>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sz w:val="20"/>
          <w:szCs w:val="20"/>
          <w:highlight w:val="none"/>
        </w:rPr>
        <w:t>除通用合同条款约定的不可抗力事件之外，视为不可抗力的其他情形：</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17.4 因不可抗力解除合同</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合同解除后，发包人应在商定或确定发包人应支付款项后</w:t>
      </w:r>
      <w:r>
        <w:rPr>
          <w:rFonts w:hint="eastAsia" w:ascii="宋体" w:hAnsi="宋体" w:cs="宋体"/>
          <w:iCs w:val="0"/>
          <w:color w:val="auto"/>
          <w:sz w:val="20"/>
          <w:szCs w:val="20"/>
          <w:highlight w:val="none"/>
          <w:u w:val="single"/>
        </w:rPr>
        <w:t>2年</w:t>
      </w:r>
      <w:r>
        <w:rPr>
          <w:rFonts w:hint="eastAsia" w:ascii="宋体" w:hAnsi="宋体" w:cs="宋体"/>
          <w:iCs w:val="0"/>
          <w:color w:val="auto"/>
          <w:sz w:val="20"/>
          <w:szCs w:val="20"/>
          <w:highlight w:val="none"/>
        </w:rPr>
        <w:t>内完成款项的支付。</w:t>
      </w:r>
    </w:p>
    <w:p>
      <w:pPr>
        <w:rPr>
          <w:rFonts w:ascii="宋体" w:hAnsi="宋体" w:cs="宋体"/>
          <w:b/>
          <w:iCs w:val="0"/>
          <w:color w:val="auto"/>
          <w:sz w:val="20"/>
          <w:szCs w:val="20"/>
          <w:highlight w:val="none"/>
        </w:rPr>
      </w:pPr>
      <w:bookmarkStart w:id="736" w:name="_Toc351203650"/>
      <w:r>
        <w:rPr>
          <w:rFonts w:hint="eastAsia" w:ascii="宋体" w:hAnsi="宋体" w:cs="宋体"/>
          <w:b/>
          <w:iCs w:val="0"/>
          <w:color w:val="auto"/>
          <w:sz w:val="20"/>
          <w:szCs w:val="20"/>
          <w:highlight w:val="none"/>
        </w:rPr>
        <w:t>18. 保险</w:t>
      </w:r>
      <w:bookmarkEnd w:id="736"/>
    </w:p>
    <w:bookmarkEnd w:id="730"/>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18.1 工程保险</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关于工程保险的特别约定：</w:t>
      </w:r>
      <w:r>
        <w:rPr>
          <w:rFonts w:hint="eastAsia" w:ascii="宋体" w:hAnsi="宋体" w:cs="宋体"/>
          <w:iCs w:val="0"/>
          <w:color w:val="auto"/>
          <w:sz w:val="20"/>
          <w:szCs w:val="20"/>
          <w:highlight w:val="none"/>
          <w:u w:val="single"/>
        </w:rPr>
        <w:t>根据本合同的具体情况，承包人应依据国家有关规定、企业自身的技术管理水平和对本条款风险的预测和决策能力，全面考虑投保险种，其投保的保险费自行承担支付，并已包含在所报的单价或总价中，不单独报价和结算。承包人应投保建筑工程一切险、安装工程一切险，因投保产生的保险费和其他相关费用由承包人承担。投保需符合以下约定</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18.1.1投保人：</w:t>
      </w:r>
      <w:r>
        <w:rPr>
          <w:rFonts w:hint="eastAsia" w:ascii="宋体" w:hAnsi="宋体" w:cs="宋体"/>
          <w:iCs w:val="0"/>
          <w:color w:val="auto"/>
          <w:sz w:val="20"/>
          <w:szCs w:val="20"/>
          <w:highlight w:val="none"/>
          <w:u w:val="single"/>
        </w:rPr>
        <w:t>承包人以承包人及发包人的名义投保</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18.1.2投保内容：</w:t>
      </w:r>
      <w:r>
        <w:rPr>
          <w:rFonts w:hint="eastAsia" w:ascii="宋体" w:hAnsi="宋体" w:cs="宋体"/>
          <w:iCs w:val="0"/>
          <w:color w:val="auto"/>
          <w:sz w:val="20"/>
          <w:szCs w:val="20"/>
          <w:highlight w:val="none"/>
          <w:u w:val="single"/>
        </w:rPr>
        <w:t>本工程工地范围内的建筑、安装工程及用于该工程的材料、机械、设备因自然灾害或意外事故造成的损坏或灭失</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18.1.3本工程所有需缴纳的保险费用（包括发包人需缴纳费用）由承包人负责缴纳，相关费用由承包人综合考虑包含在承包人投标总价内，不单独列项。</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18.1.4保险金额：</w:t>
      </w:r>
      <w:r>
        <w:rPr>
          <w:rFonts w:hint="eastAsia" w:ascii="宋体" w:hAnsi="宋体" w:cs="宋体"/>
          <w:iCs w:val="0"/>
          <w:color w:val="auto"/>
          <w:sz w:val="20"/>
          <w:szCs w:val="20"/>
          <w:highlight w:val="none"/>
          <w:u w:val="single"/>
        </w:rPr>
        <w:t>本工程工地范围内的建筑、安装工程及用于该工程的材料、机械、设备的实际总价值</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18.1.5保险期限：</w:t>
      </w:r>
      <w:r>
        <w:rPr>
          <w:rFonts w:hint="eastAsia" w:ascii="宋体" w:hAnsi="宋体" w:cs="宋体"/>
          <w:iCs w:val="0"/>
          <w:color w:val="auto"/>
          <w:sz w:val="20"/>
          <w:szCs w:val="20"/>
          <w:highlight w:val="none"/>
          <w:u w:val="single"/>
        </w:rPr>
        <w:t>自被保险工程在工地动工或用于保险工程的材料、机械、设备运抵工地之时起，至发包人签发完工验收证书或验收合格，或发包人实际占有或使用或接收该工程之时止</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18.3 其他保险</w:t>
      </w:r>
    </w:p>
    <w:p>
      <w:pPr>
        <w:ind w:firstLine="400" w:firstLineChars="200"/>
        <w:jc w:val="left"/>
        <w:rPr>
          <w:rFonts w:ascii="宋体" w:hAnsi="宋体" w:cs="宋体"/>
          <w:iCs w:val="0"/>
          <w:color w:val="auto"/>
          <w:kern w:val="0"/>
          <w:sz w:val="20"/>
          <w:szCs w:val="20"/>
          <w:highlight w:val="none"/>
          <w:u w:val="single"/>
        </w:rPr>
      </w:pPr>
      <w:r>
        <w:rPr>
          <w:rFonts w:hint="eastAsia" w:ascii="宋体" w:hAnsi="宋体" w:cs="宋体"/>
          <w:iCs w:val="0"/>
          <w:color w:val="auto"/>
          <w:sz w:val="20"/>
          <w:szCs w:val="20"/>
          <w:highlight w:val="none"/>
        </w:rPr>
        <w:t>关于其他保险的约定：</w:t>
      </w:r>
      <w:r>
        <w:rPr>
          <w:rFonts w:hint="eastAsia" w:ascii="宋体" w:hAnsi="宋体" w:cs="宋体"/>
          <w:iCs w:val="0"/>
          <w:color w:val="auto"/>
          <w:sz w:val="20"/>
          <w:szCs w:val="20"/>
          <w:highlight w:val="none"/>
          <w:u w:val="single"/>
        </w:rPr>
        <w:t>第三者责任险，由承包人自行确定保险金额，但不低于100万元（一旦发生第三责任风险造成的损失及赔偿由承包人承担），保险费率由承包人与发包人同意的保险人商定，相关保险费由承包人承担</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承包人是否应为其施工设备等办理财产保险：</w:t>
      </w:r>
      <w:r>
        <w:rPr>
          <w:rFonts w:hint="eastAsia" w:ascii="宋体" w:hAnsi="宋体" w:cs="宋体"/>
          <w:iCs w:val="0"/>
          <w:color w:val="auto"/>
          <w:sz w:val="20"/>
          <w:szCs w:val="20"/>
          <w:highlight w:val="none"/>
          <w:u w:val="single"/>
        </w:rPr>
        <w:t>承包人应为其施工设备、进场的材料和工程设备等办理保险。承包人应当为其施工现场的全部人员办理意外伤害保险并支付保险费，包括其员工及为履行合同聘请的第三方的人员</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18.5保险凭证</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承包人向发包人提交各项保险生效的证据和保险单副本的期限：</w:t>
      </w:r>
      <w:r>
        <w:rPr>
          <w:rFonts w:hint="eastAsia" w:ascii="宋体" w:hAnsi="宋体" w:cs="宋体"/>
          <w:iCs w:val="0"/>
          <w:color w:val="auto"/>
          <w:sz w:val="20"/>
          <w:szCs w:val="20"/>
          <w:highlight w:val="none"/>
          <w:u w:val="single"/>
        </w:rPr>
        <w:t>开工前</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18.6.3保险金不足的补偿</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保险金不足以补偿损失时，承包人和发包人负责补偿的责任分摊：由</w:t>
      </w:r>
      <w:r>
        <w:rPr>
          <w:rFonts w:hint="eastAsia" w:ascii="宋体" w:hAnsi="宋体" w:cs="宋体"/>
          <w:iCs w:val="0"/>
          <w:color w:val="auto"/>
          <w:sz w:val="20"/>
          <w:szCs w:val="20"/>
          <w:highlight w:val="none"/>
          <w:u w:val="single"/>
        </w:rPr>
        <w:t>承包人全部</w:t>
      </w:r>
      <w:r>
        <w:rPr>
          <w:rFonts w:hint="eastAsia" w:ascii="宋体" w:hAnsi="宋体" w:cs="宋体"/>
          <w:iCs w:val="0"/>
          <w:color w:val="auto"/>
          <w:sz w:val="20"/>
          <w:szCs w:val="20"/>
          <w:highlight w:val="none"/>
        </w:rPr>
        <w:t>承担。</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18.7 通知义务</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kern w:val="0"/>
          <w:sz w:val="20"/>
          <w:szCs w:val="20"/>
          <w:highlight w:val="none"/>
        </w:rPr>
        <w:t>关于变更保险合同时的通知义务的约定：</w:t>
      </w:r>
      <w:r>
        <w:rPr>
          <w:rFonts w:hint="eastAsia" w:ascii="宋体" w:hAnsi="宋体" w:cs="宋体"/>
          <w:iCs w:val="0"/>
          <w:color w:val="auto"/>
          <w:sz w:val="20"/>
          <w:szCs w:val="20"/>
          <w:highlight w:val="none"/>
        </w:rPr>
        <w:t>变更前</w:t>
      </w:r>
      <w:r>
        <w:rPr>
          <w:rFonts w:hint="eastAsia" w:ascii="宋体" w:hAnsi="宋体" w:cs="宋体"/>
          <w:iCs w:val="0"/>
          <w:color w:val="auto"/>
          <w:sz w:val="20"/>
          <w:szCs w:val="20"/>
          <w:highlight w:val="none"/>
          <w:u w:val="single"/>
        </w:rPr>
        <w:t>24小时</w:t>
      </w:r>
      <w:r>
        <w:rPr>
          <w:rFonts w:hint="eastAsia" w:ascii="宋体" w:hAnsi="宋体" w:cs="宋体"/>
          <w:iCs w:val="0"/>
          <w:color w:val="auto"/>
          <w:sz w:val="20"/>
          <w:szCs w:val="20"/>
          <w:highlight w:val="none"/>
        </w:rPr>
        <w:t>通知。</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18.8保险的延期</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若因非承包人原因出现工程尚未完工但保险已过期的情况，承包人应主动续保，涉及费用由发包人承担。若承包人不主动续保，因保险过期各类损失无法得到保险赔偿，由此造成损失由承包人自行承担。</w:t>
      </w:r>
    </w:p>
    <w:bookmarkEnd w:id="702"/>
    <w:bookmarkEnd w:id="703"/>
    <w:bookmarkEnd w:id="704"/>
    <w:bookmarkEnd w:id="705"/>
    <w:bookmarkEnd w:id="706"/>
    <w:bookmarkEnd w:id="707"/>
    <w:bookmarkEnd w:id="708"/>
    <w:bookmarkEnd w:id="709"/>
    <w:bookmarkEnd w:id="710"/>
    <w:bookmarkEnd w:id="711"/>
    <w:bookmarkEnd w:id="712"/>
    <w:bookmarkEnd w:id="713"/>
    <w:p>
      <w:pPr>
        <w:outlineLvl w:val="1"/>
        <w:rPr>
          <w:rFonts w:ascii="宋体" w:hAnsi="宋体" w:cs="宋体"/>
          <w:b/>
          <w:iCs w:val="0"/>
          <w:color w:val="auto"/>
          <w:sz w:val="20"/>
          <w:szCs w:val="20"/>
          <w:highlight w:val="none"/>
        </w:rPr>
      </w:pPr>
      <w:bookmarkStart w:id="737" w:name="_Toc434959556"/>
      <w:bookmarkStart w:id="738" w:name="_Toc407203360"/>
      <w:bookmarkStart w:id="739" w:name="_Toc351203651"/>
      <w:bookmarkStart w:id="740" w:name="_Toc407198344"/>
      <w:bookmarkStart w:id="741" w:name="_Toc32157"/>
      <w:r>
        <w:rPr>
          <w:rFonts w:hint="eastAsia" w:ascii="宋体" w:hAnsi="宋体" w:cs="宋体"/>
          <w:b/>
          <w:iCs w:val="0"/>
          <w:color w:val="auto"/>
          <w:sz w:val="20"/>
          <w:szCs w:val="20"/>
          <w:highlight w:val="none"/>
        </w:rPr>
        <w:t>20. 争议解决</w:t>
      </w:r>
      <w:bookmarkEnd w:id="737"/>
      <w:bookmarkEnd w:id="738"/>
      <w:bookmarkEnd w:id="739"/>
      <w:bookmarkEnd w:id="740"/>
      <w:bookmarkEnd w:id="741"/>
    </w:p>
    <w:bookmarkEnd w:id="714"/>
    <w:bookmarkEnd w:id="715"/>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20.3 争</w:t>
      </w:r>
      <w:bookmarkEnd w:id="716"/>
      <w:r>
        <w:rPr>
          <w:rFonts w:hint="eastAsia" w:ascii="宋体" w:hAnsi="宋体" w:cs="宋体"/>
          <w:iCs w:val="0"/>
          <w:color w:val="auto"/>
          <w:sz w:val="20"/>
          <w:szCs w:val="20"/>
          <w:highlight w:val="none"/>
        </w:rPr>
        <w:t>议评审</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合同当事人是否同意将工程争议提交争议评审小组决定：另行约定。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20.3.1 争议评审小组的确定</w:t>
      </w:r>
    </w:p>
    <w:p>
      <w:pPr>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rPr>
        <w:t>争议评审小组成员的确定：</w:t>
      </w:r>
      <w:r>
        <w:rPr>
          <w:rFonts w:hint="eastAsia" w:ascii="宋体" w:hAnsi="宋体" w:cs="宋体"/>
          <w:iCs w:val="0"/>
          <w:color w:val="auto"/>
          <w:sz w:val="20"/>
          <w:szCs w:val="20"/>
          <w:highlight w:val="none"/>
          <w:u w:val="single"/>
        </w:rPr>
        <w:t>另行约定</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选定争议评审员的期限：</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争议评审小组成员的报酬承担方式：</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其他事项的约定：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autoSpaceDE w:val="0"/>
        <w:autoSpaceDN w:val="0"/>
        <w:adjustRightInd w:val="0"/>
        <w:ind w:firstLine="400" w:firstLineChars="200"/>
        <w:jc w:val="left"/>
        <w:rPr>
          <w:rFonts w:ascii="宋体" w:hAnsi="宋体" w:cs="宋体"/>
          <w:iCs w:val="0"/>
          <w:color w:val="auto"/>
          <w:kern w:val="0"/>
          <w:sz w:val="20"/>
          <w:szCs w:val="20"/>
          <w:highlight w:val="none"/>
        </w:rPr>
      </w:pPr>
      <w:r>
        <w:rPr>
          <w:rFonts w:hint="eastAsia" w:ascii="宋体" w:hAnsi="宋体" w:cs="宋体"/>
          <w:iCs w:val="0"/>
          <w:color w:val="auto"/>
          <w:kern w:val="0"/>
          <w:sz w:val="20"/>
          <w:szCs w:val="20"/>
          <w:highlight w:val="none"/>
        </w:rPr>
        <w:t>20.3.2 争议评审小组的决定</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合同当事人关于本项的约定：</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w:t>
      </w:r>
    </w:p>
    <w:p>
      <w:pPr>
        <w:spacing w:before="120" w:beforeLines="50"/>
        <w:rPr>
          <w:rFonts w:ascii="宋体" w:hAnsi="宋体" w:cs="宋体"/>
          <w:iCs w:val="0"/>
          <w:color w:val="auto"/>
          <w:sz w:val="20"/>
          <w:szCs w:val="20"/>
          <w:highlight w:val="none"/>
        </w:rPr>
      </w:pPr>
      <w:r>
        <w:rPr>
          <w:rFonts w:hint="eastAsia" w:ascii="宋体" w:hAnsi="宋体" w:cs="宋体"/>
          <w:iCs w:val="0"/>
          <w:color w:val="auto"/>
          <w:sz w:val="20"/>
          <w:szCs w:val="20"/>
          <w:highlight w:val="none"/>
        </w:rPr>
        <w:t>20.4仲裁或诉讼</w:t>
      </w:r>
      <w:bookmarkEnd w:id="717"/>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因合同及合同有关事项发生的争议，按下列第</w:t>
      </w:r>
      <w:r>
        <w:rPr>
          <w:rFonts w:hint="eastAsia" w:ascii="宋体" w:hAnsi="宋体" w:cs="宋体"/>
          <w:iCs w:val="0"/>
          <w:color w:val="auto"/>
          <w:sz w:val="20"/>
          <w:szCs w:val="20"/>
          <w:highlight w:val="none"/>
          <w:u w:val="single"/>
        </w:rPr>
        <w:t xml:space="preserve"> 2</w:t>
      </w:r>
      <w:r>
        <w:rPr>
          <w:rFonts w:hint="eastAsia" w:ascii="宋体" w:hAnsi="宋体" w:cs="宋体"/>
          <w:iCs w:val="0"/>
          <w:color w:val="auto"/>
          <w:sz w:val="20"/>
          <w:szCs w:val="20"/>
          <w:highlight w:val="none"/>
        </w:rPr>
        <w:t>种方式解决：</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（1）向</w:t>
      </w:r>
      <w:r>
        <w:rPr>
          <w:rFonts w:hint="eastAsia" w:ascii="宋体" w:hAnsi="宋体" w:cs="宋体"/>
          <w:iCs w:val="0"/>
          <w:color w:val="auto"/>
          <w:sz w:val="20"/>
          <w:szCs w:val="20"/>
          <w:highlight w:val="none"/>
          <w:u w:val="single"/>
        </w:rPr>
        <w:t xml:space="preserve">  /  </w:t>
      </w:r>
      <w:r>
        <w:rPr>
          <w:rFonts w:hint="eastAsia" w:ascii="宋体" w:hAnsi="宋体" w:cs="宋体"/>
          <w:iCs w:val="0"/>
          <w:color w:val="auto"/>
          <w:sz w:val="20"/>
          <w:szCs w:val="20"/>
          <w:highlight w:val="none"/>
        </w:rPr>
        <w:t>仲裁委员会申请仲裁；</w:t>
      </w:r>
    </w:p>
    <w:p>
      <w:pPr>
        <w:ind w:firstLine="400" w:firstLineChars="200"/>
        <w:jc w:val="left"/>
        <w:rPr>
          <w:rFonts w:ascii="宋体" w:hAnsi="宋体" w:cs="宋体"/>
          <w:iCs w:val="0"/>
          <w:color w:val="auto"/>
          <w:sz w:val="20"/>
          <w:szCs w:val="20"/>
          <w:highlight w:val="none"/>
        </w:rPr>
      </w:pPr>
      <w:r>
        <w:rPr>
          <w:rFonts w:hint="eastAsia" w:ascii="宋体" w:hAnsi="宋体" w:cs="宋体"/>
          <w:iCs w:val="0"/>
          <w:color w:val="auto"/>
          <w:sz w:val="20"/>
          <w:szCs w:val="20"/>
          <w:highlight w:val="none"/>
        </w:rPr>
        <w:t>（2）向</w:t>
      </w:r>
      <w:r>
        <w:rPr>
          <w:rFonts w:hint="eastAsia" w:ascii="宋体" w:hAnsi="宋体" w:cs="宋体"/>
          <w:b/>
          <w:bCs/>
          <w:iCs w:val="0"/>
          <w:color w:val="auto"/>
          <w:sz w:val="20"/>
          <w:szCs w:val="20"/>
          <w:highlight w:val="none"/>
          <w:u w:val="single"/>
        </w:rPr>
        <w:t>项目所在地</w:t>
      </w:r>
      <w:r>
        <w:rPr>
          <w:rFonts w:hint="eastAsia" w:ascii="宋体" w:hAnsi="宋体" w:cs="宋体"/>
          <w:iCs w:val="0"/>
          <w:color w:val="auto"/>
          <w:sz w:val="20"/>
          <w:szCs w:val="20"/>
          <w:highlight w:val="none"/>
        </w:rPr>
        <w:t>人民法院起诉。</w:t>
      </w:r>
      <w:bookmarkEnd w:id="718"/>
      <w:bookmarkEnd w:id="719"/>
      <w:bookmarkEnd w:id="720"/>
      <w:bookmarkEnd w:id="721"/>
      <w:bookmarkEnd w:id="722"/>
      <w:bookmarkEnd w:id="723"/>
    </w:p>
    <w:p>
      <w:pPr>
        <w:outlineLvl w:val="1"/>
        <w:rPr>
          <w:rFonts w:ascii="宋体" w:hAnsi="宋体" w:cs="宋体"/>
          <w:b/>
          <w:iCs w:val="0"/>
          <w:color w:val="auto"/>
          <w:sz w:val="20"/>
          <w:szCs w:val="20"/>
          <w:highlight w:val="none"/>
        </w:rPr>
      </w:pPr>
      <w:bookmarkStart w:id="742" w:name="_Toc407198345"/>
      <w:bookmarkStart w:id="743" w:name="_Toc434959557"/>
      <w:bookmarkStart w:id="744" w:name="_Toc407203361"/>
      <w:bookmarkStart w:id="745" w:name="_Toc27925"/>
      <w:r>
        <w:rPr>
          <w:rFonts w:hint="eastAsia" w:ascii="宋体" w:hAnsi="宋体" w:cs="宋体"/>
          <w:b/>
          <w:iCs w:val="0"/>
          <w:color w:val="auto"/>
          <w:sz w:val="20"/>
          <w:szCs w:val="20"/>
          <w:highlight w:val="none"/>
        </w:rPr>
        <w:t>21．补充条款：</w:t>
      </w:r>
      <w:bookmarkEnd w:id="742"/>
      <w:bookmarkEnd w:id="743"/>
      <w:bookmarkEnd w:id="744"/>
      <w:bookmarkEnd w:id="745"/>
    </w:p>
    <w:p>
      <w:pPr>
        <w:spacing w:line="300" w:lineRule="exact"/>
        <w:ind w:firstLine="400" w:firstLineChars="200"/>
        <w:jc w:val="left"/>
        <w:rPr>
          <w:rFonts w:ascii="宋体" w:hAnsi="宋体" w:cs="宋体"/>
          <w:iCs w:val="0"/>
          <w:color w:val="auto"/>
          <w:sz w:val="20"/>
          <w:szCs w:val="20"/>
          <w:highlight w:val="none"/>
          <w:u w:val="single"/>
        </w:rPr>
      </w:pPr>
      <w:r>
        <w:rPr>
          <w:rFonts w:hint="eastAsia" w:ascii="宋体" w:hAnsi="宋体" w:cs="宋体"/>
          <w:iCs w:val="0"/>
          <w:color w:val="auto"/>
          <w:sz w:val="20"/>
          <w:szCs w:val="20"/>
          <w:highlight w:val="none"/>
          <w:u w:val="single"/>
        </w:rPr>
        <w:t>21.1合同附件1-5（附后）</w:t>
      </w:r>
      <w:r>
        <w:rPr>
          <w:rFonts w:ascii="Calibri" w:hAnsi="Calibri"/>
          <w:iCs w:val="0"/>
          <w:color w:val="auto"/>
          <w:sz w:val="21"/>
          <w:szCs w:val="22"/>
          <w:highlight w:val="none"/>
        </w:rPr>
        <w:br w:type="page"/>
      </w:r>
    </w:p>
    <w:p>
      <w:pPr>
        <w:pStyle w:val="130"/>
        <w:spacing w:line="360" w:lineRule="auto"/>
        <w:ind w:firstLine="0" w:firstLineChars="0"/>
        <w:rPr>
          <w:rFonts w:ascii="仿宋" w:hAnsi="仿宋" w:eastAsia="仿宋" w:cs="仿宋"/>
          <w:color w:val="auto"/>
          <w:highlight w:val="none"/>
        </w:rPr>
      </w:pPr>
    </w:p>
    <w:p>
      <w:pPr>
        <w:rPr>
          <w:rFonts w:ascii="Calibri" w:hAnsi="Calibri"/>
          <w:iCs w:val="0"/>
          <w:color w:val="auto"/>
          <w:sz w:val="21"/>
          <w:szCs w:val="22"/>
          <w:highlight w:val="none"/>
        </w:rPr>
      </w:pPr>
      <w:bookmarkStart w:id="746" w:name="_Toc41037911"/>
      <w:bookmarkStart w:id="747" w:name="_Toc44332258"/>
      <w:r>
        <w:rPr>
          <w:rFonts w:hint="eastAsia" w:ascii="Calibri" w:hAnsi="Calibri"/>
          <w:iCs w:val="0"/>
          <w:color w:val="auto"/>
          <w:sz w:val="21"/>
          <w:szCs w:val="22"/>
          <w:highlight w:val="none"/>
        </w:rPr>
        <w:t>附件1 ：工程质量保修书</w:t>
      </w:r>
    </w:p>
    <w:p>
      <w:pPr>
        <w:spacing w:line="360" w:lineRule="auto"/>
        <w:jc w:val="center"/>
        <w:rPr>
          <w:rFonts w:ascii="Calibri" w:hAnsi="Calibri"/>
          <w:b/>
          <w:iCs w:val="0"/>
          <w:color w:val="auto"/>
          <w:sz w:val="21"/>
          <w:szCs w:val="22"/>
          <w:highlight w:val="none"/>
        </w:rPr>
      </w:pPr>
      <w:r>
        <w:rPr>
          <w:rFonts w:hint="eastAsia" w:ascii="Calibri" w:hAnsi="Calibri"/>
          <w:b/>
          <w:iCs w:val="0"/>
          <w:color w:val="auto"/>
          <w:sz w:val="21"/>
          <w:szCs w:val="22"/>
          <w:highlight w:val="none"/>
        </w:rPr>
        <w:t>工程质量保修书</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发包人（全称）：</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承包人（全称）：</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发包人、承包人根据《中华人民共和国建筑法》、《建设工程质量管理条例》和《房屋建筑工程质量保修办法》，经协商一致，对（工程名称）签订工程质量保修书。</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1、工程质量保修范围和内容</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承包人在质量保修期内，按照有关法律、法规、规章规定和双方约定，承担本工程质量保修责任。</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具体保修的内容，双方约定如下：全部施工范围。</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2、质量保修期</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2.1 双方根据《建设工程质量管理条例》及有关规定，约定本工程的质量保修期（除绿化部分）约定如下： 2 年。</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2.2 质量保修期自工程验收合格之日起计算。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3、质量保修责任</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3.1 属于保修范围、内容的项目，承包人应当在接到保修通知之日起 7 天内派人保修。承包人不在约定期限内派人保修的，发包人可以委托他人修理。</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3.2 发生紧急抢修事故的，承包人在接到事故通知后，应当立即到达事故现场抢修。</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3.3 质量保修完成后，由发包人组织验收。</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4、保修费用</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4.1 保修费用由造成质量缺陷的承包方承担。</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5、其他</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5.1 双方约定的其他工程质量保修事项：无</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5.2 本工程质量保修书，由施工合同发包人、承包人双方在竣工验收前共同签署，作为施工合同附件，其有效期限至保修期满。</w:t>
      </w:r>
    </w:p>
    <w:p>
      <w:pPr>
        <w:spacing w:line="360" w:lineRule="auto"/>
        <w:rPr>
          <w:rFonts w:ascii="Calibri" w:hAnsi="Calibri"/>
          <w:iCs w:val="0"/>
          <w:color w:val="auto"/>
          <w:sz w:val="21"/>
          <w:szCs w:val="22"/>
          <w:highlight w:val="none"/>
        </w:rPr>
      </w:pP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发包人（盖章）：承包人（盖章）：</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法定代表人（签字）：法定代表人（签字）：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或委托代理人（签字）：或委托代理人（签字）：</w:t>
      </w:r>
    </w:p>
    <w:p>
      <w:pPr>
        <w:spacing w:line="360" w:lineRule="auto"/>
        <w:ind w:firstLine="1470" w:firstLineChars="700"/>
        <w:rPr>
          <w:rFonts w:ascii="Calibri" w:hAnsi="Calibri"/>
          <w:iCs w:val="0"/>
          <w:color w:val="auto"/>
          <w:sz w:val="21"/>
          <w:szCs w:val="22"/>
          <w:highlight w:val="none"/>
        </w:rPr>
      </w:pPr>
      <w:r>
        <w:rPr>
          <w:rFonts w:hint="eastAsia" w:ascii="Calibri" w:hAnsi="Calibri"/>
          <w:iCs w:val="0"/>
          <w:color w:val="auto"/>
          <w:sz w:val="21"/>
          <w:szCs w:val="22"/>
          <w:highlight w:val="none"/>
        </w:rPr>
        <w:t>年月日年月日</w:t>
      </w:r>
    </w:p>
    <w:p>
      <w:pPr>
        <w:rPr>
          <w:rFonts w:ascii="Calibri" w:hAnsi="Calibri"/>
          <w:iCs w:val="0"/>
          <w:color w:val="auto"/>
          <w:sz w:val="21"/>
          <w:szCs w:val="22"/>
          <w:highlight w:val="none"/>
        </w:rPr>
      </w:pPr>
      <w:r>
        <w:rPr>
          <w:rFonts w:ascii="Calibri" w:hAnsi="Calibri"/>
          <w:iCs w:val="0"/>
          <w:color w:val="auto"/>
          <w:sz w:val="21"/>
          <w:szCs w:val="22"/>
          <w:highlight w:val="none"/>
        </w:rPr>
        <w:br w:type="page"/>
      </w:r>
      <w:r>
        <w:rPr>
          <w:rFonts w:hint="eastAsia" w:ascii="Calibri" w:hAnsi="Calibri"/>
          <w:iCs w:val="0"/>
          <w:color w:val="auto"/>
          <w:sz w:val="21"/>
          <w:szCs w:val="22"/>
          <w:highlight w:val="none"/>
        </w:rPr>
        <w:t>附件2：安全生产、文明施工合同（安全文明施工责任书）</w:t>
      </w:r>
    </w:p>
    <w:p>
      <w:pPr>
        <w:rPr>
          <w:rFonts w:ascii="Calibri" w:hAnsi="Calibri"/>
          <w:iCs w:val="0"/>
          <w:color w:val="auto"/>
          <w:sz w:val="21"/>
          <w:szCs w:val="22"/>
          <w:highlight w:val="none"/>
        </w:rPr>
      </w:pPr>
    </w:p>
    <w:p>
      <w:pPr>
        <w:jc w:val="center"/>
        <w:rPr>
          <w:rFonts w:ascii="Calibri" w:hAnsi="Calibri"/>
          <w:b/>
          <w:iCs w:val="0"/>
          <w:color w:val="auto"/>
          <w:sz w:val="21"/>
          <w:szCs w:val="22"/>
          <w:highlight w:val="none"/>
        </w:rPr>
      </w:pPr>
      <w:r>
        <w:rPr>
          <w:rFonts w:hint="eastAsia" w:ascii="Calibri" w:hAnsi="Calibri"/>
          <w:b/>
          <w:iCs w:val="0"/>
          <w:color w:val="auto"/>
          <w:sz w:val="21"/>
          <w:szCs w:val="22"/>
          <w:highlight w:val="none"/>
        </w:rPr>
        <w:t>安全生产、文明施工合同（安全文明施工责任书）</w:t>
      </w:r>
    </w:p>
    <w:p>
      <w:pPr>
        <w:spacing w:line="360" w:lineRule="auto"/>
        <w:ind w:firstLine="420" w:firstLineChars="200"/>
        <w:rPr>
          <w:rFonts w:ascii="Calibri" w:hAnsi="Calibri"/>
          <w:iCs w:val="0"/>
          <w:color w:val="auto"/>
          <w:sz w:val="21"/>
          <w:szCs w:val="22"/>
          <w:highlight w:val="none"/>
        </w:rPr>
      </w:pP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为确保工程的顺利进行，保障安全生产、文明施工，根据甲、乙双方所签订的《施工合同，在实施过程中创建安全、高效的施工环境，切实搞好本工程项目的安全生产、文明施工管理工作，本工程项目发包人（以下简称甲方）与承包人（以下简称乙方）。特此签订安全生产、文明施工合同如下：</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一、发包人职责：</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1、严格遵守国家有关安全生产、文明施工的法律、法规，认真执行工程承发包合同中的有关安全要求。</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2、按照“安全第一、预防为主、综合治理”的方针和“管生产必须管安全”的原则进行安全生产、文明施工管理，做到安全生产、文明施工与生产工作同时计划、布置、检查、总结和评比。</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3、定期召开安全生产、文明施工协调会，及时传达中央及地方有关安全生产、文明施工的指示精神。</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4、组织相关人员（安全生产文明施工联检组）对承包人施工现场安全生产、文明施工进行检查。监督承包人及时采取有效措施处理检查中发现的各种安全隐患。</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5、对承包人的安全检查与监督只是发包人在履行安全方面应尽的义务与责任，不管发包人监控情况如何，不能代替法律赋予承包人的安全责任。</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二、承包人职责：</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1、严格遵守国家、四川省、成都市、锦江区有关安全生产、文明施工的法律、法规、标准规范等。认真执行建筑工程安全生产国家强制性标准及工程承包合同中的有关安全生产、文明施工的要求。</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必须坚持“安全第一、预防为主、综合治理”的工作方针和“管生产必须管安全”的原则，建立健全各项安全生产、文明施工管理机构和安全生产管理制度，加强安全生产、文明施工宣传教育培训工作，增强全员安全生产、文明施工意识。有组织有领导的开展安全生产、文明施工活动。各级岗位人员必须熟悉和遵守本岗位的各项安全生产、文明施工规章制度和操作规程，做到安全生产、文明施工与安全工作同时计划、布置、检查、总结和评比。</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必须建立健全安全生产、文明施工责任制。编制、审核、审批安全生产、文明施工管理方案和事故应急预案。做到工程项目实施过程从项目经理到生产工人（包括临时雇请的民工）的安全生产管理系统纵向到底、一环不漏；各职能部门、人员的安全生产责任制做到横向到边、人人有责。</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4、承包人应依法参加工伤社会保险，为从业人员缴纳保险费用。承包人不得以任何形式与从业人员订立免除或者减轻对从业人员因生产事故伤亡依法应承担责任的协议。</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5、承包人在任何时候都应采取各种合理有效的预防措施，防止其员工发生任何违法、违章、违禁、暴力或妨碍治安、消防等行为。</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6、承包人的特种人员必须持有效的《特种作业安全技术操作证》或《建筑施工特种作业操作资格证》，并接收安全技术教育、熟知和遵守本工种的各项安全技术操作规程，定期进行安全技术考核，合格者方准上岗作业，严禁使用未满 16 周岁的童工，不得安排患有禁忌症的人员从事有关作业。</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7、对于易燃易爆的材料及物品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8、承包人的所有从业人员在进行施工现场管理和作业时必须按规定正确穿戴劳动防护用品，工程项目经理或施工负责人及安全专兼职检查人员应随时检查劳动防护用品的穿戴情况，不按规定正确穿戴防护用品的人员不得上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9、承包人在施工过程中不仅要保证自身人员设备的安全，还应保证发包人员及第三方任何进入现场的人员、设备的安全。所有施工机具设备和高空作业的设备均应定期检查并有专职安全员的签字记录，保证其经常处于完好状态。不合格的机具、设备和劳动保护用品严禁使用。</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10、施工中采用新技术、新工艺、新设备、新材料时，必须制定相应的安全技术措施，施工现场必须具有相关的安全标志牌。</w:t>
      </w:r>
      <w:r>
        <w:rPr>
          <w:rFonts w:hint="eastAsia" w:ascii="Calibri" w:hAnsi="Calibri"/>
          <w:iCs w:val="0"/>
          <w:strike/>
          <w:color w:val="auto"/>
          <w:sz w:val="21"/>
          <w:szCs w:val="22"/>
          <w:highlight w:val="none"/>
        </w:rPr>
        <w:t>并</w:t>
      </w:r>
      <w:r>
        <w:rPr>
          <w:rFonts w:hint="eastAsia" w:ascii="Calibri" w:hAnsi="Calibri"/>
          <w:iCs w:val="0"/>
          <w:color w:val="auto"/>
          <w:sz w:val="21"/>
          <w:szCs w:val="22"/>
          <w:highlight w:val="none"/>
        </w:rPr>
        <w:t>接收建设行政主管部门及发包人安全文明联检组的监督与检查。“三违”现象必须限期整改。</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11、承包人安全生产、文明施工管理应主动接收发包人委托的监理单位的监督。</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12、凡是由于承包人的原因（管理与操作）造成在施工过程中发生的一切安全事故造成自身及对他人的伤害，均由承包人承担（责任与损失）。</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13、凡由于承包人在施工时造成发包人设施损坏的所有损失应由承包人负责。承包人在施工期间所出现的人身安全事故应由承包人承担全部责任，与发包人无关。</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14、发包人发现的施工安全隐患如经提出后，承包人未能及时整改，发包人可责令停工直至整改完成，承包人承担由停工所造成损失及工期延误。</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15、承包人应对施工过程中将会对发包人或其他任何第三方的生活、工作、安全、环境等造成影响的施工作业的时间和承包方法，应提前告知发包人，以便采取相应办法和措施进行协调解决。</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16、施工区应设置安全围护措施，因特殊情况未能围护的部位，应设置相应的警示标志，注明施工区的位置、边界和交通导向图，以引起行人和车辆的注意，引导其及时绕行或采取必要防护措施，减少意外交通安全事故的发生。</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17、承包人应按照建设工程安全生产管理条例及合同的要求，在发生事故时必须按规定保护现场、抢救伤员、立即报告发包人，并采取一切有效的措施降低事故的影响范围，应按国务员令第 493 号《生产安全事故报告和调查处理条例》以及其他有关规定，根据“四不放过”原则严肃处理，结案后应将事故批复抄送发包人备案。</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三、违约责任：</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1、发生重大伤亡及其他安全事故,承包人应按有关规定立即上报有关部门并通知甲方代表（工程师），同时发包人将根据造成事故的严重程度,对承包人收取违约金,具体标准为:每重伤 1 人,收取承包人工程总造价 1%以内（最多不超过 200000.00 元）的违约金；每死亡1 人，收取承包人工程总造价 2%以内（最多不超过 400000.00 元）的违约金。</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2、因承包人的责任造成安全生产、文明施工管理不善受到建设行政主管部门通报批评并勒令停工的，每次处以承包人 20000.00 元违约金。</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3、因承包人不按现行国家标准规范及操作规程实施安全生产、文明施工管理出现安全文明隐患经发包人或政府行政主管职能部门及监理单位提出，不整改或整改不及时的每次处以承包人 20000.00 以下罚款。以上费用不包括地方政府有关管理部门的处罚费用及相关损失，发包人有权从承包人履约担保或任何发包人应付承包人的款项中扣除。</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四、本合同一式四份，经甲、乙双方共同签订之日起生效，本合同作为施工合同的附件，对双方具有同等的法律效力。</w:t>
      </w:r>
    </w:p>
    <w:p>
      <w:pPr>
        <w:spacing w:line="360" w:lineRule="auto"/>
        <w:rPr>
          <w:rFonts w:ascii="Calibri" w:hAnsi="Calibri"/>
          <w:iCs w:val="0"/>
          <w:color w:val="auto"/>
          <w:sz w:val="21"/>
          <w:szCs w:val="22"/>
          <w:highlight w:val="none"/>
        </w:rPr>
      </w:pP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发包人：（盖章）承包人：（盖章）</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法定代表人（签字）：法定代表人（签字）：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或授权代理人（签字）：或授权代理人（签字）：</w:t>
      </w:r>
    </w:p>
    <w:p>
      <w:pPr>
        <w:spacing w:line="360" w:lineRule="auto"/>
        <w:ind w:right="840"/>
        <w:jc w:val="center"/>
        <w:rPr>
          <w:rFonts w:ascii="Calibri" w:hAnsi="Calibri"/>
          <w:iCs w:val="0"/>
          <w:color w:val="auto"/>
          <w:sz w:val="21"/>
          <w:szCs w:val="22"/>
          <w:highlight w:val="none"/>
        </w:rPr>
      </w:pPr>
    </w:p>
    <w:p>
      <w:pPr>
        <w:spacing w:line="360" w:lineRule="auto"/>
        <w:ind w:right="840"/>
        <w:jc w:val="center"/>
        <w:rPr>
          <w:rFonts w:ascii="Calibri" w:hAnsi="Calibri"/>
          <w:iCs w:val="0"/>
          <w:color w:val="auto"/>
          <w:sz w:val="21"/>
          <w:szCs w:val="22"/>
          <w:highlight w:val="none"/>
        </w:rPr>
      </w:pPr>
      <w:r>
        <w:rPr>
          <w:rFonts w:hint="eastAsia" w:ascii="Calibri" w:hAnsi="Calibri"/>
          <w:iCs w:val="0"/>
          <w:color w:val="auto"/>
          <w:sz w:val="21"/>
          <w:szCs w:val="22"/>
          <w:highlight w:val="none"/>
        </w:rPr>
        <w:t xml:space="preserve">  合同签订日期：年月 日</w:t>
      </w:r>
    </w:p>
    <w:p>
      <w:pPr>
        <w:rPr>
          <w:rFonts w:ascii="Calibri" w:hAnsi="Calibri"/>
          <w:iCs w:val="0"/>
          <w:color w:val="auto"/>
          <w:sz w:val="21"/>
          <w:szCs w:val="22"/>
          <w:highlight w:val="none"/>
        </w:rPr>
      </w:pPr>
    </w:p>
    <w:p>
      <w:pPr>
        <w:rPr>
          <w:rFonts w:ascii="Calibri" w:hAnsi="Calibri"/>
          <w:iCs w:val="0"/>
          <w:color w:val="auto"/>
          <w:sz w:val="21"/>
          <w:szCs w:val="22"/>
          <w:highlight w:val="none"/>
        </w:rPr>
      </w:pPr>
      <w:r>
        <w:rPr>
          <w:rFonts w:ascii="Calibri" w:hAnsi="Calibri"/>
          <w:iCs w:val="0"/>
          <w:color w:val="auto"/>
          <w:sz w:val="21"/>
          <w:szCs w:val="22"/>
          <w:highlight w:val="none"/>
        </w:rPr>
        <w:br w:type="page"/>
      </w:r>
      <w:r>
        <w:rPr>
          <w:rFonts w:hint="eastAsia" w:ascii="Calibri" w:hAnsi="Calibri"/>
          <w:iCs w:val="0"/>
          <w:color w:val="auto"/>
          <w:sz w:val="21"/>
          <w:szCs w:val="22"/>
          <w:highlight w:val="none"/>
        </w:rPr>
        <w:t>附件3：工程安全文明施工费计取协议书</w:t>
      </w:r>
    </w:p>
    <w:p>
      <w:pPr>
        <w:jc w:val="center"/>
        <w:rPr>
          <w:rFonts w:ascii="Calibri" w:hAnsi="Calibri"/>
          <w:b/>
          <w:iCs w:val="0"/>
          <w:color w:val="auto"/>
          <w:sz w:val="21"/>
          <w:szCs w:val="22"/>
          <w:highlight w:val="none"/>
        </w:rPr>
      </w:pPr>
    </w:p>
    <w:p>
      <w:pPr>
        <w:jc w:val="center"/>
        <w:rPr>
          <w:rFonts w:ascii="Calibri" w:hAnsi="Calibri"/>
          <w:b/>
          <w:iCs w:val="0"/>
          <w:color w:val="auto"/>
          <w:sz w:val="21"/>
          <w:szCs w:val="22"/>
          <w:highlight w:val="none"/>
        </w:rPr>
      </w:pPr>
      <w:r>
        <w:rPr>
          <w:rFonts w:hint="eastAsia" w:ascii="Calibri" w:hAnsi="Calibri"/>
          <w:b/>
          <w:iCs w:val="0"/>
          <w:color w:val="auto"/>
          <w:sz w:val="21"/>
          <w:szCs w:val="22"/>
          <w:highlight w:val="none"/>
        </w:rPr>
        <w:t>工程安全文明施工费计取协议书</w:t>
      </w:r>
    </w:p>
    <w:p>
      <w:pPr>
        <w:rPr>
          <w:rFonts w:ascii="Calibri" w:hAnsi="Calibri"/>
          <w:iCs w:val="0"/>
          <w:color w:val="auto"/>
          <w:sz w:val="21"/>
          <w:szCs w:val="22"/>
          <w:highlight w:val="none"/>
        </w:rPr>
      </w:pP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承包人：</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为达到安全文明施工的要求，经双方协商，现达成如下协议：</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本工程中的安全文明施工费（即环境保护费、安全施工费、文明施工费和临时设施费），结算时按实际完成工程量根据 2015《四川省建设工程工程量清单计价定额》及相关配套文件的有关规定进行结算。</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一、承包人必须按政府相关安全、文明施工的规定及要求组织施工，若施工过程中出现安全责任事故、不文明施工行为，责任由承包人自行负责，发包人概不承担责任。承包人必须严格按照成都市相关文件要求进行文明施工，负责建筑工地出入口物业化管理，必须委托专业的环卫公司负责工地出入口清扫保洁和管理工作。</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二、环境保护费、安全施工费、文明施工费、临时设施费及其支付</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1、环境保护费、安全施工费、文明施工费、临时设施费分基本费、现场评价费两部分计取。</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2 、本工程环境保护费、安全施工费、文明施工费、临时设施费的基本费暂按承包人在投标的文件所报的环境保护费、安全施工费、文明施工费、临时设施费的50% 计取；即基本费￥元计取。</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3、本工程环境保护费、安全施工费、文明施工费、临时设施费的基本费（即￥元）</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在本协议生效后 14 日内支付 70%，其余基本费在工程竣工验收合格且现场评定完成后 14 日内支付。</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4 、环境保护费、安全施工费、文明施工费及临时设施费的现场评价费在工程竣工验收合格后，由承包人按实际完成工程量根据  2015 《四川省建设工程工程量清单计价定额及相关配套文件的有关规定，凭《安全文明施工措施评价及费率测定表》测定的费率办理竣工结算，该部分费用经审计局审计完成后 14 日内一次性支付。</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5 、未经现场评价或承包人不能出具《安全文明施工措施评价及费率测定表》的，承包人不得收取安全文明施工费。</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6 、对按规定可以不办理施工许可证且未办理施工许可证的工程，承包人凭《建设工程安全文明施工措施评价及费率测定表》确认的该工程可以不办理施工许可证且未办理施工许可证的手续，其安全文明施工费按基本费费率标准计取。</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三、违约责任</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1、承包人对安全文明施工措施费必须专款专用，落实专职安全文明施工负责人，若承包人组织管理不善，安全文明施工措施不到位，发包人或监理有权责令其整改，若整改仍不合格，发包人有权扣除相应安全文明措施费，并收取相等金额的违约金，此费用在月进度支付时扣除。</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2、施工中因承包人原因造成人身安全事故或因安全文明施工措施不到位受到相关行政主管部门处罚，承包人除承担全部经济损失外，发包人有权对其另收取相等金额违约金。</w:t>
      </w: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四、本协议一式捌份，双方各执肆份，签字盖章后生效。</w:t>
      </w:r>
    </w:p>
    <w:p>
      <w:pPr>
        <w:rPr>
          <w:rFonts w:ascii="Calibri" w:hAnsi="Calibri"/>
          <w:iCs w:val="0"/>
          <w:color w:val="auto"/>
          <w:sz w:val="21"/>
          <w:szCs w:val="22"/>
          <w:highlight w:val="none"/>
        </w:rPr>
      </w:pP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发包人（盖章）：承包人（盖章）：</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法定代表人或委托代理人（签字）：法定代表人或委托代理人（签字）：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合同签订日期：年月日</w:t>
      </w:r>
    </w:p>
    <w:p>
      <w:pPr>
        <w:widowControl/>
        <w:jc w:val="left"/>
        <w:rPr>
          <w:rFonts w:ascii="Calibri" w:hAnsi="Calibri"/>
          <w:iCs w:val="0"/>
          <w:color w:val="auto"/>
          <w:sz w:val="21"/>
          <w:szCs w:val="22"/>
          <w:highlight w:val="none"/>
        </w:rPr>
      </w:pPr>
      <w:r>
        <w:rPr>
          <w:rFonts w:ascii="Calibri" w:hAnsi="Calibri"/>
          <w:iCs w:val="0"/>
          <w:color w:val="auto"/>
          <w:sz w:val="21"/>
          <w:szCs w:val="22"/>
          <w:highlight w:val="none"/>
        </w:rPr>
        <w:br w:type="page"/>
      </w:r>
    </w:p>
    <w:p>
      <w:pPr>
        <w:rPr>
          <w:rFonts w:ascii="Calibri" w:hAnsi="Calibri"/>
          <w:iCs w:val="0"/>
          <w:color w:val="auto"/>
          <w:sz w:val="21"/>
          <w:szCs w:val="22"/>
          <w:highlight w:val="none"/>
        </w:rPr>
      </w:pPr>
      <w:r>
        <w:rPr>
          <w:rFonts w:hint="eastAsia" w:ascii="Calibri" w:hAnsi="Calibri"/>
          <w:iCs w:val="0"/>
          <w:color w:val="auto"/>
          <w:sz w:val="21"/>
          <w:szCs w:val="22"/>
          <w:highlight w:val="none"/>
        </w:rPr>
        <w:t>附件 4：建设工程廉政合同</w:t>
      </w:r>
    </w:p>
    <w:p>
      <w:pPr>
        <w:jc w:val="center"/>
        <w:rPr>
          <w:rFonts w:ascii="Calibri" w:hAnsi="Calibri"/>
          <w:b/>
          <w:iCs w:val="0"/>
          <w:color w:val="auto"/>
          <w:sz w:val="21"/>
          <w:szCs w:val="22"/>
          <w:highlight w:val="none"/>
        </w:rPr>
      </w:pPr>
    </w:p>
    <w:p>
      <w:pPr>
        <w:jc w:val="center"/>
        <w:rPr>
          <w:rFonts w:ascii="Calibri" w:hAnsi="Calibri"/>
          <w:b/>
          <w:iCs w:val="0"/>
          <w:color w:val="auto"/>
          <w:sz w:val="21"/>
          <w:szCs w:val="22"/>
          <w:highlight w:val="none"/>
        </w:rPr>
      </w:pPr>
      <w:r>
        <w:rPr>
          <w:rFonts w:hint="eastAsia" w:ascii="Calibri" w:hAnsi="Calibri"/>
          <w:b/>
          <w:iCs w:val="0"/>
          <w:color w:val="auto"/>
          <w:sz w:val="21"/>
          <w:szCs w:val="22"/>
          <w:highlight w:val="none"/>
        </w:rPr>
        <w:t>建设工程廉政合同</w:t>
      </w:r>
    </w:p>
    <w:p>
      <w:pPr>
        <w:rPr>
          <w:rFonts w:ascii="Calibri" w:hAnsi="Calibri"/>
          <w:iCs w:val="0"/>
          <w:color w:val="auto"/>
          <w:sz w:val="21"/>
          <w:szCs w:val="22"/>
          <w:highlight w:val="none"/>
        </w:rPr>
      </w:pPr>
    </w:p>
    <w:p>
      <w:pPr>
        <w:rPr>
          <w:rFonts w:ascii="Calibri" w:hAnsi="Calibri"/>
          <w:iCs w:val="0"/>
          <w:color w:val="auto"/>
          <w:sz w:val="21"/>
          <w:szCs w:val="22"/>
          <w:highlight w:val="none"/>
        </w:rPr>
      </w:pPr>
      <w:r>
        <w:rPr>
          <w:rFonts w:hint="eastAsia" w:ascii="Calibri" w:hAnsi="Calibri"/>
          <w:iCs w:val="0"/>
          <w:color w:val="auto"/>
          <w:sz w:val="21"/>
          <w:szCs w:val="22"/>
          <w:highlight w:val="none"/>
        </w:rPr>
        <w:t>协议单位（甲方）：（发包方）</w:t>
      </w:r>
    </w:p>
    <w:p>
      <w:pPr>
        <w:ind w:firstLine="840" w:firstLineChars="400"/>
        <w:rPr>
          <w:rFonts w:ascii="Calibri" w:hAnsi="Calibri"/>
          <w:iCs w:val="0"/>
          <w:color w:val="auto"/>
          <w:sz w:val="21"/>
          <w:szCs w:val="22"/>
          <w:highlight w:val="none"/>
        </w:rPr>
      </w:pPr>
      <w:r>
        <w:rPr>
          <w:rFonts w:hint="eastAsia" w:ascii="Calibri" w:hAnsi="Calibri"/>
          <w:iCs w:val="0"/>
          <w:color w:val="auto"/>
          <w:sz w:val="21"/>
          <w:szCs w:val="22"/>
          <w:highlight w:val="none"/>
        </w:rPr>
        <w:t>（乙方）：（承包方）</w:t>
      </w:r>
    </w:p>
    <w:p>
      <w:pPr>
        <w:ind w:firstLine="420" w:firstLineChars="200"/>
        <w:rPr>
          <w:rFonts w:ascii="Calibri" w:hAnsi="Calibri"/>
          <w:iCs w:val="0"/>
          <w:color w:val="auto"/>
          <w:sz w:val="21"/>
          <w:szCs w:val="22"/>
          <w:highlight w:val="none"/>
        </w:rPr>
      </w:pPr>
    </w:p>
    <w:p>
      <w:pPr>
        <w:spacing w:line="360" w:lineRule="auto"/>
        <w:ind w:firstLine="420" w:firstLineChars="200"/>
        <w:rPr>
          <w:rFonts w:ascii="Calibri" w:hAnsi="Calibri"/>
          <w:iCs w:val="0"/>
          <w:color w:val="auto"/>
          <w:sz w:val="21"/>
          <w:szCs w:val="22"/>
          <w:highlight w:val="none"/>
        </w:rPr>
      </w:pPr>
      <w:r>
        <w:rPr>
          <w:rFonts w:hint="eastAsia" w:ascii="Calibri" w:hAnsi="Calibri"/>
          <w:iCs w:val="0"/>
          <w:color w:val="auto"/>
          <w:sz w:val="21"/>
          <w:szCs w:val="22"/>
          <w:highlight w:val="none"/>
        </w:rPr>
        <w:t>为认真贯彻中央加大反腐力度，推进廉政建设，预防和减少工程建设中的经济犯罪，维护建设市场的正常秩序，遏制“工程上马，干部下马”现象的发生，确保工程从征地到竣工过程中“工程优良，干部优秀”，根据成建委发[1998]428 号文件精神，工程发包方（简称甲方）和工程承包方（简称乙方）自愿签订建筑工程廉政协议：</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一、乙方不得以任何形式向甲方人员赠送各种礼品、礼券（现金），甲方人员不得以任何借口收受各种礼品、礼券（现金）。如有违反，将视情节轻重对甲方人员给予批评、教育、罚款直至党纪、政纪、法律处分，对乙方给予扣减工程款 3%—5%，直至终止合同。</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二、乙方在工程项目建设中贿赂甲方人员，被纪检、检察、监察机关立案查处的，甲方有权终止工程项目施工合同，由此甲方所造成的损失均由乙方承担，并负责由此发生的一切费用（在工程款中扣除）。</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三、甲方人员向乙方索贿，经乙方检举被纪检、检察、监察机关立案查处的，乙方有权从甲方获得被索贿款额 1—3 倍作为奖励（此款由索贿人承担）。</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四、甲乙双方人员应禁止赠送、贿赂、收受、索要行为的发生，如遇一方发生，另一方当事人应立即报告本单位领导和当地纪检、监察、检察机关，对不主动报告情况的有关人员，一经查处视情节轻重给予党纪、政纪直至法律处分。</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五、此协议与工程承包协议同时签订，一式四份，甲乙双方各执一份，工程当地纪检、监察或检察机关一份，以便于监督。</w:t>
      </w:r>
    </w:p>
    <w:p>
      <w:pPr>
        <w:rPr>
          <w:rFonts w:ascii="Calibri" w:hAnsi="Calibri"/>
          <w:iCs w:val="0"/>
          <w:color w:val="auto"/>
          <w:sz w:val="21"/>
          <w:szCs w:val="22"/>
          <w:highlight w:val="none"/>
        </w:rPr>
      </w:pP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甲方（盖章）：乙方（盖章）：</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法定代表人（签字）：法定代表人（签字）：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或委托代理人（签字）：或委托代理人（签字）：</w:t>
      </w:r>
    </w:p>
    <w:p>
      <w:pPr>
        <w:spacing w:line="360" w:lineRule="auto"/>
        <w:rPr>
          <w:rFonts w:ascii="Calibri" w:hAnsi="Calibri"/>
          <w:iCs w:val="0"/>
          <w:color w:val="auto"/>
          <w:sz w:val="21"/>
          <w:szCs w:val="22"/>
          <w:highlight w:val="none"/>
        </w:rPr>
      </w:pPr>
      <w:r>
        <w:rPr>
          <w:rFonts w:hint="eastAsia" w:ascii="Calibri" w:hAnsi="Calibri"/>
          <w:iCs w:val="0"/>
          <w:color w:val="auto"/>
          <w:sz w:val="21"/>
          <w:szCs w:val="22"/>
          <w:highlight w:val="none"/>
        </w:rPr>
        <w:t>合同签订日期：年月日</w:t>
      </w:r>
    </w:p>
    <w:p>
      <w:pPr>
        <w:rPr>
          <w:color w:val="auto"/>
          <w:highlight w:val="none"/>
        </w:rPr>
      </w:pPr>
    </w:p>
    <w:p>
      <w:pPr>
        <w:pStyle w:val="130"/>
        <w:spacing w:line="360" w:lineRule="auto"/>
        <w:ind w:firstLine="0" w:firstLineChars="0"/>
        <w:rPr>
          <w:rFonts w:ascii="仿宋" w:hAnsi="仿宋" w:eastAsia="仿宋" w:cs="仿宋"/>
          <w:color w:val="auto"/>
          <w:highlight w:val="none"/>
        </w:rPr>
        <w:sectPr>
          <w:footerReference r:id="rId11" w:type="default"/>
          <w:pgSz w:w="11907" w:h="16840"/>
          <w:pgMar w:top="1418" w:right="1086" w:bottom="1418" w:left="1221" w:header="907" w:footer="850" w:gutter="0"/>
          <w:cols w:space="720" w:num="1"/>
        </w:sectPr>
      </w:pPr>
    </w:p>
    <w:p>
      <w:pPr>
        <w:keepNext/>
        <w:keepLines/>
        <w:widowControl w:val="0"/>
        <w:numPr>
          <w:ilvl w:val="0"/>
          <w:numId w:val="60"/>
        </w:numPr>
        <w:spacing w:before="120" w:beforeLines="50" w:line="360" w:lineRule="auto"/>
        <w:jc w:val="both"/>
        <w:outlineLvl w:val="2"/>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合同附件格式</w:t>
      </w:r>
    </w:p>
    <w:p>
      <w:pPr>
        <w:spacing w:before="240" w:beforeLines="100" w:after="240" w:afterLines="100" w:line="360" w:lineRule="auto"/>
        <w:rPr>
          <w:rFonts w:ascii="仿宋" w:hAnsi="仿宋" w:eastAsia="仿宋" w:cs="仿宋"/>
          <w:b/>
          <w:bCs/>
          <w:color w:val="auto"/>
          <w:highlight w:val="none"/>
        </w:rPr>
      </w:pPr>
      <w:r>
        <w:rPr>
          <w:rFonts w:hint="eastAsia" w:ascii="仿宋" w:hAnsi="仿宋" w:eastAsia="仿宋" w:cs="仿宋"/>
          <w:b/>
          <w:bCs/>
          <w:color w:val="auto"/>
          <w:highlight w:val="none"/>
        </w:rPr>
        <w:t>附件一：工程质量保修书</w:t>
      </w:r>
    </w:p>
    <w:p>
      <w:pPr>
        <w:spacing w:before="240" w:beforeLines="100" w:after="240" w:afterLines="100" w:line="360" w:lineRule="auto"/>
        <w:jc w:val="center"/>
        <w:rPr>
          <w:rFonts w:ascii="仿宋" w:hAnsi="仿宋" w:eastAsia="仿宋" w:cs="仿宋"/>
          <w:b/>
          <w:bCs/>
          <w:color w:val="auto"/>
          <w:highlight w:val="none"/>
        </w:rPr>
      </w:pPr>
      <w:r>
        <w:rPr>
          <w:rFonts w:hint="eastAsia" w:ascii="仿宋" w:hAnsi="仿宋" w:eastAsia="仿宋" w:cs="仿宋"/>
          <w:b/>
          <w:bCs/>
          <w:color w:val="auto"/>
          <w:highlight w:val="none"/>
        </w:rPr>
        <w:t>工程质量保修书</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发包人（全称）：</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承包人（全称）：</w:t>
      </w:r>
    </w:p>
    <w:p>
      <w:pP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．工程质量保修范围和内容</w:t>
      </w:r>
    </w:p>
    <w:p>
      <w:pP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承包人在质量保修期内，按照有关法律、法规、规章规定和双方约定，承担本工程质量保修责任。</w:t>
      </w:r>
    </w:p>
    <w:p>
      <w:pP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color w:val="auto"/>
          <w:highlight w:val="none"/>
          <w:u w:val="single"/>
        </w:rPr>
        <w:t>详见《建设工程质量管理条例》第六章第</w:t>
      </w:r>
      <w:r>
        <w:rPr>
          <w:rFonts w:ascii="仿宋" w:hAnsi="仿宋" w:eastAsia="仿宋" w:cs="仿宋"/>
          <w:color w:val="auto"/>
          <w:highlight w:val="none"/>
          <w:u w:val="single"/>
        </w:rPr>
        <w:t>39—42</w:t>
      </w:r>
      <w:r>
        <w:rPr>
          <w:rFonts w:hint="eastAsia" w:ascii="仿宋" w:hAnsi="仿宋" w:eastAsia="仿宋" w:cs="仿宋"/>
          <w:color w:val="auto"/>
          <w:highlight w:val="none"/>
          <w:u w:val="single"/>
        </w:rPr>
        <w:t>条</w:t>
      </w:r>
      <w:r>
        <w:rPr>
          <w:rFonts w:hint="eastAsia" w:ascii="仿宋" w:hAnsi="仿宋" w:eastAsia="仿宋" w:cs="仿宋"/>
          <w:color w:val="auto"/>
          <w:highlight w:val="none"/>
        </w:rPr>
        <w:t>。</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2</w:t>
      </w:r>
      <w:r>
        <w:rPr>
          <w:rFonts w:hint="eastAsia" w:ascii="仿宋" w:hAnsi="仿宋" w:eastAsia="仿宋" w:cs="仿宋"/>
          <w:color w:val="auto"/>
          <w:highlight w:val="none"/>
        </w:rPr>
        <w:t>．质量保修期</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2.1</w:t>
      </w:r>
      <w:r>
        <w:rPr>
          <w:rFonts w:hint="eastAsia" w:ascii="仿宋" w:hAnsi="仿宋" w:eastAsia="仿宋" w:cs="仿宋"/>
          <w:color w:val="auto"/>
          <w:highlight w:val="none"/>
        </w:rPr>
        <w:t>双方根据《建设工程质量管理条例》及有关规定，约定本工程的质量保修期如下：</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（1）基础设施工程、房屋建筑的地基基础工程和主体结构工程为设计文件规定的该工程合理使用年限；</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2</w:t>
      </w:r>
      <w:r>
        <w:rPr>
          <w:rFonts w:hint="eastAsia" w:ascii="仿宋" w:hAnsi="仿宋" w:eastAsia="仿宋" w:cs="仿宋"/>
          <w:color w:val="auto"/>
          <w:highlight w:val="none"/>
        </w:rPr>
        <w:t>）屋面防水工程、有防水要求的卫生间、房间和外墙面的防渗漏为</w:t>
      </w:r>
      <w:r>
        <w:rPr>
          <w:rFonts w:ascii="仿宋" w:hAnsi="仿宋" w:eastAsia="仿宋" w:cs="仿宋"/>
          <w:color w:val="auto"/>
          <w:highlight w:val="none"/>
        </w:rPr>
        <w:t>5</w:t>
      </w:r>
      <w:r>
        <w:rPr>
          <w:rFonts w:hint="eastAsia" w:ascii="仿宋" w:hAnsi="仿宋" w:eastAsia="仿宋" w:cs="仿宋"/>
          <w:color w:val="auto"/>
          <w:highlight w:val="none"/>
        </w:rPr>
        <w:t>年；</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w:t>
      </w:r>
      <w:r>
        <w:rPr>
          <w:rFonts w:hint="eastAsia" w:ascii="仿宋" w:hAnsi="仿宋" w:eastAsia="仿宋" w:cs="仿宋"/>
          <w:color w:val="auto"/>
          <w:highlight w:val="none"/>
        </w:rPr>
        <w:t>）装修工程为</w:t>
      </w:r>
      <w:r>
        <w:rPr>
          <w:rFonts w:ascii="仿宋" w:hAnsi="仿宋" w:eastAsia="仿宋" w:cs="仿宋"/>
          <w:color w:val="auto"/>
          <w:highlight w:val="none"/>
        </w:rPr>
        <w:t>2</w:t>
      </w:r>
      <w:r>
        <w:rPr>
          <w:rFonts w:hint="eastAsia" w:ascii="仿宋" w:hAnsi="仿宋" w:eastAsia="仿宋" w:cs="仿宋"/>
          <w:color w:val="auto"/>
          <w:highlight w:val="none"/>
        </w:rPr>
        <w:t>年；</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4</w:t>
      </w:r>
      <w:r>
        <w:rPr>
          <w:rFonts w:hint="eastAsia" w:ascii="仿宋" w:hAnsi="仿宋" w:eastAsia="仿宋" w:cs="仿宋"/>
          <w:color w:val="auto"/>
          <w:highlight w:val="none"/>
        </w:rPr>
        <w:t>）供热与供冷系统为</w:t>
      </w:r>
      <w:r>
        <w:rPr>
          <w:rFonts w:ascii="仿宋" w:hAnsi="仿宋" w:eastAsia="仿宋" w:cs="仿宋"/>
          <w:color w:val="auto"/>
          <w:highlight w:val="none"/>
        </w:rPr>
        <w:t>2</w:t>
      </w:r>
      <w:r>
        <w:rPr>
          <w:rFonts w:hint="eastAsia" w:ascii="仿宋" w:hAnsi="仿宋" w:eastAsia="仿宋" w:cs="仿宋"/>
          <w:color w:val="auto"/>
          <w:highlight w:val="none"/>
        </w:rPr>
        <w:t>个采暖期、供冷期；</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5</w:t>
      </w:r>
      <w:r>
        <w:rPr>
          <w:rFonts w:hint="eastAsia" w:ascii="仿宋" w:hAnsi="仿宋" w:eastAsia="仿宋" w:cs="仿宋"/>
          <w:color w:val="auto"/>
          <w:highlight w:val="none"/>
        </w:rPr>
        <w:t>）电气管线、给排水管道、设备安装工程为</w:t>
      </w:r>
      <w:r>
        <w:rPr>
          <w:rFonts w:ascii="仿宋" w:hAnsi="仿宋" w:eastAsia="仿宋" w:cs="仿宋"/>
          <w:color w:val="auto"/>
          <w:highlight w:val="none"/>
        </w:rPr>
        <w:t>2</w:t>
      </w:r>
      <w:r>
        <w:rPr>
          <w:rFonts w:hint="eastAsia" w:ascii="仿宋" w:hAnsi="仿宋" w:eastAsia="仿宋" w:cs="仿宋"/>
          <w:color w:val="auto"/>
          <w:highlight w:val="none"/>
        </w:rPr>
        <w:t>年；</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6</w:t>
      </w:r>
      <w:r>
        <w:rPr>
          <w:rFonts w:hint="eastAsia" w:ascii="仿宋" w:hAnsi="仿宋" w:eastAsia="仿宋" w:cs="仿宋"/>
          <w:color w:val="auto"/>
          <w:highlight w:val="none"/>
        </w:rPr>
        <w:t>）住宅小区内的给排水设施、道路等配套工程为</w:t>
      </w:r>
      <w:r>
        <w:rPr>
          <w:rFonts w:ascii="仿宋" w:hAnsi="仿宋" w:eastAsia="仿宋" w:cs="仿宋"/>
          <w:color w:val="auto"/>
          <w:highlight w:val="none"/>
        </w:rPr>
        <w:t>2</w:t>
      </w:r>
      <w:r>
        <w:rPr>
          <w:rFonts w:hint="eastAsia" w:ascii="仿宋" w:hAnsi="仿宋" w:eastAsia="仿宋" w:cs="仿宋"/>
          <w:color w:val="auto"/>
          <w:highlight w:val="none"/>
        </w:rPr>
        <w:t>年；</w:t>
      </w:r>
    </w:p>
    <w:p>
      <w:pPr>
        <w:spacing w:line="360" w:lineRule="auto"/>
        <w:ind w:firstLine="360" w:firstLineChars="15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7</w:t>
      </w:r>
      <w:r>
        <w:rPr>
          <w:rFonts w:hint="eastAsia" w:ascii="仿宋" w:hAnsi="仿宋" w:eastAsia="仿宋" w:cs="仿宋"/>
          <w:color w:val="auto"/>
          <w:highlight w:val="none"/>
        </w:rPr>
        <w:t>）其他项目的保修期限为</w:t>
      </w:r>
      <w:r>
        <w:rPr>
          <w:rFonts w:ascii="仿宋" w:hAnsi="仿宋" w:eastAsia="仿宋" w:cs="仿宋"/>
          <w:color w:val="auto"/>
          <w:highlight w:val="none"/>
        </w:rPr>
        <w:t xml:space="preserve">  2  </w:t>
      </w:r>
      <w:r>
        <w:rPr>
          <w:rFonts w:hint="eastAsia" w:ascii="仿宋" w:hAnsi="仿宋" w:eastAsia="仿宋" w:cs="仿宋"/>
          <w:color w:val="auto"/>
          <w:highlight w:val="none"/>
        </w:rPr>
        <w:t>年。</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 xml:space="preserve">2.2 </w:t>
      </w:r>
      <w:r>
        <w:rPr>
          <w:rFonts w:hint="eastAsia" w:ascii="仿宋" w:hAnsi="仿宋" w:eastAsia="仿宋" w:cs="仿宋"/>
          <w:color w:val="auto"/>
          <w:highlight w:val="none"/>
        </w:rPr>
        <w:t>质量保修期自工程竣工验收合格之日起计算。</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3</w:t>
      </w:r>
      <w:r>
        <w:rPr>
          <w:rFonts w:hint="eastAsia" w:ascii="仿宋" w:hAnsi="仿宋" w:eastAsia="仿宋" w:cs="仿宋"/>
          <w:color w:val="auto"/>
          <w:highlight w:val="none"/>
        </w:rPr>
        <w:t>．质量保修责任</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 xml:space="preserve">3.1 </w:t>
      </w:r>
      <w:r>
        <w:rPr>
          <w:rFonts w:hint="eastAsia" w:ascii="仿宋" w:hAnsi="仿宋" w:eastAsia="仿宋" w:cs="仿宋"/>
          <w:color w:val="auto"/>
          <w:highlight w:val="none"/>
        </w:rPr>
        <w:t>属于保修范围、内容的项目，承包人应当在接到保修通知之日起</w:t>
      </w:r>
      <w:r>
        <w:rPr>
          <w:rFonts w:ascii="仿宋" w:hAnsi="仿宋" w:eastAsia="仿宋" w:cs="仿宋"/>
          <w:color w:val="auto"/>
          <w:highlight w:val="none"/>
        </w:rPr>
        <w:t>7</w:t>
      </w:r>
      <w:r>
        <w:rPr>
          <w:rFonts w:hint="eastAsia" w:ascii="仿宋" w:hAnsi="仿宋" w:eastAsia="仿宋" w:cs="仿宋"/>
          <w:color w:val="auto"/>
          <w:highlight w:val="none"/>
        </w:rPr>
        <w:t>天内派人保修。承包人不在约定期限内派人保修的，发包人可以委托他人修理。</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 xml:space="preserve">3.2 </w:t>
      </w:r>
      <w:r>
        <w:rPr>
          <w:rFonts w:hint="eastAsia" w:ascii="仿宋" w:hAnsi="仿宋" w:eastAsia="仿宋" w:cs="仿宋"/>
          <w:color w:val="auto"/>
          <w:highlight w:val="none"/>
        </w:rPr>
        <w:t>发生紧急抢修事故的，承包人在接到事故通知后，应当立即到达事故现场抢修。</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 xml:space="preserve">3.3 </w:t>
      </w:r>
      <w:r>
        <w:rPr>
          <w:rFonts w:hint="eastAsia" w:ascii="仿宋" w:hAnsi="仿宋" w:eastAsia="仿宋" w:cs="仿宋"/>
          <w:color w:val="auto"/>
          <w:highlight w:val="none"/>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 xml:space="preserve">3.4 </w:t>
      </w:r>
      <w:r>
        <w:rPr>
          <w:rFonts w:hint="eastAsia" w:ascii="仿宋" w:hAnsi="仿宋" w:eastAsia="仿宋" w:cs="仿宋"/>
          <w:color w:val="auto"/>
          <w:highlight w:val="none"/>
        </w:rPr>
        <w:t>质量保修完成后，由发包人组织验收。</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4</w:t>
      </w:r>
      <w:r>
        <w:rPr>
          <w:rFonts w:hint="eastAsia" w:ascii="仿宋" w:hAnsi="仿宋" w:eastAsia="仿宋" w:cs="仿宋"/>
          <w:color w:val="auto"/>
          <w:highlight w:val="none"/>
        </w:rPr>
        <w:t>．保修费用</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4.1</w:t>
      </w:r>
      <w:r>
        <w:rPr>
          <w:rFonts w:hint="eastAsia" w:ascii="仿宋" w:hAnsi="仿宋" w:eastAsia="仿宋" w:cs="仿宋"/>
          <w:color w:val="auto"/>
          <w:highlight w:val="none"/>
        </w:rPr>
        <w:t>保修费用由造成质量缺陷的责任方承担。</w:t>
      </w:r>
    </w:p>
    <w:p>
      <w:pPr>
        <w:spacing w:line="360" w:lineRule="auto"/>
        <w:ind w:firstLine="480" w:firstLineChars="200"/>
        <w:rPr>
          <w:rFonts w:ascii="仿宋" w:hAnsi="仿宋" w:eastAsia="仿宋" w:cs="仿宋"/>
          <w:color w:val="auto"/>
          <w:highlight w:val="none"/>
        </w:rPr>
      </w:pPr>
      <w:r>
        <w:rPr>
          <w:rFonts w:ascii="仿宋" w:hAnsi="仿宋" w:eastAsia="仿宋" w:cs="仿宋"/>
          <w:color w:val="auto"/>
          <w:highlight w:val="none"/>
        </w:rPr>
        <w:t>5</w:t>
      </w:r>
      <w:r>
        <w:rPr>
          <w:rFonts w:hint="eastAsia" w:ascii="仿宋" w:hAnsi="仿宋" w:eastAsia="仿宋" w:cs="仿宋"/>
          <w:color w:val="auto"/>
          <w:highlight w:val="none"/>
        </w:rPr>
        <w:t>．其他</w:t>
      </w:r>
    </w:p>
    <w:p>
      <w:pPr>
        <w:spacing w:line="360" w:lineRule="auto"/>
        <w:ind w:firstLine="480" w:firstLineChars="200"/>
        <w:rPr>
          <w:rFonts w:ascii="仿宋" w:hAnsi="仿宋" w:eastAsia="仿宋" w:cs="仿宋"/>
          <w:color w:val="auto"/>
          <w:highlight w:val="none"/>
        </w:rPr>
      </w:pPr>
      <w:bookmarkStart w:id="748" w:name="_Toc247945911"/>
      <w:bookmarkStart w:id="749" w:name="_Toc435626179"/>
      <w:bookmarkStart w:id="750" w:name="_Toc199318336"/>
      <w:bookmarkStart w:id="751" w:name="_Toc211643904"/>
      <w:bookmarkStart w:id="752" w:name="_Toc207526821"/>
      <w:r>
        <w:rPr>
          <w:rFonts w:ascii="仿宋" w:hAnsi="仿宋" w:eastAsia="仿宋" w:cs="仿宋"/>
          <w:color w:val="auto"/>
          <w:highlight w:val="none"/>
        </w:rPr>
        <w:t xml:space="preserve">5.1 </w:t>
      </w:r>
      <w:r>
        <w:rPr>
          <w:rFonts w:hint="eastAsia" w:ascii="仿宋" w:hAnsi="仿宋" w:eastAsia="仿宋" w:cs="仿宋"/>
          <w:color w:val="auto"/>
          <w:highlight w:val="none"/>
        </w:rPr>
        <w:t>双方约定的其他工程质量保修事项</w:t>
      </w:r>
      <w:r>
        <w:rPr>
          <w:rFonts w:ascii="仿宋" w:hAnsi="仿宋" w:eastAsia="仿宋" w:cs="仿宋"/>
          <w:color w:val="auto"/>
          <w:highlight w:val="none"/>
        </w:rPr>
        <w:t>:</w:t>
      </w:r>
      <w:bookmarkEnd w:id="748"/>
      <w:bookmarkEnd w:id="749"/>
      <w:bookmarkEnd w:id="750"/>
      <w:bookmarkEnd w:id="751"/>
      <w:bookmarkEnd w:id="752"/>
    </w:p>
    <w:p>
      <w:pP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质量保证金按工程竣工结算价的</w:t>
      </w:r>
      <w:r>
        <w:rPr>
          <w:rFonts w:ascii="仿宋" w:hAnsi="仿宋" w:eastAsia="仿宋" w:cs="仿宋"/>
          <w:color w:val="auto"/>
          <w:highlight w:val="none"/>
        </w:rPr>
        <w:t>3%</w:t>
      </w:r>
      <w:r>
        <w:rPr>
          <w:rFonts w:hint="eastAsia" w:ascii="仿宋" w:hAnsi="仿宋" w:eastAsia="仿宋" w:cs="仿宋"/>
          <w:color w:val="auto"/>
          <w:highlight w:val="none"/>
        </w:rPr>
        <w:t>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ascii="仿宋" w:hAnsi="仿宋" w:eastAsia="仿宋" w:cs="仿宋"/>
          <w:color w:val="auto"/>
          <w:highlight w:val="none"/>
        </w:rPr>
      </w:pPr>
      <w:bookmarkStart w:id="753" w:name="_Toc207526822"/>
      <w:bookmarkStart w:id="754" w:name="_Toc199318337"/>
      <w:bookmarkStart w:id="755" w:name="_Toc435626180"/>
      <w:bookmarkStart w:id="756" w:name="_Toc211643905"/>
      <w:bookmarkStart w:id="757" w:name="_Toc247945912"/>
      <w:r>
        <w:rPr>
          <w:rFonts w:ascii="仿宋" w:hAnsi="仿宋" w:eastAsia="仿宋" w:cs="仿宋"/>
          <w:color w:val="auto"/>
          <w:highlight w:val="none"/>
        </w:rPr>
        <w:t xml:space="preserve">5.2 </w:t>
      </w:r>
      <w:r>
        <w:rPr>
          <w:rFonts w:hint="eastAsia" w:ascii="仿宋" w:hAnsi="仿宋" w:eastAsia="仿宋" w:cs="仿宋"/>
          <w:color w:val="auto"/>
          <w:highlight w:val="none"/>
        </w:rPr>
        <w:t>本工程质量保修书</w:t>
      </w:r>
      <w:r>
        <w:rPr>
          <w:rFonts w:ascii="仿宋" w:hAnsi="仿宋" w:eastAsia="仿宋" w:cs="仿宋"/>
          <w:color w:val="auto"/>
          <w:highlight w:val="none"/>
        </w:rPr>
        <w:t>,</w:t>
      </w:r>
      <w:r>
        <w:rPr>
          <w:rFonts w:hint="eastAsia" w:ascii="仿宋" w:hAnsi="仿宋" w:eastAsia="仿宋" w:cs="仿宋"/>
          <w:color w:val="auto"/>
          <w:highlight w:val="none"/>
        </w:rPr>
        <w:t>由施工合同发包人、承包人双方在竣工验收前共同签署，作为施工合同附件，其有效期限至保修期满。</w:t>
      </w:r>
      <w:bookmarkEnd w:id="753"/>
      <w:bookmarkEnd w:id="754"/>
      <w:bookmarkEnd w:id="755"/>
      <w:bookmarkEnd w:id="756"/>
      <w:bookmarkEnd w:id="757"/>
    </w:p>
    <w:p>
      <w:pPr>
        <w:spacing w:line="360" w:lineRule="auto"/>
        <w:rPr>
          <w:rFonts w:ascii="仿宋" w:hAnsi="仿宋" w:eastAsia="仿宋"/>
          <w:color w:val="auto"/>
          <w:highlight w:val="none"/>
        </w:rPr>
      </w:pPr>
    </w:p>
    <w:p>
      <w:pPr>
        <w:spacing w:line="360" w:lineRule="auto"/>
        <w:rPr>
          <w:rFonts w:ascii="仿宋" w:hAnsi="仿宋" w:eastAsia="仿宋"/>
          <w:color w:val="auto"/>
          <w:highlight w:val="none"/>
        </w:rPr>
      </w:pPr>
    </w:p>
    <w:p>
      <w:pPr>
        <w:spacing w:line="360" w:lineRule="auto"/>
        <w:rPr>
          <w:rFonts w:ascii="仿宋" w:hAnsi="仿宋" w:eastAsia="仿宋"/>
          <w:color w:val="auto"/>
          <w:highlight w:val="none"/>
        </w:rPr>
      </w:pPr>
    </w:p>
    <w:p>
      <w:pPr>
        <w:spacing w:line="360" w:lineRule="auto"/>
        <w:rPr>
          <w:rFonts w:ascii="仿宋" w:hAnsi="仿宋" w:eastAsia="仿宋"/>
          <w:color w:val="auto"/>
          <w:highlight w:val="none"/>
        </w:rPr>
      </w:pPr>
      <w:r>
        <w:rPr>
          <w:rFonts w:hint="eastAsia" w:ascii="仿宋" w:hAnsi="仿宋" w:eastAsia="仿宋" w:cs="仿宋"/>
          <w:color w:val="auto"/>
          <w:highlight w:val="none"/>
        </w:rPr>
        <w:t>发</w:t>
      </w:r>
      <w:r>
        <w:rPr>
          <w:rFonts w:ascii="仿宋" w:hAnsi="仿宋" w:eastAsia="仿宋" w:cs="仿宋"/>
          <w:color w:val="auto"/>
          <w:highlight w:val="none"/>
        </w:rPr>
        <w:t xml:space="preserve">  </w:t>
      </w:r>
      <w:r>
        <w:rPr>
          <w:rFonts w:hint="eastAsia" w:ascii="仿宋" w:hAnsi="仿宋" w:eastAsia="仿宋" w:cs="仿宋"/>
          <w:color w:val="auto"/>
          <w:highlight w:val="none"/>
        </w:rPr>
        <w:t>包</w:t>
      </w:r>
      <w:r>
        <w:rPr>
          <w:rFonts w:ascii="仿宋" w:hAnsi="仿宋" w:eastAsia="仿宋" w:cs="仿宋"/>
          <w:color w:val="auto"/>
          <w:highlight w:val="none"/>
        </w:rPr>
        <w:t xml:space="preserve">  </w:t>
      </w:r>
      <w:r>
        <w:rPr>
          <w:rFonts w:hint="eastAsia" w:ascii="仿宋" w:hAnsi="仿宋" w:eastAsia="仿宋" w:cs="仿宋"/>
          <w:color w:val="auto"/>
          <w:highlight w:val="none"/>
        </w:rPr>
        <w:t>人（公章）：</w:t>
      </w:r>
      <w:r>
        <w:rPr>
          <w:rFonts w:ascii="仿宋" w:hAnsi="仿宋" w:eastAsia="仿宋" w:cs="仿宋"/>
          <w:color w:val="auto"/>
          <w:highlight w:val="none"/>
        </w:rPr>
        <w:t xml:space="preserve">                     </w:t>
      </w:r>
      <w:r>
        <w:rPr>
          <w:rFonts w:hint="eastAsia" w:ascii="仿宋" w:hAnsi="仿宋" w:eastAsia="仿宋" w:cs="仿宋"/>
          <w:color w:val="auto"/>
          <w:highlight w:val="none"/>
        </w:rPr>
        <w:t>承</w:t>
      </w:r>
      <w:r>
        <w:rPr>
          <w:rFonts w:ascii="仿宋" w:hAnsi="仿宋" w:eastAsia="仿宋" w:cs="仿宋"/>
          <w:color w:val="auto"/>
          <w:highlight w:val="none"/>
        </w:rPr>
        <w:t xml:space="preserve">  </w:t>
      </w:r>
      <w:r>
        <w:rPr>
          <w:rFonts w:hint="eastAsia" w:ascii="仿宋" w:hAnsi="仿宋" w:eastAsia="仿宋" w:cs="仿宋"/>
          <w:color w:val="auto"/>
          <w:highlight w:val="none"/>
        </w:rPr>
        <w:t>包</w:t>
      </w:r>
      <w:r>
        <w:rPr>
          <w:rFonts w:ascii="仿宋" w:hAnsi="仿宋" w:eastAsia="仿宋" w:cs="仿宋"/>
          <w:color w:val="auto"/>
          <w:highlight w:val="none"/>
        </w:rPr>
        <w:t xml:space="preserve">  </w:t>
      </w:r>
      <w:r>
        <w:rPr>
          <w:rFonts w:hint="eastAsia" w:ascii="仿宋" w:hAnsi="仿宋" w:eastAsia="仿宋" w:cs="仿宋"/>
          <w:color w:val="auto"/>
          <w:highlight w:val="none"/>
        </w:rPr>
        <w:t>人（公章）：</w:t>
      </w:r>
    </w:p>
    <w:p>
      <w:pPr>
        <w:spacing w:line="360" w:lineRule="auto"/>
        <w:rPr>
          <w:rFonts w:ascii="仿宋" w:hAnsi="仿宋" w:eastAsia="仿宋"/>
          <w:color w:val="auto"/>
          <w:highlight w:val="none"/>
        </w:rPr>
      </w:pPr>
    </w:p>
    <w:p>
      <w:pPr>
        <w:spacing w:line="360" w:lineRule="auto"/>
        <w:rPr>
          <w:rFonts w:ascii="仿宋" w:hAnsi="仿宋" w:eastAsia="仿宋"/>
          <w:color w:val="auto"/>
          <w:highlight w:val="none"/>
        </w:rPr>
      </w:pPr>
      <w:r>
        <w:rPr>
          <w:rFonts w:hint="eastAsia" w:ascii="仿宋" w:hAnsi="仿宋" w:eastAsia="仿宋" w:cs="仿宋"/>
          <w:color w:val="auto"/>
          <w:highlight w:val="none"/>
        </w:rPr>
        <w:t>法定代表人（签字）：</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法定代表人（签字）：</w:t>
      </w:r>
    </w:p>
    <w:p>
      <w:pPr>
        <w:spacing w:line="360" w:lineRule="auto"/>
        <w:rPr>
          <w:rFonts w:ascii="仿宋" w:hAnsi="仿宋" w:eastAsia="仿宋"/>
          <w:color w:val="auto"/>
          <w:highlight w:val="none"/>
        </w:rPr>
      </w:pPr>
    </w:p>
    <w:p>
      <w:pPr>
        <w:autoSpaceDE w:val="0"/>
        <w:autoSpaceDN w:val="0"/>
        <w:adjustRightInd w:val="0"/>
        <w:spacing w:line="360" w:lineRule="auto"/>
        <w:ind w:firstLine="960" w:firstLineChars="400"/>
        <w:rPr>
          <w:rFonts w:ascii="仿宋" w:hAnsi="仿宋" w:eastAsia="仿宋"/>
          <w:color w:val="auto"/>
          <w:highlight w:val="none"/>
        </w:rPr>
      </w:pPr>
      <w:r>
        <w:rPr>
          <w:rFonts w:hint="eastAsia" w:ascii="仿宋" w:hAnsi="仿宋" w:eastAsia="仿宋" w:cs="仿宋"/>
          <w:color w:val="auto"/>
          <w:highlight w:val="none"/>
        </w:rPr>
        <w:t>年   月  日</w:t>
      </w:r>
      <w:r>
        <w:rPr>
          <w:rFonts w:ascii="仿宋" w:hAnsi="仿宋" w:eastAsia="仿宋" w:cs="仿宋"/>
          <w:color w:val="auto"/>
          <w:highlight w:val="none"/>
        </w:rPr>
        <w:t xml:space="preserve"> </w:t>
      </w:r>
      <w:r>
        <w:rPr>
          <w:rFonts w:hint="eastAsia" w:ascii="仿宋" w:hAnsi="仿宋" w:eastAsia="仿宋" w:cs="仿宋"/>
          <w:color w:val="auto"/>
          <w:highlight w:val="none"/>
        </w:rPr>
        <w:t xml:space="preserve">        </w:t>
      </w:r>
      <w:r>
        <w:rPr>
          <w:rFonts w:ascii="仿宋" w:hAnsi="仿宋" w:eastAsia="仿宋" w:cs="仿宋"/>
          <w:color w:val="auto"/>
          <w:highlight w:val="none"/>
        </w:rPr>
        <w:t xml:space="preserve">   </w:t>
      </w:r>
      <w:r>
        <w:rPr>
          <w:rFonts w:hint="eastAsia" w:ascii="仿宋" w:hAnsi="仿宋" w:eastAsia="仿宋" w:cs="仿宋"/>
          <w:color w:val="auto"/>
          <w:highlight w:val="none"/>
        </w:rPr>
        <w:t xml:space="preserve">   </w:t>
      </w:r>
      <w:r>
        <w:rPr>
          <w:rFonts w:ascii="仿宋" w:hAnsi="仿宋" w:eastAsia="仿宋" w:cs="仿宋"/>
          <w:color w:val="auto"/>
          <w:highlight w:val="none"/>
        </w:rPr>
        <w:t xml:space="preserve">               </w:t>
      </w:r>
      <w:r>
        <w:rPr>
          <w:rFonts w:hint="eastAsia" w:ascii="仿宋" w:hAnsi="仿宋" w:eastAsia="仿宋" w:cs="仿宋"/>
          <w:color w:val="auto"/>
          <w:highlight w:val="none"/>
        </w:rPr>
        <w:t>年   月  日</w:t>
      </w:r>
    </w:p>
    <w:p>
      <w:pPr>
        <w:jc w:val="center"/>
        <w:rPr>
          <w:rFonts w:ascii="仿宋" w:hAnsi="仿宋" w:eastAsia="仿宋"/>
          <w:b/>
          <w:bCs/>
          <w:color w:val="auto"/>
          <w:highlight w:val="none"/>
        </w:rPr>
      </w:pPr>
    </w:p>
    <w:p>
      <w:pPr>
        <w:pStyle w:val="4"/>
        <w:numPr>
          <w:ilvl w:val="0"/>
          <w:numId w:val="51"/>
        </w:numPr>
        <w:snapToGrid w:val="0"/>
        <w:spacing w:before="0" w:after="0"/>
        <w:ind w:left="0" w:firstLine="0"/>
        <w:rPr>
          <w:rFonts w:ascii="仿宋" w:hAnsi="仿宋" w:eastAsia="仿宋"/>
          <w:color w:val="auto"/>
          <w:highlight w:val="none"/>
        </w:rPr>
        <w:sectPr>
          <w:pgSz w:w="11906" w:h="16838"/>
          <w:pgMar w:top="1134" w:right="1368" w:bottom="924" w:left="1418" w:header="851" w:footer="992" w:gutter="0"/>
          <w:cols w:space="425" w:num="1"/>
          <w:titlePg/>
          <w:docGrid w:type="lines" w:linePitch="312" w:charSpace="0"/>
        </w:sectPr>
      </w:pPr>
    </w:p>
    <w:p>
      <w:pPr>
        <w:pStyle w:val="4"/>
        <w:numPr>
          <w:ilvl w:val="0"/>
          <w:numId w:val="51"/>
        </w:numPr>
        <w:snapToGrid w:val="0"/>
        <w:spacing w:before="0" w:after="0"/>
        <w:ind w:left="0" w:firstLine="0"/>
        <w:rPr>
          <w:rFonts w:ascii="仿宋" w:hAnsi="仿宋" w:eastAsia="仿宋"/>
          <w:color w:val="auto"/>
          <w:highlight w:val="none"/>
        </w:rPr>
      </w:pPr>
      <w:bookmarkStart w:id="758" w:name="_Toc12404"/>
      <w:r>
        <w:rPr>
          <w:rFonts w:hint="eastAsia" w:ascii="仿宋" w:hAnsi="仿宋" w:eastAsia="仿宋"/>
          <w:color w:val="auto"/>
          <w:highlight w:val="none"/>
        </w:rPr>
        <w:t>工程量清单和图纸</w:t>
      </w:r>
      <w:bookmarkEnd w:id="746"/>
      <w:bookmarkEnd w:id="747"/>
      <w:bookmarkEnd w:id="758"/>
    </w:p>
    <w:p>
      <w:pPr>
        <w:rPr>
          <w:color w:val="auto"/>
          <w:highlight w:val="none"/>
        </w:rPr>
      </w:pPr>
    </w:p>
    <w:p>
      <w:pPr>
        <w:ind w:firstLine="480" w:firstLineChars="200"/>
        <w:jc w:val="center"/>
        <w:rPr>
          <w:color w:val="auto"/>
          <w:highlight w:val="none"/>
        </w:rPr>
      </w:pPr>
      <w:r>
        <w:rPr>
          <w:rFonts w:hint="eastAsia" w:cs="宋体"/>
          <w:color w:val="auto"/>
          <w:highlight w:val="none"/>
        </w:rPr>
        <w:t>另册。</w:t>
      </w:r>
    </w:p>
    <w:p>
      <w:pPr>
        <w:rPr>
          <w:color w:val="auto"/>
          <w:highlight w:val="none"/>
        </w:rPr>
      </w:pPr>
    </w:p>
    <w:p>
      <w:pPr>
        <w:rPr>
          <w:color w:val="auto"/>
          <w:highlight w:val="none"/>
        </w:rPr>
      </w:pPr>
    </w:p>
    <w:p>
      <w:pPr>
        <w:adjustRightInd w:val="0"/>
        <w:snapToGrid w:val="0"/>
        <w:spacing w:line="360" w:lineRule="auto"/>
        <w:rPr>
          <w:rFonts w:asciiTheme="minorEastAsia" w:hAnsiTheme="minorEastAsia"/>
          <w:color w:val="auto"/>
          <w:sz w:val="28"/>
          <w:szCs w:val="28"/>
          <w:highlight w:val="none"/>
        </w:rPr>
      </w:pPr>
      <w:r>
        <w:rPr>
          <w:rFonts w:asciiTheme="minorEastAsia" w:hAnsiTheme="minorEastAsia"/>
          <w:color w:val="auto"/>
          <w:sz w:val="28"/>
          <w:szCs w:val="28"/>
          <w:highlight w:val="none"/>
        </w:rPr>
        <w:t xml:space="preserve">     </w:t>
      </w: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eastAsiaTheme="minorEastAsia"/>
          <w:b/>
          <w:color w:val="auto"/>
          <w:sz w:val="21"/>
          <w:szCs w:val="21"/>
          <w:highlight w:val="none"/>
        </w:rPr>
        <w:sectPr>
          <w:pgSz w:w="11906" w:h="16838"/>
          <w:pgMar w:top="1134" w:right="1368" w:bottom="924" w:left="1418" w:header="851" w:footer="992" w:gutter="0"/>
          <w:cols w:space="425" w:num="1"/>
          <w:titlePg/>
          <w:docGrid w:type="lines" w:linePitch="312" w:charSpace="0"/>
        </w:sectPr>
      </w:pPr>
      <w:r>
        <w:rPr>
          <w:rFonts w:asciiTheme="minorEastAsia" w:hAnsiTheme="minorEastAsia"/>
          <w:color w:val="auto"/>
          <w:sz w:val="28"/>
          <w:szCs w:val="28"/>
          <w:highlight w:val="none"/>
        </w:rPr>
        <w:t xml:space="preserve">                  </w:t>
      </w:r>
    </w:p>
    <w:bookmarkEnd w:id="72"/>
    <w:bookmarkEnd w:id="73"/>
    <w:bookmarkEnd w:id="74"/>
    <w:p>
      <w:pPr>
        <w:rPr>
          <w:b/>
          <w:color w:val="auto"/>
          <w:sz w:val="36"/>
          <w:szCs w:val="36"/>
          <w:highlight w:val="none"/>
        </w:rPr>
      </w:pPr>
      <w:r>
        <w:rPr>
          <w:rFonts w:hint="eastAsia"/>
          <w:b/>
          <w:color w:val="auto"/>
          <w:sz w:val="36"/>
          <w:szCs w:val="36"/>
          <w:highlight w:val="none"/>
        </w:rPr>
        <w:t>附件：</w:t>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left="-480" w:leftChars="-200" w:firstLine="0" w:firstLineChars="0"/>
        <w:rPr>
          <w:rFonts w:ascii="宋体" w:hAnsi="宋体"/>
          <w:color w:val="auto"/>
          <w:szCs w:val="21"/>
          <w:highlight w:val="none"/>
        </w:rPr>
      </w:pPr>
      <w:r>
        <w:rPr>
          <w:rFonts w:hint="eastAsia" w:ascii="宋体" w:hAnsi="宋体"/>
          <w:color w:val="auto"/>
          <w:szCs w:val="21"/>
          <w:highlight w:val="none"/>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37"/>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left="-240" w:leftChars="-100" w:firstLine="0" w:firstLineChars="0"/>
        <w:rPr>
          <w:rFonts w:ascii="宋体" w:hAnsi="宋体"/>
          <w:color w:val="auto"/>
          <w:szCs w:val="21"/>
          <w:highlight w:val="none"/>
        </w:rPr>
      </w:pPr>
      <w:r>
        <w:rPr>
          <w:rFonts w:hint="eastAsia" w:ascii="宋体" w:hAnsi="宋体"/>
          <w:color w:val="auto"/>
          <w:szCs w:val="21"/>
          <w:highlight w:val="none"/>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8"/>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39"/>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40"/>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41"/>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42"/>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highlight w:val="none"/>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43"/>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44"/>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tabs>
          <w:tab w:val="left" w:pos="937"/>
        </w:tabs>
        <w:adjustRightInd w:val="0"/>
        <w:snapToGrid w:val="0"/>
        <w:spacing w:line="560" w:lineRule="exac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3"/>
        <w:rPr>
          <w:color w:val="auto"/>
          <w:highlight w:val="none"/>
        </w:rPr>
      </w:pPr>
    </w:p>
    <w:p>
      <w:pPr>
        <w:pStyle w:val="18"/>
        <w:rPr>
          <w:color w:val="auto"/>
          <w:highlight w:val="none"/>
        </w:rPr>
      </w:pPr>
      <w:r>
        <w:rPr>
          <w:rFonts w:hint="eastAsia" w:ascii="宋体" w:hAnsi="宋体"/>
          <w:b/>
          <w:color w:val="auto"/>
          <w:sz w:val="44"/>
          <w:szCs w:val="44"/>
          <w:highlight w:val="none"/>
        </w:rPr>
        <w:t>锦江区政府采购信用融资机构名单</w:t>
      </w:r>
    </w:p>
    <w:tbl>
      <w:tblPr>
        <w:tblStyle w:val="50"/>
        <w:tblW w:w="8280" w:type="dxa"/>
        <w:tblInd w:w="0" w:type="dxa"/>
        <w:tblLayout w:type="fixed"/>
        <w:tblCellMar>
          <w:top w:w="0" w:type="dxa"/>
          <w:left w:w="108" w:type="dxa"/>
          <w:bottom w:w="0" w:type="dxa"/>
          <w:right w:w="108" w:type="dxa"/>
        </w:tblCellMar>
      </w:tblPr>
      <w:tblGrid>
        <w:gridCol w:w="682"/>
        <w:gridCol w:w="2163"/>
        <w:gridCol w:w="2488"/>
        <w:gridCol w:w="2947"/>
      </w:tblGrid>
      <w:tr>
        <w:tblPrEx>
          <w:tblLayout w:type="fixed"/>
          <w:tblCellMar>
            <w:top w:w="0" w:type="dxa"/>
            <w:left w:w="108" w:type="dxa"/>
            <w:bottom w:w="0" w:type="dxa"/>
            <w:right w:w="108" w:type="dxa"/>
          </w:tblCellMar>
        </w:tblPrEx>
        <w:trPr>
          <w:trHeight w:val="31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highlight w:val="none"/>
              </w:rPr>
            </w:pPr>
            <w:r>
              <w:rPr>
                <w:rFonts w:hint="eastAsia" w:ascii="黑体" w:hAnsi="黑体" w:eastAsia="黑体"/>
                <w:color w:val="auto"/>
                <w:highlight w:val="none"/>
              </w:rPr>
              <w:t>序号</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highlight w:val="none"/>
              </w:rPr>
            </w:pPr>
            <w:r>
              <w:rPr>
                <w:rFonts w:hint="eastAsia" w:ascii="黑体" w:hAnsi="黑体" w:eastAsia="黑体"/>
                <w:color w:val="auto"/>
                <w:highlight w:val="none"/>
              </w:rPr>
              <w:t>银行名称</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highlight w:val="none"/>
              </w:rPr>
            </w:pPr>
            <w:r>
              <w:rPr>
                <w:rFonts w:hint="eastAsia" w:ascii="黑体" w:hAnsi="黑体" w:eastAsia="黑体"/>
                <w:color w:val="auto"/>
                <w:highlight w:val="none"/>
              </w:rPr>
              <w:t>银行地址</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highlight w:val="none"/>
              </w:rPr>
            </w:pPr>
            <w:r>
              <w:rPr>
                <w:rFonts w:hint="eastAsia" w:ascii="黑体" w:hAnsi="黑体" w:eastAsia="黑体"/>
                <w:color w:val="auto"/>
                <w:highlight w:val="none"/>
              </w:rPr>
              <w:t>联系人及联系电话</w:t>
            </w:r>
          </w:p>
        </w:tc>
      </w:tr>
      <w:tr>
        <w:tblPrEx>
          <w:tblLayout w:type="fixed"/>
          <w:tblCellMar>
            <w:top w:w="0" w:type="dxa"/>
            <w:left w:w="108" w:type="dxa"/>
            <w:bottom w:w="0" w:type="dxa"/>
            <w:right w:w="108" w:type="dxa"/>
          </w:tblCellMar>
        </w:tblPrEx>
        <w:trPr>
          <w:trHeight w:val="617"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Theme="minorEastAsia"/>
                <w:color w:val="auto"/>
                <w:highlight w:val="none"/>
              </w:rPr>
            </w:pPr>
          </w:p>
          <w:p>
            <w:pPr>
              <w:pStyle w:val="259"/>
              <w:kinsoku w:val="0"/>
              <w:overflowPunct w:val="0"/>
              <w:ind w:firstLine="240" w:firstLineChars="100"/>
              <w:rPr>
                <w:rFonts w:eastAsiaTheme="minorEastAsia"/>
                <w:color w:val="auto"/>
                <w:highlight w:val="none"/>
              </w:rPr>
            </w:pPr>
            <w:r>
              <w:rPr>
                <w:rFonts w:hint="eastAsia" w:eastAsiaTheme="minorEastAsia"/>
                <w:color w:val="auto"/>
                <w:highlight w:val="none"/>
              </w:rPr>
              <w:t>1</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中国工商银行成都芷泉支行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成都市锦江区一环路东五段</w:t>
            </w:r>
            <w:r>
              <w:rPr>
                <w:color w:val="auto"/>
                <w:highlight w:val="none"/>
              </w:rPr>
              <w:t xml:space="preserve">103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highlight w:val="none"/>
              </w:rPr>
              <w:t xml:space="preserve">杨可 </w:t>
            </w:r>
            <w:r>
              <w:rPr>
                <w:color w:val="auto"/>
                <w:highlight w:val="none"/>
              </w:rPr>
              <w:t>18583269666</w:t>
            </w:r>
          </w:p>
          <w:p>
            <w:pPr>
              <w:pStyle w:val="259"/>
              <w:kinsoku w:val="0"/>
              <w:overflowPunct w:val="0"/>
              <w:spacing w:after="0" w:line="291" w:lineRule="exact"/>
              <w:jc w:val="left"/>
              <w:rPr>
                <w:color w:val="auto"/>
                <w:highlight w:val="none"/>
              </w:rPr>
            </w:pPr>
            <w:r>
              <w:rPr>
                <w:rFonts w:hint="eastAsia" w:ascii="宋体" w:hAnsi="宋体" w:eastAsia="宋体"/>
                <w:color w:val="auto"/>
                <w:highlight w:val="none"/>
              </w:rPr>
              <w:t xml:space="preserve">何小亮 </w:t>
            </w:r>
            <w:r>
              <w:rPr>
                <w:color w:val="auto"/>
                <w:highlight w:val="none"/>
              </w:rPr>
              <w:t>13880995541</w:t>
            </w:r>
          </w:p>
        </w:tc>
      </w:tr>
      <w:tr>
        <w:tblPrEx>
          <w:tblLayout w:type="fixed"/>
          <w:tblCellMar>
            <w:top w:w="0" w:type="dxa"/>
            <w:left w:w="108" w:type="dxa"/>
            <w:bottom w:w="0" w:type="dxa"/>
            <w:right w:w="108" w:type="dxa"/>
          </w:tblCellMar>
        </w:tblPrEx>
        <w:trPr>
          <w:trHeight w:val="92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highlight w:val="none"/>
              </w:rPr>
            </w:pPr>
          </w:p>
          <w:p>
            <w:pPr>
              <w:pStyle w:val="259"/>
              <w:kinsoku w:val="0"/>
              <w:overflowPunct w:val="0"/>
              <w:jc w:val="center"/>
              <w:rPr>
                <w:color w:val="auto"/>
                <w:highlight w:val="none"/>
              </w:rPr>
            </w:pPr>
            <w:r>
              <w:rPr>
                <w:color w:val="auto"/>
                <w:highlight w:val="none"/>
              </w:rPr>
              <w:t>2</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成都农村商业银行锦江支行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成都市锦江区经天路 </w:t>
            </w:r>
            <w:r>
              <w:rPr>
                <w:color w:val="auto"/>
                <w:highlight w:val="none"/>
              </w:rPr>
              <w:t xml:space="preserve">2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highlight w:val="none"/>
              </w:rPr>
              <w:t xml:space="preserve">向茜 </w:t>
            </w:r>
            <w:r>
              <w:rPr>
                <w:color w:val="auto"/>
                <w:highlight w:val="none"/>
              </w:rPr>
              <w:t>13882194997</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吴姜鼗 </w:t>
            </w:r>
            <w:r>
              <w:rPr>
                <w:color w:val="auto"/>
                <w:highlight w:val="none"/>
              </w:rPr>
              <w:t>18981735117</w:t>
            </w:r>
          </w:p>
        </w:tc>
      </w:tr>
      <w:tr>
        <w:tblPrEx>
          <w:tblLayout w:type="fixed"/>
          <w:tblCellMar>
            <w:top w:w="0" w:type="dxa"/>
            <w:left w:w="108" w:type="dxa"/>
            <w:bottom w:w="0" w:type="dxa"/>
            <w:right w:w="108" w:type="dxa"/>
          </w:tblCellMar>
        </w:tblPrEx>
        <w:trPr>
          <w:trHeight w:val="1953"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highlight w:val="none"/>
              </w:rPr>
            </w:pPr>
          </w:p>
          <w:p>
            <w:pPr>
              <w:pStyle w:val="259"/>
              <w:kinsoku w:val="0"/>
              <w:overflowPunct w:val="0"/>
              <w:jc w:val="center"/>
              <w:rPr>
                <w:color w:val="auto"/>
                <w:highlight w:val="none"/>
              </w:rPr>
            </w:pPr>
            <w:r>
              <w:rPr>
                <w:color w:val="auto"/>
                <w:highlight w:val="none"/>
              </w:rPr>
              <w:t>3</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中国银行成都锦江支行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2"/>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成都市锦江区汇泉南路 </w:t>
            </w:r>
            <w:r>
              <w:rPr>
                <w:color w:val="auto"/>
                <w:highlight w:val="none"/>
              </w:rPr>
              <w:t xml:space="preserve">1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李经理</w:t>
            </w:r>
          </w:p>
          <w:p>
            <w:pPr>
              <w:pStyle w:val="259"/>
              <w:kinsoku w:val="0"/>
              <w:overflowPunct w:val="0"/>
              <w:spacing w:after="0" w:line="256" w:lineRule="auto"/>
              <w:ind w:hanging="458"/>
              <w:jc w:val="left"/>
              <w:rPr>
                <w:color w:val="auto"/>
                <w:highlight w:val="none"/>
              </w:rPr>
            </w:pPr>
            <w:r>
              <w:rPr>
                <w:color w:val="auto"/>
                <w:spacing w:val="-2"/>
                <w:highlight w:val="none"/>
              </w:rPr>
              <w:t xml:space="preserve">028-69262125/ </w:t>
            </w:r>
            <w:r>
              <w:rPr>
                <w:color w:val="auto"/>
                <w:highlight w:val="none"/>
              </w:rPr>
              <w:t>13880694826</w:t>
            </w:r>
          </w:p>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 xml:space="preserve">程经理 </w:t>
            </w:r>
          </w:p>
          <w:p>
            <w:pPr>
              <w:pStyle w:val="259"/>
              <w:kinsoku w:val="0"/>
              <w:overflowPunct w:val="0"/>
              <w:spacing w:after="0" w:line="256" w:lineRule="auto"/>
              <w:jc w:val="left"/>
              <w:rPr>
                <w:color w:val="auto"/>
                <w:highlight w:val="none"/>
              </w:rPr>
            </w:pPr>
            <w:r>
              <w:rPr>
                <w:color w:val="auto"/>
                <w:spacing w:val="-2"/>
                <w:highlight w:val="none"/>
              </w:rPr>
              <w:t xml:space="preserve">028-69262124/ </w:t>
            </w:r>
            <w:r>
              <w:rPr>
                <w:color w:val="auto"/>
                <w:highlight w:val="none"/>
              </w:rPr>
              <w:t>15982295640</w:t>
            </w:r>
          </w:p>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 xml:space="preserve">张经理 </w:t>
            </w:r>
          </w:p>
          <w:p>
            <w:pPr>
              <w:pStyle w:val="259"/>
              <w:kinsoku w:val="0"/>
              <w:overflowPunct w:val="0"/>
              <w:spacing w:after="0" w:line="256" w:lineRule="auto"/>
              <w:jc w:val="left"/>
              <w:rPr>
                <w:color w:val="auto"/>
                <w:highlight w:val="none"/>
              </w:rPr>
            </w:pPr>
            <w:r>
              <w:rPr>
                <w:color w:val="auto"/>
                <w:spacing w:val="-2"/>
                <w:highlight w:val="none"/>
              </w:rPr>
              <w:t xml:space="preserve">028-69262122/ </w:t>
            </w:r>
            <w:r>
              <w:rPr>
                <w:color w:val="auto"/>
                <w:highlight w:val="none"/>
              </w:rPr>
              <w:t>186160.5547868</w:t>
            </w:r>
          </w:p>
        </w:tc>
      </w:tr>
      <w:tr>
        <w:tblPrEx>
          <w:tblLayout w:type="fixed"/>
          <w:tblCellMar>
            <w:top w:w="0" w:type="dxa"/>
            <w:left w:w="108" w:type="dxa"/>
            <w:bottom w:w="0" w:type="dxa"/>
            <w:right w:w="108" w:type="dxa"/>
          </w:tblCellMar>
        </w:tblPrEx>
        <w:trPr>
          <w:trHeight w:val="190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highlight w:val="none"/>
              </w:rPr>
            </w:pPr>
          </w:p>
          <w:p>
            <w:pPr>
              <w:pStyle w:val="259"/>
              <w:kinsoku w:val="0"/>
              <w:overflowPunct w:val="0"/>
              <w:jc w:val="center"/>
              <w:rPr>
                <w:color w:val="auto"/>
                <w:highlight w:val="none"/>
              </w:rPr>
            </w:pPr>
            <w:r>
              <w:rPr>
                <w:color w:val="auto"/>
                <w:highlight w:val="none"/>
              </w:rPr>
              <w:t>4</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3"/>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中国建设银行成都第九支行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成都市武侯区人民南路三段 </w:t>
            </w:r>
            <w:r>
              <w:rPr>
                <w:color w:val="auto"/>
                <w:highlight w:val="none"/>
              </w:rPr>
              <w:t>17</w:t>
            </w:r>
            <w:r>
              <w:rPr>
                <w:rFonts w:hint="eastAsia" w:ascii="宋体" w:hAnsi="宋体" w:eastAsia="宋体"/>
                <w:color w:val="auto"/>
                <w:highlight w:val="none"/>
              </w:rPr>
              <w:t xml:space="preserve">号附 </w:t>
            </w:r>
            <w:r>
              <w:rPr>
                <w:color w:val="auto"/>
                <w:highlight w:val="none"/>
              </w:rPr>
              <w:t xml:space="preserve">1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rFonts w:ascii="宋体" w:hAnsi="宋体" w:eastAsia="宋体"/>
                <w:color w:val="auto"/>
                <w:highlight w:val="none"/>
              </w:rPr>
            </w:pPr>
            <w:r>
              <w:rPr>
                <w:rFonts w:hint="eastAsia" w:ascii="宋体" w:hAnsi="宋体" w:eastAsia="宋体"/>
                <w:color w:val="auto"/>
                <w:highlight w:val="none"/>
              </w:rPr>
              <w:t>陈劲松</w:t>
            </w:r>
          </w:p>
          <w:p>
            <w:pPr>
              <w:pStyle w:val="259"/>
              <w:kinsoku w:val="0"/>
              <w:overflowPunct w:val="0"/>
              <w:spacing w:after="0"/>
              <w:jc w:val="left"/>
              <w:rPr>
                <w:color w:val="auto"/>
                <w:highlight w:val="none"/>
              </w:rPr>
            </w:pPr>
            <w:r>
              <w:rPr>
                <w:color w:val="auto"/>
                <w:highlight w:val="none"/>
              </w:rPr>
              <w:t>028-85442391/</w:t>
            </w:r>
          </w:p>
          <w:p>
            <w:pPr>
              <w:pStyle w:val="259"/>
              <w:kinsoku w:val="0"/>
              <w:overflowPunct w:val="0"/>
              <w:spacing w:after="0"/>
              <w:jc w:val="left"/>
              <w:rPr>
                <w:color w:val="auto"/>
                <w:highlight w:val="none"/>
              </w:rPr>
            </w:pPr>
            <w:r>
              <w:rPr>
                <w:color w:val="auto"/>
                <w:highlight w:val="none"/>
              </w:rPr>
              <w:t>13808042188</w:t>
            </w:r>
          </w:p>
          <w:p>
            <w:pPr>
              <w:pStyle w:val="259"/>
              <w:kinsoku w:val="0"/>
              <w:overflowPunct w:val="0"/>
              <w:spacing w:after="0"/>
              <w:jc w:val="left"/>
              <w:rPr>
                <w:rFonts w:ascii="宋体" w:hAnsi="宋体" w:eastAsia="宋体"/>
                <w:color w:val="auto"/>
                <w:highlight w:val="none"/>
              </w:rPr>
            </w:pPr>
            <w:r>
              <w:rPr>
                <w:rFonts w:hint="eastAsia" w:ascii="宋体" w:hAnsi="宋体" w:eastAsia="宋体"/>
                <w:color w:val="auto"/>
                <w:highlight w:val="none"/>
              </w:rPr>
              <w:t>张易伟</w:t>
            </w:r>
          </w:p>
          <w:p>
            <w:pPr>
              <w:pStyle w:val="259"/>
              <w:kinsoku w:val="0"/>
              <w:overflowPunct w:val="0"/>
              <w:spacing w:after="0"/>
              <w:jc w:val="left"/>
              <w:rPr>
                <w:color w:val="auto"/>
                <w:highlight w:val="none"/>
              </w:rPr>
            </w:pPr>
            <w:r>
              <w:rPr>
                <w:color w:val="auto"/>
                <w:highlight w:val="none"/>
              </w:rPr>
              <w:t>028-85289896/</w:t>
            </w:r>
          </w:p>
          <w:p>
            <w:pPr>
              <w:pStyle w:val="259"/>
              <w:kinsoku w:val="0"/>
              <w:overflowPunct w:val="0"/>
              <w:spacing w:after="0"/>
              <w:jc w:val="left"/>
              <w:rPr>
                <w:color w:val="auto"/>
                <w:highlight w:val="none"/>
              </w:rPr>
            </w:pPr>
            <w:r>
              <w:rPr>
                <w:color w:val="auto"/>
                <w:highlight w:val="none"/>
              </w:rPr>
              <w:t>18628249617</w:t>
            </w:r>
          </w:p>
        </w:tc>
      </w:tr>
      <w:tr>
        <w:tblPrEx>
          <w:tblLayout w:type="fixed"/>
          <w:tblCellMar>
            <w:top w:w="0" w:type="dxa"/>
            <w:left w:w="108" w:type="dxa"/>
            <w:bottom w:w="0" w:type="dxa"/>
            <w:right w:w="108" w:type="dxa"/>
          </w:tblCellMar>
        </w:tblPrEx>
        <w:trPr>
          <w:trHeight w:val="1029"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highlight w:val="none"/>
              </w:rPr>
            </w:pPr>
          </w:p>
          <w:p>
            <w:pPr>
              <w:pStyle w:val="259"/>
              <w:kinsoku w:val="0"/>
              <w:overflowPunct w:val="0"/>
              <w:jc w:val="center"/>
              <w:rPr>
                <w:color w:val="auto"/>
                <w:highlight w:val="none"/>
              </w:rPr>
            </w:pPr>
            <w:r>
              <w:rPr>
                <w:color w:val="auto"/>
                <w:highlight w:val="none"/>
              </w:rPr>
              <w:t>5</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成都市锦江区书院西街 </w:t>
            </w:r>
            <w:r>
              <w:rPr>
                <w:color w:val="auto"/>
                <w:highlight w:val="none"/>
              </w:rPr>
              <w:t xml:space="preserve">1-33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徐强 </w:t>
            </w:r>
            <w:r>
              <w:rPr>
                <w:color w:val="auto"/>
                <w:highlight w:val="none"/>
              </w:rPr>
              <w:t>136160.5551573</w:t>
            </w:r>
          </w:p>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郑蓓 </w:t>
            </w:r>
            <w:r>
              <w:rPr>
                <w:color w:val="auto"/>
                <w:highlight w:val="none"/>
              </w:rPr>
              <w:t>13982294491</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余继龙 </w:t>
            </w:r>
            <w:r>
              <w:rPr>
                <w:color w:val="auto"/>
                <w:highlight w:val="none"/>
              </w:rPr>
              <w:t>18180671127</w:t>
            </w:r>
          </w:p>
        </w:tc>
      </w:tr>
      <w:tr>
        <w:tblPrEx>
          <w:tblLayout w:type="fixed"/>
          <w:tblCellMar>
            <w:top w:w="0" w:type="dxa"/>
            <w:left w:w="108" w:type="dxa"/>
            <w:bottom w:w="0" w:type="dxa"/>
            <w:right w:w="108" w:type="dxa"/>
          </w:tblCellMar>
        </w:tblPrEx>
        <w:trPr>
          <w:trHeight w:val="992"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highlight w:val="none"/>
              </w:rPr>
            </w:pPr>
          </w:p>
          <w:p>
            <w:pPr>
              <w:pStyle w:val="259"/>
              <w:kinsoku w:val="0"/>
              <w:overflowPunct w:val="0"/>
              <w:jc w:val="center"/>
              <w:rPr>
                <w:color w:val="auto"/>
                <w:highlight w:val="none"/>
              </w:rPr>
            </w:pPr>
            <w:r>
              <w:rPr>
                <w:color w:val="auto"/>
                <w:highlight w:val="none"/>
              </w:rPr>
              <w:t>6</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中国工商银行成都春熙支行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成都市提督街 </w:t>
            </w:r>
            <w:r>
              <w:rPr>
                <w:color w:val="auto"/>
                <w:highlight w:val="none"/>
              </w:rPr>
              <w:t xml:space="preserve">50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曾曦 </w:t>
            </w:r>
            <w:r>
              <w:rPr>
                <w:color w:val="auto"/>
                <w:highlight w:val="none"/>
              </w:rPr>
              <w:t>13982183613</w:t>
            </w:r>
          </w:p>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何煦 </w:t>
            </w:r>
            <w:r>
              <w:rPr>
                <w:color w:val="auto"/>
                <w:highlight w:val="none"/>
              </w:rPr>
              <w:t>13666223231</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青呈伟 </w:t>
            </w:r>
            <w:r>
              <w:rPr>
                <w:color w:val="auto"/>
                <w:highlight w:val="none"/>
              </w:rPr>
              <w:t>13880968977</w:t>
            </w:r>
          </w:p>
        </w:tc>
      </w:tr>
      <w:tr>
        <w:tblPrEx>
          <w:tblLayout w:type="fixed"/>
          <w:tblCellMar>
            <w:top w:w="0" w:type="dxa"/>
            <w:left w:w="108" w:type="dxa"/>
            <w:bottom w:w="0" w:type="dxa"/>
            <w:right w:w="108" w:type="dxa"/>
          </w:tblCellMar>
        </w:tblPrEx>
        <w:trPr>
          <w:trHeight w:val="72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highlight w:val="none"/>
              </w:rPr>
            </w:pPr>
          </w:p>
          <w:p>
            <w:pPr>
              <w:pStyle w:val="259"/>
              <w:kinsoku w:val="0"/>
              <w:overflowPunct w:val="0"/>
              <w:jc w:val="center"/>
              <w:rPr>
                <w:color w:val="auto"/>
                <w:highlight w:val="none"/>
              </w:rPr>
            </w:pPr>
            <w:r>
              <w:rPr>
                <w:color w:val="auto"/>
                <w:highlight w:val="none"/>
              </w:rPr>
              <w:t>7</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上海银行成都东大街支行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highlight w:val="none"/>
              </w:rPr>
            </w:pPr>
            <w:r>
              <w:rPr>
                <w:rFonts w:hint="eastAsia" w:ascii="宋体" w:hAnsi="宋体" w:eastAsia="宋体"/>
                <w:color w:val="auto"/>
                <w:highlight w:val="none"/>
              </w:rPr>
              <w:t xml:space="preserve">成都市锦江区东大路 </w:t>
            </w:r>
            <w:r>
              <w:rPr>
                <w:color w:val="auto"/>
                <w:highlight w:val="none"/>
              </w:rPr>
              <w:t xml:space="preserve">100 </w:t>
            </w:r>
            <w:r>
              <w:rPr>
                <w:rFonts w:hint="eastAsia" w:ascii="宋体" w:hAnsi="宋体" w:eastAsia="宋体"/>
                <w:color w:val="auto"/>
                <w:highlight w:val="none"/>
              </w:rPr>
              <w:t xml:space="preserve">号商会大厦 </w:t>
            </w:r>
            <w:r>
              <w:rPr>
                <w:color w:val="auto"/>
                <w:highlight w:val="none"/>
              </w:rPr>
              <w:t xml:space="preserve">A </w:t>
            </w:r>
            <w:r>
              <w:rPr>
                <w:rFonts w:hint="eastAsia" w:ascii="宋体" w:hAnsi="宋体" w:eastAsia="宋体"/>
                <w:color w:val="auto"/>
                <w:highlight w:val="none"/>
              </w:rPr>
              <w:t xml:space="preserve">座 </w:t>
            </w:r>
            <w:r>
              <w:rPr>
                <w:color w:val="auto"/>
                <w:highlight w:val="none"/>
              </w:rPr>
              <w:t xml:space="preserve">2 </w:t>
            </w:r>
            <w:r>
              <w:rPr>
                <w:rFonts w:hint="eastAsia" w:ascii="宋体" w:hAnsi="宋体" w:eastAsia="宋体"/>
                <w:color w:val="auto"/>
                <w:highlight w:val="none"/>
              </w:rPr>
              <w:t>楼</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color w:val="auto"/>
                <w:highlight w:val="none"/>
              </w:rPr>
            </w:pPr>
            <w:r>
              <w:rPr>
                <w:rFonts w:hint="eastAsia" w:ascii="宋体" w:hAnsi="宋体" w:eastAsia="宋体"/>
                <w:color w:val="auto"/>
                <w:highlight w:val="none"/>
              </w:rPr>
              <w:t xml:space="preserve">金鑫 </w:t>
            </w:r>
            <w:r>
              <w:rPr>
                <w:color w:val="auto"/>
                <w:highlight w:val="none"/>
              </w:rPr>
              <w:t>028-61303012/ 17721885710</w:t>
            </w:r>
          </w:p>
        </w:tc>
      </w:tr>
      <w:tr>
        <w:tblPrEx>
          <w:tblLayout w:type="fixed"/>
          <w:tblCellMar>
            <w:top w:w="0" w:type="dxa"/>
            <w:left w:w="108" w:type="dxa"/>
            <w:bottom w:w="0" w:type="dxa"/>
            <w:right w:w="108" w:type="dxa"/>
          </w:tblCellMar>
        </w:tblPrEx>
        <w:trPr>
          <w:trHeight w:val="73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宋体"/>
                <w:color w:val="auto"/>
                <w:highlight w:val="none"/>
              </w:rPr>
            </w:pPr>
            <w:r>
              <w:rPr>
                <w:rFonts w:hint="eastAsia" w:eastAsia="宋体"/>
                <w:color w:val="auto"/>
                <w:highlight w:val="none"/>
              </w:rPr>
              <w:t>8</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四川天府银行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highlight w:val="none"/>
              </w:rPr>
            </w:pPr>
            <w:r>
              <w:rPr>
                <w:rFonts w:hint="eastAsia" w:ascii="宋体" w:hAnsi="宋体" w:eastAsia="宋体"/>
                <w:color w:val="auto"/>
                <w:highlight w:val="none"/>
              </w:rPr>
              <w:t>四川天府银行</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highlight w:val="none"/>
              </w:rPr>
            </w:pPr>
            <w:r>
              <w:rPr>
                <w:rFonts w:hint="eastAsia" w:ascii="宋体" w:hAnsi="宋体" w:eastAsia="宋体"/>
                <w:color w:val="auto"/>
                <w:highlight w:val="none"/>
              </w:rPr>
              <w:t>刘艺婷15108295326</w:t>
            </w:r>
          </w:p>
          <w:p>
            <w:pPr>
              <w:pStyle w:val="259"/>
              <w:kinsoku w:val="0"/>
              <w:overflowPunct w:val="0"/>
              <w:spacing w:after="0" w:line="256" w:lineRule="auto"/>
              <w:jc w:val="left"/>
              <w:rPr>
                <w:rFonts w:ascii="宋体" w:hAnsi="宋体" w:eastAsia="宋体"/>
                <w:color w:val="auto"/>
                <w:highlight w:val="none"/>
              </w:rPr>
            </w:pPr>
            <w:r>
              <w:rPr>
                <w:rFonts w:hint="eastAsia" w:ascii="宋体" w:hAnsi="宋体" w:eastAsia="宋体"/>
                <w:color w:val="auto"/>
                <w:highlight w:val="none"/>
              </w:rPr>
              <w:t>郑瑶瑶13438008900</w:t>
            </w:r>
          </w:p>
        </w:tc>
      </w:tr>
    </w:tbl>
    <w:p>
      <w:pPr>
        <w:rPr>
          <w:rFonts w:ascii="仿宋" w:hAnsi="仿宋" w:eastAsia="仿宋"/>
          <w:color w:val="auto"/>
          <w:sz w:val="30"/>
          <w:szCs w:val="32"/>
          <w:highlight w:val="none"/>
        </w:rPr>
      </w:pPr>
    </w:p>
    <w:sectPr>
      <w:footerReference r:id="rId12" w:type="default"/>
      <w:pgSz w:w="11906" w:h="16838"/>
      <w:pgMar w:top="678" w:right="1274" w:bottom="1440" w:left="1418"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decorative"/>
    <w:pitch w:val="default"/>
    <w:sig w:usb0="00000000" w:usb1="00000000" w:usb2="00000000" w:usb3="00000000" w:csb0="0000009F" w:csb1="00000000"/>
  </w:font>
  <w:font w:name="Cambria">
    <w:panose1 w:val="02040503050406030204"/>
    <w:charset w:val="00"/>
    <w:family w:val="modern"/>
    <w:pitch w:val="default"/>
    <w:sig w:usb0="E00002FF" w:usb1="400004FF" w:usb2="00000000" w:usb3="00000000" w:csb0="2000019F" w:csb1="00000000"/>
  </w:font>
  <w:font w:name="Tms Rmn">
    <w:altName w:val="Segoe Print"/>
    <w:panose1 w:val="02020603040505020304"/>
    <w:charset w:val="00"/>
    <w:family w:val="modern"/>
    <w:pitch w:val="default"/>
    <w:sig w:usb0="00000000" w:usb1="00000000" w:usb2="00000000" w:usb3="00000000" w:csb0="00000001" w:csb1="00000000"/>
  </w:font>
  <w:font w:name="楷体à.ā">
    <w:altName w:val="黑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modern"/>
    <w:pitch w:val="default"/>
    <w:sig w:usb0="00000000" w:usb1="00000000" w:usb2="00000000" w:usb3="00000000" w:csb0="00000000" w:csb1="00000000"/>
  </w:font>
  <w:font w:name="Tahoma">
    <w:panose1 w:val="020B0604030504040204"/>
    <w:charset w:val="00"/>
    <w:family w:val="decorative"/>
    <w:pitch w:val="default"/>
    <w:sig w:usb0="E1002EFF" w:usb1="C000605B" w:usb2="00000029" w:usb3="00000000" w:csb0="200101FF" w:csb1="20280000"/>
  </w:font>
  <w:font w:name="楷体_GB2312">
    <w:altName w:val="楷体"/>
    <w:panose1 w:val="00000000000000000000"/>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Verdana">
    <w:panose1 w:val="020B0604030504040204"/>
    <w:charset w:val="00"/>
    <w:family w:val="decorative"/>
    <w:pitch w:val="default"/>
    <w:sig w:usb0="A10006FF" w:usb1="4000205B" w:usb2="00000010" w:usb3="00000000" w:csb0="2000019F" w:csb1="00000000"/>
  </w:font>
  <w:font w:name="仿宋_GB2312">
    <w:panose1 w:val="02010609030101010101"/>
    <w:charset w:val="86"/>
    <w:family w:val="swiss"/>
    <w:pitch w:val="default"/>
    <w:sig w:usb0="00000001" w:usb1="080E0000" w:usb2="00000000" w:usb3="00000000" w:csb0="00040000" w:csb1="00000000"/>
  </w:font>
  <w:font w:name="Times New (W1)">
    <w:altName w:val="Segoe Print"/>
    <w:panose1 w:val="00000000000000000000"/>
    <w:charset w:val="00"/>
    <w:family w:val="modern"/>
    <w:pitch w:val="default"/>
    <w:sig w:usb0="00000000" w:usb1="00000000" w:usb2="00000000" w:usb3="00000000" w:csb0="00000001" w:csb1="00000000"/>
  </w:font>
  <w:font w:name="方正仿宋">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decorative"/>
    <w:pitch w:val="default"/>
    <w:sig w:usb0="00000000" w:usb1="00000000" w:usb2="00000000" w:usb3="00000000" w:csb0="00000001" w:csb1="00000000"/>
  </w:font>
  <w:font w:name="Cambria Math">
    <w:panose1 w:val="02040503050406030204"/>
    <w:charset w:val="01"/>
    <w:family w:val="roman"/>
    <w:pitch w:val="default"/>
    <w:sig w:usb0="E00002FF" w:usb1="420024FF" w:usb2="00000000" w:usb3="00000000" w:csb0="2000019F" w:csb1="00000000"/>
  </w:font>
  <w:font w:name="微软雅黑">
    <w:panose1 w:val="020B0503020204020204"/>
    <w:charset w:val="86"/>
    <w:family w:val="decorative"/>
    <w:pitch w:val="default"/>
    <w:sig w:usb0="80000287" w:usb1="280F3C52" w:usb2="00000016" w:usb3="00000000" w:csb0="0004001F" w:csb1="00000000"/>
  </w:font>
  <w:font w:name="MingLiU">
    <w:panose1 w:val="02020509000000000000"/>
    <w:charset w:val="88"/>
    <w:family w:val="swiss"/>
    <w:pitch w:val="default"/>
    <w:sig w:usb0="A00002FF" w:usb1="28CFFCFA" w:usb2="00000016" w:usb3="00000000" w:csb0="00100001" w:csb1="00000000"/>
  </w:font>
  <w:font w:name="新宋体">
    <w:panose1 w:val="02010609030101010101"/>
    <w:charset w:val="86"/>
    <w:family w:val="decorative"/>
    <w:pitch w:val="default"/>
    <w:sig w:usb0="00000003" w:usb1="288F0000" w:usb2="00000006" w:usb3="00000000" w:csb0="00040001" w:csb1="00000000"/>
  </w:font>
  <w:font w:name="方正小标宋简体">
    <w:panose1 w:val="02010601030101010101"/>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separate"/>
    </w:r>
    <w:r>
      <w:rPr>
        <w:rStyle w:val="46"/>
      </w:rPr>
      <w:t>10</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9</w:t>
    </w:r>
    <w:r>
      <w:rPr>
        <w:lang w:val="zh-CN"/>
      </w:rPr>
      <w:fldChar w:fldCharType="end"/>
    </w:r>
  </w:p>
  <w:p>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46"/>
      </w:rPr>
    </w:pPr>
    <w:r>
      <w:fldChar w:fldCharType="begin"/>
    </w:r>
    <w:r>
      <w:rPr>
        <w:rStyle w:val="46"/>
      </w:rPr>
      <w:instrText xml:space="preserve">PAGE  </w:instrText>
    </w:r>
    <w:r>
      <w:fldChar w:fldCharType="end"/>
    </w:r>
  </w:p>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23</w:t>
    </w:r>
    <w:r>
      <w:rPr>
        <w:lang w:val="zh-CN"/>
      </w:rPr>
      <w:fldChar w:fldCharType="end"/>
    </w:r>
  </w:p>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rPr>
        <w:lang w:val="zh-CN"/>
      </w:rPr>
      <w:t>65</w:t>
    </w:r>
    <w:r>
      <w:rPr>
        <w:lang w:val="zh-CN"/>
      </w:rPr>
      <w:fldChar w:fldCharType="end"/>
    </w:r>
  </w:p>
  <w:p>
    <w:pPr>
      <w:pStyle w:val="32"/>
      <w:tabs>
        <w:tab w:val="center" w:pos="4533"/>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20"/>
      <w:jc w:val="center"/>
    </w:pPr>
    <w:r>
      <w:fldChar w:fldCharType="begin"/>
    </w:r>
    <w:r>
      <w:instrText xml:space="preserve">PAGE   \* MERGEFORMAT</w:instrText>
    </w:r>
    <w:r>
      <w:fldChar w:fldCharType="separate"/>
    </w:r>
    <w:r>
      <w:rPr>
        <w:lang w:val="zh-CN"/>
      </w:rPr>
      <w:t>121</w:t>
    </w:r>
    <w:r>
      <w:rPr>
        <w:lang w:val="zh-CN"/>
      </w:rPr>
      <w:fldChar w:fldCharType="end"/>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531E30"/>
    <w:multiLevelType w:val="singleLevel"/>
    <w:tmpl w:val="FE531E30"/>
    <w:lvl w:ilvl="0" w:tentative="0">
      <w:start w:val="4"/>
      <w:numFmt w:val="chineseCounting"/>
      <w:suff w:val="nothing"/>
      <w:lvlText w:val="第%1节　"/>
      <w:lvlJc w:val="left"/>
      <w:rPr>
        <w:rFonts w:hint="eastAsia"/>
      </w:r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11"/>
    <w:multiLevelType w:val="singleLevel"/>
    <w:tmpl w:val="00000011"/>
    <w:lvl w:ilvl="0" w:tentative="0">
      <w:start w:val="1"/>
      <w:numFmt w:val="decimal"/>
      <w:suff w:val="nothing"/>
      <w:lvlText w:val="（%1）"/>
      <w:lvlJc w:val="left"/>
      <w:rPr>
        <w:rFonts w:cs="Times New Roman"/>
      </w:rPr>
    </w:lvl>
  </w:abstractNum>
  <w:abstractNum w:abstractNumId="4">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27297F69"/>
    <w:multiLevelType w:val="multilevel"/>
    <w:tmpl w:val="27297F69"/>
    <w:lvl w:ilvl="0" w:tentative="0">
      <w:start w:val="1"/>
      <w:numFmt w:val="chineseCountingThousand"/>
      <w:suff w:val="nothing"/>
      <w:lvlText w:val="%1、"/>
      <w:lvlJc w:val="left"/>
      <w:pPr>
        <w:ind w:left="1271" w:hanging="420"/>
      </w:pPr>
      <w:rPr>
        <w:rFonts w:hint="eastAsia"/>
        <w:b/>
        <w:sz w:val="28"/>
        <w:szCs w:val="28"/>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7">
    <w:nsid w:val="27EE0DC8"/>
    <w:multiLevelType w:val="multilevel"/>
    <w:tmpl w:val="27EE0DC8"/>
    <w:lvl w:ilvl="0" w:tentative="0">
      <w:start w:val="1"/>
      <w:numFmt w:val="decimalFullWidth"/>
      <w:lvlText w:val="（%1）"/>
      <w:lvlJc w:val="left"/>
      <w:pPr>
        <w:ind w:left="987" w:hanging="420"/>
      </w:pPr>
      <w:rPr>
        <w:rFonts w:hint="default" w:cs="Times New Roman" w:asciiTheme="minorEastAsia" w:hAnsiTheme="minorEastAsia" w:eastAsiaTheme="minorEastAsia"/>
      </w:rPr>
    </w:lvl>
    <w:lvl w:ilvl="1" w:tentative="0">
      <w:start w:val="1"/>
      <w:numFmt w:val="decimalFullWidth"/>
      <w:lvlText w:val="（%2）"/>
      <w:lvlJc w:val="left"/>
      <w:pPr>
        <w:ind w:left="1407" w:hanging="420"/>
      </w:pPr>
      <w:rPr>
        <w:rFonts w:hint="default" w:cs="Times New Roman" w:asciiTheme="minorEastAsia" w:hAnsiTheme="minorEastAsia" w:eastAsiaTheme="minorEastAsia"/>
        <w:color w:val="auto"/>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28894A2A"/>
    <w:multiLevelType w:val="multilevel"/>
    <w:tmpl w:val="28894A2A"/>
    <w:lvl w:ilvl="0" w:tentative="0">
      <w:start w:val="1"/>
      <w:numFmt w:val="japaneseCounting"/>
      <w:lvlText w:val="（%1）"/>
      <w:lvlJc w:val="left"/>
      <w:pPr>
        <w:ind w:left="1418" w:hanging="855"/>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CF26CF0"/>
    <w:multiLevelType w:val="multilevel"/>
    <w:tmpl w:val="2CF26CF0"/>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360" w:hanging="138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8460B7"/>
    <w:multiLevelType w:val="multilevel"/>
    <w:tmpl w:val="318460B7"/>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3">
    <w:nsid w:val="32E06660"/>
    <w:multiLevelType w:val="multilevel"/>
    <w:tmpl w:val="32E06660"/>
    <w:lvl w:ilvl="0" w:tentative="0">
      <w:start w:val="1"/>
      <w:numFmt w:val="chineseCountingThousand"/>
      <w:lvlText w:val="%1、"/>
      <w:lvlJc w:val="left"/>
      <w:pPr>
        <w:ind w:left="1555"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4">
    <w:nsid w:val="343F0848"/>
    <w:multiLevelType w:val="multilevel"/>
    <w:tmpl w:val="343F0848"/>
    <w:lvl w:ilvl="0" w:tentative="0">
      <w:start w:val="1"/>
      <w:numFmt w:val="decimalFullWidth"/>
      <w:lvlText w:val="（%1）"/>
      <w:lvlJc w:val="left"/>
      <w:pPr>
        <w:ind w:left="720" w:hanging="720"/>
      </w:pPr>
      <w:rPr>
        <w:rFonts w:hint="default" w:cs="Times New Roman"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FA321C4"/>
    <w:multiLevelType w:val="multilevel"/>
    <w:tmpl w:val="3FA321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8">
    <w:nsid w:val="4B8625D2"/>
    <w:multiLevelType w:val="multilevel"/>
    <w:tmpl w:val="4B8625D2"/>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0">
    <w:nsid w:val="4E5A0637"/>
    <w:multiLevelType w:val="multilevel"/>
    <w:tmpl w:val="4E5A0637"/>
    <w:lvl w:ilvl="0" w:tentative="0">
      <w:start w:val="1"/>
      <w:numFmt w:val="chineseCountingThousand"/>
      <w:lvlText w:val="%1、"/>
      <w:lvlJc w:val="left"/>
      <w:pPr>
        <w:ind w:left="960" w:hanging="420"/>
      </w:p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1">
    <w:nsid w:val="4E792A9E"/>
    <w:multiLevelType w:val="multilevel"/>
    <w:tmpl w:val="4E792A9E"/>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59ED26AD"/>
    <w:multiLevelType w:val="multilevel"/>
    <w:tmpl w:val="59ED26AD"/>
    <w:lvl w:ilvl="0" w:tentative="0">
      <w:start w:val="2"/>
      <w:numFmt w:val="none"/>
      <w:lvlText w:val="二、"/>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5EC168B2"/>
    <w:multiLevelType w:val="multilevel"/>
    <w:tmpl w:val="5EC168B2"/>
    <w:lvl w:ilvl="0" w:tentative="0">
      <w:start w:val="1"/>
      <w:numFmt w:val="japaneseCounting"/>
      <w:lvlText w:val="（%1）"/>
      <w:lvlJc w:val="left"/>
      <w:pPr>
        <w:ind w:left="1955" w:hanging="139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6062DB5F"/>
    <w:multiLevelType w:val="singleLevel"/>
    <w:tmpl w:val="6062DB5F"/>
    <w:lvl w:ilvl="0" w:tentative="0">
      <w:start w:val="1"/>
      <w:numFmt w:val="chineseCounting"/>
      <w:suff w:val="nothing"/>
      <w:lvlText w:val="%1、"/>
      <w:lvlJc w:val="left"/>
      <w:pPr>
        <w:ind w:left="0" w:leftChars="0" w:firstLine="420" w:firstLineChars="0"/>
      </w:pPr>
      <w:rPr>
        <w:rFonts w:hint="eastAsia"/>
      </w:rPr>
    </w:lvl>
  </w:abstractNum>
  <w:abstractNum w:abstractNumId="40">
    <w:nsid w:val="6063CF29"/>
    <w:multiLevelType w:val="singleLevel"/>
    <w:tmpl w:val="6063CF29"/>
    <w:lvl w:ilvl="0" w:tentative="0">
      <w:start w:val="1"/>
      <w:numFmt w:val="chineseCounting"/>
      <w:suff w:val="nothing"/>
      <w:lvlText w:val="%1、"/>
      <w:lvlJc w:val="left"/>
      <w:pPr>
        <w:ind w:left="0" w:leftChars="0" w:firstLine="420" w:firstLineChars="0"/>
      </w:pPr>
      <w:rPr>
        <w:rFonts w:hint="eastAsia"/>
      </w:rPr>
    </w:lvl>
  </w:abstractNum>
  <w:abstractNum w:abstractNumId="41">
    <w:nsid w:val="60C04554"/>
    <w:multiLevelType w:val="singleLevel"/>
    <w:tmpl w:val="60C04554"/>
    <w:lvl w:ilvl="0" w:tentative="0">
      <w:start w:val="1"/>
      <w:numFmt w:val="chineseCounting"/>
      <w:suff w:val="nothing"/>
      <w:lvlText w:val="%1、"/>
      <w:lvlJc w:val="left"/>
    </w:lvl>
  </w:abstractNum>
  <w:abstractNum w:abstractNumId="42">
    <w:nsid w:val="60C99F56"/>
    <w:multiLevelType w:val="singleLevel"/>
    <w:tmpl w:val="60C99F56"/>
    <w:lvl w:ilvl="0" w:tentative="0">
      <w:start w:val="1"/>
      <w:numFmt w:val="decimal"/>
      <w:suff w:val="nothing"/>
      <w:lvlText w:val="%1、"/>
      <w:lvlJc w:val="left"/>
    </w:lvl>
  </w:abstractNum>
  <w:abstractNum w:abstractNumId="43">
    <w:nsid w:val="60E2BBD2"/>
    <w:multiLevelType w:val="multilevel"/>
    <w:tmpl w:val="60E2BBD2"/>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0E2BBDD"/>
    <w:multiLevelType w:val="multilevel"/>
    <w:tmpl w:val="60E2BBDD"/>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0E2BBE8"/>
    <w:multiLevelType w:val="multilevel"/>
    <w:tmpl w:val="60E2BBE8"/>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6">
    <w:nsid w:val="60E2BBF3"/>
    <w:multiLevelType w:val="multilevel"/>
    <w:tmpl w:val="60E2BBF3"/>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7">
    <w:nsid w:val="60E2BBFE"/>
    <w:multiLevelType w:val="multilevel"/>
    <w:tmpl w:val="60E2BBFE"/>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0E2BC09"/>
    <w:multiLevelType w:val="multilevel"/>
    <w:tmpl w:val="60E2BC09"/>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9">
    <w:nsid w:val="60E2BC14"/>
    <w:multiLevelType w:val="multilevel"/>
    <w:tmpl w:val="60E2BC1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1">
    <w:nsid w:val="61C76959"/>
    <w:multiLevelType w:val="multilevel"/>
    <w:tmpl w:val="61C76959"/>
    <w:lvl w:ilvl="0" w:tentative="0">
      <w:start w:val="1"/>
      <w:numFmt w:val="chineseCountingThousand"/>
      <w:lvlText w:val="%1、"/>
      <w:lvlJc w:val="left"/>
      <w:pPr>
        <w:ind w:left="1413"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53">
    <w:nsid w:val="687526DB"/>
    <w:multiLevelType w:val="multilevel"/>
    <w:tmpl w:val="687526DB"/>
    <w:lvl w:ilvl="0" w:tentative="0">
      <w:start w:val="1"/>
      <w:numFmt w:val="chineseCountingThousand"/>
      <w:lvlText w:val="%1、"/>
      <w:lvlJc w:val="left"/>
      <w:pPr>
        <w:ind w:left="5780" w:hanging="960"/>
      </w:pPr>
      <w:rPr>
        <w:rFonts w:hint="default"/>
        <w:b w:val="0"/>
      </w:rPr>
    </w:lvl>
    <w:lvl w:ilvl="1" w:tentative="0">
      <w:start w:val="1"/>
      <w:numFmt w:val="lowerLetter"/>
      <w:lvlText w:val="%2)"/>
      <w:lvlJc w:val="left"/>
      <w:pPr>
        <w:ind w:left="5518" w:hanging="420"/>
      </w:pPr>
    </w:lvl>
    <w:lvl w:ilvl="2" w:tentative="0">
      <w:start w:val="1"/>
      <w:numFmt w:val="lowerRoman"/>
      <w:lvlText w:val="%3."/>
      <w:lvlJc w:val="right"/>
      <w:pPr>
        <w:ind w:left="5938" w:hanging="420"/>
      </w:pPr>
    </w:lvl>
    <w:lvl w:ilvl="3" w:tentative="0">
      <w:start w:val="1"/>
      <w:numFmt w:val="decimal"/>
      <w:lvlText w:val="%4."/>
      <w:lvlJc w:val="left"/>
      <w:pPr>
        <w:ind w:left="6358" w:hanging="420"/>
      </w:pPr>
    </w:lvl>
    <w:lvl w:ilvl="4" w:tentative="0">
      <w:start w:val="1"/>
      <w:numFmt w:val="lowerLetter"/>
      <w:lvlText w:val="%5)"/>
      <w:lvlJc w:val="left"/>
      <w:pPr>
        <w:ind w:left="6778" w:hanging="420"/>
      </w:pPr>
    </w:lvl>
    <w:lvl w:ilvl="5" w:tentative="0">
      <w:start w:val="1"/>
      <w:numFmt w:val="lowerRoman"/>
      <w:lvlText w:val="%6."/>
      <w:lvlJc w:val="right"/>
      <w:pPr>
        <w:ind w:left="7198" w:hanging="420"/>
      </w:pPr>
    </w:lvl>
    <w:lvl w:ilvl="6" w:tentative="0">
      <w:start w:val="1"/>
      <w:numFmt w:val="decimal"/>
      <w:lvlText w:val="%7."/>
      <w:lvlJc w:val="left"/>
      <w:pPr>
        <w:ind w:left="7618" w:hanging="420"/>
      </w:pPr>
    </w:lvl>
    <w:lvl w:ilvl="7" w:tentative="0">
      <w:start w:val="1"/>
      <w:numFmt w:val="lowerLetter"/>
      <w:lvlText w:val="%8)"/>
      <w:lvlJc w:val="left"/>
      <w:pPr>
        <w:ind w:left="8038" w:hanging="420"/>
      </w:pPr>
    </w:lvl>
    <w:lvl w:ilvl="8" w:tentative="0">
      <w:start w:val="1"/>
      <w:numFmt w:val="lowerRoman"/>
      <w:lvlText w:val="%9."/>
      <w:lvlJc w:val="right"/>
      <w:pPr>
        <w:ind w:left="8458" w:hanging="420"/>
      </w:pPr>
    </w:lvl>
  </w:abstractNum>
  <w:abstractNum w:abstractNumId="54">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55">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6">
    <w:nsid w:val="7B652295"/>
    <w:multiLevelType w:val="multilevel"/>
    <w:tmpl w:val="7B652295"/>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7">
    <w:nsid w:val="7F4B22BA"/>
    <w:multiLevelType w:val="multilevel"/>
    <w:tmpl w:val="7F4B22BA"/>
    <w:lvl w:ilvl="0" w:tentative="0">
      <w:start w:val="1"/>
      <w:numFmt w:val="chineseCountingThousand"/>
      <w:lvlText w:val="%1、"/>
      <w:lvlJc w:val="left"/>
      <w:pPr>
        <w:ind w:left="1272" w:hanging="420"/>
      </w:pPr>
      <w:rPr>
        <w:color w:val="auto"/>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num w:numId="1">
    <w:abstractNumId w:val="10"/>
  </w:num>
  <w:num w:numId="2">
    <w:abstractNumId w:val="16"/>
  </w:num>
  <w:num w:numId="3">
    <w:abstractNumId w:val="55"/>
  </w:num>
  <w:num w:numId="4">
    <w:abstractNumId w:val="12"/>
  </w:num>
  <w:num w:numId="5">
    <w:abstractNumId w:val="18"/>
  </w:num>
  <w:num w:numId="6">
    <w:abstractNumId w:val="33"/>
  </w:num>
  <w:num w:numId="7">
    <w:abstractNumId w:val="9"/>
  </w:num>
  <w:num w:numId="8">
    <w:abstractNumId w:val="34"/>
  </w:num>
  <w:num w:numId="9">
    <w:abstractNumId w:val="6"/>
  </w:num>
  <w:num w:numId="10">
    <w:abstractNumId w:val="14"/>
  </w:num>
  <w:num w:numId="11">
    <w:abstractNumId w:val="20"/>
  </w:num>
  <w:num w:numId="12">
    <w:abstractNumId w:val="17"/>
  </w:num>
  <w:num w:numId="13">
    <w:abstractNumId w:val="28"/>
  </w:num>
  <w:num w:numId="14">
    <w:abstractNumId w:val="31"/>
  </w:num>
  <w:num w:numId="15">
    <w:abstractNumId w:val="40"/>
  </w:num>
  <w:num w:numId="16">
    <w:abstractNumId w:val="35"/>
  </w:num>
  <w:num w:numId="17">
    <w:abstractNumId w:val="23"/>
  </w:num>
  <w:num w:numId="18">
    <w:abstractNumId w:val="53"/>
  </w:num>
  <w:num w:numId="19">
    <w:abstractNumId w:val="22"/>
  </w:num>
  <w:num w:numId="20">
    <w:abstractNumId w:val="8"/>
  </w:num>
  <w:num w:numId="21">
    <w:abstractNumId w:val="30"/>
  </w:num>
  <w:num w:numId="22">
    <w:abstractNumId w:val="54"/>
  </w:num>
  <w:num w:numId="23">
    <w:abstractNumId w:val="42"/>
  </w:num>
  <w:num w:numId="24">
    <w:abstractNumId w:val="57"/>
  </w:num>
  <w:num w:numId="25">
    <w:abstractNumId w:val="41"/>
  </w:num>
  <w:num w:numId="26">
    <w:abstractNumId w:val="5"/>
  </w:num>
  <w:num w:numId="27">
    <w:abstractNumId w:val="7"/>
  </w:num>
  <w:num w:numId="28">
    <w:abstractNumId w:val="4"/>
  </w:num>
  <w:num w:numId="29">
    <w:abstractNumId w:val="39"/>
  </w:num>
  <w:num w:numId="30">
    <w:abstractNumId w:val="52"/>
  </w:num>
  <w:num w:numId="31">
    <w:abstractNumId w:val="27"/>
  </w:num>
  <w:num w:numId="32">
    <w:abstractNumId w:val="37"/>
  </w:num>
  <w:num w:numId="33">
    <w:abstractNumId w:val="51"/>
  </w:num>
  <w:num w:numId="34">
    <w:abstractNumId w:val="11"/>
  </w:num>
  <w:num w:numId="35">
    <w:abstractNumId w:val="32"/>
  </w:num>
  <w:num w:numId="36">
    <w:abstractNumId w:val="15"/>
  </w:num>
  <w:num w:numId="37">
    <w:abstractNumId w:val="21"/>
  </w:num>
  <w:num w:numId="38">
    <w:abstractNumId w:val="19"/>
  </w:num>
  <w:num w:numId="39">
    <w:abstractNumId w:val="38"/>
  </w:num>
  <w:num w:numId="40">
    <w:abstractNumId w:val="13"/>
  </w:num>
  <w:num w:numId="41">
    <w:abstractNumId w:val="24"/>
  </w:num>
  <w:num w:numId="42">
    <w:abstractNumId w:val="50"/>
  </w:num>
  <w:num w:numId="43">
    <w:abstractNumId w:val="26"/>
  </w:num>
  <w:num w:numId="44">
    <w:abstractNumId w:val="56"/>
  </w:num>
  <w:num w:numId="45">
    <w:abstractNumId w:val="29"/>
  </w:num>
  <w:num w:numId="46">
    <w:abstractNumId w:val="36"/>
  </w:num>
  <w:num w:numId="47">
    <w:abstractNumId w:val="43"/>
    <w:lvlOverride w:ilvl="0">
      <w:startOverride w:val="1"/>
    </w:lvlOverride>
  </w:num>
  <w:num w:numId="48">
    <w:abstractNumId w:val="25"/>
  </w:num>
  <w:num w:numId="49">
    <w:abstractNumId w:val="44"/>
    <w:lvlOverride w:ilvl="0">
      <w:startOverride w:val="1"/>
    </w:lvlOverride>
  </w:num>
  <w:num w:numId="50">
    <w:abstractNumId w:val="10"/>
    <w:lvlOverride w:ilvl="2">
      <w:startOverride w:val="1"/>
    </w:lvlOverride>
  </w:num>
  <w:num w:numId="51">
    <w:abstractNumId w:val="10"/>
    <w:lvlOverride w:ilvl="1">
      <w:startOverride w:val="1"/>
    </w:lvlOverride>
  </w:num>
  <w:num w:numId="52">
    <w:abstractNumId w:val="45"/>
    <w:lvlOverride w:ilvl="0">
      <w:startOverride w:val="1"/>
    </w:lvlOverride>
  </w:num>
  <w:num w:numId="53">
    <w:abstractNumId w:val="46"/>
    <w:lvlOverride w:ilvl="1">
      <w:startOverride w:val="1"/>
    </w:lvlOverride>
  </w:num>
  <w:num w:numId="54">
    <w:abstractNumId w:val="47"/>
    <w:lvlOverride w:ilvl="0">
      <w:startOverride w:val="1"/>
    </w:lvlOverride>
  </w:num>
  <w:num w:numId="55">
    <w:abstractNumId w:val="48"/>
    <w:lvlOverride w:ilvl="0">
      <w:startOverride w:val="1"/>
    </w:lvlOverride>
  </w:num>
  <w:num w:numId="56">
    <w:abstractNumId w:val="49"/>
    <w:lvlOverride w:ilvl="0">
      <w:startOverride w:val="1"/>
    </w:lvlOverride>
  </w:num>
  <w:num w:numId="57">
    <w:abstractNumId w:val="2"/>
  </w:num>
  <w:num w:numId="58">
    <w:abstractNumId w:val="1"/>
  </w:num>
  <w:num w:numId="59">
    <w:abstractNumId w:val="3"/>
  </w:num>
  <w:num w:numId="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0AD7"/>
    <w:rsid w:val="000020D5"/>
    <w:rsid w:val="00002199"/>
    <w:rsid w:val="00002DA3"/>
    <w:rsid w:val="000032BF"/>
    <w:rsid w:val="00003A0A"/>
    <w:rsid w:val="00003BAB"/>
    <w:rsid w:val="00003C5A"/>
    <w:rsid w:val="00003D73"/>
    <w:rsid w:val="000047BE"/>
    <w:rsid w:val="0000489B"/>
    <w:rsid w:val="00005B40"/>
    <w:rsid w:val="000064D2"/>
    <w:rsid w:val="00006E7F"/>
    <w:rsid w:val="00006F88"/>
    <w:rsid w:val="0000719D"/>
    <w:rsid w:val="000072C2"/>
    <w:rsid w:val="000079E6"/>
    <w:rsid w:val="00007BB7"/>
    <w:rsid w:val="0001020C"/>
    <w:rsid w:val="0001059E"/>
    <w:rsid w:val="00010934"/>
    <w:rsid w:val="0001242D"/>
    <w:rsid w:val="00012851"/>
    <w:rsid w:val="00013703"/>
    <w:rsid w:val="00013717"/>
    <w:rsid w:val="0001385C"/>
    <w:rsid w:val="00013BD5"/>
    <w:rsid w:val="00013F9D"/>
    <w:rsid w:val="0001501A"/>
    <w:rsid w:val="000160D6"/>
    <w:rsid w:val="00016279"/>
    <w:rsid w:val="00016681"/>
    <w:rsid w:val="00016D2F"/>
    <w:rsid w:val="00016D8F"/>
    <w:rsid w:val="00016F50"/>
    <w:rsid w:val="0001717B"/>
    <w:rsid w:val="00017A3F"/>
    <w:rsid w:val="000209F6"/>
    <w:rsid w:val="00020A9C"/>
    <w:rsid w:val="00020FF3"/>
    <w:rsid w:val="000212C4"/>
    <w:rsid w:val="00021749"/>
    <w:rsid w:val="00021905"/>
    <w:rsid w:val="00022A68"/>
    <w:rsid w:val="00024DFB"/>
    <w:rsid w:val="00025259"/>
    <w:rsid w:val="00025D03"/>
    <w:rsid w:val="00025E25"/>
    <w:rsid w:val="00026A48"/>
    <w:rsid w:val="00027522"/>
    <w:rsid w:val="0002761F"/>
    <w:rsid w:val="00027949"/>
    <w:rsid w:val="000311AD"/>
    <w:rsid w:val="000324B6"/>
    <w:rsid w:val="00032ABD"/>
    <w:rsid w:val="0003327E"/>
    <w:rsid w:val="000336C3"/>
    <w:rsid w:val="00033822"/>
    <w:rsid w:val="00033916"/>
    <w:rsid w:val="00034401"/>
    <w:rsid w:val="00034C48"/>
    <w:rsid w:val="000358E6"/>
    <w:rsid w:val="00035C5B"/>
    <w:rsid w:val="00036636"/>
    <w:rsid w:val="00036C9E"/>
    <w:rsid w:val="000370DD"/>
    <w:rsid w:val="00037DF1"/>
    <w:rsid w:val="00040183"/>
    <w:rsid w:val="00040BCA"/>
    <w:rsid w:val="00041BB7"/>
    <w:rsid w:val="00042FED"/>
    <w:rsid w:val="000443E9"/>
    <w:rsid w:val="00044A40"/>
    <w:rsid w:val="00044D7F"/>
    <w:rsid w:val="00044D8B"/>
    <w:rsid w:val="00045E75"/>
    <w:rsid w:val="000463E1"/>
    <w:rsid w:val="00046C77"/>
    <w:rsid w:val="00047387"/>
    <w:rsid w:val="000476DA"/>
    <w:rsid w:val="00047828"/>
    <w:rsid w:val="0005010F"/>
    <w:rsid w:val="0005011F"/>
    <w:rsid w:val="0005090A"/>
    <w:rsid w:val="00050C79"/>
    <w:rsid w:val="00051E46"/>
    <w:rsid w:val="00052007"/>
    <w:rsid w:val="00052139"/>
    <w:rsid w:val="000522BC"/>
    <w:rsid w:val="000524B9"/>
    <w:rsid w:val="0005284C"/>
    <w:rsid w:val="00052875"/>
    <w:rsid w:val="00052C3C"/>
    <w:rsid w:val="00053186"/>
    <w:rsid w:val="0005324A"/>
    <w:rsid w:val="0005359C"/>
    <w:rsid w:val="000539AA"/>
    <w:rsid w:val="00053DA0"/>
    <w:rsid w:val="00054124"/>
    <w:rsid w:val="00054427"/>
    <w:rsid w:val="00055899"/>
    <w:rsid w:val="000563C3"/>
    <w:rsid w:val="000563FA"/>
    <w:rsid w:val="000569BB"/>
    <w:rsid w:val="000569E9"/>
    <w:rsid w:val="00056AA3"/>
    <w:rsid w:val="00057A78"/>
    <w:rsid w:val="00057E9E"/>
    <w:rsid w:val="0006026D"/>
    <w:rsid w:val="0006045F"/>
    <w:rsid w:val="000621AA"/>
    <w:rsid w:val="000628E4"/>
    <w:rsid w:val="00062A0D"/>
    <w:rsid w:val="00062E56"/>
    <w:rsid w:val="000634CA"/>
    <w:rsid w:val="000638E4"/>
    <w:rsid w:val="000646D0"/>
    <w:rsid w:val="00064C57"/>
    <w:rsid w:val="000654D5"/>
    <w:rsid w:val="00066342"/>
    <w:rsid w:val="000665D3"/>
    <w:rsid w:val="00066CB0"/>
    <w:rsid w:val="00066E81"/>
    <w:rsid w:val="00066F53"/>
    <w:rsid w:val="00072646"/>
    <w:rsid w:val="00072E1D"/>
    <w:rsid w:val="00072ECF"/>
    <w:rsid w:val="00072FC1"/>
    <w:rsid w:val="000732EF"/>
    <w:rsid w:val="00073459"/>
    <w:rsid w:val="000735D0"/>
    <w:rsid w:val="000743C7"/>
    <w:rsid w:val="00076E33"/>
    <w:rsid w:val="00077883"/>
    <w:rsid w:val="00077894"/>
    <w:rsid w:val="000805B0"/>
    <w:rsid w:val="000819C0"/>
    <w:rsid w:val="00082C97"/>
    <w:rsid w:val="0008519A"/>
    <w:rsid w:val="00085313"/>
    <w:rsid w:val="0008551E"/>
    <w:rsid w:val="000866C4"/>
    <w:rsid w:val="00086D81"/>
    <w:rsid w:val="00087AEC"/>
    <w:rsid w:val="00087C4A"/>
    <w:rsid w:val="00087D75"/>
    <w:rsid w:val="000900EF"/>
    <w:rsid w:val="00090416"/>
    <w:rsid w:val="00090820"/>
    <w:rsid w:val="0009101A"/>
    <w:rsid w:val="00091400"/>
    <w:rsid w:val="00091A07"/>
    <w:rsid w:val="000921C2"/>
    <w:rsid w:val="000922E3"/>
    <w:rsid w:val="0009285B"/>
    <w:rsid w:val="000936A9"/>
    <w:rsid w:val="00093D15"/>
    <w:rsid w:val="00093F72"/>
    <w:rsid w:val="000946EA"/>
    <w:rsid w:val="000948B0"/>
    <w:rsid w:val="000954D4"/>
    <w:rsid w:val="00095698"/>
    <w:rsid w:val="0009613C"/>
    <w:rsid w:val="00097BFC"/>
    <w:rsid w:val="00097DF5"/>
    <w:rsid w:val="000A0321"/>
    <w:rsid w:val="000A0887"/>
    <w:rsid w:val="000A0C03"/>
    <w:rsid w:val="000A20FB"/>
    <w:rsid w:val="000A2419"/>
    <w:rsid w:val="000A42C0"/>
    <w:rsid w:val="000A58A6"/>
    <w:rsid w:val="000A5A61"/>
    <w:rsid w:val="000A5EA8"/>
    <w:rsid w:val="000A63F2"/>
    <w:rsid w:val="000A66DC"/>
    <w:rsid w:val="000A6D27"/>
    <w:rsid w:val="000A7522"/>
    <w:rsid w:val="000B0DF9"/>
    <w:rsid w:val="000B11A6"/>
    <w:rsid w:val="000B1243"/>
    <w:rsid w:val="000B14A0"/>
    <w:rsid w:val="000B2447"/>
    <w:rsid w:val="000B4068"/>
    <w:rsid w:val="000B4C40"/>
    <w:rsid w:val="000B51DC"/>
    <w:rsid w:val="000B53A2"/>
    <w:rsid w:val="000B5841"/>
    <w:rsid w:val="000B5A2E"/>
    <w:rsid w:val="000B69F4"/>
    <w:rsid w:val="000B6B67"/>
    <w:rsid w:val="000B7875"/>
    <w:rsid w:val="000B7B39"/>
    <w:rsid w:val="000B7B5D"/>
    <w:rsid w:val="000C0713"/>
    <w:rsid w:val="000C0792"/>
    <w:rsid w:val="000C13AF"/>
    <w:rsid w:val="000C1CA5"/>
    <w:rsid w:val="000C26DE"/>
    <w:rsid w:val="000C2727"/>
    <w:rsid w:val="000C29E0"/>
    <w:rsid w:val="000C3182"/>
    <w:rsid w:val="000C327D"/>
    <w:rsid w:val="000C3678"/>
    <w:rsid w:val="000C3728"/>
    <w:rsid w:val="000C386D"/>
    <w:rsid w:val="000C3D6F"/>
    <w:rsid w:val="000C4113"/>
    <w:rsid w:val="000C5A61"/>
    <w:rsid w:val="000C6E68"/>
    <w:rsid w:val="000C78AA"/>
    <w:rsid w:val="000D081F"/>
    <w:rsid w:val="000D08F1"/>
    <w:rsid w:val="000D0A54"/>
    <w:rsid w:val="000D1092"/>
    <w:rsid w:val="000D10E6"/>
    <w:rsid w:val="000D1F9A"/>
    <w:rsid w:val="000D31CB"/>
    <w:rsid w:val="000D31DE"/>
    <w:rsid w:val="000D3B02"/>
    <w:rsid w:val="000D454A"/>
    <w:rsid w:val="000D58E8"/>
    <w:rsid w:val="000D60C9"/>
    <w:rsid w:val="000D6FD4"/>
    <w:rsid w:val="000D7992"/>
    <w:rsid w:val="000E0412"/>
    <w:rsid w:val="000E0B4B"/>
    <w:rsid w:val="000E15D5"/>
    <w:rsid w:val="000E1D87"/>
    <w:rsid w:val="000E2ADB"/>
    <w:rsid w:val="000E2DC8"/>
    <w:rsid w:val="000E305E"/>
    <w:rsid w:val="000E5DF8"/>
    <w:rsid w:val="000E6FC3"/>
    <w:rsid w:val="000E754E"/>
    <w:rsid w:val="000E7609"/>
    <w:rsid w:val="000E7B13"/>
    <w:rsid w:val="000E7F9D"/>
    <w:rsid w:val="000F15EC"/>
    <w:rsid w:val="000F1908"/>
    <w:rsid w:val="000F2729"/>
    <w:rsid w:val="000F3898"/>
    <w:rsid w:val="000F4927"/>
    <w:rsid w:val="000F52DB"/>
    <w:rsid w:val="000F5866"/>
    <w:rsid w:val="000F6263"/>
    <w:rsid w:val="000F646A"/>
    <w:rsid w:val="000F6747"/>
    <w:rsid w:val="000F6956"/>
    <w:rsid w:val="000F76C2"/>
    <w:rsid w:val="000F7FB4"/>
    <w:rsid w:val="0010016E"/>
    <w:rsid w:val="001002E7"/>
    <w:rsid w:val="00100952"/>
    <w:rsid w:val="00100CC2"/>
    <w:rsid w:val="0010170E"/>
    <w:rsid w:val="001019C3"/>
    <w:rsid w:val="00101CF2"/>
    <w:rsid w:val="0010208F"/>
    <w:rsid w:val="0010229F"/>
    <w:rsid w:val="001031C5"/>
    <w:rsid w:val="001035E1"/>
    <w:rsid w:val="0010366C"/>
    <w:rsid w:val="00103690"/>
    <w:rsid w:val="00103B5F"/>
    <w:rsid w:val="00103E6A"/>
    <w:rsid w:val="0010451F"/>
    <w:rsid w:val="00104A56"/>
    <w:rsid w:val="00104CA0"/>
    <w:rsid w:val="001055E1"/>
    <w:rsid w:val="00105B8F"/>
    <w:rsid w:val="001064CE"/>
    <w:rsid w:val="00106B6A"/>
    <w:rsid w:val="00106E70"/>
    <w:rsid w:val="00106F7E"/>
    <w:rsid w:val="00107AF5"/>
    <w:rsid w:val="0011063B"/>
    <w:rsid w:val="00110B64"/>
    <w:rsid w:val="00111E2C"/>
    <w:rsid w:val="001123C6"/>
    <w:rsid w:val="0011254A"/>
    <w:rsid w:val="001128A2"/>
    <w:rsid w:val="00112BBC"/>
    <w:rsid w:val="00113BF8"/>
    <w:rsid w:val="00113F75"/>
    <w:rsid w:val="00114440"/>
    <w:rsid w:val="00114DC9"/>
    <w:rsid w:val="00116F8E"/>
    <w:rsid w:val="00117DAF"/>
    <w:rsid w:val="001204EF"/>
    <w:rsid w:val="00120A97"/>
    <w:rsid w:val="00121256"/>
    <w:rsid w:val="001213DA"/>
    <w:rsid w:val="00121472"/>
    <w:rsid w:val="00121B9A"/>
    <w:rsid w:val="00121DDA"/>
    <w:rsid w:val="00121EEC"/>
    <w:rsid w:val="00122090"/>
    <w:rsid w:val="00124108"/>
    <w:rsid w:val="00125613"/>
    <w:rsid w:val="00125883"/>
    <w:rsid w:val="00125988"/>
    <w:rsid w:val="00125AF6"/>
    <w:rsid w:val="00125EB9"/>
    <w:rsid w:val="00126A37"/>
    <w:rsid w:val="00126BF2"/>
    <w:rsid w:val="001272ED"/>
    <w:rsid w:val="00130270"/>
    <w:rsid w:val="001302FE"/>
    <w:rsid w:val="00130B0A"/>
    <w:rsid w:val="00130F50"/>
    <w:rsid w:val="001317CA"/>
    <w:rsid w:val="00131A9D"/>
    <w:rsid w:val="00131D53"/>
    <w:rsid w:val="00131E7C"/>
    <w:rsid w:val="00131E97"/>
    <w:rsid w:val="00132375"/>
    <w:rsid w:val="001324A7"/>
    <w:rsid w:val="001329D7"/>
    <w:rsid w:val="001332E4"/>
    <w:rsid w:val="001336A8"/>
    <w:rsid w:val="00133BA0"/>
    <w:rsid w:val="001345EB"/>
    <w:rsid w:val="00134646"/>
    <w:rsid w:val="001348E3"/>
    <w:rsid w:val="00134A7E"/>
    <w:rsid w:val="00134BFE"/>
    <w:rsid w:val="00134C69"/>
    <w:rsid w:val="001353C7"/>
    <w:rsid w:val="001356D6"/>
    <w:rsid w:val="00137402"/>
    <w:rsid w:val="00137440"/>
    <w:rsid w:val="001374DE"/>
    <w:rsid w:val="001379C9"/>
    <w:rsid w:val="00137CFA"/>
    <w:rsid w:val="00140FD4"/>
    <w:rsid w:val="001423AA"/>
    <w:rsid w:val="00143A80"/>
    <w:rsid w:val="00144EF8"/>
    <w:rsid w:val="001468EA"/>
    <w:rsid w:val="00146AC0"/>
    <w:rsid w:val="00146E80"/>
    <w:rsid w:val="00147B8C"/>
    <w:rsid w:val="00150144"/>
    <w:rsid w:val="00150AF3"/>
    <w:rsid w:val="00150CEA"/>
    <w:rsid w:val="0015131D"/>
    <w:rsid w:val="001513B9"/>
    <w:rsid w:val="001514DA"/>
    <w:rsid w:val="001518E7"/>
    <w:rsid w:val="00151DC0"/>
    <w:rsid w:val="00151EB4"/>
    <w:rsid w:val="001522A2"/>
    <w:rsid w:val="00152E98"/>
    <w:rsid w:val="001532C9"/>
    <w:rsid w:val="00153B1E"/>
    <w:rsid w:val="00153D08"/>
    <w:rsid w:val="00154010"/>
    <w:rsid w:val="00154815"/>
    <w:rsid w:val="00154ECF"/>
    <w:rsid w:val="00156B83"/>
    <w:rsid w:val="0015739D"/>
    <w:rsid w:val="00157970"/>
    <w:rsid w:val="00160BFB"/>
    <w:rsid w:val="00162706"/>
    <w:rsid w:val="0016281C"/>
    <w:rsid w:val="00162827"/>
    <w:rsid w:val="001633A4"/>
    <w:rsid w:val="00163A03"/>
    <w:rsid w:val="00163F57"/>
    <w:rsid w:val="00164665"/>
    <w:rsid w:val="00164AE4"/>
    <w:rsid w:val="00164EAB"/>
    <w:rsid w:val="0016549E"/>
    <w:rsid w:val="00165B97"/>
    <w:rsid w:val="00165EE5"/>
    <w:rsid w:val="00166A4D"/>
    <w:rsid w:val="001672E8"/>
    <w:rsid w:val="00167321"/>
    <w:rsid w:val="001675C3"/>
    <w:rsid w:val="00167D4D"/>
    <w:rsid w:val="001700DC"/>
    <w:rsid w:val="00170AEC"/>
    <w:rsid w:val="00171CDD"/>
    <w:rsid w:val="001720DB"/>
    <w:rsid w:val="0017210B"/>
    <w:rsid w:val="001728AE"/>
    <w:rsid w:val="00172BAC"/>
    <w:rsid w:val="00173920"/>
    <w:rsid w:val="00174121"/>
    <w:rsid w:val="001741B0"/>
    <w:rsid w:val="001744D0"/>
    <w:rsid w:val="001755FA"/>
    <w:rsid w:val="001757BA"/>
    <w:rsid w:val="00177D3C"/>
    <w:rsid w:val="00177F79"/>
    <w:rsid w:val="001802AE"/>
    <w:rsid w:val="00180ECC"/>
    <w:rsid w:val="00180F80"/>
    <w:rsid w:val="0018164D"/>
    <w:rsid w:val="001831A4"/>
    <w:rsid w:val="0018504E"/>
    <w:rsid w:val="001852FA"/>
    <w:rsid w:val="00185427"/>
    <w:rsid w:val="00185AEC"/>
    <w:rsid w:val="00185B7C"/>
    <w:rsid w:val="00186C1F"/>
    <w:rsid w:val="00186CBA"/>
    <w:rsid w:val="00187D01"/>
    <w:rsid w:val="00187F36"/>
    <w:rsid w:val="00190253"/>
    <w:rsid w:val="00190B4D"/>
    <w:rsid w:val="00190FA1"/>
    <w:rsid w:val="00191773"/>
    <w:rsid w:val="00192702"/>
    <w:rsid w:val="00192A2A"/>
    <w:rsid w:val="00192DD5"/>
    <w:rsid w:val="00192ED6"/>
    <w:rsid w:val="0019306A"/>
    <w:rsid w:val="00193E6E"/>
    <w:rsid w:val="001956E3"/>
    <w:rsid w:val="00196F70"/>
    <w:rsid w:val="00197C78"/>
    <w:rsid w:val="001A05C4"/>
    <w:rsid w:val="001A1874"/>
    <w:rsid w:val="001A2573"/>
    <w:rsid w:val="001A28B4"/>
    <w:rsid w:val="001A353B"/>
    <w:rsid w:val="001A3893"/>
    <w:rsid w:val="001A3AE8"/>
    <w:rsid w:val="001A4EC8"/>
    <w:rsid w:val="001A52C2"/>
    <w:rsid w:val="001A556A"/>
    <w:rsid w:val="001A56C7"/>
    <w:rsid w:val="001A5BC7"/>
    <w:rsid w:val="001A5BE9"/>
    <w:rsid w:val="001A5DE1"/>
    <w:rsid w:val="001A5E35"/>
    <w:rsid w:val="001A6AC8"/>
    <w:rsid w:val="001A6D65"/>
    <w:rsid w:val="001A7D87"/>
    <w:rsid w:val="001B0634"/>
    <w:rsid w:val="001B0B56"/>
    <w:rsid w:val="001B0C8E"/>
    <w:rsid w:val="001B10D2"/>
    <w:rsid w:val="001B12FD"/>
    <w:rsid w:val="001B1A23"/>
    <w:rsid w:val="001B1E26"/>
    <w:rsid w:val="001B2276"/>
    <w:rsid w:val="001B271F"/>
    <w:rsid w:val="001B2789"/>
    <w:rsid w:val="001B2EA1"/>
    <w:rsid w:val="001B312C"/>
    <w:rsid w:val="001B36AD"/>
    <w:rsid w:val="001B3B50"/>
    <w:rsid w:val="001B3D94"/>
    <w:rsid w:val="001B42D9"/>
    <w:rsid w:val="001B4343"/>
    <w:rsid w:val="001B49AE"/>
    <w:rsid w:val="001B4A16"/>
    <w:rsid w:val="001B4C5E"/>
    <w:rsid w:val="001B4D80"/>
    <w:rsid w:val="001B4D8F"/>
    <w:rsid w:val="001B4DA3"/>
    <w:rsid w:val="001B4E92"/>
    <w:rsid w:val="001B5BA1"/>
    <w:rsid w:val="001B629D"/>
    <w:rsid w:val="001B702C"/>
    <w:rsid w:val="001B7E0E"/>
    <w:rsid w:val="001B7EFB"/>
    <w:rsid w:val="001C0C9F"/>
    <w:rsid w:val="001C1234"/>
    <w:rsid w:val="001C125F"/>
    <w:rsid w:val="001C1DE5"/>
    <w:rsid w:val="001C2637"/>
    <w:rsid w:val="001C266B"/>
    <w:rsid w:val="001C4D3F"/>
    <w:rsid w:val="001C5BEE"/>
    <w:rsid w:val="001C7063"/>
    <w:rsid w:val="001C794E"/>
    <w:rsid w:val="001D055F"/>
    <w:rsid w:val="001D0A61"/>
    <w:rsid w:val="001D0B04"/>
    <w:rsid w:val="001D17E5"/>
    <w:rsid w:val="001D1CED"/>
    <w:rsid w:val="001D1D4D"/>
    <w:rsid w:val="001D21C2"/>
    <w:rsid w:val="001D2A98"/>
    <w:rsid w:val="001D2C01"/>
    <w:rsid w:val="001D3613"/>
    <w:rsid w:val="001D4187"/>
    <w:rsid w:val="001D549B"/>
    <w:rsid w:val="001D58A1"/>
    <w:rsid w:val="001D6874"/>
    <w:rsid w:val="001D7E9E"/>
    <w:rsid w:val="001E0275"/>
    <w:rsid w:val="001E0D0E"/>
    <w:rsid w:val="001E0DAA"/>
    <w:rsid w:val="001E0FC8"/>
    <w:rsid w:val="001E118C"/>
    <w:rsid w:val="001E1745"/>
    <w:rsid w:val="001E32D7"/>
    <w:rsid w:val="001E34E3"/>
    <w:rsid w:val="001E4710"/>
    <w:rsid w:val="001E4D5C"/>
    <w:rsid w:val="001E6C58"/>
    <w:rsid w:val="001E70D9"/>
    <w:rsid w:val="001E7199"/>
    <w:rsid w:val="001E7999"/>
    <w:rsid w:val="001F0066"/>
    <w:rsid w:val="001F05B2"/>
    <w:rsid w:val="001F0BDF"/>
    <w:rsid w:val="001F0CD2"/>
    <w:rsid w:val="001F0FA5"/>
    <w:rsid w:val="001F12DD"/>
    <w:rsid w:val="001F1742"/>
    <w:rsid w:val="001F1AC3"/>
    <w:rsid w:val="001F1DC8"/>
    <w:rsid w:val="001F27E1"/>
    <w:rsid w:val="001F2F73"/>
    <w:rsid w:val="001F3AC2"/>
    <w:rsid w:val="001F47E9"/>
    <w:rsid w:val="001F63B3"/>
    <w:rsid w:val="001F711C"/>
    <w:rsid w:val="001F7740"/>
    <w:rsid w:val="002000CA"/>
    <w:rsid w:val="00200450"/>
    <w:rsid w:val="00202565"/>
    <w:rsid w:val="00203030"/>
    <w:rsid w:val="0020354A"/>
    <w:rsid w:val="00203F4C"/>
    <w:rsid w:val="00204D24"/>
    <w:rsid w:val="0020545D"/>
    <w:rsid w:val="00205507"/>
    <w:rsid w:val="002062A4"/>
    <w:rsid w:val="00206B37"/>
    <w:rsid w:val="00206EAD"/>
    <w:rsid w:val="002070F4"/>
    <w:rsid w:val="00207F7B"/>
    <w:rsid w:val="0021033D"/>
    <w:rsid w:val="00210347"/>
    <w:rsid w:val="002104DE"/>
    <w:rsid w:val="002121EE"/>
    <w:rsid w:val="00212C21"/>
    <w:rsid w:val="00212D95"/>
    <w:rsid w:val="002143D4"/>
    <w:rsid w:val="00214473"/>
    <w:rsid w:val="0021512A"/>
    <w:rsid w:val="002159BE"/>
    <w:rsid w:val="00215A82"/>
    <w:rsid w:val="00216178"/>
    <w:rsid w:val="0021656A"/>
    <w:rsid w:val="00216949"/>
    <w:rsid w:val="00216DDF"/>
    <w:rsid w:val="00216F4B"/>
    <w:rsid w:val="00217DDA"/>
    <w:rsid w:val="002202CD"/>
    <w:rsid w:val="002209E4"/>
    <w:rsid w:val="00221492"/>
    <w:rsid w:val="00221733"/>
    <w:rsid w:val="00222648"/>
    <w:rsid w:val="00222C96"/>
    <w:rsid w:val="00223501"/>
    <w:rsid w:val="00223DF2"/>
    <w:rsid w:val="002242AB"/>
    <w:rsid w:val="0022430B"/>
    <w:rsid w:val="002256A5"/>
    <w:rsid w:val="00227194"/>
    <w:rsid w:val="00227C26"/>
    <w:rsid w:val="002306E6"/>
    <w:rsid w:val="00230DE9"/>
    <w:rsid w:val="0023107F"/>
    <w:rsid w:val="002316E1"/>
    <w:rsid w:val="00231D9C"/>
    <w:rsid w:val="00232ACA"/>
    <w:rsid w:val="00233B13"/>
    <w:rsid w:val="00233DBB"/>
    <w:rsid w:val="00235000"/>
    <w:rsid w:val="002361BB"/>
    <w:rsid w:val="0023634B"/>
    <w:rsid w:val="00237279"/>
    <w:rsid w:val="00237829"/>
    <w:rsid w:val="00237E23"/>
    <w:rsid w:val="002403F9"/>
    <w:rsid w:val="0024075F"/>
    <w:rsid w:val="00240874"/>
    <w:rsid w:val="00240D7C"/>
    <w:rsid w:val="002416AF"/>
    <w:rsid w:val="00241DAA"/>
    <w:rsid w:val="00241FB2"/>
    <w:rsid w:val="002427C6"/>
    <w:rsid w:val="00245687"/>
    <w:rsid w:val="00245728"/>
    <w:rsid w:val="00245869"/>
    <w:rsid w:val="002459A4"/>
    <w:rsid w:val="00245C9D"/>
    <w:rsid w:val="002473BA"/>
    <w:rsid w:val="002479D2"/>
    <w:rsid w:val="00250715"/>
    <w:rsid w:val="002518C5"/>
    <w:rsid w:val="00251B3E"/>
    <w:rsid w:val="00251B96"/>
    <w:rsid w:val="002530E7"/>
    <w:rsid w:val="00253795"/>
    <w:rsid w:val="00253893"/>
    <w:rsid w:val="00254492"/>
    <w:rsid w:val="00255096"/>
    <w:rsid w:val="002550A2"/>
    <w:rsid w:val="002559E3"/>
    <w:rsid w:val="00255A51"/>
    <w:rsid w:val="0025644A"/>
    <w:rsid w:val="00256B34"/>
    <w:rsid w:val="00256D00"/>
    <w:rsid w:val="00257179"/>
    <w:rsid w:val="00257900"/>
    <w:rsid w:val="00257E08"/>
    <w:rsid w:val="002602B1"/>
    <w:rsid w:val="00261182"/>
    <w:rsid w:val="00262628"/>
    <w:rsid w:val="00262FFF"/>
    <w:rsid w:val="002637D4"/>
    <w:rsid w:val="00263F98"/>
    <w:rsid w:val="00264245"/>
    <w:rsid w:val="0026581E"/>
    <w:rsid w:val="0026616D"/>
    <w:rsid w:val="00266606"/>
    <w:rsid w:val="00266728"/>
    <w:rsid w:val="00266A51"/>
    <w:rsid w:val="00267120"/>
    <w:rsid w:val="002674EF"/>
    <w:rsid w:val="0026774E"/>
    <w:rsid w:val="00267D2D"/>
    <w:rsid w:val="002701D8"/>
    <w:rsid w:val="00270EBE"/>
    <w:rsid w:val="00271006"/>
    <w:rsid w:val="00271A0E"/>
    <w:rsid w:val="00272887"/>
    <w:rsid w:val="00272D1C"/>
    <w:rsid w:val="00272D77"/>
    <w:rsid w:val="002741A1"/>
    <w:rsid w:val="00274465"/>
    <w:rsid w:val="002747DC"/>
    <w:rsid w:val="002749C3"/>
    <w:rsid w:val="00274AB1"/>
    <w:rsid w:val="002752DD"/>
    <w:rsid w:val="00275757"/>
    <w:rsid w:val="00275DC3"/>
    <w:rsid w:val="00276695"/>
    <w:rsid w:val="00276706"/>
    <w:rsid w:val="00277200"/>
    <w:rsid w:val="00277C48"/>
    <w:rsid w:val="002800CB"/>
    <w:rsid w:val="002800CC"/>
    <w:rsid w:val="002804D7"/>
    <w:rsid w:val="002805F9"/>
    <w:rsid w:val="0028067E"/>
    <w:rsid w:val="00280BC1"/>
    <w:rsid w:val="00280D08"/>
    <w:rsid w:val="002816DC"/>
    <w:rsid w:val="00281C5C"/>
    <w:rsid w:val="00281CAE"/>
    <w:rsid w:val="002823B7"/>
    <w:rsid w:val="0028242E"/>
    <w:rsid w:val="002824B5"/>
    <w:rsid w:val="00282A23"/>
    <w:rsid w:val="00283DB1"/>
    <w:rsid w:val="00283FCC"/>
    <w:rsid w:val="00284885"/>
    <w:rsid w:val="00284B55"/>
    <w:rsid w:val="00284B65"/>
    <w:rsid w:val="00285310"/>
    <w:rsid w:val="00286037"/>
    <w:rsid w:val="00286151"/>
    <w:rsid w:val="002861EE"/>
    <w:rsid w:val="0028654D"/>
    <w:rsid w:val="002867C7"/>
    <w:rsid w:val="00286BE5"/>
    <w:rsid w:val="0028765A"/>
    <w:rsid w:val="00287BF6"/>
    <w:rsid w:val="00287DA4"/>
    <w:rsid w:val="00290573"/>
    <w:rsid w:val="002905D4"/>
    <w:rsid w:val="00291428"/>
    <w:rsid w:val="00291A5A"/>
    <w:rsid w:val="002921BD"/>
    <w:rsid w:val="0029360E"/>
    <w:rsid w:val="00293914"/>
    <w:rsid w:val="002965A4"/>
    <w:rsid w:val="00296DD4"/>
    <w:rsid w:val="002974C2"/>
    <w:rsid w:val="00297BAE"/>
    <w:rsid w:val="00297CA1"/>
    <w:rsid w:val="00297FDE"/>
    <w:rsid w:val="002A26F6"/>
    <w:rsid w:val="002A31E6"/>
    <w:rsid w:val="002A3A01"/>
    <w:rsid w:val="002A3B56"/>
    <w:rsid w:val="002A3E52"/>
    <w:rsid w:val="002A47F4"/>
    <w:rsid w:val="002A4B6A"/>
    <w:rsid w:val="002A5326"/>
    <w:rsid w:val="002A562D"/>
    <w:rsid w:val="002A56FA"/>
    <w:rsid w:val="002A6892"/>
    <w:rsid w:val="002A6CF7"/>
    <w:rsid w:val="002A7261"/>
    <w:rsid w:val="002A7940"/>
    <w:rsid w:val="002B0151"/>
    <w:rsid w:val="002B16F9"/>
    <w:rsid w:val="002B185A"/>
    <w:rsid w:val="002B2117"/>
    <w:rsid w:val="002B2733"/>
    <w:rsid w:val="002B293E"/>
    <w:rsid w:val="002B2B86"/>
    <w:rsid w:val="002B309A"/>
    <w:rsid w:val="002B36B4"/>
    <w:rsid w:val="002B3CA6"/>
    <w:rsid w:val="002B41C7"/>
    <w:rsid w:val="002B5FA0"/>
    <w:rsid w:val="002B607C"/>
    <w:rsid w:val="002B62A3"/>
    <w:rsid w:val="002B730D"/>
    <w:rsid w:val="002C05A2"/>
    <w:rsid w:val="002C0982"/>
    <w:rsid w:val="002C0C37"/>
    <w:rsid w:val="002C116D"/>
    <w:rsid w:val="002C1AFF"/>
    <w:rsid w:val="002C1D24"/>
    <w:rsid w:val="002C245D"/>
    <w:rsid w:val="002C252F"/>
    <w:rsid w:val="002C2F92"/>
    <w:rsid w:val="002C38EE"/>
    <w:rsid w:val="002C39C6"/>
    <w:rsid w:val="002C4374"/>
    <w:rsid w:val="002C43C5"/>
    <w:rsid w:val="002C4880"/>
    <w:rsid w:val="002C493F"/>
    <w:rsid w:val="002C5858"/>
    <w:rsid w:val="002C5B01"/>
    <w:rsid w:val="002C5F90"/>
    <w:rsid w:val="002C6152"/>
    <w:rsid w:val="002C6468"/>
    <w:rsid w:val="002C73FD"/>
    <w:rsid w:val="002C7746"/>
    <w:rsid w:val="002C7790"/>
    <w:rsid w:val="002D014A"/>
    <w:rsid w:val="002D060C"/>
    <w:rsid w:val="002D08B6"/>
    <w:rsid w:val="002D0950"/>
    <w:rsid w:val="002D1227"/>
    <w:rsid w:val="002D1648"/>
    <w:rsid w:val="002D16AF"/>
    <w:rsid w:val="002D289B"/>
    <w:rsid w:val="002D410D"/>
    <w:rsid w:val="002D41B3"/>
    <w:rsid w:val="002D46D3"/>
    <w:rsid w:val="002D46F1"/>
    <w:rsid w:val="002D4986"/>
    <w:rsid w:val="002D5158"/>
    <w:rsid w:val="002D5DA8"/>
    <w:rsid w:val="002D6010"/>
    <w:rsid w:val="002D60D3"/>
    <w:rsid w:val="002D624D"/>
    <w:rsid w:val="002D647B"/>
    <w:rsid w:val="002D6817"/>
    <w:rsid w:val="002D7033"/>
    <w:rsid w:val="002D7F21"/>
    <w:rsid w:val="002E0155"/>
    <w:rsid w:val="002E0616"/>
    <w:rsid w:val="002E0644"/>
    <w:rsid w:val="002E19D4"/>
    <w:rsid w:val="002E1E83"/>
    <w:rsid w:val="002E24C3"/>
    <w:rsid w:val="002E3399"/>
    <w:rsid w:val="002E3491"/>
    <w:rsid w:val="002E352F"/>
    <w:rsid w:val="002E4093"/>
    <w:rsid w:val="002E4163"/>
    <w:rsid w:val="002E4185"/>
    <w:rsid w:val="002E41D4"/>
    <w:rsid w:val="002E4582"/>
    <w:rsid w:val="002E4A15"/>
    <w:rsid w:val="002E614A"/>
    <w:rsid w:val="002E61E8"/>
    <w:rsid w:val="002E6CAE"/>
    <w:rsid w:val="002E784A"/>
    <w:rsid w:val="002E7CEF"/>
    <w:rsid w:val="002F09DD"/>
    <w:rsid w:val="002F15AC"/>
    <w:rsid w:val="002F20DC"/>
    <w:rsid w:val="002F215F"/>
    <w:rsid w:val="002F4201"/>
    <w:rsid w:val="002F4205"/>
    <w:rsid w:val="002F5210"/>
    <w:rsid w:val="002F5634"/>
    <w:rsid w:val="002F5E02"/>
    <w:rsid w:val="002F612F"/>
    <w:rsid w:val="002F6890"/>
    <w:rsid w:val="002F6A26"/>
    <w:rsid w:val="002F7106"/>
    <w:rsid w:val="002F71D6"/>
    <w:rsid w:val="00301023"/>
    <w:rsid w:val="00301B1D"/>
    <w:rsid w:val="00301E35"/>
    <w:rsid w:val="00301E98"/>
    <w:rsid w:val="0030257D"/>
    <w:rsid w:val="00302748"/>
    <w:rsid w:val="003027DB"/>
    <w:rsid w:val="0030390C"/>
    <w:rsid w:val="00303E85"/>
    <w:rsid w:val="00303EF1"/>
    <w:rsid w:val="00303F0C"/>
    <w:rsid w:val="00303F3A"/>
    <w:rsid w:val="0030405B"/>
    <w:rsid w:val="00304598"/>
    <w:rsid w:val="0030584B"/>
    <w:rsid w:val="00306058"/>
    <w:rsid w:val="003060CB"/>
    <w:rsid w:val="00306BE8"/>
    <w:rsid w:val="003079C2"/>
    <w:rsid w:val="00307EDA"/>
    <w:rsid w:val="0031303A"/>
    <w:rsid w:val="00313698"/>
    <w:rsid w:val="0031429F"/>
    <w:rsid w:val="003147FC"/>
    <w:rsid w:val="003154BE"/>
    <w:rsid w:val="003167ED"/>
    <w:rsid w:val="00316B3F"/>
    <w:rsid w:val="0031758A"/>
    <w:rsid w:val="00317D2B"/>
    <w:rsid w:val="00317FA8"/>
    <w:rsid w:val="00320CA7"/>
    <w:rsid w:val="00320F06"/>
    <w:rsid w:val="00321AA9"/>
    <w:rsid w:val="0032200C"/>
    <w:rsid w:val="00323414"/>
    <w:rsid w:val="00323C1D"/>
    <w:rsid w:val="00325077"/>
    <w:rsid w:val="00325322"/>
    <w:rsid w:val="003255C3"/>
    <w:rsid w:val="00325A1A"/>
    <w:rsid w:val="00325A2E"/>
    <w:rsid w:val="00325C57"/>
    <w:rsid w:val="003269E0"/>
    <w:rsid w:val="00327319"/>
    <w:rsid w:val="00327A12"/>
    <w:rsid w:val="00331451"/>
    <w:rsid w:val="0033168E"/>
    <w:rsid w:val="003317A2"/>
    <w:rsid w:val="00332D13"/>
    <w:rsid w:val="0033355E"/>
    <w:rsid w:val="00333A70"/>
    <w:rsid w:val="00334430"/>
    <w:rsid w:val="00334486"/>
    <w:rsid w:val="0033457A"/>
    <w:rsid w:val="003369C3"/>
    <w:rsid w:val="00336D0B"/>
    <w:rsid w:val="0033768B"/>
    <w:rsid w:val="00337768"/>
    <w:rsid w:val="0034085C"/>
    <w:rsid w:val="00340E08"/>
    <w:rsid w:val="003431CB"/>
    <w:rsid w:val="00344075"/>
    <w:rsid w:val="00344B5B"/>
    <w:rsid w:val="0034529E"/>
    <w:rsid w:val="00345762"/>
    <w:rsid w:val="00346C4F"/>
    <w:rsid w:val="00346D06"/>
    <w:rsid w:val="00346EE3"/>
    <w:rsid w:val="003473E8"/>
    <w:rsid w:val="00350F5D"/>
    <w:rsid w:val="003516FE"/>
    <w:rsid w:val="003519FF"/>
    <w:rsid w:val="00351CE1"/>
    <w:rsid w:val="00352210"/>
    <w:rsid w:val="00352621"/>
    <w:rsid w:val="003528B1"/>
    <w:rsid w:val="00352AF5"/>
    <w:rsid w:val="00352CCC"/>
    <w:rsid w:val="00353F22"/>
    <w:rsid w:val="00354118"/>
    <w:rsid w:val="00354FEE"/>
    <w:rsid w:val="0035509B"/>
    <w:rsid w:val="003566DE"/>
    <w:rsid w:val="00356931"/>
    <w:rsid w:val="00356A43"/>
    <w:rsid w:val="00357545"/>
    <w:rsid w:val="00361B4F"/>
    <w:rsid w:val="00365CF0"/>
    <w:rsid w:val="00366433"/>
    <w:rsid w:val="00366B57"/>
    <w:rsid w:val="00366E02"/>
    <w:rsid w:val="003673CC"/>
    <w:rsid w:val="003703FD"/>
    <w:rsid w:val="00370554"/>
    <w:rsid w:val="00370FE6"/>
    <w:rsid w:val="0037169A"/>
    <w:rsid w:val="003724D4"/>
    <w:rsid w:val="003725AC"/>
    <w:rsid w:val="00372F67"/>
    <w:rsid w:val="003746B2"/>
    <w:rsid w:val="003746CA"/>
    <w:rsid w:val="00374B71"/>
    <w:rsid w:val="003754CF"/>
    <w:rsid w:val="003755A1"/>
    <w:rsid w:val="00375745"/>
    <w:rsid w:val="00375928"/>
    <w:rsid w:val="003773C0"/>
    <w:rsid w:val="0037783A"/>
    <w:rsid w:val="00377EA3"/>
    <w:rsid w:val="0038006D"/>
    <w:rsid w:val="00380883"/>
    <w:rsid w:val="00380E0B"/>
    <w:rsid w:val="00381B4E"/>
    <w:rsid w:val="00381C53"/>
    <w:rsid w:val="00381C72"/>
    <w:rsid w:val="003821CB"/>
    <w:rsid w:val="00382387"/>
    <w:rsid w:val="003825C5"/>
    <w:rsid w:val="00383EC5"/>
    <w:rsid w:val="0038465A"/>
    <w:rsid w:val="00384865"/>
    <w:rsid w:val="003849A5"/>
    <w:rsid w:val="00384F13"/>
    <w:rsid w:val="003851F8"/>
    <w:rsid w:val="00385B10"/>
    <w:rsid w:val="00385CD4"/>
    <w:rsid w:val="00385F42"/>
    <w:rsid w:val="00386529"/>
    <w:rsid w:val="003866BA"/>
    <w:rsid w:val="0038783D"/>
    <w:rsid w:val="00387FF6"/>
    <w:rsid w:val="00390411"/>
    <w:rsid w:val="00390C4F"/>
    <w:rsid w:val="003915F6"/>
    <w:rsid w:val="00392539"/>
    <w:rsid w:val="00392FCC"/>
    <w:rsid w:val="00392FDE"/>
    <w:rsid w:val="003931A3"/>
    <w:rsid w:val="003939F3"/>
    <w:rsid w:val="00393C16"/>
    <w:rsid w:val="00393C4B"/>
    <w:rsid w:val="00394A3F"/>
    <w:rsid w:val="00394FAF"/>
    <w:rsid w:val="003954C3"/>
    <w:rsid w:val="00395689"/>
    <w:rsid w:val="0039571F"/>
    <w:rsid w:val="00395E3B"/>
    <w:rsid w:val="00396077"/>
    <w:rsid w:val="00396887"/>
    <w:rsid w:val="00397477"/>
    <w:rsid w:val="003976D7"/>
    <w:rsid w:val="00397797"/>
    <w:rsid w:val="003979D4"/>
    <w:rsid w:val="003A13B9"/>
    <w:rsid w:val="003A1514"/>
    <w:rsid w:val="003A313B"/>
    <w:rsid w:val="003A32BD"/>
    <w:rsid w:val="003A3481"/>
    <w:rsid w:val="003A3D1D"/>
    <w:rsid w:val="003A47E4"/>
    <w:rsid w:val="003A4C03"/>
    <w:rsid w:val="003A5EAF"/>
    <w:rsid w:val="003A60E4"/>
    <w:rsid w:val="003A615C"/>
    <w:rsid w:val="003A64F2"/>
    <w:rsid w:val="003A67C4"/>
    <w:rsid w:val="003A6DB5"/>
    <w:rsid w:val="003A7643"/>
    <w:rsid w:val="003A7D60"/>
    <w:rsid w:val="003A7E7B"/>
    <w:rsid w:val="003B03B2"/>
    <w:rsid w:val="003B0632"/>
    <w:rsid w:val="003B0C74"/>
    <w:rsid w:val="003B1F8D"/>
    <w:rsid w:val="003B2025"/>
    <w:rsid w:val="003B4176"/>
    <w:rsid w:val="003B45F0"/>
    <w:rsid w:val="003B4953"/>
    <w:rsid w:val="003B536A"/>
    <w:rsid w:val="003B55B0"/>
    <w:rsid w:val="003B5C8D"/>
    <w:rsid w:val="003B60E9"/>
    <w:rsid w:val="003B6875"/>
    <w:rsid w:val="003B7C23"/>
    <w:rsid w:val="003B7CB9"/>
    <w:rsid w:val="003C058F"/>
    <w:rsid w:val="003C0DB3"/>
    <w:rsid w:val="003C1406"/>
    <w:rsid w:val="003C2E71"/>
    <w:rsid w:val="003C3F0F"/>
    <w:rsid w:val="003C445A"/>
    <w:rsid w:val="003C4CD9"/>
    <w:rsid w:val="003C5786"/>
    <w:rsid w:val="003C6C70"/>
    <w:rsid w:val="003C7461"/>
    <w:rsid w:val="003C7A29"/>
    <w:rsid w:val="003D036E"/>
    <w:rsid w:val="003D05C8"/>
    <w:rsid w:val="003D0703"/>
    <w:rsid w:val="003D0C57"/>
    <w:rsid w:val="003D0FE2"/>
    <w:rsid w:val="003D1055"/>
    <w:rsid w:val="003D202D"/>
    <w:rsid w:val="003D2769"/>
    <w:rsid w:val="003D2DC2"/>
    <w:rsid w:val="003D2F05"/>
    <w:rsid w:val="003D34FA"/>
    <w:rsid w:val="003D3A74"/>
    <w:rsid w:val="003D3F35"/>
    <w:rsid w:val="003D4B9E"/>
    <w:rsid w:val="003D4C3C"/>
    <w:rsid w:val="003D4E43"/>
    <w:rsid w:val="003D54D2"/>
    <w:rsid w:val="003D688E"/>
    <w:rsid w:val="003D6A98"/>
    <w:rsid w:val="003D712B"/>
    <w:rsid w:val="003D71A7"/>
    <w:rsid w:val="003E02A9"/>
    <w:rsid w:val="003E086B"/>
    <w:rsid w:val="003E1547"/>
    <w:rsid w:val="003E2ED2"/>
    <w:rsid w:val="003E2FF0"/>
    <w:rsid w:val="003E3256"/>
    <w:rsid w:val="003E36CF"/>
    <w:rsid w:val="003E3C50"/>
    <w:rsid w:val="003E3F91"/>
    <w:rsid w:val="003E5720"/>
    <w:rsid w:val="003E58A1"/>
    <w:rsid w:val="003E66A9"/>
    <w:rsid w:val="003E6B43"/>
    <w:rsid w:val="003E6BDD"/>
    <w:rsid w:val="003E7ADD"/>
    <w:rsid w:val="003E7BBD"/>
    <w:rsid w:val="003F0955"/>
    <w:rsid w:val="003F0DB0"/>
    <w:rsid w:val="003F0E5B"/>
    <w:rsid w:val="003F2103"/>
    <w:rsid w:val="003F24B3"/>
    <w:rsid w:val="003F2C42"/>
    <w:rsid w:val="003F2DF0"/>
    <w:rsid w:val="003F3091"/>
    <w:rsid w:val="003F4E95"/>
    <w:rsid w:val="003F5920"/>
    <w:rsid w:val="003F5A4C"/>
    <w:rsid w:val="003F5C13"/>
    <w:rsid w:val="003F5E2E"/>
    <w:rsid w:val="003F60C5"/>
    <w:rsid w:val="003F7EC6"/>
    <w:rsid w:val="00400477"/>
    <w:rsid w:val="00400814"/>
    <w:rsid w:val="00400A17"/>
    <w:rsid w:val="00401591"/>
    <w:rsid w:val="004019B0"/>
    <w:rsid w:val="00402641"/>
    <w:rsid w:val="00402AD3"/>
    <w:rsid w:val="0040383B"/>
    <w:rsid w:val="00404069"/>
    <w:rsid w:val="004044A3"/>
    <w:rsid w:val="00405653"/>
    <w:rsid w:val="004057ED"/>
    <w:rsid w:val="00405FCA"/>
    <w:rsid w:val="00406264"/>
    <w:rsid w:val="00406BD5"/>
    <w:rsid w:val="004079F7"/>
    <w:rsid w:val="00412220"/>
    <w:rsid w:val="0041338C"/>
    <w:rsid w:val="00413CD0"/>
    <w:rsid w:val="004158D1"/>
    <w:rsid w:val="004158FF"/>
    <w:rsid w:val="0041702F"/>
    <w:rsid w:val="00420D41"/>
    <w:rsid w:val="00420EF7"/>
    <w:rsid w:val="004224D4"/>
    <w:rsid w:val="00422CC2"/>
    <w:rsid w:val="004231D0"/>
    <w:rsid w:val="004234A6"/>
    <w:rsid w:val="004239CA"/>
    <w:rsid w:val="004242EC"/>
    <w:rsid w:val="00424321"/>
    <w:rsid w:val="0042479E"/>
    <w:rsid w:val="00425222"/>
    <w:rsid w:val="00425FEA"/>
    <w:rsid w:val="00426A44"/>
    <w:rsid w:val="00426B44"/>
    <w:rsid w:val="00426EF2"/>
    <w:rsid w:val="004274E3"/>
    <w:rsid w:val="0042789C"/>
    <w:rsid w:val="00430A33"/>
    <w:rsid w:val="004313FF"/>
    <w:rsid w:val="00431926"/>
    <w:rsid w:val="00432CF5"/>
    <w:rsid w:val="004331C3"/>
    <w:rsid w:val="004335C8"/>
    <w:rsid w:val="0043363E"/>
    <w:rsid w:val="00433978"/>
    <w:rsid w:val="00434A5B"/>
    <w:rsid w:val="00435CCC"/>
    <w:rsid w:val="00435CE2"/>
    <w:rsid w:val="00437F6C"/>
    <w:rsid w:val="0044124E"/>
    <w:rsid w:val="00442DDD"/>
    <w:rsid w:val="00443B17"/>
    <w:rsid w:val="004440F3"/>
    <w:rsid w:val="004444C2"/>
    <w:rsid w:val="00444AC3"/>
    <w:rsid w:val="00445722"/>
    <w:rsid w:val="00446D0E"/>
    <w:rsid w:val="00450D7F"/>
    <w:rsid w:val="00450E9A"/>
    <w:rsid w:val="00451091"/>
    <w:rsid w:val="00452564"/>
    <w:rsid w:val="00454245"/>
    <w:rsid w:val="00455E04"/>
    <w:rsid w:val="00455F32"/>
    <w:rsid w:val="00456D07"/>
    <w:rsid w:val="00457150"/>
    <w:rsid w:val="00457A5C"/>
    <w:rsid w:val="00457FB3"/>
    <w:rsid w:val="00460079"/>
    <w:rsid w:val="004603F4"/>
    <w:rsid w:val="004609D3"/>
    <w:rsid w:val="00460DB4"/>
    <w:rsid w:val="00461666"/>
    <w:rsid w:val="0046176B"/>
    <w:rsid w:val="00461803"/>
    <w:rsid w:val="00461A1F"/>
    <w:rsid w:val="00461EA8"/>
    <w:rsid w:val="00463454"/>
    <w:rsid w:val="004636CD"/>
    <w:rsid w:val="004637A5"/>
    <w:rsid w:val="00464762"/>
    <w:rsid w:val="00464F86"/>
    <w:rsid w:val="004665E4"/>
    <w:rsid w:val="0046667A"/>
    <w:rsid w:val="00466706"/>
    <w:rsid w:val="00466F5D"/>
    <w:rsid w:val="00466F90"/>
    <w:rsid w:val="0046727D"/>
    <w:rsid w:val="00467690"/>
    <w:rsid w:val="00467B0B"/>
    <w:rsid w:val="00471286"/>
    <w:rsid w:val="004712F6"/>
    <w:rsid w:val="00471431"/>
    <w:rsid w:val="00471A54"/>
    <w:rsid w:val="00471D50"/>
    <w:rsid w:val="0047240E"/>
    <w:rsid w:val="00474309"/>
    <w:rsid w:val="00474834"/>
    <w:rsid w:val="004752DD"/>
    <w:rsid w:val="004775D4"/>
    <w:rsid w:val="00477AFF"/>
    <w:rsid w:val="00477E65"/>
    <w:rsid w:val="004820C4"/>
    <w:rsid w:val="00482716"/>
    <w:rsid w:val="004827EA"/>
    <w:rsid w:val="00482C77"/>
    <w:rsid w:val="00483654"/>
    <w:rsid w:val="004849A3"/>
    <w:rsid w:val="004869D5"/>
    <w:rsid w:val="00486A53"/>
    <w:rsid w:val="00487105"/>
    <w:rsid w:val="004873C7"/>
    <w:rsid w:val="004874F6"/>
    <w:rsid w:val="0049000C"/>
    <w:rsid w:val="004902FA"/>
    <w:rsid w:val="004915EE"/>
    <w:rsid w:val="004918E7"/>
    <w:rsid w:val="00492272"/>
    <w:rsid w:val="00492312"/>
    <w:rsid w:val="00493571"/>
    <w:rsid w:val="00493AB5"/>
    <w:rsid w:val="00493D6D"/>
    <w:rsid w:val="0049424D"/>
    <w:rsid w:val="00494AAD"/>
    <w:rsid w:val="0049587F"/>
    <w:rsid w:val="00495A16"/>
    <w:rsid w:val="00495FB7"/>
    <w:rsid w:val="00496163"/>
    <w:rsid w:val="00496A4A"/>
    <w:rsid w:val="00496EF1"/>
    <w:rsid w:val="00496F8F"/>
    <w:rsid w:val="0049786F"/>
    <w:rsid w:val="004978AF"/>
    <w:rsid w:val="00497939"/>
    <w:rsid w:val="004A10E6"/>
    <w:rsid w:val="004A15F4"/>
    <w:rsid w:val="004A3196"/>
    <w:rsid w:val="004A3358"/>
    <w:rsid w:val="004A373F"/>
    <w:rsid w:val="004A37E8"/>
    <w:rsid w:val="004A4558"/>
    <w:rsid w:val="004A590D"/>
    <w:rsid w:val="004A5BD7"/>
    <w:rsid w:val="004A631A"/>
    <w:rsid w:val="004A664A"/>
    <w:rsid w:val="004A66B2"/>
    <w:rsid w:val="004A6DB4"/>
    <w:rsid w:val="004A6FCB"/>
    <w:rsid w:val="004A707E"/>
    <w:rsid w:val="004A7644"/>
    <w:rsid w:val="004B00DB"/>
    <w:rsid w:val="004B0902"/>
    <w:rsid w:val="004B0B1B"/>
    <w:rsid w:val="004B0B82"/>
    <w:rsid w:val="004B1799"/>
    <w:rsid w:val="004B1FD6"/>
    <w:rsid w:val="004B2678"/>
    <w:rsid w:val="004B2804"/>
    <w:rsid w:val="004B3339"/>
    <w:rsid w:val="004B341B"/>
    <w:rsid w:val="004B46BD"/>
    <w:rsid w:val="004B4CF5"/>
    <w:rsid w:val="004B517C"/>
    <w:rsid w:val="004B56F9"/>
    <w:rsid w:val="004B5C79"/>
    <w:rsid w:val="004B5FDA"/>
    <w:rsid w:val="004B644A"/>
    <w:rsid w:val="004B7227"/>
    <w:rsid w:val="004B7561"/>
    <w:rsid w:val="004B764B"/>
    <w:rsid w:val="004B7761"/>
    <w:rsid w:val="004B7DE9"/>
    <w:rsid w:val="004C0A4C"/>
    <w:rsid w:val="004C1011"/>
    <w:rsid w:val="004C22DF"/>
    <w:rsid w:val="004C2538"/>
    <w:rsid w:val="004C2F92"/>
    <w:rsid w:val="004C3096"/>
    <w:rsid w:val="004C38BE"/>
    <w:rsid w:val="004C4EED"/>
    <w:rsid w:val="004C5625"/>
    <w:rsid w:val="004C5F16"/>
    <w:rsid w:val="004C6085"/>
    <w:rsid w:val="004C6132"/>
    <w:rsid w:val="004C6A34"/>
    <w:rsid w:val="004C6C11"/>
    <w:rsid w:val="004C6EFC"/>
    <w:rsid w:val="004C7F90"/>
    <w:rsid w:val="004D00FB"/>
    <w:rsid w:val="004D0727"/>
    <w:rsid w:val="004D1469"/>
    <w:rsid w:val="004D24AE"/>
    <w:rsid w:val="004D2831"/>
    <w:rsid w:val="004D2873"/>
    <w:rsid w:val="004D2E68"/>
    <w:rsid w:val="004D4641"/>
    <w:rsid w:val="004D49B0"/>
    <w:rsid w:val="004D4C0D"/>
    <w:rsid w:val="004D4C15"/>
    <w:rsid w:val="004D52E3"/>
    <w:rsid w:val="004D5741"/>
    <w:rsid w:val="004D6034"/>
    <w:rsid w:val="004D61AA"/>
    <w:rsid w:val="004D6865"/>
    <w:rsid w:val="004D6921"/>
    <w:rsid w:val="004D6F36"/>
    <w:rsid w:val="004D746D"/>
    <w:rsid w:val="004D7988"/>
    <w:rsid w:val="004D79B9"/>
    <w:rsid w:val="004E025A"/>
    <w:rsid w:val="004E0B5A"/>
    <w:rsid w:val="004E10EB"/>
    <w:rsid w:val="004E23D4"/>
    <w:rsid w:val="004E24CF"/>
    <w:rsid w:val="004E30F9"/>
    <w:rsid w:val="004E37BC"/>
    <w:rsid w:val="004E3943"/>
    <w:rsid w:val="004E4A56"/>
    <w:rsid w:val="004E50A5"/>
    <w:rsid w:val="004E5DC0"/>
    <w:rsid w:val="004E60D4"/>
    <w:rsid w:val="004E614C"/>
    <w:rsid w:val="004E61A1"/>
    <w:rsid w:val="004E6B0F"/>
    <w:rsid w:val="004E6B89"/>
    <w:rsid w:val="004E7384"/>
    <w:rsid w:val="004E75CB"/>
    <w:rsid w:val="004E7908"/>
    <w:rsid w:val="004E7985"/>
    <w:rsid w:val="004E79F7"/>
    <w:rsid w:val="004E7B32"/>
    <w:rsid w:val="004E7C72"/>
    <w:rsid w:val="004F022E"/>
    <w:rsid w:val="004F0F7F"/>
    <w:rsid w:val="004F20C7"/>
    <w:rsid w:val="004F24B6"/>
    <w:rsid w:val="004F3027"/>
    <w:rsid w:val="004F34A5"/>
    <w:rsid w:val="004F3514"/>
    <w:rsid w:val="004F3C76"/>
    <w:rsid w:val="004F3FD1"/>
    <w:rsid w:val="004F4CED"/>
    <w:rsid w:val="004F4E59"/>
    <w:rsid w:val="004F5E74"/>
    <w:rsid w:val="004F642F"/>
    <w:rsid w:val="004F722A"/>
    <w:rsid w:val="004F77CC"/>
    <w:rsid w:val="004F7BC9"/>
    <w:rsid w:val="00500827"/>
    <w:rsid w:val="0050131F"/>
    <w:rsid w:val="00501398"/>
    <w:rsid w:val="00501616"/>
    <w:rsid w:val="00501ABA"/>
    <w:rsid w:val="00502AEA"/>
    <w:rsid w:val="00502FBA"/>
    <w:rsid w:val="00503226"/>
    <w:rsid w:val="00503B0E"/>
    <w:rsid w:val="005040FC"/>
    <w:rsid w:val="00504D79"/>
    <w:rsid w:val="0050528D"/>
    <w:rsid w:val="00505961"/>
    <w:rsid w:val="00505E6C"/>
    <w:rsid w:val="00506238"/>
    <w:rsid w:val="00506853"/>
    <w:rsid w:val="00506ABA"/>
    <w:rsid w:val="0050712B"/>
    <w:rsid w:val="005078C0"/>
    <w:rsid w:val="00507B43"/>
    <w:rsid w:val="00507CD6"/>
    <w:rsid w:val="00507E46"/>
    <w:rsid w:val="00512370"/>
    <w:rsid w:val="00512763"/>
    <w:rsid w:val="00512D96"/>
    <w:rsid w:val="0051317C"/>
    <w:rsid w:val="005131CF"/>
    <w:rsid w:val="00515360"/>
    <w:rsid w:val="005163A0"/>
    <w:rsid w:val="005169E3"/>
    <w:rsid w:val="005174D6"/>
    <w:rsid w:val="005179AF"/>
    <w:rsid w:val="00517DB8"/>
    <w:rsid w:val="00520A09"/>
    <w:rsid w:val="00520D42"/>
    <w:rsid w:val="00520F5D"/>
    <w:rsid w:val="005223D3"/>
    <w:rsid w:val="00522E2D"/>
    <w:rsid w:val="00524B60"/>
    <w:rsid w:val="0052509D"/>
    <w:rsid w:val="00525492"/>
    <w:rsid w:val="00525F6A"/>
    <w:rsid w:val="0052737E"/>
    <w:rsid w:val="00530A4E"/>
    <w:rsid w:val="00530BC3"/>
    <w:rsid w:val="00531366"/>
    <w:rsid w:val="00531828"/>
    <w:rsid w:val="00531D16"/>
    <w:rsid w:val="00531D94"/>
    <w:rsid w:val="00533271"/>
    <w:rsid w:val="005354E4"/>
    <w:rsid w:val="0053604E"/>
    <w:rsid w:val="0053658D"/>
    <w:rsid w:val="00536C7D"/>
    <w:rsid w:val="00537201"/>
    <w:rsid w:val="005400B1"/>
    <w:rsid w:val="00540748"/>
    <w:rsid w:val="00541529"/>
    <w:rsid w:val="00541740"/>
    <w:rsid w:val="0054227B"/>
    <w:rsid w:val="00543064"/>
    <w:rsid w:val="00543A61"/>
    <w:rsid w:val="00543B19"/>
    <w:rsid w:val="005449EA"/>
    <w:rsid w:val="00545605"/>
    <w:rsid w:val="005468CD"/>
    <w:rsid w:val="005472C8"/>
    <w:rsid w:val="0055039D"/>
    <w:rsid w:val="00550645"/>
    <w:rsid w:val="0055157D"/>
    <w:rsid w:val="00553072"/>
    <w:rsid w:val="00553AFD"/>
    <w:rsid w:val="00553B41"/>
    <w:rsid w:val="0055429E"/>
    <w:rsid w:val="00554CC8"/>
    <w:rsid w:val="00555651"/>
    <w:rsid w:val="00555C3E"/>
    <w:rsid w:val="005564B3"/>
    <w:rsid w:val="00556933"/>
    <w:rsid w:val="005572A5"/>
    <w:rsid w:val="00557661"/>
    <w:rsid w:val="00557E89"/>
    <w:rsid w:val="00557F10"/>
    <w:rsid w:val="005602B8"/>
    <w:rsid w:val="00560EFF"/>
    <w:rsid w:val="00561FC3"/>
    <w:rsid w:val="00562ABC"/>
    <w:rsid w:val="00563D74"/>
    <w:rsid w:val="00564110"/>
    <w:rsid w:val="005644F3"/>
    <w:rsid w:val="0056563C"/>
    <w:rsid w:val="0056576C"/>
    <w:rsid w:val="005669F5"/>
    <w:rsid w:val="005712E0"/>
    <w:rsid w:val="00571C7A"/>
    <w:rsid w:val="0057215F"/>
    <w:rsid w:val="005726BE"/>
    <w:rsid w:val="00572C38"/>
    <w:rsid w:val="005730C6"/>
    <w:rsid w:val="00574A57"/>
    <w:rsid w:val="00574CC1"/>
    <w:rsid w:val="00575D40"/>
    <w:rsid w:val="00575DEC"/>
    <w:rsid w:val="005762C7"/>
    <w:rsid w:val="00577954"/>
    <w:rsid w:val="0058081E"/>
    <w:rsid w:val="005824B3"/>
    <w:rsid w:val="005829BE"/>
    <w:rsid w:val="005830C8"/>
    <w:rsid w:val="005842A3"/>
    <w:rsid w:val="005847B0"/>
    <w:rsid w:val="00584D7F"/>
    <w:rsid w:val="0058543E"/>
    <w:rsid w:val="00585B2E"/>
    <w:rsid w:val="00585EE7"/>
    <w:rsid w:val="005870A4"/>
    <w:rsid w:val="00590415"/>
    <w:rsid w:val="00590447"/>
    <w:rsid w:val="0059082A"/>
    <w:rsid w:val="00592021"/>
    <w:rsid w:val="0059273C"/>
    <w:rsid w:val="0059344C"/>
    <w:rsid w:val="00593804"/>
    <w:rsid w:val="0059400B"/>
    <w:rsid w:val="00594EEE"/>
    <w:rsid w:val="0059509B"/>
    <w:rsid w:val="005955CB"/>
    <w:rsid w:val="0059576A"/>
    <w:rsid w:val="00595A47"/>
    <w:rsid w:val="00596C95"/>
    <w:rsid w:val="00597624"/>
    <w:rsid w:val="005A28F5"/>
    <w:rsid w:val="005A2C6B"/>
    <w:rsid w:val="005A2DEA"/>
    <w:rsid w:val="005A4179"/>
    <w:rsid w:val="005A461F"/>
    <w:rsid w:val="005A4BBC"/>
    <w:rsid w:val="005A4EC0"/>
    <w:rsid w:val="005A6512"/>
    <w:rsid w:val="005A6803"/>
    <w:rsid w:val="005A70A1"/>
    <w:rsid w:val="005A72CE"/>
    <w:rsid w:val="005A73E4"/>
    <w:rsid w:val="005A79EE"/>
    <w:rsid w:val="005B0193"/>
    <w:rsid w:val="005B06E5"/>
    <w:rsid w:val="005B0D61"/>
    <w:rsid w:val="005B14F9"/>
    <w:rsid w:val="005B2503"/>
    <w:rsid w:val="005B2CC0"/>
    <w:rsid w:val="005B32A2"/>
    <w:rsid w:val="005B3301"/>
    <w:rsid w:val="005B33FB"/>
    <w:rsid w:val="005B38ED"/>
    <w:rsid w:val="005B390F"/>
    <w:rsid w:val="005B3A26"/>
    <w:rsid w:val="005B40EC"/>
    <w:rsid w:val="005B53A2"/>
    <w:rsid w:val="005B7020"/>
    <w:rsid w:val="005B72AB"/>
    <w:rsid w:val="005B777B"/>
    <w:rsid w:val="005B7788"/>
    <w:rsid w:val="005B7C79"/>
    <w:rsid w:val="005C02EE"/>
    <w:rsid w:val="005C060F"/>
    <w:rsid w:val="005C073F"/>
    <w:rsid w:val="005C0984"/>
    <w:rsid w:val="005C0F20"/>
    <w:rsid w:val="005C1345"/>
    <w:rsid w:val="005C205C"/>
    <w:rsid w:val="005C389B"/>
    <w:rsid w:val="005C39EC"/>
    <w:rsid w:val="005C4039"/>
    <w:rsid w:val="005C4455"/>
    <w:rsid w:val="005C4800"/>
    <w:rsid w:val="005C4F5F"/>
    <w:rsid w:val="005C559A"/>
    <w:rsid w:val="005C57D4"/>
    <w:rsid w:val="005C5F0B"/>
    <w:rsid w:val="005C5F2E"/>
    <w:rsid w:val="005C6440"/>
    <w:rsid w:val="005C644B"/>
    <w:rsid w:val="005C6470"/>
    <w:rsid w:val="005C6A35"/>
    <w:rsid w:val="005C6CF4"/>
    <w:rsid w:val="005C731A"/>
    <w:rsid w:val="005D01F6"/>
    <w:rsid w:val="005D0BDE"/>
    <w:rsid w:val="005D1470"/>
    <w:rsid w:val="005D14B6"/>
    <w:rsid w:val="005D1D56"/>
    <w:rsid w:val="005D34EB"/>
    <w:rsid w:val="005D39AC"/>
    <w:rsid w:val="005D4665"/>
    <w:rsid w:val="005D5329"/>
    <w:rsid w:val="005D562D"/>
    <w:rsid w:val="005D5849"/>
    <w:rsid w:val="005D5B8F"/>
    <w:rsid w:val="005D5F53"/>
    <w:rsid w:val="005D6255"/>
    <w:rsid w:val="005D6DCB"/>
    <w:rsid w:val="005D74F7"/>
    <w:rsid w:val="005D782A"/>
    <w:rsid w:val="005D7F35"/>
    <w:rsid w:val="005E112E"/>
    <w:rsid w:val="005E11BB"/>
    <w:rsid w:val="005E170A"/>
    <w:rsid w:val="005E1D87"/>
    <w:rsid w:val="005E25C7"/>
    <w:rsid w:val="005E2877"/>
    <w:rsid w:val="005E2BA9"/>
    <w:rsid w:val="005E3285"/>
    <w:rsid w:val="005E368D"/>
    <w:rsid w:val="005E3DB6"/>
    <w:rsid w:val="005E424A"/>
    <w:rsid w:val="005E5BAF"/>
    <w:rsid w:val="005E64CE"/>
    <w:rsid w:val="005E7C0A"/>
    <w:rsid w:val="005F00B4"/>
    <w:rsid w:val="005F016D"/>
    <w:rsid w:val="005F0F4A"/>
    <w:rsid w:val="005F116B"/>
    <w:rsid w:val="005F1447"/>
    <w:rsid w:val="005F31E8"/>
    <w:rsid w:val="005F37F9"/>
    <w:rsid w:val="005F3876"/>
    <w:rsid w:val="005F4884"/>
    <w:rsid w:val="005F5C2E"/>
    <w:rsid w:val="0060003E"/>
    <w:rsid w:val="006001AD"/>
    <w:rsid w:val="00600EB9"/>
    <w:rsid w:val="00600F39"/>
    <w:rsid w:val="00600F95"/>
    <w:rsid w:val="006016B6"/>
    <w:rsid w:val="00601CE5"/>
    <w:rsid w:val="0060263E"/>
    <w:rsid w:val="006028A1"/>
    <w:rsid w:val="00602B8E"/>
    <w:rsid w:val="00603197"/>
    <w:rsid w:val="006043B8"/>
    <w:rsid w:val="00604A5E"/>
    <w:rsid w:val="00605783"/>
    <w:rsid w:val="006061E1"/>
    <w:rsid w:val="00606379"/>
    <w:rsid w:val="0060644D"/>
    <w:rsid w:val="0060736D"/>
    <w:rsid w:val="00607475"/>
    <w:rsid w:val="00607CBE"/>
    <w:rsid w:val="00610C98"/>
    <w:rsid w:val="00612341"/>
    <w:rsid w:val="006125C5"/>
    <w:rsid w:val="0061280E"/>
    <w:rsid w:val="00612FED"/>
    <w:rsid w:val="00613CB6"/>
    <w:rsid w:val="00614065"/>
    <w:rsid w:val="00615531"/>
    <w:rsid w:val="006155E0"/>
    <w:rsid w:val="00615825"/>
    <w:rsid w:val="00615A24"/>
    <w:rsid w:val="00615C12"/>
    <w:rsid w:val="00616AAB"/>
    <w:rsid w:val="006172B4"/>
    <w:rsid w:val="00617E87"/>
    <w:rsid w:val="00620637"/>
    <w:rsid w:val="006208AE"/>
    <w:rsid w:val="00620BFC"/>
    <w:rsid w:val="006220E8"/>
    <w:rsid w:val="00622A19"/>
    <w:rsid w:val="0062319B"/>
    <w:rsid w:val="0062451F"/>
    <w:rsid w:val="00624F70"/>
    <w:rsid w:val="006250CD"/>
    <w:rsid w:val="00625212"/>
    <w:rsid w:val="00625753"/>
    <w:rsid w:val="00625C6F"/>
    <w:rsid w:val="00625C89"/>
    <w:rsid w:val="00626508"/>
    <w:rsid w:val="006268A8"/>
    <w:rsid w:val="00626CB3"/>
    <w:rsid w:val="00627498"/>
    <w:rsid w:val="00627750"/>
    <w:rsid w:val="006306A2"/>
    <w:rsid w:val="0063077E"/>
    <w:rsid w:val="006319F3"/>
    <w:rsid w:val="00631C8D"/>
    <w:rsid w:val="0063295C"/>
    <w:rsid w:val="00633721"/>
    <w:rsid w:val="00633B4D"/>
    <w:rsid w:val="0063410C"/>
    <w:rsid w:val="00634F56"/>
    <w:rsid w:val="0063555E"/>
    <w:rsid w:val="00635848"/>
    <w:rsid w:val="00635D8E"/>
    <w:rsid w:val="00636EB7"/>
    <w:rsid w:val="00637182"/>
    <w:rsid w:val="006371E1"/>
    <w:rsid w:val="00637860"/>
    <w:rsid w:val="00640783"/>
    <w:rsid w:val="00640DBB"/>
    <w:rsid w:val="006412C7"/>
    <w:rsid w:val="00641BFD"/>
    <w:rsid w:val="00642CDF"/>
    <w:rsid w:val="00643CC1"/>
    <w:rsid w:val="00644BC6"/>
    <w:rsid w:val="00645FB8"/>
    <w:rsid w:val="00646907"/>
    <w:rsid w:val="00646931"/>
    <w:rsid w:val="006469EB"/>
    <w:rsid w:val="00646D9A"/>
    <w:rsid w:val="00647679"/>
    <w:rsid w:val="0064773F"/>
    <w:rsid w:val="006479DB"/>
    <w:rsid w:val="00647F04"/>
    <w:rsid w:val="006505DF"/>
    <w:rsid w:val="00652666"/>
    <w:rsid w:val="00652A06"/>
    <w:rsid w:val="00653069"/>
    <w:rsid w:val="00653F2A"/>
    <w:rsid w:val="00654221"/>
    <w:rsid w:val="006543A7"/>
    <w:rsid w:val="00654CA1"/>
    <w:rsid w:val="006550C3"/>
    <w:rsid w:val="00655666"/>
    <w:rsid w:val="00655C4A"/>
    <w:rsid w:val="00655FA3"/>
    <w:rsid w:val="00657372"/>
    <w:rsid w:val="0065780C"/>
    <w:rsid w:val="0066008E"/>
    <w:rsid w:val="00660191"/>
    <w:rsid w:val="0066081D"/>
    <w:rsid w:val="00660E02"/>
    <w:rsid w:val="006610A6"/>
    <w:rsid w:val="00661306"/>
    <w:rsid w:val="00661B2E"/>
    <w:rsid w:val="00663197"/>
    <w:rsid w:val="006631D0"/>
    <w:rsid w:val="006641B3"/>
    <w:rsid w:val="006641BF"/>
    <w:rsid w:val="006645CC"/>
    <w:rsid w:val="0066511E"/>
    <w:rsid w:val="00665E95"/>
    <w:rsid w:val="00666375"/>
    <w:rsid w:val="00666740"/>
    <w:rsid w:val="00666CE6"/>
    <w:rsid w:val="006673DC"/>
    <w:rsid w:val="0066745C"/>
    <w:rsid w:val="006674C7"/>
    <w:rsid w:val="006677F3"/>
    <w:rsid w:val="006677F5"/>
    <w:rsid w:val="0067062D"/>
    <w:rsid w:val="00670684"/>
    <w:rsid w:val="00670D22"/>
    <w:rsid w:val="006728F7"/>
    <w:rsid w:val="006741E8"/>
    <w:rsid w:val="0067492A"/>
    <w:rsid w:val="00674DDB"/>
    <w:rsid w:val="00675B2B"/>
    <w:rsid w:val="006767CE"/>
    <w:rsid w:val="00676891"/>
    <w:rsid w:val="00676ACA"/>
    <w:rsid w:val="00676EDA"/>
    <w:rsid w:val="00676F60"/>
    <w:rsid w:val="0067726C"/>
    <w:rsid w:val="006774AB"/>
    <w:rsid w:val="00677500"/>
    <w:rsid w:val="00677D3E"/>
    <w:rsid w:val="00680AC4"/>
    <w:rsid w:val="00680C62"/>
    <w:rsid w:val="006811DC"/>
    <w:rsid w:val="00681C2E"/>
    <w:rsid w:val="00682249"/>
    <w:rsid w:val="006822F8"/>
    <w:rsid w:val="00682C5F"/>
    <w:rsid w:val="006833E0"/>
    <w:rsid w:val="00683483"/>
    <w:rsid w:val="0068361A"/>
    <w:rsid w:val="00683D98"/>
    <w:rsid w:val="00683E88"/>
    <w:rsid w:val="0068436F"/>
    <w:rsid w:val="00684913"/>
    <w:rsid w:val="00686386"/>
    <w:rsid w:val="00687DFC"/>
    <w:rsid w:val="00687FB5"/>
    <w:rsid w:val="00690502"/>
    <w:rsid w:val="00690A83"/>
    <w:rsid w:val="0069101F"/>
    <w:rsid w:val="006912E7"/>
    <w:rsid w:val="00691C3E"/>
    <w:rsid w:val="006924C6"/>
    <w:rsid w:val="0069305E"/>
    <w:rsid w:val="0069364F"/>
    <w:rsid w:val="00693D19"/>
    <w:rsid w:val="00695DF8"/>
    <w:rsid w:val="006961A2"/>
    <w:rsid w:val="00696F14"/>
    <w:rsid w:val="00697E4B"/>
    <w:rsid w:val="006A00A7"/>
    <w:rsid w:val="006A01C5"/>
    <w:rsid w:val="006A0E82"/>
    <w:rsid w:val="006A0EBB"/>
    <w:rsid w:val="006A1236"/>
    <w:rsid w:val="006A14E8"/>
    <w:rsid w:val="006A1977"/>
    <w:rsid w:val="006A1F16"/>
    <w:rsid w:val="006A201B"/>
    <w:rsid w:val="006A2273"/>
    <w:rsid w:val="006A2BF7"/>
    <w:rsid w:val="006A2E53"/>
    <w:rsid w:val="006A2F75"/>
    <w:rsid w:val="006A312D"/>
    <w:rsid w:val="006A3419"/>
    <w:rsid w:val="006A3EB9"/>
    <w:rsid w:val="006A40AE"/>
    <w:rsid w:val="006A459F"/>
    <w:rsid w:val="006A4EEC"/>
    <w:rsid w:val="006A5D67"/>
    <w:rsid w:val="006A5FDF"/>
    <w:rsid w:val="006A61A7"/>
    <w:rsid w:val="006A78B6"/>
    <w:rsid w:val="006A7AAC"/>
    <w:rsid w:val="006A7DCF"/>
    <w:rsid w:val="006B0C46"/>
    <w:rsid w:val="006B1310"/>
    <w:rsid w:val="006B138C"/>
    <w:rsid w:val="006B1A1C"/>
    <w:rsid w:val="006B1C8D"/>
    <w:rsid w:val="006B1F61"/>
    <w:rsid w:val="006B2A0D"/>
    <w:rsid w:val="006B3196"/>
    <w:rsid w:val="006B40EC"/>
    <w:rsid w:val="006B5866"/>
    <w:rsid w:val="006B5D6A"/>
    <w:rsid w:val="006B5DE5"/>
    <w:rsid w:val="006B5E59"/>
    <w:rsid w:val="006B6B0B"/>
    <w:rsid w:val="006B6E98"/>
    <w:rsid w:val="006B71DA"/>
    <w:rsid w:val="006B7538"/>
    <w:rsid w:val="006B7872"/>
    <w:rsid w:val="006B7CE7"/>
    <w:rsid w:val="006C0598"/>
    <w:rsid w:val="006C0C28"/>
    <w:rsid w:val="006C1775"/>
    <w:rsid w:val="006C2241"/>
    <w:rsid w:val="006C31BA"/>
    <w:rsid w:val="006C3315"/>
    <w:rsid w:val="006C42CD"/>
    <w:rsid w:val="006C4A42"/>
    <w:rsid w:val="006C5430"/>
    <w:rsid w:val="006C5AB2"/>
    <w:rsid w:val="006C5EEE"/>
    <w:rsid w:val="006C7CF1"/>
    <w:rsid w:val="006D04D0"/>
    <w:rsid w:val="006D06B1"/>
    <w:rsid w:val="006D0A8C"/>
    <w:rsid w:val="006D0F53"/>
    <w:rsid w:val="006D12F8"/>
    <w:rsid w:val="006D14D6"/>
    <w:rsid w:val="006D1E1D"/>
    <w:rsid w:val="006D2833"/>
    <w:rsid w:val="006D34B8"/>
    <w:rsid w:val="006D3840"/>
    <w:rsid w:val="006D387D"/>
    <w:rsid w:val="006D3CCD"/>
    <w:rsid w:val="006D3D51"/>
    <w:rsid w:val="006D3D61"/>
    <w:rsid w:val="006D48B5"/>
    <w:rsid w:val="006D552C"/>
    <w:rsid w:val="006D578C"/>
    <w:rsid w:val="006D6130"/>
    <w:rsid w:val="006D62FD"/>
    <w:rsid w:val="006D65E2"/>
    <w:rsid w:val="006D66D1"/>
    <w:rsid w:val="006D6E50"/>
    <w:rsid w:val="006D6EE8"/>
    <w:rsid w:val="006D70A9"/>
    <w:rsid w:val="006D718E"/>
    <w:rsid w:val="006D7D37"/>
    <w:rsid w:val="006D7DE9"/>
    <w:rsid w:val="006E068E"/>
    <w:rsid w:val="006E0CA7"/>
    <w:rsid w:val="006E105F"/>
    <w:rsid w:val="006E1AA5"/>
    <w:rsid w:val="006E1E90"/>
    <w:rsid w:val="006E1FD2"/>
    <w:rsid w:val="006E2DF2"/>
    <w:rsid w:val="006E3360"/>
    <w:rsid w:val="006E39DF"/>
    <w:rsid w:val="006E3AB0"/>
    <w:rsid w:val="006E4643"/>
    <w:rsid w:val="006E4F7F"/>
    <w:rsid w:val="006E7AFA"/>
    <w:rsid w:val="006E7D2F"/>
    <w:rsid w:val="006F0CEE"/>
    <w:rsid w:val="006F1149"/>
    <w:rsid w:val="006F1ABB"/>
    <w:rsid w:val="006F2C54"/>
    <w:rsid w:val="006F2D2F"/>
    <w:rsid w:val="006F37A5"/>
    <w:rsid w:val="006F3BC0"/>
    <w:rsid w:val="006F3FDC"/>
    <w:rsid w:val="006F4405"/>
    <w:rsid w:val="006F4422"/>
    <w:rsid w:val="006F4668"/>
    <w:rsid w:val="006F5AC1"/>
    <w:rsid w:val="006F6690"/>
    <w:rsid w:val="006F6AA7"/>
    <w:rsid w:val="006F6D21"/>
    <w:rsid w:val="006F7647"/>
    <w:rsid w:val="006F7EF1"/>
    <w:rsid w:val="00700AED"/>
    <w:rsid w:val="00700FB8"/>
    <w:rsid w:val="007028C2"/>
    <w:rsid w:val="007034F7"/>
    <w:rsid w:val="007035AB"/>
    <w:rsid w:val="00705211"/>
    <w:rsid w:val="00705F33"/>
    <w:rsid w:val="00705F52"/>
    <w:rsid w:val="007067CA"/>
    <w:rsid w:val="00707458"/>
    <w:rsid w:val="0071031E"/>
    <w:rsid w:val="00710696"/>
    <w:rsid w:val="0071226D"/>
    <w:rsid w:val="007134AB"/>
    <w:rsid w:val="00715815"/>
    <w:rsid w:val="00715969"/>
    <w:rsid w:val="00715C1B"/>
    <w:rsid w:val="00715E6F"/>
    <w:rsid w:val="0071674E"/>
    <w:rsid w:val="00716B0B"/>
    <w:rsid w:val="00720205"/>
    <w:rsid w:val="00720B57"/>
    <w:rsid w:val="007210A0"/>
    <w:rsid w:val="00722994"/>
    <w:rsid w:val="0072302B"/>
    <w:rsid w:val="007236EC"/>
    <w:rsid w:val="00724E1D"/>
    <w:rsid w:val="0072539C"/>
    <w:rsid w:val="007253D7"/>
    <w:rsid w:val="00725D0F"/>
    <w:rsid w:val="00725FC3"/>
    <w:rsid w:val="007260D0"/>
    <w:rsid w:val="007260ED"/>
    <w:rsid w:val="007261A8"/>
    <w:rsid w:val="007266A6"/>
    <w:rsid w:val="00726C27"/>
    <w:rsid w:val="00727268"/>
    <w:rsid w:val="00727B09"/>
    <w:rsid w:val="00730497"/>
    <w:rsid w:val="007315C4"/>
    <w:rsid w:val="00731990"/>
    <w:rsid w:val="00732108"/>
    <w:rsid w:val="00732221"/>
    <w:rsid w:val="00732664"/>
    <w:rsid w:val="00732707"/>
    <w:rsid w:val="0073307D"/>
    <w:rsid w:val="00733CE9"/>
    <w:rsid w:val="00733FE3"/>
    <w:rsid w:val="00733FFC"/>
    <w:rsid w:val="00734F9E"/>
    <w:rsid w:val="00735040"/>
    <w:rsid w:val="0073552C"/>
    <w:rsid w:val="00736254"/>
    <w:rsid w:val="007362BB"/>
    <w:rsid w:val="00736654"/>
    <w:rsid w:val="007367A5"/>
    <w:rsid w:val="00736B16"/>
    <w:rsid w:val="0073757C"/>
    <w:rsid w:val="00737BDB"/>
    <w:rsid w:val="0074084A"/>
    <w:rsid w:val="00740BA8"/>
    <w:rsid w:val="00740CCD"/>
    <w:rsid w:val="00742BBD"/>
    <w:rsid w:val="00743483"/>
    <w:rsid w:val="007446DC"/>
    <w:rsid w:val="00744AB1"/>
    <w:rsid w:val="00745108"/>
    <w:rsid w:val="007453BD"/>
    <w:rsid w:val="00745428"/>
    <w:rsid w:val="00745D29"/>
    <w:rsid w:val="00745F67"/>
    <w:rsid w:val="0074705B"/>
    <w:rsid w:val="00747FEB"/>
    <w:rsid w:val="007500F4"/>
    <w:rsid w:val="0075020F"/>
    <w:rsid w:val="007507B0"/>
    <w:rsid w:val="00750C66"/>
    <w:rsid w:val="00751771"/>
    <w:rsid w:val="00752407"/>
    <w:rsid w:val="00753CA7"/>
    <w:rsid w:val="00754544"/>
    <w:rsid w:val="00754622"/>
    <w:rsid w:val="00754DB9"/>
    <w:rsid w:val="007550BA"/>
    <w:rsid w:val="00755406"/>
    <w:rsid w:val="00755723"/>
    <w:rsid w:val="00755844"/>
    <w:rsid w:val="00755EB3"/>
    <w:rsid w:val="00756725"/>
    <w:rsid w:val="00756F89"/>
    <w:rsid w:val="0075700C"/>
    <w:rsid w:val="007570A3"/>
    <w:rsid w:val="00757CBF"/>
    <w:rsid w:val="007604DF"/>
    <w:rsid w:val="007611A7"/>
    <w:rsid w:val="00761A04"/>
    <w:rsid w:val="00761CA7"/>
    <w:rsid w:val="00761FA7"/>
    <w:rsid w:val="007620D9"/>
    <w:rsid w:val="00762602"/>
    <w:rsid w:val="00762AAF"/>
    <w:rsid w:val="0076343B"/>
    <w:rsid w:val="00764290"/>
    <w:rsid w:val="0076484D"/>
    <w:rsid w:val="007649E2"/>
    <w:rsid w:val="00764B75"/>
    <w:rsid w:val="00765438"/>
    <w:rsid w:val="00765548"/>
    <w:rsid w:val="00766E32"/>
    <w:rsid w:val="00767287"/>
    <w:rsid w:val="00770E7A"/>
    <w:rsid w:val="00772F49"/>
    <w:rsid w:val="00773C18"/>
    <w:rsid w:val="00774037"/>
    <w:rsid w:val="0077462F"/>
    <w:rsid w:val="00774BF6"/>
    <w:rsid w:val="00775181"/>
    <w:rsid w:val="00775BC9"/>
    <w:rsid w:val="00775FFE"/>
    <w:rsid w:val="0077606B"/>
    <w:rsid w:val="00776414"/>
    <w:rsid w:val="0077665E"/>
    <w:rsid w:val="00777D2C"/>
    <w:rsid w:val="00777E75"/>
    <w:rsid w:val="00780175"/>
    <w:rsid w:val="00780DF5"/>
    <w:rsid w:val="00781A03"/>
    <w:rsid w:val="00781E37"/>
    <w:rsid w:val="00782263"/>
    <w:rsid w:val="00782319"/>
    <w:rsid w:val="0078454F"/>
    <w:rsid w:val="0078457A"/>
    <w:rsid w:val="00784689"/>
    <w:rsid w:val="00785434"/>
    <w:rsid w:val="00787BF4"/>
    <w:rsid w:val="00787E00"/>
    <w:rsid w:val="007914BC"/>
    <w:rsid w:val="0079192D"/>
    <w:rsid w:val="007928B8"/>
    <w:rsid w:val="00792B1D"/>
    <w:rsid w:val="00793580"/>
    <w:rsid w:val="00794016"/>
    <w:rsid w:val="00794318"/>
    <w:rsid w:val="00794E2C"/>
    <w:rsid w:val="00794FE6"/>
    <w:rsid w:val="0079562C"/>
    <w:rsid w:val="00795A1F"/>
    <w:rsid w:val="00796FBF"/>
    <w:rsid w:val="00797046"/>
    <w:rsid w:val="00797939"/>
    <w:rsid w:val="00797CA7"/>
    <w:rsid w:val="007A0631"/>
    <w:rsid w:val="007A0682"/>
    <w:rsid w:val="007A0D95"/>
    <w:rsid w:val="007A0F01"/>
    <w:rsid w:val="007A174C"/>
    <w:rsid w:val="007A2055"/>
    <w:rsid w:val="007A21B8"/>
    <w:rsid w:val="007A26DF"/>
    <w:rsid w:val="007A2D56"/>
    <w:rsid w:val="007A363D"/>
    <w:rsid w:val="007A4369"/>
    <w:rsid w:val="007A5A53"/>
    <w:rsid w:val="007A6531"/>
    <w:rsid w:val="007A7A30"/>
    <w:rsid w:val="007B03DA"/>
    <w:rsid w:val="007B0FC1"/>
    <w:rsid w:val="007B16AD"/>
    <w:rsid w:val="007B23A8"/>
    <w:rsid w:val="007B25EB"/>
    <w:rsid w:val="007B292F"/>
    <w:rsid w:val="007B2B5D"/>
    <w:rsid w:val="007B2DCA"/>
    <w:rsid w:val="007B46D3"/>
    <w:rsid w:val="007B4837"/>
    <w:rsid w:val="007B4848"/>
    <w:rsid w:val="007B4D4A"/>
    <w:rsid w:val="007B55E3"/>
    <w:rsid w:val="007B5E23"/>
    <w:rsid w:val="007B64BF"/>
    <w:rsid w:val="007B6DCE"/>
    <w:rsid w:val="007B75AD"/>
    <w:rsid w:val="007B75EF"/>
    <w:rsid w:val="007B79BB"/>
    <w:rsid w:val="007C0561"/>
    <w:rsid w:val="007C0D8A"/>
    <w:rsid w:val="007C0E64"/>
    <w:rsid w:val="007C1373"/>
    <w:rsid w:val="007C1F6C"/>
    <w:rsid w:val="007C270F"/>
    <w:rsid w:val="007C342D"/>
    <w:rsid w:val="007C38DF"/>
    <w:rsid w:val="007C4DA0"/>
    <w:rsid w:val="007C582C"/>
    <w:rsid w:val="007C5971"/>
    <w:rsid w:val="007C764D"/>
    <w:rsid w:val="007C7C41"/>
    <w:rsid w:val="007D06AA"/>
    <w:rsid w:val="007D13A1"/>
    <w:rsid w:val="007D2016"/>
    <w:rsid w:val="007D2966"/>
    <w:rsid w:val="007D2FD6"/>
    <w:rsid w:val="007D3719"/>
    <w:rsid w:val="007D3762"/>
    <w:rsid w:val="007D3777"/>
    <w:rsid w:val="007D3C87"/>
    <w:rsid w:val="007D3DED"/>
    <w:rsid w:val="007D4CB9"/>
    <w:rsid w:val="007D56FE"/>
    <w:rsid w:val="007D5B0E"/>
    <w:rsid w:val="007D5FF9"/>
    <w:rsid w:val="007D64C6"/>
    <w:rsid w:val="007D7366"/>
    <w:rsid w:val="007D736A"/>
    <w:rsid w:val="007D7528"/>
    <w:rsid w:val="007E04E5"/>
    <w:rsid w:val="007E0622"/>
    <w:rsid w:val="007E0F13"/>
    <w:rsid w:val="007E1A79"/>
    <w:rsid w:val="007E1E06"/>
    <w:rsid w:val="007E23FF"/>
    <w:rsid w:val="007E3051"/>
    <w:rsid w:val="007E386B"/>
    <w:rsid w:val="007E4FCA"/>
    <w:rsid w:val="007E62BA"/>
    <w:rsid w:val="007E7065"/>
    <w:rsid w:val="007E7B56"/>
    <w:rsid w:val="007E7F56"/>
    <w:rsid w:val="007F0817"/>
    <w:rsid w:val="007F0E45"/>
    <w:rsid w:val="007F0FAD"/>
    <w:rsid w:val="007F1067"/>
    <w:rsid w:val="007F1BDE"/>
    <w:rsid w:val="007F2235"/>
    <w:rsid w:val="007F2337"/>
    <w:rsid w:val="007F2591"/>
    <w:rsid w:val="007F32F2"/>
    <w:rsid w:val="007F3599"/>
    <w:rsid w:val="007F436D"/>
    <w:rsid w:val="007F467B"/>
    <w:rsid w:val="007F4D2E"/>
    <w:rsid w:val="007F5AC3"/>
    <w:rsid w:val="007F632F"/>
    <w:rsid w:val="007F640C"/>
    <w:rsid w:val="007F6EDE"/>
    <w:rsid w:val="007F7611"/>
    <w:rsid w:val="007F7B2F"/>
    <w:rsid w:val="007F7C3D"/>
    <w:rsid w:val="007F7C75"/>
    <w:rsid w:val="00800556"/>
    <w:rsid w:val="00800EA8"/>
    <w:rsid w:val="00801986"/>
    <w:rsid w:val="00802977"/>
    <w:rsid w:val="00802DFB"/>
    <w:rsid w:val="00803368"/>
    <w:rsid w:val="0080399B"/>
    <w:rsid w:val="00804545"/>
    <w:rsid w:val="00804B68"/>
    <w:rsid w:val="008051FF"/>
    <w:rsid w:val="00805497"/>
    <w:rsid w:val="00805F64"/>
    <w:rsid w:val="0080680B"/>
    <w:rsid w:val="00806DA6"/>
    <w:rsid w:val="00806DE1"/>
    <w:rsid w:val="00807C98"/>
    <w:rsid w:val="00810129"/>
    <w:rsid w:val="00810B99"/>
    <w:rsid w:val="00811251"/>
    <w:rsid w:val="008118C1"/>
    <w:rsid w:val="0081292C"/>
    <w:rsid w:val="0081349A"/>
    <w:rsid w:val="00813A74"/>
    <w:rsid w:val="00813BF1"/>
    <w:rsid w:val="00813DA0"/>
    <w:rsid w:val="00813E84"/>
    <w:rsid w:val="0081467A"/>
    <w:rsid w:val="00814831"/>
    <w:rsid w:val="0081489A"/>
    <w:rsid w:val="00814E96"/>
    <w:rsid w:val="00815135"/>
    <w:rsid w:val="008158FD"/>
    <w:rsid w:val="00816032"/>
    <w:rsid w:val="008166DA"/>
    <w:rsid w:val="0081754C"/>
    <w:rsid w:val="00817F61"/>
    <w:rsid w:val="008207F4"/>
    <w:rsid w:val="00820D40"/>
    <w:rsid w:val="008211A1"/>
    <w:rsid w:val="00821C4B"/>
    <w:rsid w:val="008220CD"/>
    <w:rsid w:val="0082261D"/>
    <w:rsid w:val="00822903"/>
    <w:rsid w:val="00822988"/>
    <w:rsid w:val="008236D8"/>
    <w:rsid w:val="00823870"/>
    <w:rsid w:val="00823BB0"/>
    <w:rsid w:val="00824BF9"/>
    <w:rsid w:val="00824E2B"/>
    <w:rsid w:val="0082593F"/>
    <w:rsid w:val="00825A03"/>
    <w:rsid w:val="00825AAE"/>
    <w:rsid w:val="00825BB7"/>
    <w:rsid w:val="00825DB1"/>
    <w:rsid w:val="0082626C"/>
    <w:rsid w:val="00826392"/>
    <w:rsid w:val="0082652D"/>
    <w:rsid w:val="0082797C"/>
    <w:rsid w:val="00827C52"/>
    <w:rsid w:val="008308AA"/>
    <w:rsid w:val="0083098D"/>
    <w:rsid w:val="00831499"/>
    <w:rsid w:val="008327E7"/>
    <w:rsid w:val="00832A96"/>
    <w:rsid w:val="00832C70"/>
    <w:rsid w:val="00833B38"/>
    <w:rsid w:val="0083539D"/>
    <w:rsid w:val="00835A6F"/>
    <w:rsid w:val="00835E7F"/>
    <w:rsid w:val="00836399"/>
    <w:rsid w:val="008363DC"/>
    <w:rsid w:val="00836EA6"/>
    <w:rsid w:val="00836F0F"/>
    <w:rsid w:val="008376F9"/>
    <w:rsid w:val="00842552"/>
    <w:rsid w:val="008427F3"/>
    <w:rsid w:val="0084437C"/>
    <w:rsid w:val="0084479F"/>
    <w:rsid w:val="008452E3"/>
    <w:rsid w:val="00845B2F"/>
    <w:rsid w:val="00845B90"/>
    <w:rsid w:val="00845D26"/>
    <w:rsid w:val="008470D7"/>
    <w:rsid w:val="00850A35"/>
    <w:rsid w:val="00852C55"/>
    <w:rsid w:val="00852F35"/>
    <w:rsid w:val="008531AB"/>
    <w:rsid w:val="0085322A"/>
    <w:rsid w:val="00853B74"/>
    <w:rsid w:val="008545EA"/>
    <w:rsid w:val="0085533B"/>
    <w:rsid w:val="008556CE"/>
    <w:rsid w:val="008556DB"/>
    <w:rsid w:val="008557AE"/>
    <w:rsid w:val="008576DE"/>
    <w:rsid w:val="008606CF"/>
    <w:rsid w:val="00860B34"/>
    <w:rsid w:val="00861199"/>
    <w:rsid w:val="00861C3D"/>
    <w:rsid w:val="008632F5"/>
    <w:rsid w:val="00864398"/>
    <w:rsid w:val="00864A2B"/>
    <w:rsid w:val="008655F5"/>
    <w:rsid w:val="0086573B"/>
    <w:rsid w:val="008657C7"/>
    <w:rsid w:val="00865CD0"/>
    <w:rsid w:val="00866A9C"/>
    <w:rsid w:val="00866BE2"/>
    <w:rsid w:val="0086781A"/>
    <w:rsid w:val="0087079A"/>
    <w:rsid w:val="00870B87"/>
    <w:rsid w:val="008712D1"/>
    <w:rsid w:val="008714AB"/>
    <w:rsid w:val="008716AA"/>
    <w:rsid w:val="0087227A"/>
    <w:rsid w:val="008727AE"/>
    <w:rsid w:val="00872E0F"/>
    <w:rsid w:val="00873B35"/>
    <w:rsid w:val="00874787"/>
    <w:rsid w:val="00874930"/>
    <w:rsid w:val="0087568F"/>
    <w:rsid w:val="00875A5F"/>
    <w:rsid w:val="0087641F"/>
    <w:rsid w:val="00876F22"/>
    <w:rsid w:val="0087706C"/>
    <w:rsid w:val="0087710C"/>
    <w:rsid w:val="00877792"/>
    <w:rsid w:val="00877B21"/>
    <w:rsid w:val="00880123"/>
    <w:rsid w:val="00880805"/>
    <w:rsid w:val="008808B0"/>
    <w:rsid w:val="008808D7"/>
    <w:rsid w:val="00881399"/>
    <w:rsid w:val="00881A45"/>
    <w:rsid w:val="008825BE"/>
    <w:rsid w:val="008829FC"/>
    <w:rsid w:val="00882A41"/>
    <w:rsid w:val="0088309C"/>
    <w:rsid w:val="00883517"/>
    <w:rsid w:val="00883690"/>
    <w:rsid w:val="008838DD"/>
    <w:rsid w:val="008842B2"/>
    <w:rsid w:val="008843BE"/>
    <w:rsid w:val="0088446A"/>
    <w:rsid w:val="00884D85"/>
    <w:rsid w:val="00885274"/>
    <w:rsid w:val="00885510"/>
    <w:rsid w:val="00885812"/>
    <w:rsid w:val="00885B25"/>
    <w:rsid w:val="00885CA3"/>
    <w:rsid w:val="00886DDD"/>
    <w:rsid w:val="0088728C"/>
    <w:rsid w:val="00887524"/>
    <w:rsid w:val="0088752E"/>
    <w:rsid w:val="008909F5"/>
    <w:rsid w:val="00890AC7"/>
    <w:rsid w:val="00891E73"/>
    <w:rsid w:val="00892669"/>
    <w:rsid w:val="008926C0"/>
    <w:rsid w:val="00892FE6"/>
    <w:rsid w:val="008930BE"/>
    <w:rsid w:val="00893332"/>
    <w:rsid w:val="00893766"/>
    <w:rsid w:val="00893E40"/>
    <w:rsid w:val="00894569"/>
    <w:rsid w:val="00894740"/>
    <w:rsid w:val="00894E84"/>
    <w:rsid w:val="00894EE2"/>
    <w:rsid w:val="008954A9"/>
    <w:rsid w:val="00895A62"/>
    <w:rsid w:val="00895D38"/>
    <w:rsid w:val="00895DF3"/>
    <w:rsid w:val="00896124"/>
    <w:rsid w:val="00896919"/>
    <w:rsid w:val="00896C9A"/>
    <w:rsid w:val="00897497"/>
    <w:rsid w:val="008A006C"/>
    <w:rsid w:val="008A0822"/>
    <w:rsid w:val="008A2AD4"/>
    <w:rsid w:val="008A377E"/>
    <w:rsid w:val="008A3CF0"/>
    <w:rsid w:val="008A3CFB"/>
    <w:rsid w:val="008A3E2C"/>
    <w:rsid w:val="008A3FA5"/>
    <w:rsid w:val="008A49D0"/>
    <w:rsid w:val="008A4B37"/>
    <w:rsid w:val="008A57CC"/>
    <w:rsid w:val="008A682B"/>
    <w:rsid w:val="008A6ACC"/>
    <w:rsid w:val="008A7499"/>
    <w:rsid w:val="008A7FF2"/>
    <w:rsid w:val="008B0D5C"/>
    <w:rsid w:val="008B338C"/>
    <w:rsid w:val="008B3CB7"/>
    <w:rsid w:val="008B3EC3"/>
    <w:rsid w:val="008B48E7"/>
    <w:rsid w:val="008B50B4"/>
    <w:rsid w:val="008B52BA"/>
    <w:rsid w:val="008B6384"/>
    <w:rsid w:val="008B6804"/>
    <w:rsid w:val="008B6AD7"/>
    <w:rsid w:val="008B733C"/>
    <w:rsid w:val="008B7DC3"/>
    <w:rsid w:val="008C0176"/>
    <w:rsid w:val="008C04E7"/>
    <w:rsid w:val="008C06E8"/>
    <w:rsid w:val="008C0F11"/>
    <w:rsid w:val="008C13D8"/>
    <w:rsid w:val="008C1800"/>
    <w:rsid w:val="008C1D89"/>
    <w:rsid w:val="008C2133"/>
    <w:rsid w:val="008C21CF"/>
    <w:rsid w:val="008C2A3F"/>
    <w:rsid w:val="008C3148"/>
    <w:rsid w:val="008C34E1"/>
    <w:rsid w:val="008C382D"/>
    <w:rsid w:val="008C5747"/>
    <w:rsid w:val="008C58A7"/>
    <w:rsid w:val="008C75C1"/>
    <w:rsid w:val="008C76DF"/>
    <w:rsid w:val="008D0060"/>
    <w:rsid w:val="008D028A"/>
    <w:rsid w:val="008D0568"/>
    <w:rsid w:val="008D06E9"/>
    <w:rsid w:val="008D11D4"/>
    <w:rsid w:val="008D1266"/>
    <w:rsid w:val="008D149D"/>
    <w:rsid w:val="008D155C"/>
    <w:rsid w:val="008D170B"/>
    <w:rsid w:val="008D17D0"/>
    <w:rsid w:val="008D17F6"/>
    <w:rsid w:val="008D1BE3"/>
    <w:rsid w:val="008D2EFD"/>
    <w:rsid w:val="008D3210"/>
    <w:rsid w:val="008D34C2"/>
    <w:rsid w:val="008D35D3"/>
    <w:rsid w:val="008D3990"/>
    <w:rsid w:val="008D41BA"/>
    <w:rsid w:val="008D420B"/>
    <w:rsid w:val="008D4701"/>
    <w:rsid w:val="008D4C4A"/>
    <w:rsid w:val="008D51F9"/>
    <w:rsid w:val="008D57E5"/>
    <w:rsid w:val="008D5A1D"/>
    <w:rsid w:val="008D6A1C"/>
    <w:rsid w:val="008D6E80"/>
    <w:rsid w:val="008D73F7"/>
    <w:rsid w:val="008D750A"/>
    <w:rsid w:val="008D7572"/>
    <w:rsid w:val="008D7BA1"/>
    <w:rsid w:val="008D7D5C"/>
    <w:rsid w:val="008E000F"/>
    <w:rsid w:val="008E0CDD"/>
    <w:rsid w:val="008E129B"/>
    <w:rsid w:val="008E1954"/>
    <w:rsid w:val="008E255A"/>
    <w:rsid w:val="008E316B"/>
    <w:rsid w:val="008E3C09"/>
    <w:rsid w:val="008E451A"/>
    <w:rsid w:val="008E4813"/>
    <w:rsid w:val="008E498C"/>
    <w:rsid w:val="008E5282"/>
    <w:rsid w:val="008E58BB"/>
    <w:rsid w:val="008E5B0A"/>
    <w:rsid w:val="008E5B4D"/>
    <w:rsid w:val="008E7F02"/>
    <w:rsid w:val="008F04A3"/>
    <w:rsid w:val="008F124D"/>
    <w:rsid w:val="008F21FC"/>
    <w:rsid w:val="008F34EF"/>
    <w:rsid w:val="008F39C7"/>
    <w:rsid w:val="008F3D52"/>
    <w:rsid w:val="008F4A04"/>
    <w:rsid w:val="008F5FB9"/>
    <w:rsid w:val="008F618F"/>
    <w:rsid w:val="008F61F7"/>
    <w:rsid w:val="008F6215"/>
    <w:rsid w:val="008F66AE"/>
    <w:rsid w:val="008F67FE"/>
    <w:rsid w:val="008F6861"/>
    <w:rsid w:val="008F6A3A"/>
    <w:rsid w:val="008F70A3"/>
    <w:rsid w:val="008F75FD"/>
    <w:rsid w:val="008F775D"/>
    <w:rsid w:val="009000AD"/>
    <w:rsid w:val="00900EBA"/>
    <w:rsid w:val="0090123F"/>
    <w:rsid w:val="009013DF"/>
    <w:rsid w:val="00901AD7"/>
    <w:rsid w:val="00901FE8"/>
    <w:rsid w:val="00903C1E"/>
    <w:rsid w:val="009040B0"/>
    <w:rsid w:val="00904345"/>
    <w:rsid w:val="00906798"/>
    <w:rsid w:val="00906809"/>
    <w:rsid w:val="00906F2D"/>
    <w:rsid w:val="00910072"/>
    <w:rsid w:val="009104AA"/>
    <w:rsid w:val="00911F11"/>
    <w:rsid w:val="009125C2"/>
    <w:rsid w:val="00912DD6"/>
    <w:rsid w:val="00912EC2"/>
    <w:rsid w:val="00913163"/>
    <w:rsid w:val="0091452D"/>
    <w:rsid w:val="009145D9"/>
    <w:rsid w:val="00915C43"/>
    <w:rsid w:val="00915D00"/>
    <w:rsid w:val="00915F7C"/>
    <w:rsid w:val="00917022"/>
    <w:rsid w:val="009174F0"/>
    <w:rsid w:val="00917E48"/>
    <w:rsid w:val="00920846"/>
    <w:rsid w:val="00921461"/>
    <w:rsid w:val="00921482"/>
    <w:rsid w:val="0092215C"/>
    <w:rsid w:val="00922B5D"/>
    <w:rsid w:val="00922BE2"/>
    <w:rsid w:val="00922DF2"/>
    <w:rsid w:val="00922FC5"/>
    <w:rsid w:val="00923271"/>
    <w:rsid w:val="00923C66"/>
    <w:rsid w:val="00924221"/>
    <w:rsid w:val="009245A0"/>
    <w:rsid w:val="00924E8D"/>
    <w:rsid w:val="0092561E"/>
    <w:rsid w:val="009256DC"/>
    <w:rsid w:val="00925B5A"/>
    <w:rsid w:val="00927049"/>
    <w:rsid w:val="0092720E"/>
    <w:rsid w:val="00927604"/>
    <w:rsid w:val="00927806"/>
    <w:rsid w:val="0093119F"/>
    <w:rsid w:val="0093133A"/>
    <w:rsid w:val="00931A5A"/>
    <w:rsid w:val="00932728"/>
    <w:rsid w:val="00933C62"/>
    <w:rsid w:val="00933FF7"/>
    <w:rsid w:val="00934BDB"/>
    <w:rsid w:val="0093522D"/>
    <w:rsid w:val="0093551E"/>
    <w:rsid w:val="00935525"/>
    <w:rsid w:val="0093557B"/>
    <w:rsid w:val="00935C31"/>
    <w:rsid w:val="00935D31"/>
    <w:rsid w:val="00936379"/>
    <w:rsid w:val="00936E6C"/>
    <w:rsid w:val="009373FF"/>
    <w:rsid w:val="009400E5"/>
    <w:rsid w:val="009402BD"/>
    <w:rsid w:val="009405FF"/>
    <w:rsid w:val="00941B7F"/>
    <w:rsid w:val="00943689"/>
    <w:rsid w:val="00943C63"/>
    <w:rsid w:val="0094453B"/>
    <w:rsid w:val="00944DB9"/>
    <w:rsid w:val="00944EBF"/>
    <w:rsid w:val="009457DC"/>
    <w:rsid w:val="00946ADB"/>
    <w:rsid w:val="00946E11"/>
    <w:rsid w:val="00947562"/>
    <w:rsid w:val="0094794D"/>
    <w:rsid w:val="00947A18"/>
    <w:rsid w:val="00947C7D"/>
    <w:rsid w:val="00947CBF"/>
    <w:rsid w:val="00947F14"/>
    <w:rsid w:val="00947F5C"/>
    <w:rsid w:val="00950E49"/>
    <w:rsid w:val="00951687"/>
    <w:rsid w:val="00952E54"/>
    <w:rsid w:val="00953756"/>
    <w:rsid w:val="00953E77"/>
    <w:rsid w:val="009544BD"/>
    <w:rsid w:val="009551C1"/>
    <w:rsid w:val="00955266"/>
    <w:rsid w:val="00955889"/>
    <w:rsid w:val="009561FC"/>
    <w:rsid w:val="00956484"/>
    <w:rsid w:val="00956E9E"/>
    <w:rsid w:val="00956F51"/>
    <w:rsid w:val="00957A78"/>
    <w:rsid w:val="009608B8"/>
    <w:rsid w:val="00960CCE"/>
    <w:rsid w:val="00960D28"/>
    <w:rsid w:val="009616D6"/>
    <w:rsid w:val="00961B28"/>
    <w:rsid w:val="009624F0"/>
    <w:rsid w:val="0096449C"/>
    <w:rsid w:val="009649D6"/>
    <w:rsid w:val="00965227"/>
    <w:rsid w:val="00965A67"/>
    <w:rsid w:val="00965FB2"/>
    <w:rsid w:val="0096618D"/>
    <w:rsid w:val="00966785"/>
    <w:rsid w:val="00967753"/>
    <w:rsid w:val="00967920"/>
    <w:rsid w:val="00970D16"/>
    <w:rsid w:val="00971259"/>
    <w:rsid w:val="00971958"/>
    <w:rsid w:val="00971A0A"/>
    <w:rsid w:val="00971AC0"/>
    <w:rsid w:val="00972E8F"/>
    <w:rsid w:val="00973500"/>
    <w:rsid w:val="00973730"/>
    <w:rsid w:val="00973C4D"/>
    <w:rsid w:val="009744A8"/>
    <w:rsid w:val="0097491B"/>
    <w:rsid w:val="00974BD3"/>
    <w:rsid w:val="0097507E"/>
    <w:rsid w:val="009756B4"/>
    <w:rsid w:val="009758BB"/>
    <w:rsid w:val="00976278"/>
    <w:rsid w:val="009763E4"/>
    <w:rsid w:val="00977B68"/>
    <w:rsid w:val="0098015C"/>
    <w:rsid w:val="00981A97"/>
    <w:rsid w:val="00981DE8"/>
    <w:rsid w:val="009820EF"/>
    <w:rsid w:val="00984248"/>
    <w:rsid w:val="009844A7"/>
    <w:rsid w:val="009845C6"/>
    <w:rsid w:val="0098570E"/>
    <w:rsid w:val="00986062"/>
    <w:rsid w:val="00986253"/>
    <w:rsid w:val="00986782"/>
    <w:rsid w:val="00987211"/>
    <w:rsid w:val="00987323"/>
    <w:rsid w:val="009902B8"/>
    <w:rsid w:val="009903C8"/>
    <w:rsid w:val="0099069D"/>
    <w:rsid w:val="00991146"/>
    <w:rsid w:val="00991726"/>
    <w:rsid w:val="00991C72"/>
    <w:rsid w:val="00992131"/>
    <w:rsid w:val="009926CA"/>
    <w:rsid w:val="009935F2"/>
    <w:rsid w:val="009952FF"/>
    <w:rsid w:val="009955F0"/>
    <w:rsid w:val="00995A46"/>
    <w:rsid w:val="00997444"/>
    <w:rsid w:val="0099753F"/>
    <w:rsid w:val="0099758E"/>
    <w:rsid w:val="00997AAD"/>
    <w:rsid w:val="009A0978"/>
    <w:rsid w:val="009A0E2F"/>
    <w:rsid w:val="009A124A"/>
    <w:rsid w:val="009A1E51"/>
    <w:rsid w:val="009A230A"/>
    <w:rsid w:val="009A3646"/>
    <w:rsid w:val="009A455C"/>
    <w:rsid w:val="009A466D"/>
    <w:rsid w:val="009A49FC"/>
    <w:rsid w:val="009A513C"/>
    <w:rsid w:val="009A51E8"/>
    <w:rsid w:val="009A5A08"/>
    <w:rsid w:val="009A5D5C"/>
    <w:rsid w:val="009A6AD0"/>
    <w:rsid w:val="009A6C82"/>
    <w:rsid w:val="009A6F11"/>
    <w:rsid w:val="009A789C"/>
    <w:rsid w:val="009B0311"/>
    <w:rsid w:val="009B28DA"/>
    <w:rsid w:val="009B2B82"/>
    <w:rsid w:val="009B3004"/>
    <w:rsid w:val="009B3113"/>
    <w:rsid w:val="009B356A"/>
    <w:rsid w:val="009B39F8"/>
    <w:rsid w:val="009B3BA4"/>
    <w:rsid w:val="009B3D45"/>
    <w:rsid w:val="009B47C8"/>
    <w:rsid w:val="009B49CB"/>
    <w:rsid w:val="009B6170"/>
    <w:rsid w:val="009B6DE8"/>
    <w:rsid w:val="009B6FB8"/>
    <w:rsid w:val="009B7F51"/>
    <w:rsid w:val="009C0225"/>
    <w:rsid w:val="009C1457"/>
    <w:rsid w:val="009C1511"/>
    <w:rsid w:val="009C1F62"/>
    <w:rsid w:val="009C2598"/>
    <w:rsid w:val="009C2BCC"/>
    <w:rsid w:val="009C447E"/>
    <w:rsid w:val="009C4ECA"/>
    <w:rsid w:val="009C6F42"/>
    <w:rsid w:val="009C73DB"/>
    <w:rsid w:val="009C7EED"/>
    <w:rsid w:val="009D0053"/>
    <w:rsid w:val="009D138E"/>
    <w:rsid w:val="009D1E9E"/>
    <w:rsid w:val="009D2896"/>
    <w:rsid w:val="009D3F01"/>
    <w:rsid w:val="009D510C"/>
    <w:rsid w:val="009D6CCA"/>
    <w:rsid w:val="009D7383"/>
    <w:rsid w:val="009D753E"/>
    <w:rsid w:val="009D7B1C"/>
    <w:rsid w:val="009E0023"/>
    <w:rsid w:val="009E057F"/>
    <w:rsid w:val="009E0D35"/>
    <w:rsid w:val="009E1BCF"/>
    <w:rsid w:val="009E2CC3"/>
    <w:rsid w:val="009E30AD"/>
    <w:rsid w:val="009E318D"/>
    <w:rsid w:val="009E31DE"/>
    <w:rsid w:val="009E339B"/>
    <w:rsid w:val="009E33E3"/>
    <w:rsid w:val="009E35D6"/>
    <w:rsid w:val="009E3CEA"/>
    <w:rsid w:val="009E4056"/>
    <w:rsid w:val="009E4965"/>
    <w:rsid w:val="009E5566"/>
    <w:rsid w:val="009E5576"/>
    <w:rsid w:val="009E6713"/>
    <w:rsid w:val="009E6865"/>
    <w:rsid w:val="009E6BAC"/>
    <w:rsid w:val="009E6FF5"/>
    <w:rsid w:val="009E72F5"/>
    <w:rsid w:val="009E7744"/>
    <w:rsid w:val="009E794A"/>
    <w:rsid w:val="009F108E"/>
    <w:rsid w:val="009F1ED1"/>
    <w:rsid w:val="009F2C76"/>
    <w:rsid w:val="009F3357"/>
    <w:rsid w:val="009F335F"/>
    <w:rsid w:val="009F3E7B"/>
    <w:rsid w:val="009F3FC9"/>
    <w:rsid w:val="009F4C6D"/>
    <w:rsid w:val="009F5192"/>
    <w:rsid w:val="009F5236"/>
    <w:rsid w:val="009F55E8"/>
    <w:rsid w:val="009F578C"/>
    <w:rsid w:val="009F5CC7"/>
    <w:rsid w:val="009F614E"/>
    <w:rsid w:val="009F7AE0"/>
    <w:rsid w:val="009F7B7F"/>
    <w:rsid w:val="009F7EAC"/>
    <w:rsid w:val="00A00740"/>
    <w:rsid w:val="00A00A1A"/>
    <w:rsid w:val="00A016F9"/>
    <w:rsid w:val="00A023DA"/>
    <w:rsid w:val="00A02465"/>
    <w:rsid w:val="00A02EB2"/>
    <w:rsid w:val="00A03850"/>
    <w:rsid w:val="00A04421"/>
    <w:rsid w:val="00A046FB"/>
    <w:rsid w:val="00A0470D"/>
    <w:rsid w:val="00A0492D"/>
    <w:rsid w:val="00A050B3"/>
    <w:rsid w:val="00A05F1B"/>
    <w:rsid w:val="00A06A26"/>
    <w:rsid w:val="00A077AA"/>
    <w:rsid w:val="00A106C2"/>
    <w:rsid w:val="00A110CE"/>
    <w:rsid w:val="00A1169D"/>
    <w:rsid w:val="00A117E9"/>
    <w:rsid w:val="00A122B8"/>
    <w:rsid w:val="00A123E3"/>
    <w:rsid w:val="00A1688C"/>
    <w:rsid w:val="00A16A99"/>
    <w:rsid w:val="00A16B14"/>
    <w:rsid w:val="00A17251"/>
    <w:rsid w:val="00A207CE"/>
    <w:rsid w:val="00A209FF"/>
    <w:rsid w:val="00A20C53"/>
    <w:rsid w:val="00A20D36"/>
    <w:rsid w:val="00A2151D"/>
    <w:rsid w:val="00A21674"/>
    <w:rsid w:val="00A21750"/>
    <w:rsid w:val="00A21CB3"/>
    <w:rsid w:val="00A221B9"/>
    <w:rsid w:val="00A229A5"/>
    <w:rsid w:val="00A22BF2"/>
    <w:rsid w:val="00A22C0E"/>
    <w:rsid w:val="00A22C7C"/>
    <w:rsid w:val="00A23BDC"/>
    <w:rsid w:val="00A24A27"/>
    <w:rsid w:val="00A24B3F"/>
    <w:rsid w:val="00A24CC3"/>
    <w:rsid w:val="00A24DF1"/>
    <w:rsid w:val="00A24ECF"/>
    <w:rsid w:val="00A25264"/>
    <w:rsid w:val="00A25526"/>
    <w:rsid w:val="00A2569F"/>
    <w:rsid w:val="00A25F94"/>
    <w:rsid w:val="00A260A6"/>
    <w:rsid w:val="00A2612A"/>
    <w:rsid w:val="00A26144"/>
    <w:rsid w:val="00A26B69"/>
    <w:rsid w:val="00A26D10"/>
    <w:rsid w:val="00A26DB7"/>
    <w:rsid w:val="00A26F53"/>
    <w:rsid w:val="00A27181"/>
    <w:rsid w:val="00A27DE9"/>
    <w:rsid w:val="00A27F31"/>
    <w:rsid w:val="00A3027E"/>
    <w:rsid w:val="00A306C4"/>
    <w:rsid w:val="00A30D39"/>
    <w:rsid w:val="00A3198E"/>
    <w:rsid w:val="00A331F4"/>
    <w:rsid w:val="00A335D5"/>
    <w:rsid w:val="00A3374B"/>
    <w:rsid w:val="00A3385D"/>
    <w:rsid w:val="00A343EC"/>
    <w:rsid w:val="00A34AEF"/>
    <w:rsid w:val="00A34BB0"/>
    <w:rsid w:val="00A35CB2"/>
    <w:rsid w:val="00A36078"/>
    <w:rsid w:val="00A36281"/>
    <w:rsid w:val="00A363AE"/>
    <w:rsid w:val="00A372EE"/>
    <w:rsid w:val="00A37A69"/>
    <w:rsid w:val="00A40EF9"/>
    <w:rsid w:val="00A40F4B"/>
    <w:rsid w:val="00A413A7"/>
    <w:rsid w:val="00A41601"/>
    <w:rsid w:val="00A418BB"/>
    <w:rsid w:val="00A419FF"/>
    <w:rsid w:val="00A42207"/>
    <w:rsid w:val="00A4344F"/>
    <w:rsid w:val="00A43A29"/>
    <w:rsid w:val="00A43B4A"/>
    <w:rsid w:val="00A43DB2"/>
    <w:rsid w:val="00A44659"/>
    <w:rsid w:val="00A45561"/>
    <w:rsid w:val="00A45EC7"/>
    <w:rsid w:val="00A465EE"/>
    <w:rsid w:val="00A46748"/>
    <w:rsid w:val="00A474A0"/>
    <w:rsid w:val="00A47968"/>
    <w:rsid w:val="00A50677"/>
    <w:rsid w:val="00A5094A"/>
    <w:rsid w:val="00A5115F"/>
    <w:rsid w:val="00A51DC7"/>
    <w:rsid w:val="00A53879"/>
    <w:rsid w:val="00A53FCC"/>
    <w:rsid w:val="00A54DFC"/>
    <w:rsid w:val="00A54FB8"/>
    <w:rsid w:val="00A55040"/>
    <w:rsid w:val="00A5505D"/>
    <w:rsid w:val="00A5543F"/>
    <w:rsid w:val="00A554DD"/>
    <w:rsid w:val="00A56812"/>
    <w:rsid w:val="00A56DC0"/>
    <w:rsid w:val="00A57412"/>
    <w:rsid w:val="00A635BF"/>
    <w:rsid w:val="00A6386E"/>
    <w:rsid w:val="00A641CB"/>
    <w:rsid w:val="00A6595A"/>
    <w:rsid w:val="00A660CF"/>
    <w:rsid w:val="00A6620E"/>
    <w:rsid w:val="00A66B9C"/>
    <w:rsid w:val="00A674FA"/>
    <w:rsid w:val="00A67D2C"/>
    <w:rsid w:val="00A7147A"/>
    <w:rsid w:val="00A73A87"/>
    <w:rsid w:val="00A74149"/>
    <w:rsid w:val="00A7423B"/>
    <w:rsid w:val="00A74652"/>
    <w:rsid w:val="00A746CC"/>
    <w:rsid w:val="00A76A11"/>
    <w:rsid w:val="00A77331"/>
    <w:rsid w:val="00A774C8"/>
    <w:rsid w:val="00A77CAE"/>
    <w:rsid w:val="00A80EE4"/>
    <w:rsid w:val="00A8198D"/>
    <w:rsid w:val="00A81BA6"/>
    <w:rsid w:val="00A82289"/>
    <w:rsid w:val="00A82EBC"/>
    <w:rsid w:val="00A8555F"/>
    <w:rsid w:val="00A863D2"/>
    <w:rsid w:val="00A866C2"/>
    <w:rsid w:val="00A87F88"/>
    <w:rsid w:val="00A901C4"/>
    <w:rsid w:val="00A907B6"/>
    <w:rsid w:val="00A90853"/>
    <w:rsid w:val="00A911AE"/>
    <w:rsid w:val="00A91A85"/>
    <w:rsid w:val="00A91E4F"/>
    <w:rsid w:val="00A92E67"/>
    <w:rsid w:val="00A9434C"/>
    <w:rsid w:val="00A946FA"/>
    <w:rsid w:val="00A955F2"/>
    <w:rsid w:val="00A95BBB"/>
    <w:rsid w:val="00A96808"/>
    <w:rsid w:val="00A96831"/>
    <w:rsid w:val="00A96F76"/>
    <w:rsid w:val="00A978DA"/>
    <w:rsid w:val="00AA0EA2"/>
    <w:rsid w:val="00AA1E6D"/>
    <w:rsid w:val="00AA2FF2"/>
    <w:rsid w:val="00AA331D"/>
    <w:rsid w:val="00AA411E"/>
    <w:rsid w:val="00AA43A4"/>
    <w:rsid w:val="00AA46E3"/>
    <w:rsid w:val="00AA50D0"/>
    <w:rsid w:val="00AA5BBB"/>
    <w:rsid w:val="00AA63D9"/>
    <w:rsid w:val="00AB0055"/>
    <w:rsid w:val="00AB1485"/>
    <w:rsid w:val="00AB1CE6"/>
    <w:rsid w:val="00AB2A3D"/>
    <w:rsid w:val="00AB2D65"/>
    <w:rsid w:val="00AB4553"/>
    <w:rsid w:val="00AB4B81"/>
    <w:rsid w:val="00AB68E6"/>
    <w:rsid w:val="00AB75E6"/>
    <w:rsid w:val="00AB7DF9"/>
    <w:rsid w:val="00AC0C8B"/>
    <w:rsid w:val="00AC0CEB"/>
    <w:rsid w:val="00AC0E5B"/>
    <w:rsid w:val="00AC10E6"/>
    <w:rsid w:val="00AC1CB8"/>
    <w:rsid w:val="00AC319F"/>
    <w:rsid w:val="00AC5C9E"/>
    <w:rsid w:val="00AC635C"/>
    <w:rsid w:val="00AC6CA8"/>
    <w:rsid w:val="00AC7CB3"/>
    <w:rsid w:val="00AC7CD4"/>
    <w:rsid w:val="00AD088D"/>
    <w:rsid w:val="00AD10F7"/>
    <w:rsid w:val="00AD22B9"/>
    <w:rsid w:val="00AD24F7"/>
    <w:rsid w:val="00AD2D7D"/>
    <w:rsid w:val="00AD3A83"/>
    <w:rsid w:val="00AD3ECE"/>
    <w:rsid w:val="00AD449C"/>
    <w:rsid w:val="00AD505E"/>
    <w:rsid w:val="00AD506C"/>
    <w:rsid w:val="00AD545A"/>
    <w:rsid w:val="00AD56AF"/>
    <w:rsid w:val="00AD5801"/>
    <w:rsid w:val="00AD5AB1"/>
    <w:rsid w:val="00AD60E8"/>
    <w:rsid w:val="00AD776C"/>
    <w:rsid w:val="00AE0EBC"/>
    <w:rsid w:val="00AE220D"/>
    <w:rsid w:val="00AE2571"/>
    <w:rsid w:val="00AE27C9"/>
    <w:rsid w:val="00AE2839"/>
    <w:rsid w:val="00AE2B1C"/>
    <w:rsid w:val="00AE2EAB"/>
    <w:rsid w:val="00AE2F15"/>
    <w:rsid w:val="00AE35F1"/>
    <w:rsid w:val="00AE3A1F"/>
    <w:rsid w:val="00AE3B54"/>
    <w:rsid w:val="00AE3CB6"/>
    <w:rsid w:val="00AE4131"/>
    <w:rsid w:val="00AE4A92"/>
    <w:rsid w:val="00AE535D"/>
    <w:rsid w:val="00AE56CE"/>
    <w:rsid w:val="00AE57B3"/>
    <w:rsid w:val="00AE6CEC"/>
    <w:rsid w:val="00AE6D2D"/>
    <w:rsid w:val="00AE7374"/>
    <w:rsid w:val="00AE78EB"/>
    <w:rsid w:val="00AF02E0"/>
    <w:rsid w:val="00AF0334"/>
    <w:rsid w:val="00AF0908"/>
    <w:rsid w:val="00AF13E8"/>
    <w:rsid w:val="00AF1AC2"/>
    <w:rsid w:val="00AF24E2"/>
    <w:rsid w:val="00AF346E"/>
    <w:rsid w:val="00AF494E"/>
    <w:rsid w:val="00AF74E0"/>
    <w:rsid w:val="00AF753C"/>
    <w:rsid w:val="00AF7D3A"/>
    <w:rsid w:val="00B00315"/>
    <w:rsid w:val="00B004D2"/>
    <w:rsid w:val="00B01169"/>
    <w:rsid w:val="00B015FD"/>
    <w:rsid w:val="00B022CB"/>
    <w:rsid w:val="00B023DB"/>
    <w:rsid w:val="00B02D76"/>
    <w:rsid w:val="00B03BA0"/>
    <w:rsid w:val="00B049D4"/>
    <w:rsid w:val="00B05107"/>
    <w:rsid w:val="00B0643F"/>
    <w:rsid w:val="00B07504"/>
    <w:rsid w:val="00B07805"/>
    <w:rsid w:val="00B07C31"/>
    <w:rsid w:val="00B1081A"/>
    <w:rsid w:val="00B11A74"/>
    <w:rsid w:val="00B1247B"/>
    <w:rsid w:val="00B127C6"/>
    <w:rsid w:val="00B12825"/>
    <w:rsid w:val="00B12FE3"/>
    <w:rsid w:val="00B1314D"/>
    <w:rsid w:val="00B14060"/>
    <w:rsid w:val="00B141F7"/>
    <w:rsid w:val="00B147E7"/>
    <w:rsid w:val="00B15E5F"/>
    <w:rsid w:val="00B16002"/>
    <w:rsid w:val="00B1675A"/>
    <w:rsid w:val="00B167D2"/>
    <w:rsid w:val="00B170A4"/>
    <w:rsid w:val="00B17236"/>
    <w:rsid w:val="00B201FA"/>
    <w:rsid w:val="00B2036A"/>
    <w:rsid w:val="00B214DF"/>
    <w:rsid w:val="00B216A1"/>
    <w:rsid w:val="00B22000"/>
    <w:rsid w:val="00B22332"/>
    <w:rsid w:val="00B22BFD"/>
    <w:rsid w:val="00B2393C"/>
    <w:rsid w:val="00B24593"/>
    <w:rsid w:val="00B255C5"/>
    <w:rsid w:val="00B256D1"/>
    <w:rsid w:val="00B25914"/>
    <w:rsid w:val="00B25E99"/>
    <w:rsid w:val="00B2609D"/>
    <w:rsid w:val="00B260E3"/>
    <w:rsid w:val="00B26B45"/>
    <w:rsid w:val="00B2786F"/>
    <w:rsid w:val="00B27C06"/>
    <w:rsid w:val="00B3037F"/>
    <w:rsid w:val="00B31146"/>
    <w:rsid w:val="00B3139D"/>
    <w:rsid w:val="00B315BF"/>
    <w:rsid w:val="00B31BDB"/>
    <w:rsid w:val="00B32BEE"/>
    <w:rsid w:val="00B32E0B"/>
    <w:rsid w:val="00B345DE"/>
    <w:rsid w:val="00B34645"/>
    <w:rsid w:val="00B350FA"/>
    <w:rsid w:val="00B35AF0"/>
    <w:rsid w:val="00B35B41"/>
    <w:rsid w:val="00B36B85"/>
    <w:rsid w:val="00B37931"/>
    <w:rsid w:val="00B40700"/>
    <w:rsid w:val="00B40EA1"/>
    <w:rsid w:val="00B41255"/>
    <w:rsid w:val="00B4129F"/>
    <w:rsid w:val="00B420CE"/>
    <w:rsid w:val="00B42212"/>
    <w:rsid w:val="00B42F0B"/>
    <w:rsid w:val="00B43ABC"/>
    <w:rsid w:val="00B43DBF"/>
    <w:rsid w:val="00B4512A"/>
    <w:rsid w:val="00B478F1"/>
    <w:rsid w:val="00B47AE1"/>
    <w:rsid w:val="00B501FC"/>
    <w:rsid w:val="00B50FA3"/>
    <w:rsid w:val="00B5102B"/>
    <w:rsid w:val="00B51422"/>
    <w:rsid w:val="00B536B2"/>
    <w:rsid w:val="00B536DA"/>
    <w:rsid w:val="00B5457E"/>
    <w:rsid w:val="00B5485B"/>
    <w:rsid w:val="00B55616"/>
    <w:rsid w:val="00B55807"/>
    <w:rsid w:val="00B55969"/>
    <w:rsid w:val="00B564AF"/>
    <w:rsid w:val="00B56929"/>
    <w:rsid w:val="00B56F95"/>
    <w:rsid w:val="00B575DD"/>
    <w:rsid w:val="00B57A0C"/>
    <w:rsid w:val="00B57DDF"/>
    <w:rsid w:val="00B6036E"/>
    <w:rsid w:val="00B61303"/>
    <w:rsid w:val="00B61984"/>
    <w:rsid w:val="00B62682"/>
    <w:rsid w:val="00B62AB8"/>
    <w:rsid w:val="00B64124"/>
    <w:rsid w:val="00B644CA"/>
    <w:rsid w:val="00B64FB6"/>
    <w:rsid w:val="00B66F62"/>
    <w:rsid w:val="00B671CA"/>
    <w:rsid w:val="00B672BB"/>
    <w:rsid w:val="00B672E1"/>
    <w:rsid w:val="00B67703"/>
    <w:rsid w:val="00B677E2"/>
    <w:rsid w:val="00B679A7"/>
    <w:rsid w:val="00B67C40"/>
    <w:rsid w:val="00B709B7"/>
    <w:rsid w:val="00B71B04"/>
    <w:rsid w:val="00B71BAF"/>
    <w:rsid w:val="00B720C5"/>
    <w:rsid w:val="00B72E6C"/>
    <w:rsid w:val="00B7353D"/>
    <w:rsid w:val="00B73BB5"/>
    <w:rsid w:val="00B740B0"/>
    <w:rsid w:val="00B742CB"/>
    <w:rsid w:val="00B75A64"/>
    <w:rsid w:val="00B75FA6"/>
    <w:rsid w:val="00B7679D"/>
    <w:rsid w:val="00B77880"/>
    <w:rsid w:val="00B77F25"/>
    <w:rsid w:val="00B802A7"/>
    <w:rsid w:val="00B80344"/>
    <w:rsid w:val="00B804F0"/>
    <w:rsid w:val="00B80713"/>
    <w:rsid w:val="00B81776"/>
    <w:rsid w:val="00B81FCD"/>
    <w:rsid w:val="00B8256B"/>
    <w:rsid w:val="00B82B3B"/>
    <w:rsid w:val="00B8385F"/>
    <w:rsid w:val="00B83C96"/>
    <w:rsid w:val="00B83CF8"/>
    <w:rsid w:val="00B84521"/>
    <w:rsid w:val="00B86062"/>
    <w:rsid w:val="00B86863"/>
    <w:rsid w:val="00B86A0A"/>
    <w:rsid w:val="00B86D16"/>
    <w:rsid w:val="00B87B61"/>
    <w:rsid w:val="00B90AD3"/>
    <w:rsid w:val="00B91B4F"/>
    <w:rsid w:val="00B91C31"/>
    <w:rsid w:val="00B92037"/>
    <w:rsid w:val="00B9203D"/>
    <w:rsid w:val="00B92546"/>
    <w:rsid w:val="00B92EE3"/>
    <w:rsid w:val="00B94590"/>
    <w:rsid w:val="00B945DA"/>
    <w:rsid w:val="00B951DE"/>
    <w:rsid w:val="00B95A89"/>
    <w:rsid w:val="00B966EB"/>
    <w:rsid w:val="00B968D5"/>
    <w:rsid w:val="00B96CFC"/>
    <w:rsid w:val="00B96D4D"/>
    <w:rsid w:val="00B97719"/>
    <w:rsid w:val="00BA0056"/>
    <w:rsid w:val="00BA03A9"/>
    <w:rsid w:val="00BA03B0"/>
    <w:rsid w:val="00BA0635"/>
    <w:rsid w:val="00BA0EB4"/>
    <w:rsid w:val="00BA1193"/>
    <w:rsid w:val="00BA20CA"/>
    <w:rsid w:val="00BA2831"/>
    <w:rsid w:val="00BA3203"/>
    <w:rsid w:val="00BA42A2"/>
    <w:rsid w:val="00BA443C"/>
    <w:rsid w:val="00BA5283"/>
    <w:rsid w:val="00BA57B4"/>
    <w:rsid w:val="00BA5835"/>
    <w:rsid w:val="00BA6016"/>
    <w:rsid w:val="00BA67D5"/>
    <w:rsid w:val="00BA742D"/>
    <w:rsid w:val="00BA7493"/>
    <w:rsid w:val="00BB01E7"/>
    <w:rsid w:val="00BB043C"/>
    <w:rsid w:val="00BB1364"/>
    <w:rsid w:val="00BB26BC"/>
    <w:rsid w:val="00BB2D4B"/>
    <w:rsid w:val="00BB2F9E"/>
    <w:rsid w:val="00BB3A0E"/>
    <w:rsid w:val="00BB4A41"/>
    <w:rsid w:val="00BB58CA"/>
    <w:rsid w:val="00BB5F23"/>
    <w:rsid w:val="00BB646E"/>
    <w:rsid w:val="00BB6DDD"/>
    <w:rsid w:val="00BB77C8"/>
    <w:rsid w:val="00BB78A8"/>
    <w:rsid w:val="00BC036C"/>
    <w:rsid w:val="00BC0C60"/>
    <w:rsid w:val="00BC0D63"/>
    <w:rsid w:val="00BC1DDD"/>
    <w:rsid w:val="00BC20A2"/>
    <w:rsid w:val="00BC2273"/>
    <w:rsid w:val="00BC2915"/>
    <w:rsid w:val="00BC2945"/>
    <w:rsid w:val="00BC2AC8"/>
    <w:rsid w:val="00BC3850"/>
    <w:rsid w:val="00BC4160"/>
    <w:rsid w:val="00BC463E"/>
    <w:rsid w:val="00BC529A"/>
    <w:rsid w:val="00BC5646"/>
    <w:rsid w:val="00BC59C3"/>
    <w:rsid w:val="00BC6E15"/>
    <w:rsid w:val="00BD13DE"/>
    <w:rsid w:val="00BD1A8C"/>
    <w:rsid w:val="00BD2563"/>
    <w:rsid w:val="00BD2A28"/>
    <w:rsid w:val="00BD2BEE"/>
    <w:rsid w:val="00BD312D"/>
    <w:rsid w:val="00BD428B"/>
    <w:rsid w:val="00BD4FE2"/>
    <w:rsid w:val="00BD511E"/>
    <w:rsid w:val="00BD60C6"/>
    <w:rsid w:val="00BD649F"/>
    <w:rsid w:val="00BE0277"/>
    <w:rsid w:val="00BE165D"/>
    <w:rsid w:val="00BE18B9"/>
    <w:rsid w:val="00BE2CD0"/>
    <w:rsid w:val="00BE3515"/>
    <w:rsid w:val="00BE35F5"/>
    <w:rsid w:val="00BE3627"/>
    <w:rsid w:val="00BE384B"/>
    <w:rsid w:val="00BE38BE"/>
    <w:rsid w:val="00BE4452"/>
    <w:rsid w:val="00BE4F8F"/>
    <w:rsid w:val="00BE5006"/>
    <w:rsid w:val="00BE50D4"/>
    <w:rsid w:val="00BE5CF0"/>
    <w:rsid w:val="00BE5DF0"/>
    <w:rsid w:val="00BE60BF"/>
    <w:rsid w:val="00BE63D5"/>
    <w:rsid w:val="00BE6829"/>
    <w:rsid w:val="00BE7359"/>
    <w:rsid w:val="00BE74B2"/>
    <w:rsid w:val="00BE7CBF"/>
    <w:rsid w:val="00BF1155"/>
    <w:rsid w:val="00BF1C2F"/>
    <w:rsid w:val="00BF24C0"/>
    <w:rsid w:val="00BF2E95"/>
    <w:rsid w:val="00BF3495"/>
    <w:rsid w:val="00BF3C79"/>
    <w:rsid w:val="00BF3CDB"/>
    <w:rsid w:val="00BF4E24"/>
    <w:rsid w:val="00BF4E84"/>
    <w:rsid w:val="00BF53F9"/>
    <w:rsid w:val="00BF5619"/>
    <w:rsid w:val="00BF5717"/>
    <w:rsid w:val="00BF76B1"/>
    <w:rsid w:val="00BF7B03"/>
    <w:rsid w:val="00BF7B73"/>
    <w:rsid w:val="00BF7E51"/>
    <w:rsid w:val="00C0031F"/>
    <w:rsid w:val="00C01083"/>
    <w:rsid w:val="00C01353"/>
    <w:rsid w:val="00C021F7"/>
    <w:rsid w:val="00C036B2"/>
    <w:rsid w:val="00C0445D"/>
    <w:rsid w:val="00C04BD5"/>
    <w:rsid w:val="00C04BFD"/>
    <w:rsid w:val="00C05119"/>
    <w:rsid w:val="00C05752"/>
    <w:rsid w:val="00C05991"/>
    <w:rsid w:val="00C05EE4"/>
    <w:rsid w:val="00C061C6"/>
    <w:rsid w:val="00C06211"/>
    <w:rsid w:val="00C0638D"/>
    <w:rsid w:val="00C06479"/>
    <w:rsid w:val="00C075E8"/>
    <w:rsid w:val="00C07A75"/>
    <w:rsid w:val="00C1071D"/>
    <w:rsid w:val="00C10BFC"/>
    <w:rsid w:val="00C110C8"/>
    <w:rsid w:val="00C11CC4"/>
    <w:rsid w:val="00C1273F"/>
    <w:rsid w:val="00C1294B"/>
    <w:rsid w:val="00C129D1"/>
    <w:rsid w:val="00C12BC8"/>
    <w:rsid w:val="00C13915"/>
    <w:rsid w:val="00C1527E"/>
    <w:rsid w:val="00C164D2"/>
    <w:rsid w:val="00C176D7"/>
    <w:rsid w:val="00C179E8"/>
    <w:rsid w:val="00C17EF8"/>
    <w:rsid w:val="00C2106C"/>
    <w:rsid w:val="00C212F8"/>
    <w:rsid w:val="00C21486"/>
    <w:rsid w:val="00C23135"/>
    <w:rsid w:val="00C23D10"/>
    <w:rsid w:val="00C24328"/>
    <w:rsid w:val="00C247E1"/>
    <w:rsid w:val="00C261BC"/>
    <w:rsid w:val="00C26A10"/>
    <w:rsid w:val="00C2721B"/>
    <w:rsid w:val="00C2723E"/>
    <w:rsid w:val="00C27AB4"/>
    <w:rsid w:val="00C30D5B"/>
    <w:rsid w:val="00C30DFB"/>
    <w:rsid w:val="00C3111A"/>
    <w:rsid w:val="00C31286"/>
    <w:rsid w:val="00C3137A"/>
    <w:rsid w:val="00C31528"/>
    <w:rsid w:val="00C315F4"/>
    <w:rsid w:val="00C31626"/>
    <w:rsid w:val="00C31C78"/>
    <w:rsid w:val="00C320B7"/>
    <w:rsid w:val="00C32CAD"/>
    <w:rsid w:val="00C3442D"/>
    <w:rsid w:val="00C360B9"/>
    <w:rsid w:val="00C36A18"/>
    <w:rsid w:val="00C36C70"/>
    <w:rsid w:val="00C37712"/>
    <w:rsid w:val="00C37D20"/>
    <w:rsid w:val="00C37E1D"/>
    <w:rsid w:val="00C4033F"/>
    <w:rsid w:val="00C403D0"/>
    <w:rsid w:val="00C40470"/>
    <w:rsid w:val="00C40C50"/>
    <w:rsid w:val="00C410BF"/>
    <w:rsid w:val="00C41305"/>
    <w:rsid w:val="00C426D0"/>
    <w:rsid w:val="00C4293F"/>
    <w:rsid w:val="00C43553"/>
    <w:rsid w:val="00C443A6"/>
    <w:rsid w:val="00C44971"/>
    <w:rsid w:val="00C44B82"/>
    <w:rsid w:val="00C44C66"/>
    <w:rsid w:val="00C44D72"/>
    <w:rsid w:val="00C4616D"/>
    <w:rsid w:val="00C46288"/>
    <w:rsid w:val="00C46EC7"/>
    <w:rsid w:val="00C4706A"/>
    <w:rsid w:val="00C473D1"/>
    <w:rsid w:val="00C5013F"/>
    <w:rsid w:val="00C5051E"/>
    <w:rsid w:val="00C516FA"/>
    <w:rsid w:val="00C51903"/>
    <w:rsid w:val="00C51B0C"/>
    <w:rsid w:val="00C51CF5"/>
    <w:rsid w:val="00C51EAF"/>
    <w:rsid w:val="00C52588"/>
    <w:rsid w:val="00C52725"/>
    <w:rsid w:val="00C52851"/>
    <w:rsid w:val="00C52918"/>
    <w:rsid w:val="00C52DE2"/>
    <w:rsid w:val="00C531B7"/>
    <w:rsid w:val="00C53530"/>
    <w:rsid w:val="00C5390C"/>
    <w:rsid w:val="00C53D30"/>
    <w:rsid w:val="00C53FE4"/>
    <w:rsid w:val="00C54AB6"/>
    <w:rsid w:val="00C555EA"/>
    <w:rsid w:val="00C56384"/>
    <w:rsid w:val="00C56478"/>
    <w:rsid w:val="00C575EF"/>
    <w:rsid w:val="00C61419"/>
    <w:rsid w:val="00C61608"/>
    <w:rsid w:val="00C61E54"/>
    <w:rsid w:val="00C620FE"/>
    <w:rsid w:val="00C629C3"/>
    <w:rsid w:val="00C62BC9"/>
    <w:rsid w:val="00C62D72"/>
    <w:rsid w:val="00C6307D"/>
    <w:rsid w:val="00C63E3D"/>
    <w:rsid w:val="00C64D9B"/>
    <w:rsid w:val="00C65495"/>
    <w:rsid w:val="00C65F9A"/>
    <w:rsid w:val="00C666BA"/>
    <w:rsid w:val="00C66BA6"/>
    <w:rsid w:val="00C66D1F"/>
    <w:rsid w:val="00C67C4E"/>
    <w:rsid w:val="00C70A62"/>
    <w:rsid w:val="00C70FBF"/>
    <w:rsid w:val="00C70FF1"/>
    <w:rsid w:val="00C71101"/>
    <w:rsid w:val="00C725CE"/>
    <w:rsid w:val="00C72B9E"/>
    <w:rsid w:val="00C72D43"/>
    <w:rsid w:val="00C73A19"/>
    <w:rsid w:val="00C740A5"/>
    <w:rsid w:val="00C74335"/>
    <w:rsid w:val="00C752E3"/>
    <w:rsid w:val="00C758B7"/>
    <w:rsid w:val="00C76815"/>
    <w:rsid w:val="00C76AFA"/>
    <w:rsid w:val="00C76D53"/>
    <w:rsid w:val="00C7787A"/>
    <w:rsid w:val="00C802CE"/>
    <w:rsid w:val="00C809C5"/>
    <w:rsid w:val="00C80B48"/>
    <w:rsid w:val="00C80E60"/>
    <w:rsid w:val="00C81029"/>
    <w:rsid w:val="00C8164C"/>
    <w:rsid w:val="00C81803"/>
    <w:rsid w:val="00C8195A"/>
    <w:rsid w:val="00C81991"/>
    <w:rsid w:val="00C819D4"/>
    <w:rsid w:val="00C829CF"/>
    <w:rsid w:val="00C83BEE"/>
    <w:rsid w:val="00C84F46"/>
    <w:rsid w:val="00C8505F"/>
    <w:rsid w:val="00C8529F"/>
    <w:rsid w:val="00C857A6"/>
    <w:rsid w:val="00C857D0"/>
    <w:rsid w:val="00C86DD4"/>
    <w:rsid w:val="00C87517"/>
    <w:rsid w:val="00C87E62"/>
    <w:rsid w:val="00C90898"/>
    <w:rsid w:val="00C90E0D"/>
    <w:rsid w:val="00C910AD"/>
    <w:rsid w:val="00C911A9"/>
    <w:rsid w:val="00C91F1C"/>
    <w:rsid w:val="00C92680"/>
    <w:rsid w:val="00C92E8A"/>
    <w:rsid w:val="00C9344D"/>
    <w:rsid w:val="00C93D82"/>
    <w:rsid w:val="00C943CB"/>
    <w:rsid w:val="00C94D10"/>
    <w:rsid w:val="00C95009"/>
    <w:rsid w:val="00C95287"/>
    <w:rsid w:val="00C9544A"/>
    <w:rsid w:val="00C95EB3"/>
    <w:rsid w:val="00C95FB8"/>
    <w:rsid w:val="00C95FDE"/>
    <w:rsid w:val="00C9736D"/>
    <w:rsid w:val="00CA078E"/>
    <w:rsid w:val="00CA1312"/>
    <w:rsid w:val="00CA1872"/>
    <w:rsid w:val="00CA1955"/>
    <w:rsid w:val="00CA1BDE"/>
    <w:rsid w:val="00CA203A"/>
    <w:rsid w:val="00CA2246"/>
    <w:rsid w:val="00CA2C7B"/>
    <w:rsid w:val="00CA3B37"/>
    <w:rsid w:val="00CA447F"/>
    <w:rsid w:val="00CA4CE9"/>
    <w:rsid w:val="00CA5009"/>
    <w:rsid w:val="00CA59FA"/>
    <w:rsid w:val="00CA7503"/>
    <w:rsid w:val="00CA7652"/>
    <w:rsid w:val="00CA7FE0"/>
    <w:rsid w:val="00CB0496"/>
    <w:rsid w:val="00CB0BD3"/>
    <w:rsid w:val="00CB0F17"/>
    <w:rsid w:val="00CB0FBB"/>
    <w:rsid w:val="00CB1468"/>
    <w:rsid w:val="00CB163C"/>
    <w:rsid w:val="00CB1910"/>
    <w:rsid w:val="00CB211C"/>
    <w:rsid w:val="00CB23C2"/>
    <w:rsid w:val="00CB29F9"/>
    <w:rsid w:val="00CB2FF2"/>
    <w:rsid w:val="00CB374F"/>
    <w:rsid w:val="00CB3C9D"/>
    <w:rsid w:val="00CB3FAD"/>
    <w:rsid w:val="00CB48B1"/>
    <w:rsid w:val="00CB4A79"/>
    <w:rsid w:val="00CB4E23"/>
    <w:rsid w:val="00CB5456"/>
    <w:rsid w:val="00CB54B5"/>
    <w:rsid w:val="00CB5508"/>
    <w:rsid w:val="00CB5E6D"/>
    <w:rsid w:val="00CB6E97"/>
    <w:rsid w:val="00CB7DEA"/>
    <w:rsid w:val="00CC0356"/>
    <w:rsid w:val="00CC0D84"/>
    <w:rsid w:val="00CC0F93"/>
    <w:rsid w:val="00CC18EF"/>
    <w:rsid w:val="00CC1AC9"/>
    <w:rsid w:val="00CC2CE6"/>
    <w:rsid w:val="00CC3D87"/>
    <w:rsid w:val="00CC5367"/>
    <w:rsid w:val="00CC5C98"/>
    <w:rsid w:val="00CC65E9"/>
    <w:rsid w:val="00CC69BC"/>
    <w:rsid w:val="00CC6E42"/>
    <w:rsid w:val="00CC78CB"/>
    <w:rsid w:val="00CD17CB"/>
    <w:rsid w:val="00CD1A78"/>
    <w:rsid w:val="00CD1BA1"/>
    <w:rsid w:val="00CD2ABE"/>
    <w:rsid w:val="00CD32A3"/>
    <w:rsid w:val="00CD3FBB"/>
    <w:rsid w:val="00CD41B1"/>
    <w:rsid w:val="00CD4C20"/>
    <w:rsid w:val="00CD5322"/>
    <w:rsid w:val="00CD77C0"/>
    <w:rsid w:val="00CD7AE5"/>
    <w:rsid w:val="00CD7F89"/>
    <w:rsid w:val="00CE099D"/>
    <w:rsid w:val="00CE0B3E"/>
    <w:rsid w:val="00CE1599"/>
    <w:rsid w:val="00CE1DDA"/>
    <w:rsid w:val="00CE2769"/>
    <w:rsid w:val="00CE2D57"/>
    <w:rsid w:val="00CE2D7C"/>
    <w:rsid w:val="00CE30D1"/>
    <w:rsid w:val="00CE31D2"/>
    <w:rsid w:val="00CE3438"/>
    <w:rsid w:val="00CE384F"/>
    <w:rsid w:val="00CE3976"/>
    <w:rsid w:val="00CE3FF3"/>
    <w:rsid w:val="00CE49B8"/>
    <w:rsid w:val="00CE4D8D"/>
    <w:rsid w:val="00CE4E04"/>
    <w:rsid w:val="00CE5009"/>
    <w:rsid w:val="00CE5106"/>
    <w:rsid w:val="00CE6182"/>
    <w:rsid w:val="00CE79B0"/>
    <w:rsid w:val="00CE7FC9"/>
    <w:rsid w:val="00CF1186"/>
    <w:rsid w:val="00CF119C"/>
    <w:rsid w:val="00CF140B"/>
    <w:rsid w:val="00CF228E"/>
    <w:rsid w:val="00CF24AD"/>
    <w:rsid w:val="00CF26D6"/>
    <w:rsid w:val="00CF287F"/>
    <w:rsid w:val="00CF2DB5"/>
    <w:rsid w:val="00CF2FF5"/>
    <w:rsid w:val="00CF333D"/>
    <w:rsid w:val="00CF3A04"/>
    <w:rsid w:val="00CF5259"/>
    <w:rsid w:val="00CF566F"/>
    <w:rsid w:val="00CF6BAD"/>
    <w:rsid w:val="00CF7454"/>
    <w:rsid w:val="00CF760E"/>
    <w:rsid w:val="00D00A99"/>
    <w:rsid w:val="00D00E76"/>
    <w:rsid w:val="00D00FD4"/>
    <w:rsid w:val="00D01DC6"/>
    <w:rsid w:val="00D02BF1"/>
    <w:rsid w:val="00D03A3E"/>
    <w:rsid w:val="00D042BB"/>
    <w:rsid w:val="00D05031"/>
    <w:rsid w:val="00D05364"/>
    <w:rsid w:val="00D05A4C"/>
    <w:rsid w:val="00D061DE"/>
    <w:rsid w:val="00D06542"/>
    <w:rsid w:val="00D06738"/>
    <w:rsid w:val="00D06A22"/>
    <w:rsid w:val="00D06C5F"/>
    <w:rsid w:val="00D0702F"/>
    <w:rsid w:val="00D0727C"/>
    <w:rsid w:val="00D11D4C"/>
    <w:rsid w:val="00D12218"/>
    <w:rsid w:val="00D12DF8"/>
    <w:rsid w:val="00D13144"/>
    <w:rsid w:val="00D131E2"/>
    <w:rsid w:val="00D13992"/>
    <w:rsid w:val="00D13E5E"/>
    <w:rsid w:val="00D15141"/>
    <w:rsid w:val="00D15DD5"/>
    <w:rsid w:val="00D16963"/>
    <w:rsid w:val="00D16A5E"/>
    <w:rsid w:val="00D16E09"/>
    <w:rsid w:val="00D17788"/>
    <w:rsid w:val="00D17FA9"/>
    <w:rsid w:val="00D20433"/>
    <w:rsid w:val="00D20647"/>
    <w:rsid w:val="00D2104C"/>
    <w:rsid w:val="00D212CA"/>
    <w:rsid w:val="00D22512"/>
    <w:rsid w:val="00D229EE"/>
    <w:rsid w:val="00D23174"/>
    <w:rsid w:val="00D232A7"/>
    <w:rsid w:val="00D23B73"/>
    <w:rsid w:val="00D241CC"/>
    <w:rsid w:val="00D24753"/>
    <w:rsid w:val="00D249A2"/>
    <w:rsid w:val="00D25064"/>
    <w:rsid w:val="00D25105"/>
    <w:rsid w:val="00D2652E"/>
    <w:rsid w:val="00D2703C"/>
    <w:rsid w:val="00D27A1E"/>
    <w:rsid w:val="00D30F25"/>
    <w:rsid w:val="00D31548"/>
    <w:rsid w:val="00D3154D"/>
    <w:rsid w:val="00D31912"/>
    <w:rsid w:val="00D31B60"/>
    <w:rsid w:val="00D32133"/>
    <w:rsid w:val="00D3252B"/>
    <w:rsid w:val="00D33692"/>
    <w:rsid w:val="00D339F8"/>
    <w:rsid w:val="00D342D4"/>
    <w:rsid w:val="00D349FB"/>
    <w:rsid w:val="00D34A23"/>
    <w:rsid w:val="00D35AEB"/>
    <w:rsid w:val="00D35B04"/>
    <w:rsid w:val="00D36B17"/>
    <w:rsid w:val="00D36B2E"/>
    <w:rsid w:val="00D37E07"/>
    <w:rsid w:val="00D40616"/>
    <w:rsid w:val="00D411C3"/>
    <w:rsid w:val="00D413F6"/>
    <w:rsid w:val="00D415E8"/>
    <w:rsid w:val="00D416FA"/>
    <w:rsid w:val="00D42FF7"/>
    <w:rsid w:val="00D43081"/>
    <w:rsid w:val="00D43597"/>
    <w:rsid w:val="00D43F95"/>
    <w:rsid w:val="00D446F3"/>
    <w:rsid w:val="00D45979"/>
    <w:rsid w:val="00D461AD"/>
    <w:rsid w:val="00D468D8"/>
    <w:rsid w:val="00D46AC0"/>
    <w:rsid w:val="00D50136"/>
    <w:rsid w:val="00D50516"/>
    <w:rsid w:val="00D5052B"/>
    <w:rsid w:val="00D50DE9"/>
    <w:rsid w:val="00D5149D"/>
    <w:rsid w:val="00D52448"/>
    <w:rsid w:val="00D52621"/>
    <w:rsid w:val="00D530FE"/>
    <w:rsid w:val="00D53933"/>
    <w:rsid w:val="00D5409B"/>
    <w:rsid w:val="00D541D5"/>
    <w:rsid w:val="00D54950"/>
    <w:rsid w:val="00D5503E"/>
    <w:rsid w:val="00D5563C"/>
    <w:rsid w:val="00D56405"/>
    <w:rsid w:val="00D56863"/>
    <w:rsid w:val="00D571A8"/>
    <w:rsid w:val="00D57363"/>
    <w:rsid w:val="00D60100"/>
    <w:rsid w:val="00D60300"/>
    <w:rsid w:val="00D60574"/>
    <w:rsid w:val="00D61703"/>
    <w:rsid w:val="00D6275A"/>
    <w:rsid w:val="00D62762"/>
    <w:rsid w:val="00D62C69"/>
    <w:rsid w:val="00D62D3A"/>
    <w:rsid w:val="00D6319A"/>
    <w:rsid w:val="00D6325A"/>
    <w:rsid w:val="00D637B4"/>
    <w:rsid w:val="00D63D37"/>
    <w:rsid w:val="00D6403B"/>
    <w:rsid w:val="00D64CDC"/>
    <w:rsid w:val="00D65EDE"/>
    <w:rsid w:val="00D661D2"/>
    <w:rsid w:val="00D6623B"/>
    <w:rsid w:val="00D665D9"/>
    <w:rsid w:val="00D66B44"/>
    <w:rsid w:val="00D671B0"/>
    <w:rsid w:val="00D67303"/>
    <w:rsid w:val="00D6761D"/>
    <w:rsid w:val="00D67736"/>
    <w:rsid w:val="00D67967"/>
    <w:rsid w:val="00D67D40"/>
    <w:rsid w:val="00D710F9"/>
    <w:rsid w:val="00D71B9C"/>
    <w:rsid w:val="00D71DB3"/>
    <w:rsid w:val="00D72F59"/>
    <w:rsid w:val="00D735A6"/>
    <w:rsid w:val="00D738E3"/>
    <w:rsid w:val="00D74699"/>
    <w:rsid w:val="00D754E4"/>
    <w:rsid w:val="00D763BD"/>
    <w:rsid w:val="00D76E07"/>
    <w:rsid w:val="00D77833"/>
    <w:rsid w:val="00D80231"/>
    <w:rsid w:val="00D802A7"/>
    <w:rsid w:val="00D80ABF"/>
    <w:rsid w:val="00D8191B"/>
    <w:rsid w:val="00D83045"/>
    <w:rsid w:val="00D83164"/>
    <w:rsid w:val="00D83A1F"/>
    <w:rsid w:val="00D83C8A"/>
    <w:rsid w:val="00D83CFB"/>
    <w:rsid w:val="00D83D04"/>
    <w:rsid w:val="00D84892"/>
    <w:rsid w:val="00D84963"/>
    <w:rsid w:val="00D8539A"/>
    <w:rsid w:val="00D8716E"/>
    <w:rsid w:val="00D873EE"/>
    <w:rsid w:val="00D90085"/>
    <w:rsid w:val="00D90538"/>
    <w:rsid w:val="00D9068F"/>
    <w:rsid w:val="00D90A02"/>
    <w:rsid w:val="00D911D3"/>
    <w:rsid w:val="00D9169D"/>
    <w:rsid w:val="00D91A4B"/>
    <w:rsid w:val="00D9249C"/>
    <w:rsid w:val="00D92BC5"/>
    <w:rsid w:val="00D92E9E"/>
    <w:rsid w:val="00D935BE"/>
    <w:rsid w:val="00D940C5"/>
    <w:rsid w:val="00D9495C"/>
    <w:rsid w:val="00D94A92"/>
    <w:rsid w:val="00D94F0F"/>
    <w:rsid w:val="00D960E6"/>
    <w:rsid w:val="00D96945"/>
    <w:rsid w:val="00D96BA2"/>
    <w:rsid w:val="00D96E15"/>
    <w:rsid w:val="00D96F4D"/>
    <w:rsid w:val="00DA00BE"/>
    <w:rsid w:val="00DA0BB3"/>
    <w:rsid w:val="00DA0D99"/>
    <w:rsid w:val="00DA0E23"/>
    <w:rsid w:val="00DA18BE"/>
    <w:rsid w:val="00DA2869"/>
    <w:rsid w:val="00DA2931"/>
    <w:rsid w:val="00DA332B"/>
    <w:rsid w:val="00DA348A"/>
    <w:rsid w:val="00DA412E"/>
    <w:rsid w:val="00DA4795"/>
    <w:rsid w:val="00DA4DA3"/>
    <w:rsid w:val="00DA59E8"/>
    <w:rsid w:val="00DA62F3"/>
    <w:rsid w:val="00DA7E7E"/>
    <w:rsid w:val="00DB05AB"/>
    <w:rsid w:val="00DB09CA"/>
    <w:rsid w:val="00DB103D"/>
    <w:rsid w:val="00DB12BD"/>
    <w:rsid w:val="00DB1526"/>
    <w:rsid w:val="00DB2767"/>
    <w:rsid w:val="00DB2D8A"/>
    <w:rsid w:val="00DB3C24"/>
    <w:rsid w:val="00DB4250"/>
    <w:rsid w:val="00DB6252"/>
    <w:rsid w:val="00DB6269"/>
    <w:rsid w:val="00DB6356"/>
    <w:rsid w:val="00DC0C3F"/>
    <w:rsid w:val="00DC1DE8"/>
    <w:rsid w:val="00DC28FC"/>
    <w:rsid w:val="00DC2F22"/>
    <w:rsid w:val="00DC311A"/>
    <w:rsid w:val="00DC3D0E"/>
    <w:rsid w:val="00DC3DBC"/>
    <w:rsid w:val="00DC3FA4"/>
    <w:rsid w:val="00DC3FD6"/>
    <w:rsid w:val="00DC4C18"/>
    <w:rsid w:val="00DC616C"/>
    <w:rsid w:val="00DC63A5"/>
    <w:rsid w:val="00DC65D5"/>
    <w:rsid w:val="00DC6B00"/>
    <w:rsid w:val="00DC73D6"/>
    <w:rsid w:val="00DC7485"/>
    <w:rsid w:val="00DC7AE0"/>
    <w:rsid w:val="00DD0760"/>
    <w:rsid w:val="00DD0F2C"/>
    <w:rsid w:val="00DD1F3D"/>
    <w:rsid w:val="00DD21B1"/>
    <w:rsid w:val="00DD22B8"/>
    <w:rsid w:val="00DD3274"/>
    <w:rsid w:val="00DD3E4F"/>
    <w:rsid w:val="00DD403B"/>
    <w:rsid w:val="00DD60F7"/>
    <w:rsid w:val="00DD7E0C"/>
    <w:rsid w:val="00DD7F89"/>
    <w:rsid w:val="00DE0225"/>
    <w:rsid w:val="00DE0723"/>
    <w:rsid w:val="00DE0966"/>
    <w:rsid w:val="00DE10E6"/>
    <w:rsid w:val="00DE152F"/>
    <w:rsid w:val="00DE3262"/>
    <w:rsid w:val="00DE471D"/>
    <w:rsid w:val="00DE4B5E"/>
    <w:rsid w:val="00DE679C"/>
    <w:rsid w:val="00DE6A7E"/>
    <w:rsid w:val="00DE72C8"/>
    <w:rsid w:val="00DE7BE3"/>
    <w:rsid w:val="00DF0188"/>
    <w:rsid w:val="00DF01D1"/>
    <w:rsid w:val="00DF11AE"/>
    <w:rsid w:val="00DF1715"/>
    <w:rsid w:val="00DF22B1"/>
    <w:rsid w:val="00DF294C"/>
    <w:rsid w:val="00DF2A1F"/>
    <w:rsid w:val="00DF2F88"/>
    <w:rsid w:val="00DF3A57"/>
    <w:rsid w:val="00DF3A88"/>
    <w:rsid w:val="00DF4661"/>
    <w:rsid w:val="00DF5F2F"/>
    <w:rsid w:val="00DF5FA1"/>
    <w:rsid w:val="00DF69EE"/>
    <w:rsid w:val="00DF7490"/>
    <w:rsid w:val="00E001BA"/>
    <w:rsid w:val="00E00ACE"/>
    <w:rsid w:val="00E01310"/>
    <w:rsid w:val="00E01A99"/>
    <w:rsid w:val="00E02FB6"/>
    <w:rsid w:val="00E03B84"/>
    <w:rsid w:val="00E04B48"/>
    <w:rsid w:val="00E04F16"/>
    <w:rsid w:val="00E05F7D"/>
    <w:rsid w:val="00E05FB5"/>
    <w:rsid w:val="00E05FE1"/>
    <w:rsid w:val="00E06F68"/>
    <w:rsid w:val="00E103D2"/>
    <w:rsid w:val="00E1047F"/>
    <w:rsid w:val="00E10F39"/>
    <w:rsid w:val="00E11C0E"/>
    <w:rsid w:val="00E11EF2"/>
    <w:rsid w:val="00E12CB9"/>
    <w:rsid w:val="00E13E20"/>
    <w:rsid w:val="00E142EF"/>
    <w:rsid w:val="00E14663"/>
    <w:rsid w:val="00E14781"/>
    <w:rsid w:val="00E153EF"/>
    <w:rsid w:val="00E1547A"/>
    <w:rsid w:val="00E15E7B"/>
    <w:rsid w:val="00E167ED"/>
    <w:rsid w:val="00E16C83"/>
    <w:rsid w:val="00E21E81"/>
    <w:rsid w:val="00E22435"/>
    <w:rsid w:val="00E232F5"/>
    <w:rsid w:val="00E24696"/>
    <w:rsid w:val="00E24AB0"/>
    <w:rsid w:val="00E25742"/>
    <w:rsid w:val="00E257DF"/>
    <w:rsid w:val="00E25919"/>
    <w:rsid w:val="00E263DA"/>
    <w:rsid w:val="00E26B53"/>
    <w:rsid w:val="00E26FCF"/>
    <w:rsid w:val="00E30129"/>
    <w:rsid w:val="00E3058C"/>
    <w:rsid w:val="00E30DAA"/>
    <w:rsid w:val="00E31040"/>
    <w:rsid w:val="00E310C8"/>
    <w:rsid w:val="00E31127"/>
    <w:rsid w:val="00E311D7"/>
    <w:rsid w:val="00E31823"/>
    <w:rsid w:val="00E3183E"/>
    <w:rsid w:val="00E320AA"/>
    <w:rsid w:val="00E324E9"/>
    <w:rsid w:val="00E3263F"/>
    <w:rsid w:val="00E328A2"/>
    <w:rsid w:val="00E33DCC"/>
    <w:rsid w:val="00E349D1"/>
    <w:rsid w:val="00E34BFD"/>
    <w:rsid w:val="00E351F2"/>
    <w:rsid w:val="00E35CB9"/>
    <w:rsid w:val="00E35D92"/>
    <w:rsid w:val="00E4055D"/>
    <w:rsid w:val="00E4102B"/>
    <w:rsid w:val="00E41C98"/>
    <w:rsid w:val="00E4256D"/>
    <w:rsid w:val="00E4323F"/>
    <w:rsid w:val="00E441A4"/>
    <w:rsid w:val="00E44592"/>
    <w:rsid w:val="00E44895"/>
    <w:rsid w:val="00E44B7D"/>
    <w:rsid w:val="00E4509A"/>
    <w:rsid w:val="00E4517E"/>
    <w:rsid w:val="00E4563B"/>
    <w:rsid w:val="00E45676"/>
    <w:rsid w:val="00E45E49"/>
    <w:rsid w:val="00E46005"/>
    <w:rsid w:val="00E46300"/>
    <w:rsid w:val="00E4634E"/>
    <w:rsid w:val="00E463C7"/>
    <w:rsid w:val="00E464BB"/>
    <w:rsid w:val="00E46B8E"/>
    <w:rsid w:val="00E476D5"/>
    <w:rsid w:val="00E47BB6"/>
    <w:rsid w:val="00E5088C"/>
    <w:rsid w:val="00E50C5F"/>
    <w:rsid w:val="00E50DA2"/>
    <w:rsid w:val="00E515D2"/>
    <w:rsid w:val="00E53095"/>
    <w:rsid w:val="00E534C9"/>
    <w:rsid w:val="00E55DED"/>
    <w:rsid w:val="00E56309"/>
    <w:rsid w:val="00E56313"/>
    <w:rsid w:val="00E56AB4"/>
    <w:rsid w:val="00E56D2E"/>
    <w:rsid w:val="00E56ECA"/>
    <w:rsid w:val="00E574B2"/>
    <w:rsid w:val="00E57600"/>
    <w:rsid w:val="00E60102"/>
    <w:rsid w:val="00E602AC"/>
    <w:rsid w:val="00E60F6E"/>
    <w:rsid w:val="00E61F99"/>
    <w:rsid w:val="00E62346"/>
    <w:rsid w:val="00E6288B"/>
    <w:rsid w:val="00E639BC"/>
    <w:rsid w:val="00E63CE6"/>
    <w:rsid w:val="00E641E6"/>
    <w:rsid w:val="00E646F7"/>
    <w:rsid w:val="00E65217"/>
    <w:rsid w:val="00E65922"/>
    <w:rsid w:val="00E65A9D"/>
    <w:rsid w:val="00E65EBF"/>
    <w:rsid w:val="00E65F47"/>
    <w:rsid w:val="00E661AA"/>
    <w:rsid w:val="00E663FD"/>
    <w:rsid w:val="00E66AE6"/>
    <w:rsid w:val="00E66AF8"/>
    <w:rsid w:val="00E6736C"/>
    <w:rsid w:val="00E6795B"/>
    <w:rsid w:val="00E67C2F"/>
    <w:rsid w:val="00E67F79"/>
    <w:rsid w:val="00E70609"/>
    <w:rsid w:val="00E7086E"/>
    <w:rsid w:val="00E71B20"/>
    <w:rsid w:val="00E71B56"/>
    <w:rsid w:val="00E72362"/>
    <w:rsid w:val="00E723BF"/>
    <w:rsid w:val="00E72716"/>
    <w:rsid w:val="00E731B0"/>
    <w:rsid w:val="00E73381"/>
    <w:rsid w:val="00E73CA9"/>
    <w:rsid w:val="00E744C5"/>
    <w:rsid w:val="00E74800"/>
    <w:rsid w:val="00E74824"/>
    <w:rsid w:val="00E74958"/>
    <w:rsid w:val="00E75869"/>
    <w:rsid w:val="00E75D36"/>
    <w:rsid w:val="00E75F2D"/>
    <w:rsid w:val="00E76305"/>
    <w:rsid w:val="00E76D3B"/>
    <w:rsid w:val="00E77734"/>
    <w:rsid w:val="00E800C0"/>
    <w:rsid w:val="00E80670"/>
    <w:rsid w:val="00E815C4"/>
    <w:rsid w:val="00E81F1C"/>
    <w:rsid w:val="00E822A0"/>
    <w:rsid w:val="00E82A0D"/>
    <w:rsid w:val="00E82DE6"/>
    <w:rsid w:val="00E83A13"/>
    <w:rsid w:val="00E83B82"/>
    <w:rsid w:val="00E8498B"/>
    <w:rsid w:val="00E85181"/>
    <w:rsid w:val="00E8520A"/>
    <w:rsid w:val="00E85848"/>
    <w:rsid w:val="00E861CB"/>
    <w:rsid w:val="00E8642A"/>
    <w:rsid w:val="00E86675"/>
    <w:rsid w:val="00E8762B"/>
    <w:rsid w:val="00E9123C"/>
    <w:rsid w:val="00E9189B"/>
    <w:rsid w:val="00E9323F"/>
    <w:rsid w:val="00E93ADC"/>
    <w:rsid w:val="00E93CC2"/>
    <w:rsid w:val="00E95034"/>
    <w:rsid w:val="00E95E9F"/>
    <w:rsid w:val="00E9612E"/>
    <w:rsid w:val="00E96932"/>
    <w:rsid w:val="00E96B02"/>
    <w:rsid w:val="00E9702D"/>
    <w:rsid w:val="00E974D9"/>
    <w:rsid w:val="00E9777D"/>
    <w:rsid w:val="00E97826"/>
    <w:rsid w:val="00E97EA7"/>
    <w:rsid w:val="00EA0F7D"/>
    <w:rsid w:val="00EA10CE"/>
    <w:rsid w:val="00EA1479"/>
    <w:rsid w:val="00EA169A"/>
    <w:rsid w:val="00EA1B57"/>
    <w:rsid w:val="00EA1B78"/>
    <w:rsid w:val="00EA316D"/>
    <w:rsid w:val="00EA3392"/>
    <w:rsid w:val="00EA3DB0"/>
    <w:rsid w:val="00EA4435"/>
    <w:rsid w:val="00EA5010"/>
    <w:rsid w:val="00EA6524"/>
    <w:rsid w:val="00EA6E6F"/>
    <w:rsid w:val="00EA70D4"/>
    <w:rsid w:val="00EB014D"/>
    <w:rsid w:val="00EB0360"/>
    <w:rsid w:val="00EB0585"/>
    <w:rsid w:val="00EB0E36"/>
    <w:rsid w:val="00EB17F0"/>
    <w:rsid w:val="00EB1B6C"/>
    <w:rsid w:val="00EB23B9"/>
    <w:rsid w:val="00EB284D"/>
    <w:rsid w:val="00EB3E06"/>
    <w:rsid w:val="00EB44DC"/>
    <w:rsid w:val="00EB4A90"/>
    <w:rsid w:val="00EB4DBB"/>
    <w:rsid w:val="00EB55AB"/>
    <w:rsid w:val="00EB57DB"/>
    <w:rsid w:val="00EB5AEF"/>
    <w:rsid w:val="00EB6336"/>
    <w:rsid w:val="00EB667F"/>
    <w:rsid w:val="00EB69AB"/>
    <w:rsid w:val="00EB6F95"/>
    <w:rsid w:val="00EB7DE1"/>
    <w:rsid w:val="00EC0050"/>
    <w:rsid w:val="00EC00CD"/>
    <w:rsid w:val="00EC06DC"/>
    <w:rsid w:val="00EC08A6"/>
    <w:rsid w:val="00EC12AA"/>
    <w:rsid w:val="00EC1610"/>
    <w:rsid w:val="00EC1D10"/>
    <w:rsid w:val="00EC28EA"/>
    <w:rsid w:val="00EC2C60"/>
    <w:rsid w:val="00EC3C54"/>
    <w:rsid w:val="00EC5F63"/>
    <w:rsid w:val="00EC6F6F"/>
    <w:rsid w:val="00EC700F"/>
    <w:rsid w:val="00EC7351"/>
    <w:rsid w:val="00ED02B4"/>
    <w:rsid w:val="00ED0B2D"/>
    <w:rsid w:val="00ED0CEE"/>
    <w:rsid w:val="00ED2E8E"/>
    <w:rsid w:val="00ED3D2F"/>
    <w:rsid w:val="00ED4315"/>
    <w:rsid w:val="00ED4574"/>
    <w:rsid w:val="00ED54A6"/>
    <w:rsid w:val="00ED5BF7"/>
    <w:rsid w:val="00ED5C97"/>
    <w:rsid w:val="00ED5E80"/>
    <w:rsid w:val="00ED5FED"/>
    <w:rsid w:val="00ED60FF"/>
    <w:rsid w:val="00ED62D2"/>
    <w:rsid w:val="00ED6FDC"/>
    <w:rsid w:val="00ED7334"/>
    <w:rsid w:val="00ED76E1"/>
    <w:rsid w:val="00ED7BD5"/>
    <w:rsid w:val="00ED7C36"/>
    <w:rsid w:val="00EE1F0D"/>
    <w:rsid w:val="00EE2799"/>
    <w:rsid w:val="00EE27CF"/>
    <w:rsid w:val="00EE48AD"/>
    <w:rsid w:val="00EE4A87"/>
    <w:rsid w:val="00EE5492"/>
    <w:rsid w:val="00EE57CD"/>
    <w:rsid w:val="00EE5AA1"/>
    <w:rsid w:val="00EE5CEB"/>
    <w:rsid w:val="00EE657C"/>
    <w:rsid w:val="00EE725C"/>
    <w:rsid w:val="00EE77F7"/>
    <w:rsid w:val="00EE7975"/>
    <w:rsid w:val="00EE7985"/>
    <w:rsid w:val="00EE79F7"/>
    <w:rsid w:val="00EE7FE8"/>
    <w:rsid w:val="00EF0990"/>
    <w:rsid w:val="00EF0FA1"/>
    <w:rsid w:val="00EF163C"/>
    <w:rsid w:val="00EF1768"/>
    <w:rsid w:val="00EF1A3B"/>
    <w:rsid w:val="00EF2232"/>
    <w:rsid w:val="00EF340C"/>
    <w:rsid w:val="00EF3411"/>
    <w:rsid w:val="00EF3F67"/>
    <w:rsid w:val="00EF4134"/>
    <w:rsid w:val="00EF45CC"/>
    <w:rsid w:val="00EF4DF8"/>
    <w:rsid w:val="00EF566B"/>
    <w:rsid w:val="00EF5953"/>
    <w:rsid w:val="00EF652C"/>
    <w:rsid w:val="00EF67A7"/>
    <w:rsid w:val="00EF7158"/>
    <w:rsid w:val="00EF736B"/>
    <w:rsid w:val="00EF7690"/>
    <w:rsid w:val="00EF7D84"/>
    <w:rsid w:val="00F00242"/>
    <w:rsid w:val="00F00525"/>
    <w:rsid w:val="00F0082A"/>
    <w:rsid w:val="00F00890"/>
    <w:rsid w:val="00F00C5B"/>
    <w:rsid w:val="00F00C69"/>
    <w:rsid w:val="00F00D97"/>
    <w:rsid w:val="00F0151A"/>
    <w:rsid w:val="00F01C4A"/>
    <w:rsid w:val="00F030EC"/>
    <w:rsid w:val="00F03C2A"/>
    <w:rsid w:val="00F042AB"/>
    <w:rsid w:val="00F05299"/>
    <w:rsid w:val="00F05C51"/>
    <w:rsid w:val="00F05D52"/>
    <w:rsid w:val="00F05DE8"/>
    <w:rsid w:val="00F06439"/>
    <w:rsid w:val="00F06D2C"/>
    <w:rsid w:val="00F07B63"/>
    <w:rsid w:val="00F10423"/>
    <w:rsid w:val="00F10967"/>
    <w:rsid w:val="00F10F6A"/>
    <w:rsid w:val="00F11573"/>
    <w:rsid w:val="00F11723"/>
    <w:rsid w:val="00F11E39"/>
    <w:rsid w:val="00F11F64"/>
    <w:rsid w:val="00F11FAD"/>
    <w:rsid w:val="00F135CA"/>
    <w:rsid w:val="00F1430F"/>
    <w:rsid w:val="00F14408"/>
    <w:rsid w:val="00F14661"/>
    <w:rsid w:val="00F14B8F"/>
    <w:rsid w:val="00F14E20"/>
    <w:rsid w:val="00F15051"/>
    <w:rsid w:val="00F1547F"/>
    <w:rsid w:val="00F1631C"/>
    <w:rsid w:val="00F206D0"/>
    <w:rsid w:val="00F210C6"/>
    <w:rsid w:val="00F2203D"/>
    <w:rsid w:val="00F22CD7"/>
    <w:rsid w:val="00F24892"/>
    <w:rsid w:val="00F24CFC"/>
    <w:rsid w:val="00F26339"/>
    <w:rsid w:val="00F26405"/>
    <w:rsid w:val="00F268C2"/>
    <w:rsid w:val="00F27BB5"/>
    <w:rsid w:val="00F27E26"/>
    <w:rsid w:val="00F302AF"/>
    <w:rsid w:val="00F303C9"/>
    <w:rsid w:val="00F30779"/>
    <w:rsid w:val="00F30925"/>
    <w:rsid w:val="00F309B9"/>
    <w:rsid w:val="00F31288"/>
    <w:rsid w:val="00F31783"/>
    <w:rsid w:val="00F320E9"/>
    <w:rsid w:val="00F32E32"/>
    <w:rsid w:val="00F33659"/>
    <w:rsid w:val="00F33A9C"/>
    <w:rsid w:val="00F3410A"/>
    <w:rsid w:val="00F34711"/>
    <w:rsid w:val="00F34854"/>
    <w:rsid w:val="00F34CC5"/>
    <w:rsid w:val="00F34D5C"/>
    <w:rsid w:val="00F35F4B"/>
    <w:rsid w:val="00F36E63"/>
    <w:rsid w:val="00F36F2A"/>
    <w:rsid w:val="00F36FDE"/>
    <w:rsid w:val="00F370F7"/>
    <w:rsid w:val="00F37392"/>
    <w:rsid w:val="00F37EC3"/>
    <w:rsid w:val="00F408CC"/>
    <w:rsid w:val="00F42A46"/>
    <w:rsid w:val="00F433B5"/>
    <w:rsid w:val="00F4355F"/>
    <w:rsid w:val="00F44AD1"/>
    <w:rsid w:val="00F44E29"/>
    <w:rsid w:val="00F451F5"/>
    <w:rsid w:val="00F4521A"/>
    <w:rsid w:val="00F4545B"/>
    <w:rsid w:val="00F4595E"/>
    <w:rsid w:val="00F45C95"/>
    <w:rsid w:val="00F4650A"/>
    <w:rsid w:val="00F46E1F"/>
    <w:rsid w:val="00F46EB7"/>
    <w:rsid w:val="00F50332"/>
    <w:rsid w:val="00F51904"/>
    <w:rsid w:val="00F52DAD"/>
    <w:rsid w:val="00F534E3"/>
    <w:rsid w:val="00F53EDD"/>
    <w:rsid w:val="00F548C6"/>
    <w:rsid w:val="00F553B6"/>
    <w:rsid w:val="00F5556A"/>
    <w:rsid w:val="00F55D09"/>
    <w:rsid w:val="00F56D32"/>
    <w:rsid w:val="00F57391"/>
    <w:rsid w:val="00F575A6"/>
    <w:rsid w:val="00F578A9"/>
    <w:rsid w:val="00F60BF8"/>
    <w:rsid w:val="00F612AA"/>
    <w:rsid w:val="00F61A78"/>
    <w:rsid w:val="00F61DF8"/>
    <w:rsid w:val="00F6219E"/>
    <w:rsid w:val="00F6269B"/>
    <w:rsid w:val="00F62FCA"/>
    <w:rsid w:val="00F6326A"/>
    <w:rsid w:val="00F64472"/>
    <w:rsid w:val="00F647D8"/>
    <w:rsid w:val="00F64F5D"/>
    <w:rsid w:val="00F65619"/>
    <w:rsid w:val="00F65C11"/>
    <w:rsid w:val="00F6641F"/>
    <w:rsid w:val="00F6693F"/>
    <w:rsid w:val="00F66C09"/>
    <w:rsid w:val="00F66ECC"/>
    <w:rsid w:val="00F67554"/>
    <w:rsid w:val="00F67CFA"/>
    <w:rsid w:val="00F70CD3"/>
    <w:rsid w:val="00F70FBB"/>
    <w:rsid w:val="00F71C22"/>
    <w:rsid w:val="00F71C5C"/>
    <w:rsid w:val="00F72600"/>
    <w:rsid w:val="00F726A4"/>
    <w:rsid w:val="00F72716"/>
    <w:rsid w:val="00F7373E"/>
    <w:rsid w:val="00F737CC"/>
    <w:rsid w:val="00F737D8"/>
    <w:rsid w:val="00F740A5"/>
    <w:rsid w:val="00F743C2"/>
    <w:rsid w:val="00F74665"/>
    <w:rsid w:val="00F74C30"/>
    <w:rsid w:val="00F7508E"/>
    <w:rsid w:val="00F7570D"/>
    <w:rsid w:val="00F75813"/>
    <w:rsid w:val="00F75924"/>
    <w:rsid w:val="00F75E7E"/>
    <w:rsid w:val="00F76D1B"/>
    <w:rsid w:val="00F80414"/>
    <w:rsid w:val="00F810A6"/>
    <w:rsid w:val="00F810AE"/>
    <w:rsid w:val="00F82508"/>
    <w:rsid w:val="00F827DB"/>
    <w:rsid w:val="00F833B8"/>
    <w:rsid w:val="00F8385A"/>
    <w:rsid w:val="00F83AE5"/>
    <w:rsid w:val="00F83E43"/>
    <w:rsid w:val="00F84D53"/>
    <w:rsid w:val="00F854B5"/>
    <w:rsid w:val="00F85578"/>
    <w:rsid w:val="00F85C37"/>
    <w:rsid w:val="00F86001"/>
    <w:rsid w:val="00F86428"/>
    <w:rsid w:val="00F865DF"/>
    <w:rsid w:val="00F87858"/>
    <w:rsid w:val="00F87BEF"/>
    <w:rsid w:val="00F90701"/>
    <w:rsid w:val="00F907FD"/>
    <w:rsid w:val="00F9085A"/>
    <w:rsid w:val="00F90B89"/>
    <w:rsid w:val="00F910DE"/>
    <w:rsid w:val="00F92A34"/>
    <w:rsid w:val="00F92A75"/>
    <w:rsid w:val="00F94354"/>
    <w:rsid w:val="00F94360"/>
    <w:rsid w:val="00F950C3"/>
    <w:rsid w:val="00F9540E"/>
    <w:rsid w:val="00F95870"/>
    <w:rsid w:val="00F95CEE"/>
    <w:rsid w:val="00F967F7"/>
    <w:rsid w:val="00F968F1"/>
    <w:rsid w:val="00F96B59"/>
    <w:rsid w:val="00F97A40"/>
    <w:rsid w:val="00F97CB0"/>
    <w:rsid w:val="00FA0D20"/>
    <w:rsid w:val="00FA1123"/>
    <w:rsid w:val="00FA1FC2"/>
    <w:rsid w:val="00FA2603"/>
    <w:rsid w:val="00FA37E1"/>
    <w:rsid w:val="00FA3C74"/>
    <w:rsid w:val="00FA3DBE"/>
    <w:rsid w:val="00FA4385"/>
    <w:rsid w:val="00FA4525"/>
    <w:rsid w:val="00FA457F"/>
    <w:rsid w:val="00FA4DC7"/>
    <w:rsid w:val="00FA4E69"/>
    <w:rsid w:val="00FA611D"/>
    <w:rsid w:val="00FA658F"/>
    <w:rsid w:val="00FA7017"/>
    <w:rsid w:val="00FA79C8"/>
    <w:rsid w:val="00FB0589"/>
    <w:rsid w:val="00FB0755"/>
    <w:rsid w:val="00FB0C61"/>
    <w:rsid w:val="00FB0D40"/>
    <w:rsid w:val="00FB1041"/>
    <w:rsid w:val="00FB261D"/>
    <w:rsid w:val="00FB2D72"/>
    <w:rsid w:val="00FB333F"/>
    <w:rsid w:val="00FB3EF9"/>
    <w:rsid w:val="00FB53A6"/>
    <w:rsid w:val="00FB587C"/>
    <w:rsid w:val="00FB6B01"/>
    <w:rsid w:val="00FB6BA0"/>
    <w:rsid w:val="00FB6EA6"/>
    <w:rsid w:val="00FB6F9F"/>
    <w:rsid w:val="00FB735F"/>
    <w:rsid w:val="00FB7365"/>
    <w:rsid w:val="00FC0172"/>
    <w:rsid w:val="00FC0724"/>
    <w:rsid w:val="00FC0746"/>
    <w:rsid w:val="00FC0BAD"/>
    <w:rsid w:val="00FC0D22"/>
    <w:rsid w:val="00FC0D3F"/>
    <w:rsid w:val="00FC280A"/>
    <w:rsid w:val="00FC2FE6"/>
    <w:rsid w:val="00FC391D"/>
    <w:rsid w:val="00FC3AA3"/>
    <w:rsid w:val="00FC3F19"/>
    <w:rsid w:val="00FC52D2"/>
    <w:rsid w:val="00FC66A3"/>
    <w:rsid w:val="00FC6AA1"/>
    <w:rsid w:val="00FC795D"/>
    <w:rsid w:val="00FC7F73"/>
    <w:rsid w:val="00FD0C3E"/>
    <w:rsid w:val="00FD150E"/>
    <w:rsid w:val="00FD1D87"/>
    <w:rsid w:val="00FD1E47"/>
    <w:rsid w:val="00FD2DC5"/>
    <w:rsid w:val="00FD311E"/>
    <w:rsid w:val="00FD319C"/>
    <w:rsid w:val="00FD3B94"/>
    <w:rsid w:val="00FD421E"/>
    <w:rsid w:val="00FD428C"/>
    <w:rsid w:val="00FD4323"/>
    <w:rsid w:val="00FD5A1D"/>
    <w:rsid w:val="00FD5A88"/>
    <w:rsid w:val="00FD6039"/>
    <w:rsid w:val="00FD675C"/>
    <w:rsid w:val="00FD6E31"/>
    <w:rsid w:val="00FD7703"/>
    <w:rsid w:val="00FE0613"/>
    <w:rsid w:val="00FE0C8F"/>
    <w:rsid w:val="00FE18C7"/>
    <w:rsid w:val="00FE23AB"/>
    <w:rsid w:val="00FE28BB"/>
    <w:rsid w:val="00FE3532"/>
    <w:rsid w:val="00FE42BE"/>
    <w:rsid w:val="00FE445A"/>
    <w:rsid w:val="00FE47C8"/>
    <w:rsid w:val="00FE5B16"/>
    <w:rsid w:val="00FE6028"/>
    <w:rsid w:val="00FE6F81"/>
    <w:rsid w:val="00FE739F"/>
    <w:rsid w:val="00FF018D"/>
    <w:rsid w:val="00FF0403"/>
    <w:rsid w:val="00FF1B40"/>
    <w:rsid w:val="00FF1C43"/>
    <w:rsid w:val="00FF2754"/>
    <w:rsid w:val="00FF27DE"/>
    <w:rsid w:val="00FF2801"/>
    <w:rsid w:val="00FF2F65"/>
    <w:rsid w:val="00FF46E0"/>
    <w:rsid w:val="00FF4C10"/>
    <w:rsid w:val="00FF5A10"/>
    <w:rsid w:val="00FF60EB"/>
    <w:rsid w:val="00FF6181"/>
    <w:rsid w:val="00FF64A4"/>
    <w:rsid w:val="00FF688C"/>
    <w:rsid w:val="00FF6C39"/>
    <w:rsid w:val="017212DB"/>
    <w:rsid w:val="03086BCF"/>
    <w:rsid w:val="049D2585"/>
    <w:rsid w:val="04CC58CB"/>
    <w:rsid w:val="04D33BB8"/>
    <w:rsid w:val="04EB55F0"/>
    <w:rsid w:val="087D43CA"/>
    <w:rsid w:val="0BEC6B03"/>
    <w:rsid w:val="0E1B04F8"/>
    <w:rsid w:val="0EF00249"/>
    <w:rsid w:val="0FE30E82"/>
    <w:rsid w:val="1026298B"/>
    <w:rsid w:val="108E0EC5"/>
    <w:rsid w:val="11FD24A9"/>
    <w:rsid w:val="12B957C8"/>
    <w:rsid w:val="1354513F"/>
    <w:rsid w:val="148A3C6A"/>
    <w:rsid w:val="154C6D02"/>
    <w:rsid w:val="156E500A"/>
    <w:rsid w:val="157F4FBF"/>
    <w:rsid w:val="15D608EC"/>
    <w:rsid w:val="162D376A"/>
    <w:rsid w:val="16885D48"/>
    <w:rsid w:val="17535373"/>
    <w:rsid w:val="17F943C3"/>
    <w:rsid w:val="183718FE"/>
    <w:rsid w:val="1A5E74BB"/>
    <w:rsid w:val="1AC14B69"/>
    <w:rsid w:val="1CF8121C"/>
    <w:rsid w:val="1D896282"/>
    <w:rsid w:val="1E373C0A"/>
    <w:rsid w:val="1E6154BD"/>
    <w:rsid w:val="1ED667B3"/>
    <w:rsid w:val="1F993EC7"/>
    <w:rsid w:val="1FA9685A"/>
    <w:rsid w:val="212266F4"/>
    <w:rsid w:val="215410A1"/>
    <w:rsid w:val="24F432B7"/>
    <w:rsid w:val="26D67523"/>
    <w:rsid w:val="27FF24DB"/>
    <w:rsid w:val="286F616F"/>
    <w:rsid w:val="28DD4E46"/>
    <w:rsid w:val="28F74EA9"/>
    <w:rsid w:val="28F75199"/>
    <w:rsid w:val="294848E5"/>
    <w:rsid w:val="29DB30E0"/>
    <w:rsid w:val="2AA44EBE"/>
    <w:rsid w:val="2BB5436E"/>
    <w:rsid w:val="2CAE26BA"/>
    <w:rsid w:val="2D4F5841"/>
    <w:rsid w:val="2DBF0742"/>
    <w:rsid w:val="2F662FD9"/>
    <w:rsid w:val="3029023D"/>
    <w:rsid w:val="30AD7863"/>
    <w:rsid w:val="30C63809"/>
    <w:rsid w:val="31CD6CFB"/>
    <w:rsid w:val="32034CA1"/>
    <w:rsid w:val="32A97B18"/>
    <w:rsid w:val="32D97C91"/>
    <w:rsid w:val="33381CA6"/>
    <w:rsid w:val="337C5731"/>
    <w:rsid w:val="34322AD8"/>
    <w:rsid w:val="354D1BCC"/>
    <w:rsid w:val="35677A9B"/>
    <w:rsid w:val="357655D4"/>
    <w:rsid w:val="36022765"/>
    <w:rsid w:val="36996FA2"/>
    <w:rsid w:val="37A46185"/>
    <w:rsid w:val="37E3296E"/>
    <w:rsid w:val="38E671FC"/>
    <w:rsid w:val="38FE1CC2"/>
    <w:rsid w:val="39CD0B0D"/>
    <w:rsid w:val="3B4B12B9"/>
    <w:rsid w:val="3B8D532A"/>
    <w:rsid w:val="3CDA396F"/>
    <w:rsid w:val="3CE45E92"/>
    <w:rsid w:val="41FF1D8F"/>
    <w:rsid w:val="42D80AF1"/>
    <w:rsid w:val="434A3072"/>
    <w:rsid w:val="438079D3"/>
    <w:rsid w:val="45D548C2"/>
    <w:rsid w:val="46880650"/>
    <w:rsid w:val="47E73402"/>
    <w:rsid w:val="49AA77A6"/>
    <w:rsid w:val="4B764851"/>
    <w:rsid w:val="4BD93E04"/>
    <w:rsid w:val="4C432B1F"/>
    <w:rsid w:val="4DB62480"/>
    <w:rsid w:val="4E4B30B0"/>
    <w:rsid w:val="4EB46585"/>
    <w:rsid w:val="4F3B4966"/>
    <w:rsid w:val="502E19DA"/>
    <w:rsid w:val="50437A89"/>
    <w:rsid w:val="50887646"/>
    <w:rsid w:val="51256D1E"/>
    <w:rsid w:val="527D4EE9"/>
    <w:rsid w:val="53013DFE"/>
    <w:rsid w:val="531C0833"/>
    <w:rsid w:val="55596361"/>
    <w:rsid w:val="58A741E8"/>
    <w:rsid w:val="5A9B08FF"/>
    <w:rsid w:val="5B637897"/>
    <w:rsid w:val="5B715A6E"/>
    <w:rsid w:val="5C994142"/>
    <w:rsid w:val="5D2950F1"/>
    <w:rsid w:val="5EBF10DF"/>
    <w:rsid w:val="5F0E44F6"/>
    <w:rsid w:val="5F5B0708"/>
    <w:rsid w:val="5FC25FA4"/>
    <w:rsid w:val="5FEB07B2"/>
    <w:rsid w:val="6030049A"/>
    <w:rsid w:val="60327757"/>
    <w:rsid w:val="60B47835"/>
    <w:rsid w:val="60C362AB"/>
    <w:rsid w:val="60F14397"/>
    <w:rsid w:val="61BE71D9"/>
    <w:rsid w:val="62F2375D"/>
    <w:rsid w:val="65621DAE"/>
    <w:rsid w:val="66176F73"/>
    <w:rsid w:val="663231AE"/>
    <w:rsid w:val="669B7A9A"/>
    <w:rsid w:val="686804BA"/>
    <w:rsid w:val="687065F7"/>
    <w:rsid w:val="69C961D4"/>
    <w:rsid w:val="6B771E07"/>
    <w:rsid w:val="6BCD173F"/>
    <w:rsid w:val="6D54530F"/>
    <w:rsid w:val="6F3930F3"/>
    <w:rsid w:val="70370503"/>
    <w:rsid w:val="70497EE8"/>
    <w:rsid w:val="705F1327"/>
    <w:rsid w:val="70B57C26"/>
    <w:rsid w:val="716D5F2E"/>
    <w:rsid w:val="73B17E2E"/>
    <w:rsid w:val="749D0B5F"/>
    <w:rsid w:val="760A6A79"/>
    <w:rsid w:val="764375CF"/>
    <w:rsid w:val="768D4DBC"/>
    <w:rsid w:val="77A512CE"/>
    <w:rsid w:val="7A5B274A"/>
    <w:rsid w:val="7B0E6D45"/>
    <w:rsid w:val="7C4227F3"/>
    <w:rsid w:val="7C824634"/>
    <w:rsid w:val="7D1075A2"/>
    <w:rsid w:val="7DE14325"/>
    <w:rsid w:val="7DF217F7"/>
    <w:rsid w:val="7E04531B"/>
    <w:rsid w:val="7E740813"/>
    <w:rsid w:val="7E7C20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1"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qFormat="1" w:unhideWhenUsed="0"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97"/>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99"/>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9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8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87"/>
    <w:qFormat/>
    <w:uiPriority w:val="1"/>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9"/>
    <w:qFormat/>
    <w:uiPriority w:val="99"/>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55"/>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84"/>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4">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85"/>
    <w:qFormat/>
    <w:uiPriority w:val="0"/>
    <w:pPr>
      <w:spacing w:after="120"/>
    </w:pPr>
  </w:style>
  <w:style w:type="paragraph" w:styleId="3">
    <w:name w:val="Subtitle"/>
    <w:basedOn w:val="1"/>
    <w:next w:val="1"/>
    <w:link w:val="234"/>
    <w:qFormat/>
    <w:uiPriority w:val="99"/>
    <w:pPr>
      <w:widowControl w:val="0"/>
      <w:spacing w:before="240" w:after="60" w:line="312" w:lineRule="auto"/>
      <w:jc w:val="center"/>
      <w:outlineLvl w:val="1"/>
    </w:pPr>
    <w:rPr>
      <w:rFonts w:ascii="Cambria" w:hAnsi="Cambria" w:cs="Cambria"/>
      <w:b/>
      <w:bCs/>
      <w:kern w:val="28"/>
      <w:sz w:val="32"/>
      <w:szCs w:val="32"/>
    </w:rPr>
  </w:style>
  <w:style w:type="paragraph" w:styleId="13">
    <w:name w:val="annotation subject"/>
    <w:basedOn w:val="14"/>
    <w:next w:val="14"/>
    <w:link w:val="54"/>
    <w:qFormat/>
    <w:uiPriority w:val="99"/>
    <w:rPr>
      <w:b/>
    </w:rPr>
  </w:style>
  <w:style w:type="paragraph" w:styleId="14">
    <w:name w:val="annotation text"/>
    <w:basedOn w:val="1"/>
    <w:link w:val="57"/>
    <w:qFormat/>
    <w:uiPriority w:val="0"/>
    <w:pPr>
      <w:widowControl w:val="0"/>
    </w:pPr>
    <w:rPr>
      <w:kern w:val="2"/>
      <w:sz w:val="18"/>
      <w:szCs w:val="20"/>
    </w:rPr>
  </w:style>
  <w:style w:type="paragraph" w:styleId="15">
    <w:name w:val="toc 7"/>
    <w:basedOn w:val="1"/>
    <w:next w:val="1"/>
    <w:qFormat/>
    <w:uiPriority w:val="99"/>
    <w:pPr>
      <w:widowControl w:val="0"/>
      <w:ind w:left="1080"/>
    </w:pPr>
    <w:rPr>
      <w:kern w:val="2"/>
      <w:sz w:val="18"/>
      <w:szCs w:val="20"/>
    </w:rPr>
  </w:style>
  <w:style w:type="paragraph" w:styleId="16">
    <w:name w:val="Body Text First Indent"/>
    <w:basedOn w:val="2"/>
    <w:link w:val="81"/>
    <w:qFormat/>
    <w:uiPriority w:val="0"/>
    <w:pPr>
      <w:widowControl w:val="0"/>
      <w:ind w:firstLine="420" w:firstLineChars="100"/>
      <w:jc w:val="both"/>
    </w:pPr>
    <w:rPr>
      <w:rFonts w:ascii="宋体" w:hAnsi="宋体"/>
      <w:kern w:val="2"/>
      <w:sz w:val="21"/>
    </w:rPr>
  </w:style>
  <w:style w:type="paragraph" w:styleId="17">
    <w:name w:val="Normal Indent"/>
    <w:basedOn w:val="1"/>
    <w:link w:val="82"/>
    <w:qFormat/>
    <w:uiPriority w:val="99"/>
    <w:pPr>
      <w:widowControl w:val="0"/>
      <w:spacing w:line="360" w:lineRule="auto"/>
      <w:ind w:firstLine="420" w:firstLineChars="200"/>
      <w:jc w:val="both"/>
    </w:pPr>
    <w:rPr>
      <w:kern w:val="2"/>
      <w:sz w:val="21"/>
    </w:rPr>
  </w:style>
  <w:style w:type="paragraph" w:styleId="18">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9">
    <w:name w:val="Document Map"/>
    <w:basedOn w:val="1"/>
    <w:link w:val="74"/>
    <w:unhideWhenUsed/>
    <w:qFormat/>
    <w:uiPriority w:val="99"/>
    <w:rPr>
      <w:rFonts w:ascii="宋体"/>
      <w:sz w:val="18"/>
      <w:szCs w:val="18"/>
    </w:rPr>
  </w:style>
  <w:style w:type="paragraph" w:styleId="20">
    <w:name w:val="Salutation"/>
    <w:basedOn w:val="1"/>
    <w:next w:val="1"/>
    <w:link w:val="83"/>
    <w:qFormat/>
    <w:uiPriority w:val="0"/>
    <w:pPr>
      <w:widowControl w:val="0"/>
      <w:jc w:val="both"/>
    </w:pPr>
    <w:rPr>
      <w:rFonts w:eastAsia="黑体"/>
      <w:kern w:val="2"/>
      <w:szCs w:val="20"/>
    </w:rPr>
  </w:style>
  <w:style w:type="paragraph" w:styleId="21">
    <w:name w:val="Body Text 3"/>
    <w:basedOn w:val="1"/>
    <w:link w:val="96"/>
    <w:qFormat/>
    <w:uiPriority w:val="0"/>
    <w:pPr>
      <w:spacing w:after="120"/>
    </w:pPr>
    <w:rPr>
      <w:sz w:val="16"/>
      <w:szCs w:val="16"/>
    </w:rPr>
  </w:style>
  <w:style w:type="paragraph" w:styleId="22">
    <w:name w:val="Body Text Indent"/>
    <w:basedOn w:val="1"/>
    <w:link w:val="80"/>
    <w:qFormat/>
    <w:uiPriority w:val="99"/>
    <w:pPr>
      <w:widowControl w:val="0"/>
      <w:autoSpaceDE w:val="0"/>
      <w:autoSpaceDN w:val="0"/>
      <w:adjustRightInd w:val="0"/>
      <w:spacing w:line="360" w:lineRule="auto"/>
      <w:ind w:firstLine="540" w:firstLineChars="180"/>
      <w:jc w:val="both"/>
    </w:pPr>
    <w:rPr>
      <w:rFonts w:ascii="宋体"/>
      <w:sz w:val="30"/>
    </w:rPr>
  </w:style>
  <w:style w:type="paragraph" w:styleId="23">
    <w:name w:val="Block Text"/>
    <w:basedOn w:val="1"/>
    <w:qFormat/>
    <w:uiPriority w:val="0"/>
    <w:pPr>
      <w:widowControl w:val="0"/>
      <w:ind w:left="-540" w:leftChars="-257" w:right="-334" w:rightChars="-159" w:firstLine="540" w:firstLineChars="180"/>
      <w:jc w:val="both"/>
    </w:pPr>
    <w:rPr>
      <w:kern w:val="2"/>
      <w:sz w:val="30"/>
    </w:rPr>
  </w:style>
  <w:style w:type="paragraph" w:styleId="24">
    <w:name w:val="index 4"/>
    <w:basedOn w:val="1"/>
    <w:next w:val="1"/>
    <w:semiHidden/>
    <w:qFormat/>
    <w:uiPriority w:val="99"/>
    <w:pPr>
      <w:widowControl w:val="0"/>
      <w:ind w:left="600" w:leftChars="600"/>
      <w:jc w:val="both"/>
    </w:pPr>
    <w:rPr>
      <w:rFonts w:ascii="Calibri" w:hAnsi="Calibri"/>
      <w:kern w:val="2"/>
      <w:sz w:val="21"/>
      <w:szCs w:val="21"/>
    </w:rPr>
  </w:style>
  <w:style w:type="paragraph" w:styleId="25">
    <w:name w:val="toc 5"/>
    <w:basedOn w:val="1"/>
    <w:next w:val="1"/>
    <w:qFormat/>
    <w:uiPriority w:val="99"/>
    <w:pPr>
      <w:widowControl w:val="0"/>
      <w:ind w:left="720"/>
    </w:pPr>
    <w:rPr>
      <w:kern w:val="2"/>
      <w:sz w:val="18"/>
      <w:szCs w:val="20"/>
    </w:rPr>
  </w:style>
  <w:style w:type="paragraph" w:styleId="26">
    <w:name w:val="toc 3"/>
    <w:basedOn w:val="1"/>
    <w:next w:val="1"/>
    <w:qFormat/>
    <w:uiPriority w:val="99"/>
    <w:pPr>
      <w:widowControl w:val="0"/>
      <w:ind w:left="360"/>
    </w:pPr>
    <w:rPr>
      <w:i/>
      <w:kern w:val="2"/>
      <w:sz w:val="20"/>
      <w:szCs w:val="20"/>
    </w:rPr>
  </w:style>
  <w:style w:type="paragraph" w:styleId="27">
    <w:name w:val="Plain Text"/>
    <w:basedOn w:val="1"/>
    <w:link w:val="101"/>
    <w:qFormat/>
    <w:uiPriority w:val="99"/>
    <w:pPr>
      <w:widowControl w:val="0"/>
      <w:autoSpaceDE w:val="0"/>
      <w:autoSpaceDN w:val="0"/>
      <w:adjustRightInd w:val="0"/>
      <w:jc w:val="both"/>
    </w:pPr>
    <w:rPr>
      <w:rFonts w:ascii="宋体" w:hAnsi="Tms Rmn"/>
      <w:sz w:val="21"/>
      <w:szCs w:val="21"/>
    </w:rPr>
  </w:style>
  <w:style w:type="paragraph" w:styleId="28">
    <w:name w:val="toc 8"/>
    <w:basedOn w:val="1"/>
    <w:next w:val="1"/>
    <w:qFormat/>
    <w:uiPriority w:val="99"/>
    <w:pPr>
      <w:widowControl w:val="0"/>
      <w:ind w:left="1260"/>
    </w:pPr>
    <w:rPr>
      <w:kern w:val="2"/>
      <w:sz w:val="18"/>
      <w:szCs w:val="20"/>
    </w:rPr>
  </w:style>
  <w:style w:type="paragraph" w:styleId="29">
    <w:name w:val="Date"/>
    <w:basedOn w:val="1"/>
    <w:next w:val="1"/>
    <w:link w:val="75"/>
    <w:qFormat/>
    <w:uiPriority w:val="99"/>
    <w:pPr>
      <w:ind w:left="100" w:leftChars="2500"/>
    </w:pPr>
  </w:style>
  <w:style w:type="paragraph" w:styleId="30">
    <w:name w:val="Body Text Indent 2"/>
    <w:basedOn w:val="1"/>
    <w:link w:val="94"/>
    <w:qFormat/>
    <w:uiPriority w:val="99"/>
    <w:pPr>
      <w:widowControl w:val="0"/>
      <w:ind w:firstLine="540" w:firstLineChars="257"/>
      <w:jc w:val="both"/>
    </w:pPr>
    <w:rPr>
      <w:kern w:val="2"/>
      <w:sz w:val="21"/>
    </w:rPr>
  </w:style>
  <w:style w:type="paragraph" w:styleId="31">
    <w:name w:val="Balloon Text"/>
    <w:basedOn w:val="1"/>
    <w:link w:val="88"/>
    <w:semiHidden/>
    <w:qFormat/>
    <w:uiPriority w:val="99"/>
    <w:rPr>
      <w:sz w:val="18"/>
      <w:szCs w:val="18"/>
    </w:rPr>
  </w:style>
  <w:style w:type="paragraph" w:styleId="32">
    <w:name w:val="footer"/>
    <w:basedOn w:val="1"/>
    <w:link w:val="72"/>
    <w:qFormat/>
    <w:uiPriority w:val="99"/>
    <w:pPr>
      <w:tabs>
        <w:tab w:val="center" w:pos="4153"/>
        <w:tab w:val="right" w:pos="8306"/>
      </w:tabs>
      <w:snapToGrid w:val="0"/>
    </w:pPr>
    <w:rPr>
      <w:sz w:val="18"/>
      <w:szCs w:val="18"/>
    </w:rPr>
  </w:style>
  <w:style w:type="paragraph" w:styleId="33">
    <w:name w:val="header"/>
    <w:basedOn w:val="1"/>
    <w:link w:val="93"/>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left" w:pos="840"/>
        <w:tab w:val="right" w:leader="dot" w:pos="9204"/>
      </w:tabs>
      <w:spacing w:before="120" w:after="120"/>
    </w:pPr>
    <w:rPr>
      <w:b/>
      <w:bCs/>
      <w:caps/>
      <w:szCs w:val="20"/>
    </w:rPr>
  </w:style>
  <w:style w:type="paragraph" w:styleId="35">
    <w:name w:val="toc 4"/>
    <w:basedOn w:val="1"/>
    <w:next w:val="1"/>
    <w:qFormat/>
    <w:uiPriority w:val="99"/>
    <w:pPr>
      <w:widowControl w:val="0"/>
      <w:ind w:left="540"/>
    </w:pPr>
    <w:rPr>
      <w:kern w:val="2"/>
      <w:sz w:val="18"/>
      <w:szCs w:val="20"/>
    </w:rPr>
  </w:style>
  <w:style w:type="paragraph" w:styleId="36">
    <w:name w:val="toc 6"/>
    <w:basedOn w:val="1"/>
    <w:next w:val="1"/>
    <w:semiHidden/>
    <w:qFormat/>
    <w:uiPriority w:val="99"/>
    <w:pPr>
      <w:ind w:left="1200"/>
    </w:pPr>
    <w:rPr>
      <w:sz w:val="18"/>
      <w:szCs w:val="18"/>
    </w:rPr>
  </w:style>
  <w:style w:type="paragraph" w:styleId="37">
    <w:name w:val="Body Text Indent 3"/>
    <w:basedOn w:val="1"/>
    <w:link w:val="78"/>
    <w:qFormat/>
    <w:uiPriority w:val="99"/>
    <w:pPr>
      <w:widowControl w:val="0"/>
      <w:spacing w:after="120"/>
      <w:ind w:left="420" w:leftChars="200"/>
      <w:jc w:val="both"/>
    </w:pPr>
    <w:rPr>
      <w:kern w:val="2"/>
      <w:sz w:val="16"/>
      <w:szCs w:val="16"/>
    </w:rPr>
  </w:style>
  <w:style w:type="paragraph" w:styleId="38">
    <w:name w:val="index 7"/>
    <w:basedOn w:val="1"/>
    <w:next w:val="1"/>
    <w:semiHidden/>
    <w:qFormat/>
    <w:uiPriority w:val="99"/>
    <w:pPr>
      <w:widowControl w:val="0"/>
      <w:ind w:left="1200" w:leftChars="1200"/>
      <w:jc w:val="both"/>
    </w:pPr>
    <w:rPr>
      <w:rFonts w:ascii="Calibri" w:hAnsi="Calibri"/>
      <w:kern w:val="2"/>
      <w:sz w:val="21"/>
      <w:szCs w:val="21"/>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99"/>
    <w:pPr>
      <w:widowControl w:val="0"/>
      <w:ind w:left="1440"/>
    </w:pPr>
    <w:rPr>
      <w:kern w:val="2"/>
      <w:sz w:val="18"/>
      <w:szCs w:val="20"/>
    </w:rPr>
  </w:style>
  <w:style w:type="paragraph" w:styleId="41">
    <w:name w:val="Body Text 2"/>
    <w:basedOn w:val="1"/>
    <w:link w:val="68"/>
    <w:qFormat/>
    <w:uiPriority w:val="0"/>
    <w:pPr>
      <w:widowControl w:val="0"/>
      <w:autoSpaceDE w:val="0"/>
      <w:autoSpaceDN w:val="0"/>
      <w:adjustRightInd w:val="0"/>
      <w:spacing w:after="120" w:line="480" w:lineRule="auto"/>
      <w:jc w:val="both"/>
    </w:pPr>
    <w:rPr>
      <w:sz w:val="21"/>
      <w:szCs w:val="21"/>
    </w:rPr>
  </w:style>
  <w:style w:type="paragraph" w:styleId="42">
    <w:name w:val="Normal (Web)"/>
    <w:basedOn w:val="1"/>
    <w:qFormat/>
    <w:uiPriority w:val="99"/>
    <w:pPr>
      <w:spacing w:before="100" w:beforeAutospacing="1" w:after="100" w:afterAutospacing="1"/>
    </w:pPr>
    <w:rPr>
      <w:rFonts w:ascii="宋体" w:hAnsi="宋体"/>
    </w:rPr>
  </w:style>
  <w:style w:type="paragraph" w:styleId="43">
    <w:name w:val="Title"/>
    <w:basedOn w:val="1"/>
    <w:next w:val="1"/>
    <w:link w:val="100"/>
    <w:qFormat/>
    <w:uiPriority w:val="99"/>
    <w:pPr>
      <w:widowControl w:val="0"/>
      <w:spacing w:before="240" w:after="60"/>
      <w:jc w:val="center"/>
      <w:outlineLvl w:val="0"/>
    </w:pPr>
    <w:rPr>
      <w:rFonts w:ascii="Cambria" w:hAnsi="Cambria"/>
      <w:b/>
      <w:bCs/>
      <w:kern w:val="2"/>
      <w:sz w:val="32"/>
      <w:szCs w:val="32"/>
    </w:rPr>
  </w:style>
  <w:style w:type="character" w:styleId="45">
    <w:name w:val="Strong"/>
    <w:qFormat/>
    <w:uiPriority w:val="22"/>
    <w:rPr>
      <w:b/>
    </w:rPr>
  </w:style>
  <w:style w:type="character" w:styleId="46">
    <w:name w:val="page number"/>
    <w:basedOn w:val="44"/>
    <w:qFormat/>
    <w:uiPriority w:val="99"/>
  </w:style>
  <w:style w:type="character" w:styleId="47">
    <w:name w:val="Emphasis"/>
    <w:qFormat/>
    <w:uiPriority w:val="99"/>
    <w:rPr>
      <w:i/>
      <w:iCs/>
    </w:rPr>
  </w:style>
  <w:style w:type="character" w:styleId="48">
    <w:name w:val="Hyperlink"/>
    <w:qFormat/>
    <w:uiPriority w:val="99"/>
    <w:rPr>
      <w:color w:val="0000FF"/>
      <w:u w:val="single"/>
    </w:rPr>
  </w:style>
  <w:style w:type="character" w:styleId="49">
    <w:name w:val="annotation reference"/>
    <w:qFormat/>
    <w:uiPriority w:val="0"/>
    <w:rPr>
      <w:sz w:val="21"/>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2">
    <w:name w:val="Table Elegant"/>
    <w:basedOn w:val="5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paragraph" w:customStyle="1" w:styleId="53">
    <w:name w:val="Default"/>
    <w:next w:val="18"/>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54">
    <w:name w:val="批注主题 Char"/>
    <w:link w:val="13"/>
    <w:qFormat/>
    <w:uiPriority w:val="99"/>
    <w:rPr>
      <w:b/>
      <w:kern w:val="2"/>
      <w:sz w:val="18"/>
    </w:rPr>
  </w:style>
  <w:style w:type="character" w:customStyle="1" w:styleId="55">
    <w:name w:val="标题 8 Char"/>
    <w:link w:val="11"/>
    <w:qFormat/>
    <w:uiPriority w:val="99"/>
    <w:rPr>
      <w:rFonts w:ascii="Arial" w:hAnsi="Arial" w:eastAsia="黑体"/>
      <w:kern w:val="2"/>
      <w:sz w:val="24"/>
    </w:rPr>
  </w:style>
  <w:style w:type="character" w:customStyle="1" w:styleId="56">
    <w:name w:val="访问过的超链接1"/>
    <w:qFormat/>
    <w:uiPriority w:val="0"/>
    <w:rPr>
      <w:color w:val="800080"/>
      <w:u w:val="single"/>
    </w:rPr>
  </w:style>
  <w:style w:type="character" w:customStyle="1" w:styleId="57">
    <w:name w:val="批注文字 Char"/>
    <w:link w:val="14"/>
    <w:qFormat/>
    <w:uiPriority w:val="99"/>
    <w:rPr>
      <w:kern w:val="2"/>
      <w:sz w:val="18"/>
    </w:rPr>
  </w:style>
  <w:style w:type="character" w:customStyle="1" w:styleId="58">
    <w:name w:val="fontblank12"/>
    <w:basedOn w:val="44"/>
    <w:qFormat/>
    <w:uiPriority w:val="0"/>
  </w:style>
  <w:style w:type="character" w:customStyle="1" w:styleId="59">
    <w:name w:val="标书（正文） Char"/>
    <w:link w:val="60"/>
    <w:qFormat/>
    <w:uiPriority w:val="0"/>
    <w:rPr>
      <w:rFonts w:ascii="宋体" w:hAnsi="宋体"/>
      <w:b/>
      <w:kern w:val="10"/>
      <w:sz w:val="21"/>
    </w:rPr>
  </w:style>
  <w:style w:type="paragraph" w:customStyle="1" w:styleId="60">
    <w:name w:val="标书（正文）"/>
    <w:basedOn w:val="1"/>
    <w:link w:val="59"/>
    <w:qFormat/>
    <w:uiPriority w:val="0"/>
    <w:pPr>
      <w:widowControl w:val="0"/>
      <w:spacing w:line="360" w:lineRule="auto"/>
      <w:ind w:firstLine="560" w:firstLineChars="200"/>
      <w:jc w:val="both"/>
    </w:pPr>
    <w:rPr>
      <w:rFonts w:ascii="宋体" w:hAnsi="宋体"/>
      <w:b/>
      <w:kern w:val="10"/>
      <w:sz w:val="21"/>
      <w:szCs w:val="20"/>
    </w:rPr>
  </w:style>
  <w:style w:type="character" w:customStyle="1" w:styleId="61">
    <w:name w:val="Char Char4"/>
    <w:qFormat/>
    <w:uiPriority w:val="0"/>
    <w:rPr>
      <w:rFonts w:ascii="宋体" w:hAnsi="Courier New" w:eastAsia="宋体"/>
      <w:kern w:val="2"/>
      <w:sz w:val="21"/>
      <w:lang w:val="en-US" w:eastAsia="zh-CN"/>
    </w:rPr>
  </w:style>
  <w:style w:type="character" w:customStyle="1" w:styleId="62">
    <w:name w:val="textnormchn1"/>
    <w:basedOn w:val="44"/>
    <w:qFormat/>
    <w:uiPriority w:val="0"/>
  </w:style>
  <w:style w:type="character" w:customStyle="1" w:styleId="63">
    <w:name w:val="标题 1 Char"/>
    <w:link w:val="4"/>
    <w:qFormat/>
    <w:uiPriority w:val="99"/>
    <w:rPr>
      <w:rFonts w:ascii="宋体" w:hAnsi="宋体"/>
      <w:b/>
      <w:bCs/>
      <w:kern w:val="44"/>
      <w:sz w:val="32"/>
      <w:szCs w:val="32"/>
    </w:rPr>
  </w:style>
  <w:style w:type="character" w:customStyle="1" w:styleId="64">
    <w:name w:val="列出段落 Char"/>
    <w:link w:val="65"/>
    <w:qFormat/>
    <w:uiPriority w:val="0"/>
    <w:rPr>
      <w:sz w:val="24"/>
      <w:szCs w:val="24"/>
    </w:rPr>
  </w:style>
  <w:style w:type="paragraph" w:customStyle="1" w:styleId="65">
    <w:name w:val="List Paragraph"/>
    <w:basedOn w:val="1"/>
    <w:link w:val="64"/>
    <w:qFormat/>
    <w:uiPriority w:val="99"/>
    <w:pPr>
      <w:ind w:firstLine="420" w:firstLineChars="200"/>
    </w:pPr>
  </w:style>
  <w:style w:type="character" w:customStyle="1" w:styleId="66">
    <w:name w:val="CD正文 Char"/>
    <w:link w:val="67"/>
    <w:qFormat/>
    <w:uiPriority w:val="0"/>
    <w:rPr>
      <w:kern w:val="2"/>
      <w:sz w:val="30"/>
      <w:szCs w:val="28"/>
    </w:rPr>
  </w:style>
  <w:style w:type="paragraph" w:customStyle="1" w:styleId="67">
    <w:name w:val="CD正文"/>
    <w:basedOn w:val="1"/>
    <w:link w:val="66"/>
    <w:qFormat/>
    <w:uiPriority w:val="99"/>
    <w:pPr>
      <w:widowControl w:val="0"/>
      <w:spacing w:line="360" w:lineRule="auto"/>
      <w:ind w:firstLine="493"/>
      <w:jc w:val="both"/>
    </w:pPr>
    <w:rPr>
      <w:kern w:val="2"/>
      <w:sz w:val="30"/>
      <w:szCs w:val="28"/>
    </w:rPr>
  </w:style>
  <w:style w:type="character" w:customStyle="1" w:styleId="68">
    <w:name w:val="正文文本 2 Char"/>
    <w:link w:val="41"/>
    <w:qFormat/>
    <w:uiPriority w:val="0"/>
    <w:rPr>
      <w:sz w:val="21"/>
      <w:szCs w:val="21"/>
    </w:rPr>
  </w:style>
  <w:style w:type="character" w:customStyle="1" w:styleId="69">
    <w:name w:val="（符号）三标题1.1 Char Char"/>
    <w:link w:val="70"/>
    <w:qFormat/>
    <w:uiPriority w:val="0"/>
    <w:rPr>
      <w:rFonts w:ascii="宋体" w:hAnsi="宋体"/>
      <w:kern w:val="2"/>
      <w:sz w:val="24"/>
      <w:szCs w:val="24"/>
    </w:rPr>
  </w:style>
  <w:style w:type="paragraph" w:customStyle="1" w:styleId="70">
    <w:name w:val="（符号）三标题1.1"/>
    <w:basedOn w:val="1"/>
    <w:link w:val="69"/>
    <w:qFormat/>
    <w:uiPriority w:val="0"/>
    <w:pPr>
      <w:widowControl w:val="0"/>
      <w:tabs>
        <w:tab w:val="left" w:pos="700"/>
        <w:tab w:val="left" w:pos="840"/>
      </w:tabs>
      <w:spacing w:line="500" w:lineRule="exact"/>
      <w:ind w:left="431" w:hanging="431"/>
      <w:jc w:val="both"/>
    </w:pPr>
    <w:rPr>
      <w:rFonts w:ascii="宋体" w:hAnsi="宋体"/>
      <w:kern w:val="2"/>
    </w:rPr>
  </w:style>
  <w:style w:type="character" w:customStyle="1" w:styleId="71">
    <w:name w:val="grame"/>
    <w:basedOn w:val="44"/>
    <w:qFormat/>
    <w:uiPriority w:val="0"/>
  </w:style>
  <w:style w:type="character" w:customStyle="1" w:styleId="72">
    <w:name w:val="页脚 Char"/>
    <w:link w:val="32"/>
    <w:qFormat/>
    <w:uiPriority w:val="99"/>
    <w:rPr>
      <w:sz w:val="18"/>
      <w:szCs w:val="18"/>
    </w:rPr>
  </w:style>
  <w:style w:type="character" w:customStyle="1" w:styleId="73">
    <w:name w:val="keyword"/>
    <w:basedOn w:val="44"/>
    <w:qFormat/>
    <w:uiPriority w:val="0"/>
  </w:style>
  <w:style w:type="character" w:customStyle="1" w:styleId="74">
    <w:name w:val="文档结构图 Char"/>
    <w:link w:val="19"/>
    <w:qFormat/>
    <w:uiPriority w:val="99"/>
    <w:rPr>
      <w:rFonts w:ascii="宋体"/>
      <w:sz w:val="18"/>
      <w:szCs w:val="18"/>
    </w:rPr>
  </w:style>
  <w:style w:type="character" w:customStyle="1" w:styleId="75">
    <w:name w:val="日期 Char"/>
    <w:link w:val="29"/>
    <w:qFormat/>
    <w:uiPriority w:val="99"/>
    <w:rPr>
      <w:sz w:val="24"/>
      <w:szCs w:val="24"/>
    </w:rPr>
  </w:style>
  <w:style w:type="character" w:customStyle="1" w:styleId="76">
    <w:name w:val="文章正文 Char"/>
    <w:link w:val="77"/>
    <w:qFormat/>
    <w:uiPriority w:val="0"/>
    <w:rPr>
      <w:kern w:val="2"/>
      <w:sz w:val="24"/>
      <w:szCs w:val="24"/>
    </w:rPr>
  </w:style>
  <w:style w:type="paragraph" w:customStyle="1" w:styleId="77">
    <w:name w:val="文章正文"/>
    <w:basedOn w:val="1"/>
    <w:link w:val="76"/>
    <w:qFormat/>
    <w:uiPriority w:val="0"/>
    <w:pPr>
      <w:widowControl w:val="0"/>
      <w:spacing w:line="360" w:lineRule="auto"/>
      <w:ind w:firstLine="420"/>
      <w:jc w:val="both"/>
    </w:pPr>
    <w:rPr>
      <w:kern w:val="2"/>
    </w:rPr>
  </w:style>
  <w:style w:type="character" w:customStyle="1" w:styleId="78">
    <w:name w:val="正文文本缩进 3 Char"/>
    <w:link w:val="37"/>
    <w:qFormat/>
    <w:uiPriority w:val="99"/>
    <w:rPr>
      <w:kern w:val="2"/>
      <w:sz w:val="16"/>
      <w:szCs w:val="16"/>
    </w:rPr>
  </w:style>
  <w:style w:type="character" w:customStyle="1" w:styleId="79">
    <w:name w:val="标题 7 Char"/>
    <w:link w:val="10"/>
    <w:qFormat/>
    <w:uiPriority w:val="99"/>
    <w:rPr>
      <w:rFonts w:ascii="Arial Narrow" w:hAnsi="Arial Narrow"/>
      <w:b/>
      <w:lang w:eastAsia="en-US"/>
    </w:rPr>
  </w:style>
  <w:style w:type="character" w:customStyle="1" w:styleId="80">
    <w:name w:val="正文文本缩进 Char"/>
    <w:link w:val="22"/>
    <w:qFormat/>
    <w:uiPriority w:val="99"/>
    <w:rPr>
      <w:rFonts w:ascii="宋体"/>
      <w:sz w:val="30"/>
      <w:szCs w:val="24"/>
    </w:rPr>
  </w:style>
  <w:style w:type="character" w:customStyle="1" w:styleId="81">
    <w:name w:val="正文首行缩进 Char"/>
    <w:link w:val="16"/>
    <w:qFormat/>
    <w:uiPriority w:val="0"/>
    <w:rPr>
      <w:rFonts w:ascii="宋体" w:hAnsi="宋体"/>
      <w:kern w:val="2"/>
      <w:sz w:val="21"/>
      <w:szCs w:val="24"/>
    </w:rPr>
  </w:style>
  <w:style w:type="character" w:customStyle="1" w:styleId="82">
    <w:name w:val="正文缩进 Char"/>
    <w:link w:val="17"/>
    <w:qFormat/>
    <w:uiPriority w:val="99"/>
    <w:rPr>
      <w:kern w:val="2"/>
      <w:sz w:val="21"/>
      <w:szCs w:val="24"/>
    </w:rPr>
  </w:style>
  <w:style w:type="character" w:customStyle="1" w:styleId="83">
    <w:name w:val="称呼 Char"/>
    <w:link w:val="20"/>
    <w:qFormat/>
    <w:uiPriority w:val="0"/>
    <w:rPr>
      <w:rFonts w:eastAsia="黑体"/>
      <w:kern w:val="2"/>
      <w:sz w:val="24"/>
    </w:rPr>
  </w:style>
  <w:style w:type="character" w:customStyle="1" w:styleId="84">
    <w:name w:val="标题 9 Char"/>
    <w:link w:val="12"/>
    <w:qFormat/>
    <w:uiPriority w:val="99"/>
    <w:rPr>
      <w:rFonts w:ascii="Arial" w:hAnsi="Arial" w:eastAsia="黑体"/>
      <w:kern w:val="2"/>
      <w:sz w:val="21"/>
    </w:rPr>
  </w:style>
  <w:style w:type="character" w:customStyle="1" w:styleId="85">
    <w:name w:val="正文文本 Char"/>
    <w:link w:val="2"/>
    <w:qFormat/>
    <w:uiPriority w:val="0"/>
    <w:rPr>
      <w:sz w:val="24"/>
      <w:szCs w:val="24"/>
    </w:rPr>
  </w:style>
  <w:style w:type="character" w:customStyle="1" w:styleId="86">
    <w:name w:val="Char Char40"/>
    <w:qFormat/>
    <w:uiPriority w:val="0"/>
    <w:rPr>
      <w:kern w:val="2"/>
      <w:sz w:val="24"/>
      <w:szCs w:val="24"/>
    </w:rPr>
  </w:style>
  <w:style w:type="character" w:customStyle="1" w:styleId="87">
    <w:name w:val="标题 6 Char"/>
    <w:link w:val="9"/>
    <w:qFormat/>
    <w:uiPriority w:val="99"/>
    <w:rPr>
      <w:rFonts w:ascii="Arial" w:hAnsi="Arial" w:eastAsia="黑体"/>
      <w:b/>
      <w:bCs/>
      <w:kern w:val="2"/>
      <w:sz w:val="24"/>
      <w:szCs w:val="24"/>
    </w:rPr>
  </w:style>
  <w:style w:type="character" w:customStyle="1" w:styleId="88">
    <w:name w:val="批注框文本 Char"/>
    <w:link w:val="31"/>
    <w:qFormat/>
    <w:uiPriority w:val="99"/>
    <w:rPr>
      <w:sz w:val="18"/>
      <w:szCs w:val="18"/>
    </w:rPr>
  </w:style>
  <w:style w:type="character" w:customStyle="1" w:styleId="89">
    <w:name w:val="标题 5 Char"/>
    <w:link w:val="8"/>
    <w:qFormat/>
    <w:uiPriority w:val="99"/>
    <w:rPr>
      <w:b/>
      <w:bCs/>
      <w:sz w:val="28"/>
      <w:szCs w:val="28"/>
    </w:rPr>
  </w:style>
  <w:style w:type="character" w:customStyle="1" w:styleId="90">
    <w:name w:val="WW8Num9z0"/>
    <w:qFormat/>
    <w:uiPriority w:val="0"/>
    <w:rPr>
      <w:rFonts w:ascii="Wingdings" w:hAnsi="Wingdings"/>
    </w:rPr>
  </w:style>
  <w:style w:type="character" w:customStyle="1" w:styleId="91">
    <w:name w:val="magic-list1"/>
    <w:qFormat/>
    <w:uiPriority w:val="0"/>
    <w:rPr>
      <w:rFonts w:hint="default" w:ascii="ˎ̥" w:hAnsi="ˎ̥"/>
      <w:color w:val="000000"/>
      <w:sz w:val="20"/>
      <w:u w:val="none"/>
    </w:rPr>
  </w:style>
  <w:style w:type="character" w:customStyle="1" w:styleId="92">
    <w:name w:val="small"/>
    <w:basedOn w:val="44"/>
    <w:qFormat/>
    <w:uiPriority w:val="0"/>
  </w:style>
  <w:style w:type="character" w:customStyle="1" w:styleId="93">
    <w:name w:val="页眉 Char"/>
    <w:link w:val="33"/>
    <w:qFormat/>
    <w:uiPriority w:val="0"/>
    <w:rPr>
      <w:sz w:val="18"/>
      <w:szCs w:val="18"/>
    </w:rPr>
  </w:style>
  <w:style w:type="character" w:customStyle="1" w:styleId="94">
    <w:name w:val="正文文本缩进 2 Char"/>
    <w:link w:val="30"/>
    <w:qFormat/>
    <w:uiPriority w:val="99"/>
    <w:rPr>
      <w:kern w:val="2"/>
      <w:sz w:val="21"/>
      <w:szCs w:val="24"/>
    </w:rPr>
  </w:style>
  <w:style w:type="character" w:customStyle="1" w:styleId="95">
    <w:name w:val="标题 4 Char"/>
    <w:link w:val="7"/>
    <w:qFormat/>
    <w:uiPriority w:val="99"/>
    <w:rPr>
      <w:rFonts w:ascii="宋体" w:hAnsi="宋体"/>
      <w:b/>
      <w:bCs/>
      <w:sz w:val="28"/>
      <w:szCs w:val="28"/>
    </w:rPr>
  </w:style>
  <w:style w:type="character" w:customStyle="1" w:styleId="96">
    <w:name w:val="正文文本 3 Char"/>
    <w:link w:val="21"/>
    <w:qFormat/>
    <w:uiPriority w:val="0"/>
    <w:rPr>
      <w:sz w:val="16"/>
      <w:szCs w:val="16"/>
    </w:rPr>
  </w:style>
  <w:style w:type="character" w:customStyle="1" w:styleId="97">
    <w:name w:val="标题 2 Char"/>
    <w:link w:val="5"/>
    <w:qFormat/>
    <w:uiPriority w:val="0"/>
    <w:rPr>
      <w:rFonts w:ascii="宋体" w:hAnsi="宋体"/>
      <w:b/>
      <w:bCs/>
      <w:iCs/>
      <w:sz w:val="28"/>
      <w:szCs w:val="28"/>
    </w:rPr>
  </w:style>
  <w:style w:type="character" w:customStyle="1" w:styleId="98">
    <w:name w:val="纯文本 Char1"/>
    <w:unhideWhenUsed/>
    <w:qFormat/>
    <w:uiPriority w:val="99"/>
    <w:rPr>
      <w:rFonts w:hint="eastAsia" w:ascii="宋体" w:hAnsi="Tms Rmn" w:eastAsia="宋体"/>
      <w:sz w:val="21"/>
      <w:lang w:val="en-US" w:eastAsia="zh-CN"/>
    </w:rPr>
  </w:style>
  <w:style w:type="character" w:customStyle="1" w:styleId="99">
    <w:name w:val="标题 3 Char"/>
    <w:link w:val="6"/>
    <w:qFormat/>
    <w:uiPriority w:val="99"/>
    <w:rPr>
      <w:rFonts w:ascii="宋体" w:hAnsi="宋体"/>
      <w:b/>
      <w:bCs/>
      <w:color w:val="000000"/>
      <w:kern w:val="2"/>
      <w:sz w:val="28"/>
      <w:szCs w:val="28"/>
    </w:rPr>
  </w:style>
  <w:style w:type="character" w:customStyle="1" w:styleId="100">
    <w:name w:val="标题 Char"/>
    <w:link w:val="43"/>
    <w:qFormat/>
    <w:uiPriority w:val="99"/>
    <w:rPr>
      <w:rFonts w:ascii="Cambria" w:hAnsi="Cambria"/>
      <w:b/>
      <w:bCs/>
      <w:kern w:val="2"/>
      <w:sz w:val="32"/>
      <w:szCs w:val="32"/>
    </w:rPr>
  </w:style>
  <w:style w:type="character" w:customStyle="1" w:styleId="101">
    <w:name w:val="纯文本 Char"/>
    <w:link w:val="27"/>
    <w:qFormat/>
    <w:uiPriority w:val="99"/>
    <w:rPr>
      <w:rFonts w:ascii="宋体" w:hAnsi="Tms Rmn" w:cs="宋体"/>
      <w:sz w:val="21"/>
      <w:szCs w:val="21"/>
    </w:rPr>
  </w:style>
  <w:style w:type="character" w:customStyle="1" w:styleId="102">
    <w:name w:val="H4 Char"/>
    <w:qFormat/>
    <w:uiPriority w:val="0"/>
    <w:rPr>
      <w:rFonts w:ascii="Arial" w:hAnsi="Arial" w:eastAsia="宋体"/>
      <w:b/>
      <w:kern w:val="2"/>
      <w:sz w:val="28"/>
      <w:lang w:val="en-US" w:eastAsia="zh-CN"/>
    </w:rPr>
  </w:style>
  <w:style w:type="character" w:customStyle="1" w:styleId="103">
    <w:name w:val="正文缩进 Char1"/>
    <w:qFormat/>
    <w:uiPriority w:val="99"/>
    <w:rPr>
      <w:kern w:val="2"/>
      <w:sz w:val="21"/>
      <w:szCs w:val="24"/>
    </w:rPr>
  </w:style>
  <w:style w:type="paragraph" w:customStyle="1" w:styleId="104">
    <w:name w:val="MM Topic 9"/>
    <w:basedOn w:val="12"/>
    <w:qFormat/>
    <w:uiPriority w:val="0"/>
    <w:pPr>
      <w:tabs>
        <w:tab w:val="left" w:pos="5102"/>
      </w:tabs>
    </w:pPr>
  </w:style>
  <w:style w:type="paragraph" w:customStyle="1" w:styleId="105">
    <w:name w:val="默认段落字体 Para Char Char Char Char Char Char Char Char Char Char Char Char Char Char Char Char"/>
    <w:basedOn w:val="19"/>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106">
    <w:name w:val="强调2"/>
    <w:basedOn w:val="107"/>
    <w:qFormat/>
    <w:uiPriority w:val="0"/>
    <w:pPr>
      <w:tabs>
        <w:tab w:val="left" w:pos="360"/>
        <w:tab w:val="left" w:pos="1918"/>
      </w:tabs>
      <w:ind w:left="1918" w:hanging="420"/>
    </w:pPr>
  </w:style>
  <w:style w:type="paragraph" w:customStyle="1" w:styleId="10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08">
    <w:name w:val="Char Char Char Char"/>
    <w:basedOn w:val="1"/>
    <w:next w:val="1"/>
    <w:qFormat/>
    <w:uiPriority w:val="0"/>
    <w:pPr>
      <w:widowControl w:val="0"/>
      <w:spacing w:line="240" w:lineRule="atLeast"/>
      <w:ind w:left="420" w:firstLine="420"/>
    </w:pPr>
    <w:rPr>
      <w:sz w:val="21"/>
      <w:szCs w:val="21"/>
    </w:rPr>
  </w:style>
  <w:style w:type="paragraph" w:customStyle="1" w:styleId="10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0">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1">
    <w:name w:val="默认段落字体 Para Char Char Char Char"/>
    <w:basedOn w:val="1"/>
    <w:qFormat/>
    <w:uiPriority w:val="0"/>
    <w:pPr>
      <w:widowControl w:val="0"/>
      <w:jc w:val="both"/>
    </w:pPr>
    <w:rPr>
      <w:kern w:val="2"/>
      <w:sz w:val="21"/>
    </w:rPr>
  </w:style>
  <w:style w:type="paragraph" w:customStyle="1" w:styleId="112">
    <w:name w:val="WW-正文（首行缩进两字）"/>
    <w:basedOn w:val="1"/>
    <w:qFormat/>
    <w:uiPriority w:val="0"/>
    <w:pPr>
      <w:widowControl w:val="0"/>
      <w:autoSpaceDE w:val="0"/>
      <w:autoSpaceDN w:val="0"/>
      <w:adjustRightInd w:val="0"/>
      <w:ind w:firstLine="420"/>
      <w:jc w:val="both"/>
    </w:pPr>
    <w:rPr>
      <w:sz w:val="21"/>
      <w:szCs w:val="21"/>
    </w:rPr>
  </w:style>
  <w:style w:type="paragraph" w:customStyle="1" w:styleId="113">
    <w:name w:val="MM Topic 3"/>
    <w:basedOn w:val="6"/>
    <w:qFormat/>
    <w:uiPriority w:val="0"/>
    <w:pPr>
      <w:numPr>
        <w:ilvl w:val="0"/>
        <w:numId w:val="0"/>
      </w:numPr>
      <w:tabs>
        <w:tab w:val="left" w:pos="1418"/>
      </w:tabs>
    </w:pPr>
    <w:rPr>
      <w:rFonts w:ascii="Times New Roman" w:hAnsi="Times New Roman"/>
      <w:bCs w:val="0"/>
      <w:szCs w:val="20"/>
    </w:rPr>
  </w:style>
  <w:style w:type="paragraph" w:customStyle="1" w:styleId="11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15">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16">
    <w:name w:val="MM Topic 4"/>
    <w:basedOn w:val="7"/>
    <w:qFormat/>
    <w:uiPriority w:val="0"/>
    <w:pPr>
      <w:tabs>
        <w:tab w:val="left" w:pos="1984"/>
      </w:tabs>
      <w:spacing w:before="280" w:after="290" w:line="372" w:lineRule="auto"/>
      <w:ind w:left="0" w:leftChars="0" w:firstLine="0"/>
      <w:jc w:val="both"/>
    </w:pPr>
    <w:rPr>
      <w:bCs w:val="0"/>
      <w:kern w:val="2"/>
      <w:szCs w:val="20"/>
    </w:rPr>
  </w:style>
  <w:style w:type="paragraph" w:customStyle="1" w:styleId="117">
    <w:name w:val="MM Topic 6"/>
    <w:basedOn w:val="9"/>
    <w:qFormat/>
    <w:uiPriority w:val="0"/>
    <w:pPr>
      <w:tabs>
        <w:tab w:val="left" w:pos="3260"/>
      </w:tabs>
      <w:spacing w:line="317" w:lineRule="auto"/>
      <w:ind w:left="0" w:firstLine="0"/>
    </w:pPr>
    <w:rPr>
      <w:bCs w:val="0"/>
      <w:sz w:val="28"/>
      <w:szCs w:val="20"/>
    </w:rPr>
  </w:style>
  <w:style w:type="paragraph" w:customStyle="1" w:styleId="118">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19">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20">
    <w:name w:val="标题 5 + 首行缩进:  2 字符"/>
    <w:basedOn w:val="8"/>
    <w:next w:val="22"/>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2">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Char11"/>
    <w:basedOn w:val="1"/>
    <w:next w:val="1"/>
    <w:qFormat/>
    <w:uiPriority w:val="0"/>
    <w:pPr>
      <w:widowControl w:val="0"/>
      <w:spacing w:line="240" w:lineRule="atLeast"/>
      <w:ind w:left="420" w:firstLine="420"/>
    </w:pPr>
    <w:rPr>
      <w:sz w:val="21"/>
      <w:szCs w:val="21"/>
    </w:rPr>
  </w:style>
  <w:style w:type="paragraph" w:customStyle="1" w:styleId="124">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25">
    <w:name w:val="默认段落字体 Para Char Char Char Char Char Char Char"/>
    <w:basedOn w:val="1"/>
    <w:qFormat/>
    <w:uiPriority w:val="0"/>
    <w:pPr>
      <w:widowControl w:val="0"/>
      <w:jc w:val="both"/>
    </w:pPr>
    <w:rPr>
      <w:rFonts w:ascii="Tahoma" w:hAnsi="Tahoma"/>
      <w:kern w:val="2"/>
      <w:szCs w:val="20"/>
    </w:rPr>
  </w:style>
  <w:style w:type="paragraph" w:customStyle="1" w:styleId="126">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27">
    <w:name w:val="样式2"/>
    <w:basedOn w:val="1"/>
    <w:qFormat/>
    <w:uiPriority w:val="99"/>
    <w:pPr>
      <w:widowControl w:val="0"/>
      <w:adjustRightInd w:val="0"/>
      <w:spacing w:line="410" w:lineRule="atLeast"/>
      <w:jc w:val="both"/>
      <w:textAlignment w:val="baseline"/>
    </w:pPr>
    <w:rPr>
      <w:szCs w:val="20"/>
    </w:rPr>
  </w:style>
  <w:style w:type="paragraph" w:customStyle="1" w:styleId="128">
    <w:name w:val="列出段落1"/>
    <w:basedOn w:val="1"/>
    <w:qFormat/>
    <w:uiPriority w:val="0"/>
    <w:pPr>
      <w:ind w:firstLine="420" w:firstLineChars="200"/>
    </w:pPr>
    <w:rPr>
      <w:lang w:val="zh-CN"/>
    </w:rPr>
  </w:style>
  <w:style w:type="paragraph" w:customStyle="1" w:styleId="129">
    <w:name w:val="p4"/>
    <w:basedOn w:val="1"/>
    <w:qFormat/>
    <w:uiPriority w:val="0"/>
    <w:pPr>
      <w:spacing w:before="100" w:beforeAutospacing="1" w:after="100" w:afterAutospacing="1" w:line="360" w:lineRule="auto"/>
      <w:ind w:firstLine="360"/>
    </w:pPr>
    <w:rPr>
      <w:rFonts w:ascii="宋体" w:hAnsi="宋体"/>
    </w:rPr>
  </w:style>
  <w:style w:type="paragraph" w:customStyle="1" w:styleId="130">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31">
    <w:name w:val="默认段落字体 Para Char Char"/>
    <w:basedOn w:val="1"/>
    <w:qFormat/>
    <w:uiPriority w:val="0"/>
    <w:pPr>
      <w:widowControl w:val="0"/>
      <w:jc w:val="both"/>
    </w:pPr>
    <w:rPr>
      <w:kern w:val="2"/>
      <w:sz w:val="21"/>
      <w:szCs w:val="20"/>
    </w:rPr>
  </w:style>
  <w:style w:type="paragraph" w:customStyle="1" w:styleId="132">
    <w:name w:val="Char1 Char Char Char"/>
    <w:basedOn w:val="1"/>
    <w:next w:val="1"/>
    <w:qFormat/>
    <w:uiPriority w:val="99"/>
    <w:pPr>
      <w:widowControl w:val="0"/>
      <w:spacing w:line="240" w:lineRule="atLeast"/>
      <w:ind w:left="420" w:firstLine="420"/>
    </w:pPr>
    <w:rPr>
      <w:sz w:val="21"/>
      <w:szCs w:val="20"/>
    </w:rPr>
  </w:style>
  <w:style w:type="paragraph" w:customStyle="1" w:styleId="133">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34">
    <w:name w:val="1 Char"/>
    <w:basedOn w:val="1"/>
    <w:qFormat/>
    <w:uiPriority w:val="0"/>
    <w:pPr>
      <w:spacing w:after="160" w:line="240" w:lineRule="exact"/>
    </w:pPr>
    <w:rPr>
      <w:rFonts w:ascii="Tahoma" w:hAnsi="Tahoma" w:eastAsia="Times New Roman"/>
      <w:lang w:eastAsia="en-US"/>
    </w:rPr>
  </w:style>
  <w:style w:type="paragraph" w:customStyle="1" w:styleId="135">
    <w:name w:val="MM Topic 8"/>
    <w:basedOn w:val="11"/>
    <w:qFormat/>
    <w:uiPriority w:val="0"/>
    <w:pPr>
      <w:tabs>
        <w:tab w:val="left" w:pos="4394"/>
      </w:tabs>
    </w:pPr>
  </w:style>
  <w:style w:type="paragraph" w:customStyle="1" w:styleId="136">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37">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38">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39">
    <w:name w:val="论文正文"/>
    <w:basedOn w:val="1"/>
    <w:qFormat/>
    <w:uiPriority w:val="0"/>
    <w:pPr>
      <w:widowControl w:val="0"/>
      <w:spacing w:line="300" w:lineRule="auto"/>
      <w:ind w:firstLine="200" w:firstLineChars="200"/>
      <w:jc w:val="both"/>
    </w:pPr>
    <w:rPr>
      <w:kern w:val="2"/>
    </w:rPr>
  </w:style>
  <w:style w:type="paragraph" w:customStyle="1" w:styleId="140">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41">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42">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43">
    <w:name w:val="正文段落"/>
    <w:basedOn w:val="1"/>
    <w:qFormat/>
    <w:uiPriority w:val="0"/>
    <w:pPr>
      <w:widowControl w:val="0"/>
      <w:spacing w:line="300" w:lineRule="auto"/>
      <w:ind w:firstLine="510"/>
      <w:jc w:val="both"/>
    </w:pPr>
    <w:rPr>
      <w:kern w:val="2"/>
      <w:szCs w:val="20"/>
    </w:rPr>
  </w:style>
  <w:style w:type="paragraph" w:customStyle="1" w:styleId="144">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45">
    <w:name w:val="Char1 Char Char Char Char Char Char"/>
    <w:basedOn w:val="1"/>
    <w:qFormat/>
    <w:uiPriority w:val="0"/>
    <w:pPr>
      <w:widowControl w:val="0"/>
      <w:jc w:val="both"/>
    </w:pPr>
    <w:rPr>
      <w:rFonts w:ascii="Tahoma" w:hAnsi="Tahoma"/>
      <w:kern w:val="2"/>
      <w:szCs w:val="20"/>
    </w:rPr>
  </w:style>
  <w:style w:type="paragraph" w:customStyle="1" w:styleId="146">
    <w:name w:val="文章正文 Char Char1"/>
    <w:basedOn w:val="1"/>
    <w:qFormat/>
    <w:uiPriority w:val="0"/>
    <w:pPr>
      <w:widowControl w:val="0"/>
      <w:spacing w:line="360" w:lineRule="auto"/>
      <w:ind w:firstLine="420"/>
      <w:jc w:val="both"/>
    </w:pPr>
    <w:rPr>
      <w:kern w:val="2"/>
      <w:szCs w:val="20"/>
    </w:rPr>
  </w:style>
  <w:style w:type="paragraph" w:customStyle="1" w:styleId="147">
    <w:name w:val="Char"/>
    <w:basedOn w:val="1"/>
    <w:next w:val="1"/>
    <w:qFormat/>
    <w:uiPriority w:val="0"/>
    <w:pPr>
      <w:widowControl w:val="0"/>
      <w:spacing w:line="240" w:lineRule="atLeast"/>
      <w:ind w:left="420" w:firstLine="420"/>
    </w:pPr>
    <w:rPr>
      <w:sz w:val="21"/>
      <w:szCs w:val="21"/>
    </w:rPr>
  </w:style>
  <w:style w:type="paragraph" w:customStyle="1" w:styleId="148">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49">
    <w:name w:val="文章正文 Char Char1 Char"/>
    <w:basedOn w:val="1"/>
    <w:qFormat/>
    <w:uiPriority w:val="0"/>
    <w:pPr>
      <w:widowControl w:val="0"/>
      <w:spacing w:line="360" w:lineRule="auto"/>
      <w:ind w:firstLine="420"/>
      <w:jc w:val="both"/>
    </w:pPr>
    <w:rPr>
      <w:kern w:val="2"/>
    </w:rPr>
  </w:style>
  <w:style w:type="paragraph" w:customStyle="1" w:styleId="150">
    <w:name w:val="正文 首行缩进:  2 字符 Char Char"/>
    <w:basedOn w:val="1"/>
    <w:qFormat/>
    <w:uiPriority w:val="0"/>
    <w:pPr>
      <w:widowControl w:val="0"/>
      <w:spacing w:line="360" w:lineRule="auto"/>
      <w:ind w:firstLine="480"/>
      <w:jc w:val="both"/>
    </w:pPr>
    <w:rPr>
      <w:kern w:val="2"/>
      <w:szCs w:val="20"/>
    </w:rPr>
  </w:style>
  <w:style w:type="paragraph" w:customStyle="1" w:styleId="151">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52">
    <w:name w:val="标题 2 + 楷体_GB2312"/>
    <w:basedOn w:val="1"/>
    <w:qFormat/>
    <w:uiPriority w:val="0"/>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Char12"/>
    <w:basedOn w:val="1"/>
    <w:link w:val="192"/>
    <w:qFormat/>
    <w:uiPriority w:val="99"/>
    <w:pPr>
      <w:spacing w:after="160" w:line="240" w:lineRule="exact"/>
    </w:pPr>
    <w:rPr>
      <w:rFonts w:ascii="Tahoma" w:hAnsi="Tahoma"/>
      <w:kern w:val="2"/>
      <w:lang w:eastAsia="en-US"/>
    </w:rPr>
  </w:style>
  <w:style w:type="paragraph" w:customStyle="1" w:styleId="155">
    <w:name w:val="p0"/>
    <w:basedOn w:val="1"/>
    <w:qFormat/>
    <w:uiPriority w:val="99"/>
    <w:pPr>
      <w:jc w:val="both"/>
    </w:pPr>
    <w:rPr>
      <w:sz w:val="21"/>
      <w:szCs w:val="20"/>
    </w:rPr>
  </w:style>
  <w:style w:type="paragraph" w:customStyle="1" w:styleId="156">
    <w:name w:val="gb_master正文"/>
    <w:basedOn w:val="1"/>
    <w:qFormat/>
    <w:uiPriority w:val="0"/>
    <w:pPr>
      <w:widowControl w:val="0"/>
      <w:ind w:firstLine="200" w:firstLineChars="200"/>
      <w:jc w:val="both"/>
    </w:pPr>
    <w:rPr>
      <w:kern w:val="2"/>
      <w:sz w:val="21"/>
    </w:rPr>
  </w:style>
  <w:style w:type="paragraph" w:customStyle="1" w:styleId="157">
    <w:name w:val="Char1"/>
    <w:basedOn w:val="1"/>
    <w:next w:val="1"/>
    <w:qFormat/>
    <w:uiPriority w:val="99"/>
    <w:pPr>
      <w:widowControl w:val="0"/>
      <w:spacing w:line="240" w:lineRule="atLeast"/>
      <w:ind w:left="420" w:firstLine="420"/>
    </w:pPr>
    <w:rPr>
      <w:sz w:val="21"/>
      <w:szCs w:val="21"/>
    </w:rPr>
  </w:style>
  <w:style w:type="paragraph" w:customStyle="1" w:styleId="158">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59">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60">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61">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62">
    <w:name w:val="样式 正文缩进 + (中文) 仿宋_GB2312 小四 Char"/>
    <w:basedOn w:val="17"/>
    <w:qFormat/>
    <w:uiPriority w:val="0"/>
    <w:pPr>
      <w:ind w:firstLine="480"/>
    </w:pPr>
    <w:rPr>
      <w:rFonts w:ascii="宋体" w:hAnsi="宋体"/>
      <w:sz w:val="24"/>
      <w:szCs w:val="20"/>
    </w:rPr>
  </w:style>
  <w:style w:type="paragraph" w:customStyle="1" w:styleId="163">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64">
    <w:name w:val="Char2 Char Char Char Char Char Char"/>
    <w:basedOn w:val="1"/>
    <w:qFormat/>
    <w:uiPriority w:val="0"/>
    <w:pPr>
      <w:widowControl w:val="0"/>
      <w:jc w:val="both"/>
    </w:pPr>
    <w:rPr>
      <w:rFonts w:ascii="仿宋_GB2312"/>
      <w:b/>
      <w:kern w:val="2"/>
      <w:sz w:val="30"/>
      <w:szCs w:val="20"/>
    </w:rPr>
  </w:style>
  <w:style w:type="paragraph" w:customStyle="1" w:styleId="165">
    <w:name w:val="项目符号：一级"/>
    <w:basedOn w:val="160"/>
    <w:next w:val="160"/>
    <w:qFormat/>
    <w:uiPriority w:val="0"/>
    <w:pPr>
      <w:tabs>
        <w:tab w:val="left" w:pos="700"/>
      </w:tabs>
      <w:spacing w:beforeLines="0"/>
      <w:ind w:left="630" w:hanging="290" w:firstLineChars="0"/>
    </w:pPr>
  </w:style>
  <w:style w:type="paragraph" w:customStyle="1" w:styleId="166">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67">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68">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69">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70">
    <w:name w:val="Char Char Char Char Char Char Char Char Char Char Char Char Char"/>
    <w:basedOn w:val="19"/>
    <w:qFormat/>
    <w:uiPriority w:val="99"/>
    <w:pPr>
      <w:widowControl w:val="0"/>
      <w:shd w:val="clear" w:color="auto" w:fill="000080"/>
      <w:jc w:val="both"/>
    </w:pPr>
    <w:rPr>
      <w:rFonts w:ascii="Tahoma" w:hAnsi="Tahoma"/>
      <w:kern w:val="2"/>
      <w:sz w:val="24"/>
      <w:szCs w:val="20"/>
    </w:rPr>
  </w:style>
  <w:style w:type="paragraph" w:customStyle="1" w:styleId="171">
    <w:name w:val="大纲正文"/>
    <w:basedOn w:val="1"/>
    <w:qFormat/>
    <w:uiPriority w:val="0"/>
    <w:pPr>
      <w:widowControl w:val="0"/>
      <w:spacing w:line="360" w:lineRule="auto"/>
      <w:ind w:firstLine="480" w:firstLineChars="200"/>
      <w:jc w:val="both"/>
    </w:pPr>
    <w:rPr>
      <w:kern w:val="2"/>
      <w:szCs w:val="20"/>
    </w:rPr>
  </w:style>
  <w:style w:type="paragraph" w:customStyle="1" w:styleId="172">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73">
    <w:name w:val="Char2"/>
    <w:basedOn w:val="1"/>
    <w:next w:val="1"/>
    <w:qFormat/>
    <w:uiPriority w:val="99"/>
    <w:pPr>
      <w:widowControl w:val="0"/>
      <w:spacing w:line="240" w:lineRule="atLeast"/>
      <w:ind w:left="420" w:firstLine="420"/>
    </w:pPr>
    <w:rPr>
      <w:kern w:val="2"/>
      <w:szCs w:val="20"/>
    </w:rPr>
  </w:style>
  <w:style w:type="paragraph" w:customStyle="1" w:styleId="174">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175">
    <w:name w:val="Char2 Char Char Char"/>
    <w:basedOn w:val="1"/>
    <w:qFormat/>
    <w:uiPriority w:val="0"/>
    <w:pPr>
      <w:widowControl w:val="0"/>
      <w:jc w:val="both"/>
    </w:pPr>
    <w:rPr>
      <w:rFonts w:ascii="仿宋_GB2312"/>
      <w:b/>
      <w:kern w:val="2"/>
      <w:sz w:val="30"/>
      <w:szCs w:val="20"/>
    </w:rPr>
  </w:style>
  <w:style w:type="paragraph" w:customStyle="1" w:styleId="176">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177">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178">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179">
    <w:name w:val="列出段落2"/>
    <w:basedOn w:val="1"/>
    <w:qFormat/>
    <w:uiPriority w:val="34"/>
    <w:pPr>
      <w:widowControl w:val="0"/>
      <w:ind w:firstLine="420" w:firstLineChars="200"/>
      <w:jc w:val="both"/>
    </w:pPr>
    <w:rPr>
      <w:rFonts w:eastAsia="方正仿宋"/>
      <w:kern w:val="2"/>
      <w:sz w:val="32"/>
    </w:rPr>
  </w:style>
  <w:style w:type="paragraph" w:customStyle="1" w:styleId="180">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81">
    <w:name w:val="彩色列表 - 强调文字颜色 1 Char"/>
    <w:link w:val="182"/>
    <w:qFormat/>
    <w:uiPriority w:val="0"/>
    <w:rPr>
      <w:rFonts w:ascii="Calibri" w:hAnsi="Calibri"/>
      <w:kern w:val="2"/>
      <w:sz w:val="21"/>
      <w:szCs w:val="22"/>
    </w:rPr>
  </w:style>
  <w:style w:type="paragraph" w:customStyle="1" w:styleId="182">
    <w:name w:val="彩色列表 - 强调文字颜色 11"/>
    <w:basedOn w:val="1"/>
    <w:link w:val="181"/>
    <w:qFormat/>
    <w:uiPriority w:val="0"/>
    <w:pPr>
      <w:widowControl w:val="0"/>
      <w:ind w:firstLine="420" w:firstLineChars="200"/>
      <w:jc w:val="both"/>
    </w:pPr>
    <w:rPr>
      <w:rFonts w:ascii="Calibri" w:hAnsi="Calibri"/>
      <w:kern w:val="2"/>
      <w:sz w:val="21"/>
      <w:szCs w:val="22"/>
    </w:rPr>
  </w:style>
  <w:style w:type="paragraph" w:customStyle="1" w:styleId="183">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184">
    <w:name w:val="彩色列表 - 强调文字颜色 12"/>
    <w:basedOn w:val="1"/>
    <w:qFormat/>
    <w:uiPriority w:val="0"/>
    <w:pPr>
      <w:widowControl w:val="0"/>
      <w:ind w:firstLine="420" w:firstLineChars="200"/>
      <w:jc w:val="both"/>
    </w:pPr>
    <w:rPr>
      <w:rFonts w:ascii="Calibri" w:hAnsi="Calibri"/>
      <w:kern w:val="2"/>
      <w:sz w:val="21"/>
      <w:szCs w:val="22"/>
    </w:rPr>
  </w:style>
  <w:style w:type="paragraph" w:customStyle="1" w:styleId="185">
    <w:name w:val="Char Char Char Char1"/>
    <w:basedOn w:val="1"/>
    <w:qFormat/>
    <w:uiPriority w:val="99"/>
    <w:pPr>
      <w:widowControl w:val="0"/>
      <w:spacing w:line="336" w:lineRule="auto"/>
      <w:ind w:left="100" w:hanging="100" w:hangingChars="100"/>
      <w:jc w:val="both"/>
    </w:pPr>
    <w:rPr>
      <w:rFonts w:ascii="Tahoma" w:hAnsi="Tahoma" w:cs="Tahoma"/>
      <w:color w:val="0D0D0D"/>
      <w:kern w:val="2"/>
      <w:szCs w:val="21"/>
    </w:rPr>
  </w:style>
  <w:style w:type="paragraph" w:customStyle="1" w:styleId="186">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87">
    <w:name w:val="列出段落3"/>
    <w:basedOn w:val="1"/>
    <w:qFormat/>
    <w:uiPriority w:val="99"/>
    <w:pPr>
      <w:widowControl w:val="0"/>
      <w:ind w:firstLine="420" w:firstLineChars="200"/>
      <w:jc w:val="both"/>
    </w:pPr>
    <w:rPr>
      <w:rFonts w:ascii="Calibri" w:hAnsi="Calibri"/>
      <w:kern w:val="2"/>
      <w:sz w:val="21"/>
      <w:szCs w:val="22"/>
    </w:rPr>
  </w:style>
  <w:style w:type="character" w:customStyle="1" w:styleId="188">
    <w:name w:val="批注文字 Char1"/>
    <w:qFormat/>
    <w:locked/>
    <w:uiPriority w:val="99"/>
    <w:rPr>
      <w:rFonts w:ascii="Times New Roman" w:hAnsi="Times New Roman" w:eastAsia="宋体" w:cs="Times New Roman"/>
      <w:sz w:val="24"/>
      <w:szCs w:val="24"/>
    </w:rPr>
  </w:style>
  <w:style w:type="character" w:customStyle="1" w:styleId="189">
    <w:name w:val="Intense Quote Char"/>
    <w:qFormat/>
    <w:locked/>
    <w:uiPriority w:val="99"/>
    <w:rPr>
      <w:b/>
      <w:bCs/>
      <w:i/>
      <w:iCs/>
      <w:color w:val="4F81BD"/>
      <w:kern w:val="2"/>
      <w:sz w:val="22"/>
      <w:szCs w:val="22"/>
    </w:rPr>
  </w:style>
  <w:style w:type="paragraph" w:customStyle="1" w:styleId="190">
    <w:name w:val="Plain Text1"/>
    <w:basedOn w:val="1"/>
    <w:qFormat/>
    <w:uiPriority w:val="99"/>
    <w:pPr>
      <w:widowControl w:val="0"/>
      <w:adjustRightInd w:val="0"/>
      <w:textAlignment w:val="baseline"/>
    </w:pPr>
    <w:rPr>
      <w:rFonts w:ascii="宋体" w:hAnsi="Courier New" w:cs="宋体"/>
      <w:kern w:val="2"/>
    </w:rPr>
  </w:style>
  <w:style w:type="character" w:customStyle="1" w:styleId="191">
    <w:name w:val="引用 Char1"/>
    <w:qFormat/>
    <w:uiPriority w:val="99"/>
    <w:rPr>
      <w:rFonts w:ascii="Times New Roman" w:hAnsi="Times New Roman" w:eastAsia="宋体" w:cs="Times New Roman"/>
      <w:i/>
      <w:iCs/>
      <w:color w:val="000000"/>
      <w:kern w:val="2"/>
      <w:sz w:val="24"/>
      <w:szCs w:val="24"/>
    </w:rPr>
  </w:style>
  <w:style w:type="character" w:customStyle="1" w:styleId="192">
    <w:name w:val="Char Char Char"/>
    <w:link w:val="154"/>
    <w:qFormat/>
    <w:locked/>
    <w:uiPriority w:val="99"/>
    <w:rPr>
      <w:rFonts w:ascii="Tahoma" w:hAnsi="Tahoma"/>
      <w:kern w:val="2"/>
      <w:sz w:val="24"/>
      <w:szCs w:val="24"/>
      <w:lang w:eastAsia="en-US"/>
    </w:rPr>
  </w:style>
  <w:style w:type="character" w:customStyle="1" w:styleId="193">
    <w:name w:val="Char Char9"/>
    <w:qFormat/>
    <w:uiPriority w:val="99"/>
    <w:rPr>
      <w:kern w:val="2"/>
      <w:sz w:val="21"/>
      <w:szCs w:val="21"/>
    </w:rPr>
  </w:style>
  <w:style w:type="character" w:customStyle="1" w:styleId="194">
    <w:name w:val="日期 Char1"/>
    <w:qFormat/>
    <w:uiPriority w:val="99"/>
    <w:rPr>
      <w:kern w:val="2"/>
      <w:sz w:val="22"/>
      <w:szCs w:val="22"/>
    </w:rPr>
  </w:style>
  <w:style w:type="character" w:customStyle="1" w:styleId="195">
    <w:name w:val="Subtle Emphasis1"/>
    <w:qFormat/>
    <w:uiPriority w:val="99"/>
    <w:rPr>
      <w:i/>
      <w:iCs/>
      <w:color w:val="808080"/>
    </w:rPr>
  </w:style>
  <w:style w:type="character" w:customStyle="1" w:styleId="196">
    <w:name w:val="Title Char"/>
    <w:qFormat/>
    <w:locked/>
    <w:uiPriority w:val="99"/>
    <w:rPr>
      <w:rFonts w:ascii="Cambria" w:hAnsi="Cambria" w:cs="Cambria"/>
      <w:b/>
      <w:bCs/>
      <w:kern w:val="2"/>
      <w:sz w:val="32"/>
      <w:szCs w:val="32"/>
    </w:rPr>
  </w:style>
  <w:style w:type="character" w:customStyle="1" w:styleId="197">
    <w:name w:val="正文文本 Char2"/>
    <w:semiHidden/>
    <w:qFormat/>
    <w:uiPriority w:val="99"/>
    <w:rPr>
      <w:kern w:val="2"/>
      <w:sz w:val="21"/>
      <w:szCs w:val="21"/>
    </w:rPr>
  </w:style>
  <w:style w:type="character" w:customStyle="1" w:styleId="198">
    <w:name w:val="批注框文本 Char1"/>
    <w:qFormat/>
    <w:uiPriority w:val="99"/>
    <w:rPr>
      <w:kern w:val="2"/>
      <w:sz w:val="18"/>
      <w:szCs w:val="18"/>
    </w:rPr>
  </w:style>
  <w:style w:type="character" w:customStyle="1" w:styleId="199">
    <w:name w:val="Book Title1"/>
    <w:qFormat/>
    <w:uiPriority w:val="99"/>
    <w:rPr>
      <w:b/>
      <w:bCs/>
      <w:smallCaps/>
      <w:spacing w:val="5"/>
    </w:rPr>
  </w:style>
  <w:style w:type="character" w:customStyle="1" w:styleId="200">
    <w:name w:val="无间距字符"/>
    <w:link w:val="201"/>
    <w:qFormat/>
    <w:locked/>
    <w:uiPriority w:val="99"/>
    <w:rPr>
      <w:rFonts w:ascii="Calibri" w:hAnsi="Calibri" w:cs="Calibri"/>
      <w:sz w:val="22"/>
      <w:szCs w:val="22"/>
    </w:rPr>
  </w:style>
  <w:style w:type="paragraph" w:customStyle="1" w:styleId="201">
    <w:name w:val="无间距"/>
    <w:link w:val="200"/>
    <w:qFormat/>
    <w:uiPriority w:val="99"/>
    <w:rPr>
      <w:rFonts w:ascii="Calibri" w:hAnsi="Calibri" w:eastAsia="宋体" w:cs="Calibri"/>
      <w:sz w:val="22"/>
      <w:szCs w:val="22"/>
      <w:lang w:val="en-US" w:eastAsia="zh-CN" w:bidi="ar-SA"/>
    </w:rPr>
  </w:style>
  <w:style w:type="character" w:customStyle="1" w:styleId="202">
    <w:name w:val="正文文本 Char1"/>
    <w:qFormat/>
    <w:uiPriority w:val="99"/>
    <w:rPr>
      <w:kern w:val="2"/>
      <w:sz w:val="22"/>
      <w:szCs w:val="22"/>
    </w:rPr>
  </w:style>
  <w:style w:type="character" w:customStyle="1" w:styleId="203">
    <w:name w:val="文档结构图 Char1"/>
    <w:qFormat/>
    <w:uiPriority w:val="99"/>
    <w:rPr>
      <w:rFonts w:ascii="宋体" w:cs="宋体"/>
      <w:kern w:val="2"/>
      <w:sz w:val="18"/>
      <w:szCs w:val="18"/>
    </w:rPr>
  </w:style>
  <w:style w:type="character" w:customStyle="1" w:styleId="204">
    <w:name w:val="明显引用 Char"/>
    <w:link w:val="205"/>
    <w:qFormat/>
    <w:locked/>
    <w:uiPriority w:val="99"/>
    <w:rPr>
      <w:b/>
      <w:bCs/>
      <w:i/>
      <w:iCs/>
      <w:color w:val="4F81BD"/>
      <w:sz w:val="21"/>
      <w:szCs w:val="21"/>
    </w:rPr>
  </w:style>
  <w:style w:type="paragraph" w:customStyle="1" w:styleId="205">
    <w:name w:val="Intense Quote"/>
    <w:basedOn w:val="1"/>
    <w:next w:val="1"/>
    <w:link w:val="204"/>
    <w:qFormat/>
    <w:uiPriority w:val="99"/>
    <w:pPr>
      <w:widowControl w:val="0"/>
      <w:pBdr>
        <w:bottom w:val="single" w:color="4F81BD" w:sz="4" w:space="4"/>
      </w:pBdr>
      <w:spacing w:before="200" w:after="280"/>
      <w:ind w:left="936" w:right="936"/>
      <w:jc w:val="both"/>
    </w:pPr>
    <w:rPr>
      <w:b/>
      <w:bCs/>
      <w:i/>
      <w:iCs/>
      <w:color w:val="4F81BD"/>
      <w:sz w:val="21"/>
      <w:szCs w:val="21"/>
    </w:rPr>
  </w:style>
  <w:style w:type="character" w:customStyle="1" w:styleId="206">
    <w:name w:val="Subtle Reference1"/>
    <w:qFormat/>
    <w:uiPriority w:val="99"/>
    <w:rPr>
      <w:smallCaps/>
      <w:color w:val="auto"/>
      <w:u w:val="single"/>
    </w:rPr>
  </w:style>
  <w:style w:type="character" w:customStyle="1" w:styleId="207">
    <w:name w:val="副标题 Char1"/>
    <w:qFormat/>
    <w:uiPriority w:val="99"/>
    <w:rPr>
      <w:rFonts w:ascii="Cambria" w:hAnsi="Cambria" w:eastAsia="宋体" w:cs="Cambria"/>
      <w:b/>
      <w:bCs/>
      <w:kern w:val="28"/>
      <w:sz w:val="32"/>
      <w:szCs w:val="32"/>
    </w:rPr>
  </w:style>
  <w:style w:type="character" w:customStyle="1" w:styleId="208">
    <w:name w:val="Char Char3"/>
    <w:qFormat/>
    <w:uiPriority w:val="99"/>
    <w:rPr>
      <w:rFonts w:ascii="Arial" w:hAnsi="Arial" w:eastAsia="黑体" w:cs="Arial"/>
      <w:b/>
      <w:bCs/>
      <w:kern w:val="2"/>
      <w:sz w:val="32"/>
      <w:szCs w:val="32"/>
      <w:lang w:val="en-US" w:eastAsia="zh-CN"/>
    </w:rPr>
  </w:style>
  <w:style w:type="character" w:customStyle="1" w:styleId="209">
    <w:name w:val="Quote Char"/>
    <w:qFormat/>
    <w:locked/>
    <w:uiPriority w:val="99"/>
    <w:rPr>
      <w:i/>
      <w:iCs/>
      <w:color w:val="000000"/>
      <w:kern w:val="2"/>
      <w:sz w:val="22"/>
      <w:szCs w:val="22"/>
    </w:rPr>
  </w:style>
  <w:style w:type="character" w:customStyle="1" w:styleId="210">
    <w:name w:val="日期 Char2"/>
    <w:semiHidden/>
    <w:qFormat/>
    <w:uiPriority w:val="99"/>
    <w:rPr>
      <w:kern w:val="2"/>
      <w:sz w:val="22"/>
      <w:szCs w:val="22"/>
    </w:rPr>
  </w:style>
  <w:style w:type="character" w:customStyle="1" w:styleId="211">
    <w:name w:val="批注主题 Char1"/>
    <w:qFormat/>
    <w:uiPriority w:val="99"/>
    <w:rPr>
      <w:rFonts w:ascii="Times New Roman" w:hAnsi="Times New Roman" w:eastAsia="宋体" w:cs="Times New Roman"/>
      <w:b/>
      <w:bCs/>
      <w:kern w:val="2"/>
      <w:sz w:val="24"/>
      <w:szCs w:val="24"/>
    </w:rPr>
  </w:style>
  <w:style w:type="character" w:customStyle="1" w:styleId="212">
    <w:name w:val="textcontents"/>
    <w:qFormat/>
    <w:uiPriority w:val="99"/>
  </w:style>
  <w:style w:type="character" w:customStyle="1" w:styleId="213">
    <w:name w:val="标题 Char1"/>
    <w:qFormat/>
    <w:uiPriority w:val="99"/>
    <w:rPr>
      <w:rFonts w:ascii="Cambria" w:hAnsi="Cambria" w:eastAsia="宋体" w:cs="Cambria"/>
      <w:b/>
      <w:bCs/>
      <w:kern w:val="2"/>
      <w:sz w:val="32"/>
      <w:szCs w:val="32"/>
    </w:rPr>
  </w:style>
  <w:style w:type="character" w:customStyle="1" w:styleId="214">
    <w:name w:val="批注框文本 Char2"/>
    <w:semiHidden/>
    <w:qFormat/>
    <w:uiPriority w:val="99"/>
    <w:rPr>
      <w:kern w:val="2"/>
      <w:sz w:val="18"/>
      <w:szCs w:val="18"/>
    </w:rPr>
  </w:style>
  <w:style w:type="character" w:customStyle="1" w:styleId="215">
    <w:name w:val="Intense Emphasis1"/>
    <w:qFormat/>
    <w:uiPriority w:val="99"/>
    <w:rPr>
      <w:b/>
      <w:bCs/>
      <w:i/>
      <w:iCs/>
      <w:color w:val="4F81BD"/>
    </w:rPr>
  </w:style>
  <w:style w:type="character" w:customStyle="1" w:styleId="216">
    <w:name w:val="tdrownotice1"/>
    <w:qFormat/>
    <w:uiPriority w:val="99"/>
    <w:rPr>
      <w:sz w:val="22"/>
      <w:szCs w:val="22"/>
    </w:rPr>
  </w:style>
  <w:style w:type="character" w:customStyle="1" w:styleId="217">
    <w:name w:val="标题4 Char Char"/>
    <w:qFormat/>
    <w:locked/>
    <w:uiPriority w:val="99"/>
    <w:rPr>
      <w:rFonts w:ascii="Arial" w:hAnsi="Arial" w:cs="Arial"/>
      <w:b/>
      <w:bCs/>
      <w:sz w:val="32"/>
      <w:szCs w:val="32"/>
    </w:rPr>
  </w:style>
  <w:style w:type="character" w:customStyle="1" w:styleId="218">
    <w:name w:val="明显引用 Char1"/>
    <w:qFormat/>
    <w:uiPriority w:val="99"/>
    <w:rPr>
      <w:rFonts w:ascii="Times New Roman" w:hAnsi="Times New Roman" w:eastAsia="宋体" w:cs="Times New Roman"/>
      <w:b/>
      <w:bCs/>
      <w:i/>
      <w:iCs/>
      <w:color w:val="4F81BD"/>
      <w:kern w:val="2"/>
      <w:sz w:val="24"/>
      <w:szCs w:val="24"/>
    </w:rPr>
  </w:style>
  <w:style w:type="character" w:customStyle="1" w:styleId="219">
    <w:name w:val="（符号）邀请函中一、"/>
    <w:qFormat/>
    <w:uiPriority w:val="99"/>
    <w:rPr>
      <w:rFonts w:ascii="黑体" w:hAnsi="黑体" w:eastAsia="黑体" w:cs="黑体"/>
      <w:b/>
      <w:bCs/>
      <w:sz w:val="24"/>
      <w:szCs w:val="24"/>
    </w:rPr>
  </w:style>
  <w:style w:type="character" w:customStyle="1" w:styleId="220">
    <w:name w:val="批注主题 Char2"/>
    <w:semiHidden/>
    <w:qFormat/>
    <w:uiPriority w:val="99"/>
    <w:rPr>
      <w:b/>
      <w:bCs/>
      <w:kern w:val="2"/>
      <w:sz w:val="22"/>
      <w:szCs w:val="22"/>
    </w:rPr>
  </w:style>
  <w:style w:type="character" w:customStyle="1" w:styleId="221">
    <w:name w:val="页眉 Char1"/>
    <w:semiHidden/>
    <w:qFormat/>
    <w:uiPriority w:val="99"/>
    <w:rPr>
      <w:kern w:val="2"/>
      <w:sz w:val="18"/>
      <w:szCs w:val="18"/>
    </w:rPr>
  </w:style>
  <w:style w:type="character" w:customStyle="1" w:styleId="222">
    <w:name w:val="页脚 Char1"/>
    <w:semiHidden/>
    <w:qFormat/>
    <w:uiPriority w:val="99"/>
    <w:rPr>
      <w:kern w:val="2"/>
      <w:sz w:val="18"/>
      <w:szCs w:val="18"/>
    </w:rPr>
  </w:style>
  <w:style w:type="character" w:customStyle="1" w:styleId="223">
    <w:name w:val="引用 Char"/>
    <w:link w:val="224"/>
    <w:qFormat/>
    <w:locked/>
    <w:uiPriority w:val="99"/>
    <w:rPr>
      <w:i/>
      <w:iCs/>
      <w:color w:val="000000"/>
      <w:sz w:val="21"/>
      <w:szCs w:val="21"/>
    </w:rPr>
  </w:style>
  <w:style w:type="paragraph" w:customStyle="1" w:styleId="224">
    <w:name w:val="Quote"/>
    <w:basedOn w:val="1"/>
    <w:next w:val="1"/>
    <w:link w:val="223"/>
    <w:qFormat/>
    <w:uiPriority w:val="99"/>
    <w:pPr>
      <w:widowControl w:val="0"/>
      <w:jc w:val="both"/>
    </w:pPr>
    <w:rPr>
      <w:i/>
      <w:iCs/>
      <w:color w:val="000000"/>
      <w:sz w:val="21"/>
      <w:szCs w:val="21"/>
    </w:rPr>
  </w:style>
  <w:style w:type="character" w:customStyle="1" w:styleId="225">
    <w:name w:val="文档结构图 Char2"/>
    <w:semiHidden/>
    <w:qFormat/>
    <w:uiPriority w:val="99"/>
    <w:rPr>
      <w:rFonts w:ascii="宋体" w:cs="宋体"/>
      <w:kern w:val="2"/>
      <w:sz w:val="18"/>
      <w:szCs w:val="18"/>
    </w:rPr>
  </w:style>
  <w:style w:type="character" w:customStyle="1" w:styleId="226">
    <w:name w:val="GW-正文 Char"/>
    <w:link w:val="227"/>
    <w:qFormat/>
    <w:locked/>
    <w:uiPriority w:val="99"/>
    <w:rPr>
      <w:rFonts w:eastAsia="仿宋_GB2312"/>
      <w:sz w:val="24"/>
      <w:szCs w:val="24"/>
    </w:rPr>
  </w:style>
  <w:style w:type="paragraph" w:customStyle="1" w:styleId="227">
    <w:name w:val="GW-正文"/>
    <w:basedOn w:val="1"/>
    <w:link w:val="226"/>
    <w:qFormat/>
    <w:uiPriority w:val="99"/>
    <w:pPr>
      <w:widowControl w:val="0"/>
      <w:spacing w:line="360" w:lineRule="auto"/>
      <w:ind w:firstLine="200" w:firstLineChars="200"/>
      <w:jc w:val="both"/>
    </w:pPr>
    <w:rPr>
      <w:rFonts w:eastAsia="仿宋_GB2312"/>
    </w:rPr>
  </w:style>
  <w:style w:type="character" w:customStyle="1" w:styleId="228">
    <w:name w:val="标题5 Char Char"/>
    <w:link w:val="229"/>
    <w:qFormat/>
    <w:locked/>
    <w:uiPriority w:val="99"/>
    <w:rPr>
      <w:rFonts w:ascii="Arial" w:hAnsi="Arial" w:cs="Arial"/>
      <w:b/>
      <w:bCs/>
      <w:sz w:val="32"/>
      <w:szCs w:val="32"/>
    </w:rPr>
  </w:style>
  <w:style w:type="paragraph" w:customStyle="1" w:styleId="229">
    <w:name w:val="标题5"/>
    <w:basedOn w:val="6"/>
    <w:link w:val="228"/>
    <w:qFormat/>
    <w:uiPriority w:val="99"/>
    <w:pPr>
      <w:numPr>
        <w:ilvl w:val="0"/>
        <w:numId w:val="0"/>
      </w:numPr>
      <w:spacing w:before="260" w:after="260" w:line="413" w:lineRule="auto"/>
    </w:pPr>
    <w:rPr>
      <w:rFonts w:ascii="Arial" w:hAnsi="Arial" w:cs="Arial"/>
      <w:color w:val="auto"/>
      <w:kern w:val="0"/>
      <w:sz w:val="32"/>
      <w:szCs w:val="32"/>
    </w:rPr>
  </w:style>
  <w:style w:type="character" w:customStyle="1" w:styleId="230">
    <w:name w:val="批注文字 Char Char"/>
    <w:qFormat/>
    <w:uiPriority w:val="99"/>
    <w:rPr>
      <w:rFonts w:ascii="宋体" w:hAnsi="Times New Roman" w:eastAsia="宋体" w:cs="宋体"/>
      <w:sz w:val="20"/>
      <w:szCs w:val="20"/>
    </w:rPr>
  </w:style>
  <w:style w:type="character" w:customStyle="1" w:styleId="231">
    <w:name w:val="Heading 2 Char"/>
    <w:semiHidden/>
    <w:qFormat/>
    <w:locked/>
    <w:uiPriority w:val="99"/>
    <w:rPr>
      <w:rFonts w:ascii="Cambria" w:hAnsi="Cambria" w:eastAsia="宋体" w:cs="Cambria"/>
      <w:b/>
      <w:bCs/>
      <w:sz w:val="32"/>
      <w:szCs w:val="32"/>
    </w:rPr>
  </w:style>
  <w:style w:type="character" w:customStyle="1" w:styleId="232">
    <w:name w:val="Subtitle Char"/>
    <w:qFormat/>
    <w:locked/>
    <w:uiPriority w:val="99"/>
    <w:rPr>
      <w:rFonts w:ascii="Cambria" w:hAnsi="Cambria" w:cs="Cambria"/>
      <w:b/>
      <w:bCs/>
      <w:kern w:val="28"/>
      <w:sz w:val="32"/>
      <w:szCs w:val="32"/>
    </w:rPr>
  </w:style>
  <w:style w:type="character" w:customStyle="1" w:styleId="233">
    <w:name w:val="正文文本缩进 Char1"/>
    <w:semiHidden/>
    <w:qFormat/>
    <w:uiPriority w:val="99"/>
    <w:rPr>
      <w:kern w:val="2"/>
      <w:sz w:val="21"/>
      <w:szCs w:val="21"/>
    </w:rPr>
  </w:style>
  <w:style w:type="character" w:customStyle="1" w:styleId="234">
    <w:name w:val="副标题 Char"/>
    <w:link w:val="3"/>
    <w:qFormat/>
    <w:locked/>
    <w:uiPriority w:val="99"/>
    <w:rPr>
      <w:rFonts w:ascii="Cambria" w:hAnsi="Cambria" w:cs="Cambria"/>
      <w:b/>
      <w:bCs/>
      <w:kern w:val="28"/>
      <w:sz w:val="32"/>
      <w:szCs w:val="32"/>
    </w:rPr>
  </w:style>
  <w:style w:type="character" w:customStyle="1" w:styleId="235">
    <w:name w:val="Intense Reference1"/>
    <w:qFormat/>
    <w:uiPriority w:val="99"/>
    <w:rPr>
      <w:b/>
      <w:bCs/>
      <w:smallCaps/>
      <w:color w:val="auto"/>
      <w:spacing w:val="5"/>
      <w:u w:val="single"/>
    </w:rPr>
  </w:style>
  <w:style w:type="character" w:customStyle="1" w:styleId="236">
    <w:name w:val="font31"/>
    <w:qFormat/>
    <w:uiPriority w:val="99"/>
    <w:rPr>
      <w:rFonts w:ascii="宋体" w:hAnsi="宋体" w:eastAsia="宋体" w:cs="宋体"/>
      <w:color w:val="000000"/>
      <w:sz w:val="21"/>
      <w:szCs w:val="21"/>
      <w:u w:val="none"/>
    </w:rPr>
  </w:style>
  <w:style w:type="character" w:customStyle="1" w:styleId="237">
    <w:name w:val="副标题 Char2"/>
    <w:basedOn w:val="44"/>
    <w:qFormat/>
    <w:uiPriority w:val="0"/>
    <w:rPr>
      <w:rFonts w:asciiTheme="majorHAnsi" w:hAnsiTheme="majorHAnsi" w:cstheme="majorBidi"/>
      <w:b/>
      <w:bCs/>
      <w:kern w:val="28"/>
      <w:sz w:val="32"/>
      <w:szCs w:val="32"/>
    </w:rPr>
  </w:style>
  <w:style w:type="paragraph" w:customStyle="1" w:styleId="238">
    <w:name w:val="第一章"/>
    <w:basedOn w:val="1"/>
    <w:next w:val="1"/>
    <w:qFormat/>
    <w:uiPriority w:val="99"/>
    <w:pPr>
      <w:widowControl w:val="0"/>
      <w:tabs>
        <w:tab w:val="left" w:pos="0"/>
      </w:tabs>
      <w:spacing w:line="360" w:lineRule="auto"/>
      <w:ind w:hanging="500" w:hangingChars="500"/>
      <w:jc w:val="both"/>
    </w:pPr>
    <w:rPr>
      <w:rFonts w:ascii="Calibri" w:hAnsi="Calibri" w:eastAsia="黑体"/>
      <w:kern w:val="2"/>
      <w:sz w:val="44"/>
      <w:szCs w:val="44"/>
    </w:rPr>
  </w:style>
  <w:style w:type="paragraph" w:customStyle="1" w:styleId="239">
    <w:name w:val="blockquote"/>
    <w:basedOn w:val="1"/>
    <w:qFormat/>
    <w:uiPriority w:val="99"/>
    <w:pPr>
      <w:spacing w:before="100" w:beforeAutospacing="1" w:after="100" w:afterAutospacing="1"/>
      <w:jc w:val="both"/>
    </w:pPr>
    <w:rPr>
      <w:rFonts w:ascii="宋体" w:hAnsi="宋体" w:cs="宋体"/>
    </w:rPr>
  </w:style>
  <w:style w:type="paragraph" w:customStyle="1" w:styleId="240">
    <w:name w:val="空半行"/>
    <w:basedOn w:val="1"/>
    <w:qFormat/>
    <w:uiPriority w:val="99"/>
    <w:pPr>
      <w:widowControl w:val="0"/>
      <w:adjustRightInd w:val="0"/>
      <w:spacing w:line="120" w:lineRule="exact"/>
      <w:jc w:val="both"/>
      <w:textAlignment w:val="baseline"/>
    </w:pPr>
    <w:rPr>
      <w:rFonts w:ascii="Calibri" w:hAnsi="Calibri" w:eastAsia="仿宋_GB2312"/>
      <w:color w:val="FFFFFF"/>
      <w:sz w:val="30"/>
      <w:szCs w:val="30"/>
    </w:rPr>
  </w:style>
  <w:style w:type="paragraph" w:customStyle="1" w:styleId="241">
    <w:name w:val="样式 首行缩进:  2 字符1"/>
    <w:basedOn w:val="1"/>
    <w:qFormat/>
    <w:uiPriority w:val="99"/>
    <w:pPr>
      <w:widowControl w:val="0"/>
      <w:spacing w:line="400" w:lineRule="exact"/>
      <w:ind w:firstLine="200" w:firstLineChars="200"/>
      <w:jc w:val="both"/>
    </w:pPr>
    <w:rPr>
      <w:rFonts w:ascii="Calibri" w:hAnsi="Calibri"/>
      <w:kern w:val="2"/>
    </w:rPr>
  </w:style>
  <w:style w:type="paragraph" w:customStyle="1" w:styleId="242">
    <w:name w:val="Char Char Char Char Char Char Char Char Char Char Char Char Char Char1 Char Char Char Char"/>
    <w:basedOn w:val="1"/>
    <w:qFormat/>
    <w:uiPriority w:val="99"/>
    <w:pPr>
      <w:widowControl w:val="0"/>
      <w:jc w:val="both"/>
    </w:pPr>
    <w:rPr>
      <w:rFonts w:ascii="Calibri" w:hAnsi="Calibri"/>
      <w:kern w:val="2"/>
      <w:sz w:val="21"/>
      <w:szCs w:val="21"/>
    </w:rPr>
  </w:style>
  <w:style w:type="paragraph" w:customStyle="1" w:styleId="243">
    <w:name w:val="样式1"/>
    <w:basedOn w:val="4"/>
    <w:qFormat/>
    <w:uiPriority w:val="99"/>
    <w:pPr>
      <w:widowControl w:val="0"/>
      <w:spacing w:line="576" w:lineRule="auto"/>
      <w:jc w:val="both"/>
    </w:pPr>
    <w:rPr>
      <w:rFonts w:ascii="Calibri" w:hAnsi="Calibri"/>
      <w:sz w:val="44"/>
      <w:szCs w:val="44"/>
    </w:rPr>
  </w:style>
  <w:style w:type="paragraph" w:customStyle="1" w:styleId="244">
    <w:name w:val="TOC Heading1"/>
    <w:basedOn w:val="4"/>
    <w:next w:val="1"/>
    <w:qFormat/>
    <w:uiPriority w:val="99"/>
    <w:pPr>
      <w:widowControl w:val="0"/>
      <w:spacing w:line="576" w:lineRule="auto"/>
      <w:jc w:val="both"/>
      <w:outlineLvl w:val="9"/>
    </w:pPr>
    <w:rPr>
      <w:rFonts w:ascii="Calibri" w:hAnsi="Calibri" w:cs="Calibri"/>
      <w:sz w:val="44"/>
      <w:szCs w:val="44"/>
    </w:rPr>
  </w:style>
  <w:style w:type="character" w:customStyle="1" w:styleId="245">
    <w:name w:val="引用 Char2"/>
    <w:basedOn w:val="44"/>
    <w:qFormat/>
    <w:uiPriority w:val="99"/>
    <w:rPr>
      <w:i/>
      <w:iCs/>
      <w:color w:val="000000" w:themeColor="text1"/>
      <w:sz w:val="24"/>
      <w:szCs w:val="24"/>
      <w14:textFill>
        <w14:solidFill>
          <w14:schemeClr w14:val="tx1"/>
        </w14:solidFill>
      </w14:textFill>
    </w:rPr>
  </w:style>
  <w:style w:type="paragraph" w:customStyle="1" w:styleId="246">
    <w:name w:val="表格"/>
    <w:basedOn w:val="1"/>
    <w:qFormat/>
    <w:uiPriority w:val="99"/>
    <w:pPr>
      <w:widowControl w:val="0"/>
      <w:spacing w:line="400" w:lineRule="exact"/>
      <w:jc w:val="both"/>
    </w:pPr>
    <w:rPr>
      <w:rFonts w:ascii="Calibri" w:hAnsi="Calibri"/>
      <w:kern w:val="2"/>
    </w:rPr>
  </w:style>
  <w:style w:type="paragraph" w:customStyle="1" w:styleId="247">
    <w:name w:val="修订1"/>
    <w:semiHidden/>
    <w:qFormat/>
    <w:uiPriority w:val="99"/>
    <w:rPr>
      <w:rFonts w:ascii="Calibri" w:hAnsi="Calibri" w:eastAsia="宋体" w:cs="Times New Roman"/>
      <w:kern w:val="2"/>
      <w:sz w:val="21"/>
      <w:szCs w:val="21"/>
      <w:lang w:val="en-US" w:eastAsia="zh-CN" w:bidi="ar-SA"/>
    </w:rPr>
  </w:style>
  <w:style w:type="paragraph" w:customStyle="1" w:styleId="248">
    <w:name w:val="样式 标题 3 + (中文) 黑体 小四 非加粗 段前: 7.8 磅 段后: 0 磅 行距: 固定值 20 磅"/>
    <w:basedOn w:val="6"/>
    <w:qFormat/>
    <w:uiPriority w:val="99"/>
    <w:pPr>
      <w:numPr>
        <w:ilvl w:val="0"/>
        <w:numId w:val="0"/>
      </w:numPr>
      <w:spacing w:line="400" w:lineRule="exact"/>
    </w:pPr>
    <w:rPr>
      <w:rFonts w:ascii="Calibri" w:hAnsi="Calibri" w:eastAsia="黑体"/>
      <w:b w:val="0"/>
      <w:bCs w:val="0"/>
      <w:color w:val="auto"/>
      <w:sz w:val="24"/>
      <w:szCs w:val="24"/>
    </w:rPr>
  </w:style>
  <w:style w:type="paragraph" w:customStyle="1" w:styleId="249">
    <w:name w:val="Revision1"/>
    <w:qFormat/>
    <w:uiPriority w:val="99"/>
    <w:rPr>
      <w:rFonts w:ascii="Calibri" w:hAnsi="Calibri" w:eastAsia="宋体" w:cs="Times New Roman"/>
      <w:kern w:val="2"/>
      <w:sz w:val="21"/>
      <w:szCs w:val="21"/>
      <w:lang w:val="en-US" w:eastAsia="zh-CN" w:bidi="ar-SA"/>
    </w:rPr>
  </w:style>
  <w:style w:type="paragraph" w:customStyle="1" w:styleId="250">
    <w:name w:val="flNote"/>
    <w:basedOn w:val="1"/>
    <w:qFormat/>
    <w:uiPriority w:val="99"/>
    <w:pPr>
      <w:widowControl w:val="0"/>
      <w:adjustRightInd w:val="0"/>
      <w:spacing w:before="320" w:after="160" w:line="360" w:lineRule="atLeast"/>
      <w:jc w:val="center"/>
      <w:textAlignment w:val="baseline"/>
    </w:pPr>
    <w:rPr>
      <w:rFonts w:ascii="Arial" w:hAnsi="Calibri" w:eastAsia="黑体" w:cs="Arial"/>
      <w:sz w:val="30"/>
      <w:szCs w:val="30"/>
    </w:rPr>
  </w:style>
  <w:style w:type="paragraph" w:customStyle="1" w:styleId="251">
    <w:name w:val="样式 标题 2 + Times New Roman 四号 非加粗 段前: 5 磅 段后: 0 磅 行距: 固定值 20..."/>
    <w:basedOn w:val="5"/>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rPr>
  </w:style>
  <w:style w:type="character" w:customStyle="1" w:styleId="252">
    <w:name w:val="明显引用 Char2"/>
    <w:basedOn w:val="44"/>
    <w:qFormat/>
    <w:uiPriority w:val="99"/>
    <w:rPr>
      <w:b/>
      <w:bCs/>
      <w:i/>
      <w:iCs/>
      <w:color w:val="4F81BD" w:themeColor="accent1"/>
      <w:sz w:val="24"/>
      <w:szCs w:val="24"/>
      <w14:textFill>
        <w14:solidFill>
          <w14:schemeClr w14:val="accent1"/>
        </w14:solidFill>
      </w14:textFill>
    </w:rPr>
  </w:style>
  <w:style w:type="paragraph" w:customStyle="1" w:styleId="253">
    <w:name w:val="bf.1"/>
    <w:basedOn w:val="17"/>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kern w:val="0"/>
      <w:sz w:val="24"/>
    </w:rPr>
  </w:style>
  <w:style w:type="paragraph" w:customStyle="1" w:styleId="254">
    <w:name w:val="No Spacing"/>
    <w:qFormat/>
    <w:uiPriority w:val="99"/>
    <w:pPr>
      <w:widowControl w:val="0"/>
      <w:jc w:val="both"/>
    </w:pPr>
    <w:rPr>
      <w:rFonts w:ascii="Calibri" w:hAnsi="Calibri" w:eastAsia="宋体" w:cs="Calibri"/>
      <w:kern w:val="2"/>
      <w:sz w:val="21"/>
      <w:szCs w:val="21"/>
      <w:lang w:val="en-US" w:eastAsia="zh-CN" w:bidi="ar-SA"/>
    </w:rPr>
  </w:style>
  <w:style w:type="paragraph" w:customStyle="1" w:styleId="255">
    <w:name w:val="Char Char1 Char"/>
    <w:basedOn w:val="1"/>
    <w:qFormat/>
    <w:uiPriority w:val="99"/>
    <w:pPr>
      <w:widowControl w:val="0"/>
      <w:jc w:val="both"/>
    </w:pPr>
    <w:rPr>
      <w:rFonts w:ascii="Calibri" w:hAnsi="Calibri"/>
      <w:kern w:val="2"/>
      <w:sz w:val="21"/>
      <w:szCs w:val="21"/>
    </w:rPr>
  </w:style>
  <w:style w:type="paragraph" w:customStyle="1" w:styleId="256">
    <w:name w:val="Blockquote"/>
    <w:basedOn w:val="1"/>
    <w:qFormat/>
    <w:uiPriority w:val="99"/>
    <w:pPr>
      <w:widowControl w:val="0"/>
      <w:autoSpaceDE w:val="0"/>
      <w:autoSpaceDN w:val="0"/>
      <w:adjustRightInd w:val="0"/>
      <w:spacing w:before="100" w:after="100"/>
      <w:ind w:left="360"/>
      <w:jc w:val="both"/>
    </w:pPr>
    <w:rPr>
      <w:rFonts w:ascii="Calibri" w:hAnsi="Calibri"/>
    </w:rPr>
  </w:style>
  <w:style w:type="table" w:customStyle="1" w:styleId="257">
    <w:name w:val="网格型1"/>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8">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259">
    <w:name w:val="Table Paragraph"/>
    <w:basedOn w:val="1"/>
    <w:unhideWhenUsed/>
    <w:qFormat/>
    <w:uiPriority w:val="1"/>
    <w:rPr>
      <w:rFonts w:ascii="Times New Roman" w:hAnsi="Times New Roman" w:eastAsia="Times New Roman"/>
      <w:sz w:val="24"/>
    </w:rPr>
  </w:style>
  <w:style w:type="character" w:customStyle="1" w:styleId="260">
    <w:name w:val="qowt-font2"/>
    <w:basedOn w:val="4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image" Target="media/image4.wmf"/><Relationship Id="rId17" Type="http://schemas.openxmlformats.org/officeDocument/2006/relationships/image" Target="media/image3.wmf"/><Relationship Id="rId16" Type="http://schemas.openxmlformats.org/officeDocument/2006/relationships/image" Target="media/image2.wmf"/><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30F8E-D6FA-4230-ACF9-DE88C64027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48335</Words>
  <Characters>50661</Characters>
  <Lines>326</Lines>
  <Paragraphs>91</Paragraphs>
  <TotalTime>29</TotalTime>
  <ScaleCrop>false</ScaleCrop>
  <LinksUpToDate>false</LinksUpToDate>
  <CharactersWithSpaces>53606</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2021-01-11T07:26:00Z</dcterms:created>
  <dc:creator>向晶</dc:creator>
  <cp:lastModifiedBy>dell</cp:lastModifiedBy>
  <cp:lastPrinted>2021-01-11T07:35:00Z</cp:lastPrinted>
  <dcterms:modified xsi:type="dcterms:W3CDTF">2021-07-06T06:06:46Z</dcterms:modified>
  <dc:title>成都市人民检察院物业管理采购项目竞争性谈判需求文件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