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sz w:val="52"/>
          <w:szCs w:val="52"/>
        </w:rPr>
      </w:pPr>
    </w:p>
    <w:p>
      <w:pPr>
        <w:jc w:val="right"/>
        <w:rPr>
          <w:rFonts w:ascii="宋体" w:hAnsi="宋体"/>
          <w:b/>
          <w:bCs/>
          <w:sz w:val="30"/>
          <w:szCs w:val="30"/>
        </w:rPr>
      </w:pPr>
      <w:bookmarkStart w:id="0" w:name="_Hlt101843627"/>
      <w:bookmarkEnd w:id="0"/>
      <w:bookmarkStart w:id="1" w:name="_Hlt101233737"/>
      <w:bookmarkEnd w:id="1"/>
      <w:r>
        <w:rPr>
          <w:rFonts w:hint="eastAsia" w:ascii="宋体" w:hAnsi="宋体"/>
          <w:b/>
          <w:bCs/>
          <w:sz w:val="30"/>
          <w:szCs w:val="30"/>
        </w:rPr>
        <w:t xml:space="preserve">招标编号：510101202102100 </w:t>
      </w:r>
    </w:p>
    <w:p>
      <w:pPr>
        <w:jc w:val="center"/>
        <w:rPr>
          <w:rFonts w:ascii="宋体" w:hAnsi="宋体"/>
          <w:sz w:val="48"/>
          <w:szCs w:val="48"/>
        </w:rPr>
      </w:pPr>
    </w:p>
    <w:p>
      <w:pPr>
        <w:tabs>
          <w:tab w:val="left" w:pos="2505"/>
          <w:tab w:val="center" w:pos="4204"/>
        </w:tabs>
        <w:jc w:val="center"/>
        <w:rPr>
          <w:rFonts w:ascii="宋体" w:hAnsi="宋体"/>
          <w:sz w:val="52"/>
          <w:szCs w:val="52"/>
        </w:rPr>
      </w:pPr>
      <w:r>
        <w:rPr>
          <w:rFonts w:hint="eastAsia" w:ascii="宋体" w:hAnsi="宋体"/>
          <w:b/>
          <w:bCs/>
          <w:sz w:val="48"/>
          <w:szCs w:val="48"/>
        </w:rPr>
        <w:t>成都大学斯特灵学院网络设备采购项目</w:t>
      </w:r>
    </w:p>
    <w:p>
      <w:pPr>
        <w:pStyle w:val="2"/>
      </w:pPr>
    </w:p>
    <w:p>
      <w:pPr>
        <w:tabs>
          <w:tab w:val="left" w:pos="2505"/>
          <w:tab w:val="center" w:pos="4204"/>
        </w:tabs>
        <w:jc w:val="center"/>
        <w:rPr>
          <w:rFonts w:ascii="宋体" w:hAnsi="宋体"/>
          <w:b/>
          <w:bCs/>
          <w:sz w:val="52"/>
          <w:szCs w:val="52"/>
        </w:rPr>
      </w:pPr>
      <w:r>
        <w:rPr>
          <w:rFonts w:hint="eastAsia" w:ascii="宋体" w:hAnsi="宋体"/>
          <w:b/>
          <w:bCs/>
          <w:sz w:val="52"/>
          <w:szCs w:val="52"/>
        </w:rPr>
        <w:t>招</w:t>
      </w:r>
    </w:p>
    <w:p>
      <w:pPr>
        <w:jc w:val="center"/>
        <w:rPr>
          <w:rFonts w:ascii="宋体" w:hAnsi="宋体"/>
          <w:b/>
          <w:bCs/>
          <w:sz w:val="52"/>
          <w:szCs w:val="52"/>
        </w:rPr>
      </w:pPr>
      <w:r>
        <w:rPr>
          <w:rFonts w:hint="eastAsia" w:ascii="宋体" w:hAnsi="宋体"/>
          <w:b/>
          <w:bCs/>
          <w:sz w:val="52"/>
          <w:szCs w:val="52"/>
        </w:rPr>
        <w:t>标</w:t>
      </w:r>
    </w:p>
    <w:p>
      <w:pPr>
        <w:jc w:val="center"/>
        <w:rPr>
          <w:rFonts w:ascii="宋体" w:hAnsi="宋体"/>
          <w:b/>
          <w:bCs/>
          <w:sz w:val="52"/>
          <w:szCs w:val="52"/>
        </w:rPr>
      </w:pPr>
      <w:r>
        <w:rPr>
          <w:rFonts w:hint="eastAsia" w:ascii="宋体" w:hAnsi="宋体"/>
          <w:b/>
          <w:bCs/>
          <w:sz w:val="52"/>
          <w:szCs w:val="52"/>
        </w:rPr>
        <w:t>文</w:t>
      </w:r>
    </w:p>
    <w:p>
      <w:pPr>
        <w:jc w:val="center"/>
        <w:rPr>
          <w:rFonts w:ascii="宋体" w:hAnsi="宋体"/>
          <w:sz w:val="52"/>
          <w:szCs w:val="52"/>
        </w:rPr>
      </w:pPr>
      <w:r>
        <w:rPr>
          <w:rFonts w:hint="eastAsia" w:ascii="宋体" w:hAnsi="宋体"/>
          <w:b/>
          <w:bCs/>
          <w:sz w:val="52"/>
          <w:szCs w:val="52"/>
        </w:rPr>
        <w:t>件</w:t>
      </w:r>
    </w:p>
    <w:p>
      <w:pPr>
        <w:spacing w:line="360" w:lineRule="auto"/>
        <w:rPr>
          <w:rFonts w:ascii="宋体" w:hAnsi="宋体"/>
          <w:sz w:val="32"/>
          <w:szCs w:val="32"/>
        </w:rPr>
      </w:pPr>
    </w:p>
    <w:p>
      <w:pPr>
        <w:pStyle w:val="2"/>
      </w:pPr>
    </w:p>
    <w:p>
      <w:pPr>
        <w:spacing w:line="360" w:lineRule="auto"/>
        <w:jc w:val="center"/>
        <w:rPr>
          <w:rFonts w:ascii="宋体" w:hAnsi="宋体" w:cs="宋体"/>
          <w:b/>
          <w:bCs/>
          <w:sz w:val="32"/>
          <w:szCs w:val="32"/>
        </w:rPr>
      </w:pPr>
      <w:r>
        <w:rPr>
          <w:rFonts w:hint="eastAsia" w:ascii="宋体" w:hAnsi="宋体" w:cs="宋体"/>
          <w:b/>
          <w:bCs/>
          <w:sz w:val="32"/>
          <w:szCs w:val="32"/>
        </w:rPr>
        <w:t>成都大学</w:t>
      </w:r>
    </w:p>
    <w:p>
      <w:pPr>
        <w:spacing w:line="360" w:lineRule="auto"/>
        <w:jc w:val="center"/>
        <w:rPr>
          <w:rFonts w:ascii="宋体" w:hAnsi="宋体" w:cs="宋体"/>
          <w:b/>
          <w:bCs/>
          <w:sz w:val="32"/>
          <w:szCs w:val="32"/>
        </w:rPr>
      </w:pPr>
      <w:r>
        <w:rPr>
          <w:rFonts w:hint="eastAsia" w:ascii="宋体" w:hAnsi="宋体" w:cs="宋体"/>
          <w:b/>
          <w:bCs/>
          <w:sz w:val="32"/>
          <w:szCs w:val="32"/>
        </w:rPr>
        <w:t>重庆招标采购（集团）有限责任公司</w:t>
      </w:r>
    </w:p>
    <w:p>
      <w:pPr>
        <w:spacing w:line="360" w:lineRule="auto"/>
        <w:jc w:val="center"/>
        <w:rPr>
          <w:rFonts w:ascii="宋体" w:hAnsi="宋体" w:cs="宋体"/>
          <w:b/>
          <w:bCs/>
          <w:sz w:val="32"/>
          <w:szCs w:val="32"/>
        </w:rPr>
      </w:pPr>
      <w:r>
        <w:rPr>
          <w:rFonts w:hint="eastAsia" w:ascii="宋体" w:hAnsi="宋体" w:cs="宋体"/>
          <w:b/>
          <w:bCs/>
          <w:sz w:val="32"/>
          <w:szCs w:val="32"/>
        </w:rPr>
        <w:t>共同编制</w:t>
      </w:r>
    </w:p>
    <w:p>
      <w:pPr>
        <w:spacing w:line="360" w:lineRule="auto"/>
        <w:jc w:val="center"/>
        <w:rPr>
          <w:rFonts w:ascii="宋体" w:hAnsi="宋体"/>
          <w:b/>
          <w:bCs/>
          <w:sz w:val="24"/>
        </w:rPr>
        <w:sectPr>
          <w:footerReference r:id="rId8" w:type="first"/>
          <w:headerReference r:id="rId5" w:type="default"/>
          <w:footerReference r:id="rId6" w:type="default"/>
          <w:footerReference r:id="rId7" w:type="even"/>
          <w:pgSz w:w="11907" w:h="16840"/>
          <w:pgMar w:top="1418" w:right="1514" w:bottom="1418" w:left="1985" w:header="851" w:footer="992" w:gutter="0"/>
          <w:pgNumType w:start="1"/>
          <w:cols w:space="720" w:num="1"/>
          <w:titlePg/>
          <w:docGrid w:linePitch="312" w:charSpace="0"/>
        </w:sectPr>
      </w:pPr>
      <w:r>
        <w:rPr>
          <w:rFonts w:hint="eastAsia" w:ascii="宋体" w:hAnsi="宋体" w:cs="宋体"/>
          <w:b/>
          <w:bCs/>
          <w:sz w:val="32"/>
          <w:szCs w:val="32"/>
        </w:rPr>
        <w:t>2021</w:t>
      </w:r>
      <w:r>
        <w:rPr>
          <w:rFonts w:hint="eastAsia" w:ascii="宋体" w:hAnsi="宋体" w:cs="宋体"/>
          <w:b/>
          <w:bCs/>
          <w:sz w:val="32"/>
          <w:szCs w:val="32"/>
          <w:lang w:val="zh-CN"/>
        </w:rPr>
        <w:t>年</w:t>
      </w:r>
      <w:bookmarkStart w:id="2" w:name="PO_月份小写_1"/>
      <w:r>
        <w:rPr>
          <w:rFonts w:hint="eastAsia" w:ascii="宋体" w:hAnsi="宋体" w:cs="宋体"/>
          <w:b/>
          <w:bCs/>
          <w:sz w:val="32"/>
          <w:szCs w:val="32"/>
        </w:rPr>
        <w:t>12</w:t>
      </w:r>
      <w:r>
        <w:rPr>
          <w:rFonts w:hint="eastAsia" w:ascii="宋体" w:hAnsi="宋体" w:cs="宋体"/>
          <w:b/>
          <w:bCs/>
          <w:sz w:val="32"/>
          <w:szCs w:val="32"/>
          <w:lang w:val="zh-CN"/>
        </w:rPr>
        <w:t>月</w:t>
      </w:r>
      <w:bookmarkEnd w:id="2"/>
    </w:p>
    <w:p>
      <w:pPr>
        <w:jc w:val="center"/>
        <w:rPr>
          <w:rFonts w:ascii="宋体" w:hAnsi="宋体"/>
          <w:b/>
          <w:bCs/>
          <w:sz w:val="36"/>
          <w:szCs w:val="36"/>
        </w:rPr>
      </w:pPr>
      <w:r>
        <w:rPr>
          <w:rFonts w:hint="eastAsia" w:ascii="宋体" w:hAnsi="宋体"/>
          <w:b/>
          <w:bCs/>
          <w:sz w:val="36"/>
          <w:szCs w:val="36"/>
        </w:rPr>
        <w:t>目    录</w:t>
      </w:r>
    </w:p>
    <w:p>
      <w:pPr>
        <w:jc w:val="center"/>
        <w:rPr>
          <w:rFonts w:ascii="宋体" w:hAnsi="宋体"/>
          <w:b/>
          <w:bCs/>
          <w:sz w:val="36"/>
          <w:szCs w:val="36"/>
        </w:rPr>
      </w:pPr>
    </w:p>
    <w:p>
      <w:pPr>
        <w:pStyle w:val="18"/>
        <w:tabs>
          <w:tab w:val="right" w:leader="dot" w:pos="8959"/>
        </w:tabs>
        <w:spacing w:line="480" w:lineRule="auto"/>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TOC \o "1-1" \h \u </w:instrText>
      </w:r>
      <w:r>
        <w:rPr>
          <w:rFonts w:hint="eastAsia" w:ascii="宋体" w:hAnsi="宋体" w:cs="宋体"/>
          <w:sz w:val="28"/>
          <w:szCs w:val="28"/>
        </w:rPr>
        <w:fldChar w:fldCharType="separate"/>
      </w:r>
      <w:r>
        <w:fldChar w:fldCharType="begin"/>
      </w:r>
      <w:r>
        <w:instrText xml:space="preserve"> HYPERLINK \l "_Toc18160" </w:instrText>
      </w:r>
      <w:r>
        <w:fldChar w:fldCharType="separate"/>
      </w:r>
      <w:r>
        <w:rPr>
          <w:rFonts w:hint="eastAsia" w:ascii="宋体" w:hAnsi="宋体" w:cs="宋体"/>
          <w:sz w:val="28"/>
          <w:szCs w:val="28"/>
        </w:rPr>
        <w:t>第一章  投标邀请</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_Toc18160 \h </w:instrText>
      </w:r>
      <w:r>
        <w:rPr>
          <w:rFonts w:hint="eastAsia" w:ascii="宋体" w:hAnsi="宋体" w:cs="宋体"/>
          <w:sz w:val="28"/>
          <w:szCs w:val="28"/>
        </w:rPr>
        <w:fldChar w:fldCharType="separate"/>
      </w:r>
      <w:r>
        <w:rPr>
          <w:rFonts w:hint="eastAsia" w:ascii="宋体" w:hAnsi="宋体" w:cs="宋体"/>
          <w:sz w:val="28"/>
          <w:szCs w:val="28"/>
        </w:rPr>
        <w:t>1</w:t>
      </w:r>
      <w:r>
        <w:rPr>
          <w:rFonts w:hint="eastAsia" w:ascii="宋体" w:hAnsi="宋体" w:cs="宋体"/>
          <w:sz w:val="28"/>
          <w:szCs w:val="28"/>
        </w:rPr>
        <w:fldChar w:fldCharType="end"/>
      </w:r>
      <w:r>
        <w:rPr>
          <w:rFonts w:hint="eastAsia" w:ascii="宋体" w:hAnsi="宋体" w:cs="宋体"/>
          <w:sz w:val="28"/>
          <w:szCs w:val="28"/>
        </w:rPr>
        <w:fldChar w:fldCharType="end"/>
      </w:r>
    </w:p>
    <w:p>
      <w:pPr>
        <w:pStyle w:val="18"/>
        <w:tabs>
          <w:tab w:val="right" w:leader="dot" w:pos="8959"/>
        </w:tabs>
        <w:spacing w:line="480" w:lineRule="auto"/>
        <w:rPr>
          <w:rFonts w:ascii="宋体" w:hAnsi="宋体" w:cs="宋体"/>
          <w:sz w:val="28"/>
          <w:szCs w:val="28"/>
        </w:rPr>
      </w:pPr>
      <w:r>
        <w:fldChar w:fldCharType="begin"/>
      </w:r>
      <w:r>
        <w:instrText xml:space="preserve"> HYPERLINK \l "_Toc14077" </w:instrText>
      </w:r>
      <w:r>
        <w:fldChar w:fldCharType="separate"/>
      </w:r>
      <w:r>
        <w:rPr>
          <w:rFonts w:hint="eastAsia" w:ascii="宋体" w:hAnsi="宋体" w:cs="宋体"/>
          <w:sz w:val="28"/>
          <w:szCs w:val="28"/>
        </w:rPr>
        <w:t>第二章  投标人须知</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_Toc14077 \h </w:instrText>
      </w:r>
      <w:r>
        <w:rPr>
          <w:rFonts w:hint="eastAsia" w:ascii="宋体" w:hAnsi="宋体" w:cs="宋体"/>
          <w:sz w:val="28"/>
          <w:szCs w:val="28"/>
        </w:rPr>
        <w:fldChar w:fldCharType="separate"/>
      </w:r>
      <w:r>
        <w:rPr>
          <w:rFonts w:hint="eastAsia" w:ascii="宋体" w:hAnsi="宋体" w:cs="宋体"/>
          <w:sz w:val="28"/>
          <w:szCs w:val="28"/>
        </w:rPr>
        <w:t>4</w:t>
      </w:r>
      <w:r>
        <w:rPr>
          <w:rFonts w:hint="eastAsia" w:ascii="宋体" w:hAnsi="宋体" w:cs="宋体"/>
          <w:sz w:val="28"/>
          <w:szCs w:val="28"/>
        </w:rPr>
        <w:fldChar w:fldCharType="end"/>
      </w:r>
      <w:r>
        <w:rPr>
          <w:rFonts w:hint="eastAsia" w:ascii="宋体" w:hAnsi="宋体" w:cs="宋体"/>
          <w:sz w:val="28"/>
          <w:szCs w:val="28"/>
        </w:rPr>
        <w:fldChar w:fldCharType="end"/>
      </w:r>
    </w:p>
    <w:p>
      <w:pPr>
        <w:pStyle w:val="18"/>
        <w:tabs>
          <w:tab w:val="right" w:leader="dot" w:pos="8959"/>
        </w:tabs>
        <w:spacing w:line="480" w:lineRule="auto"/>
        <w:rPr>
          <w:rFonts w:ascii="宋体" w:hAnsi="宋体" w:cs="宋体"/>
          <w:sz w:val="28"/>
          <w:szCs w:val="28"/>
        </w:rPr>
      </w:pPr>
      <w:r>
        <w:fldChar w:fldCharType="begin"/>
      </w:r>
      <w:r>
        <w:instrText xml:space="preserve"> HYPERLINK \l "_Toc32379" </w:instrText>
      </w:r>
      <w:r>
        <w:fldChar w:fldCharType="separate"/>
      </w:r>
      <w:r>
        <w:rPr>
          <w:rFonts w:hint="eastAsia" w:ascii="宋体" w:hAnsi="宋体" w:cs="宋体"/>
          <w:sz w:val="28"/>
          <w:szCs w:val="28"/>
        </w:rPr>
        <w:t>第三章  投标文件格式</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_Toc32379 \h </w:instrText>
      </w:r>
      <w:r>
        <w:rPr>
          <w:rFonts w:hint="eastAsia" w:ascii="宋体" w:hAnsi="宋体" w:cs="宋体"/>
          <w:sz w:val="28"/>
          <w:szCs w:val="28"/>
        </w:rPr>
        <w:fldChar w:fldCharType="separate"/>
      </w:r>
      <w:r>
        <w:rPr>
          <w:rFonts w:hint="eastAsia" w:ascii="宋体" w:hAnsi="宋体" w:cs="宋体"/>
          <w:sz w:val="28"/>
          <w:szCs w:val="28"/>
        </w:rPr>
        <w:t>22</w:t>
      </w:r>
      <w:r>
        <w:rPr>
          <w:rFonts w:hint="eastAsia" w:ascii="宋体" w:hAnsi="宋体" w:cs="宋体"/>
          <w:sz w:val="28"/>
          <w:szCs w:val="28"/>
        </w:rPr>
        <w:fldChar w:fldCharType="end"/>
      </w:r>
      <w:r>
        <w:rPr>
          <w:rFonts w:hint="eastAsia" w:ascii="宋体" w:hAnsi="宋体" w:cs="宋体"/>
          <w:sz w:val="28"/>
          <w:szCs w:val="28"/>
        </w:rPr>
        <w:fldChar w:fldCharType="end"/>
      </w:r>
    </w:p>
    <w:p>
      <w:pPr>
        <w:pStyle w:val="18"/>
        <w:tabs>
          <w:tab w:val="right" w:leader="dot" w:pos="8959"/>
        </w:tabs>
        <w:spacing w:line="480" w:lineRule="auto"/>
        <w:rPr>
          <w:rFonts w:ascii="宋体" w:hAnsi="宋体" w:cs="宋体"/>
          <w:sz w:val="28"/>
          <w:szCs w:val="28"/>
        </w:rPr>
      </w:pPr>
      <w:r>
        <w:fldChar w:fldCharType="begin"/>
      </w:r>
      <w:r>
        <w:instrText xml:space="preserve"> HYPERLINK \l "_Toc27647" </w:instrText>
      </w:r>
      <w:r>
        <w:fldChar w:fldCharType="separate"/>
      </w:r>
      <w:r>
        <w:rPr>
          <w:rFonts w:hint="eastAsia" w:ascii="宋体" w:hAnsi="宋体" w:cs="宋体"/>
          <w:sz w:val="28"/>
          <w:szCs w:val="28"/>
        </w:rPr>
        <w:t>第四章  投标人和投标产品的资格、资质性及其他类似效力要求</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_Toc27647 \h </w:instrText>
      </w:r>
      <w:r>
        <w:rPr>
          <w:rFonts w:hint="eastAsia" w:ascii="宋体" w:hAnsi="宋体" w:cs="宋体"/>
          <w:sz w:val="28"/>
          <w:szCs w:val="28"/>
        </w:rPr>
        <w:fldChar w:fldCharType="separate"/>
      </w:r>
      <w:r>
        <w:rPr>
          <w:rFonts w:hint="eastAsia" w:ascii="宋体" w:hAnsi="宋体" w:cs="宋体"/>
          <w:sz w:val="28"/>
          <w:szCs w:val="28"/>
        </w:rPr>
        <w:t>39</w:t>
      </w:r>
      <w:r>
        <w:rPr>
          <w:rFonts w:hint="eastAsia" w:ascii="宋体" w:hAnsi="宋体" w:cs="宋体"/>
          <w:sz w:val="28"/>
          <w:szCs w:val="28"/>
        </w:rPr>
        <w:fldChar w:fldCharType="end"/>
      </w:r>
      <w:r>
        <w:rPr>
          <w:rFonts w:hint="eastAsia" w:ascii="宋体" w:hAnsi="宋体" w:cs="宋体"/>
          <w:sz w:val="28"/>
          <w:szCs w:val="28"/>
        </w:rPr>
        <w:fldChar w:fldCharType="end"/>
      </w:r>
    </w:p>
    <w:p>
      <w:pPr>
        <w:pStyle w:val="18"/>
        <w:tabs>
          <w:tab w:val="right" w:leader="dot" w:pos="8959"/>
        </w:tabs>
        <w:spacing w:line="480" w:lineRule="auto"/>
        <w:rPr>
          <w:rFonts w:ascii="宋体" w:hAnsi="宋体" w:cs="宋体"/>
          <w:sz w:val="28"/>
          <w:szCs w:val="28"/>
        </w:rPr>
      </w:pPr>
      <w:r>
        <w:fldChar w:fldCharType="begin"/>
      </w:r>
      <w:r>
        <w:instrText xml:space="preserve"> HYPERLINK \l "_Toc30376" </w:instrText>
      </w:r>
      <w:r>
        <w:fldChar w:fldCharType="separate"/>
      </w:r>
      <w:r>
        <w:rPr>
          <w:rFonts w:hint="eastAsia" w:ascii="宋体" w:hAnsi="宋体" w:cs="宋体"/>
          <w:sz w:val="28"/>
          <w:szCs w:val="28"/>
        </w:rPr>
        <w:t>第五章  资格性审查要求</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_Toc30376 \h </w:instrText>
      </w:r>
      <w:r>
        <w:rPr>
          <w:rFonts w:hint="eastAsia" w:ascii="宋体" w:hAnsi="宋体" w:cs="宋体"/>
          <w:sz w:val="28"/>
          <w:szCs w:val="28"/>
        </w:rPr>
        <w:fldChar w:fldCharType="separate"/>
      </w:r>
      <w:r>
        <w:rPr>
          <w:rFonts w:hint="eastAsia" w:ascii="宋体" w:hAnsi="宋体" w:cs="宋体"/>
          <w:sz w:val="28"/>
          <w:szCs w:val="28"/>
        </w:rPr>
        <w:t>40</w:t>
      </w:r>
      <w:r>
        <w:rPr>
          <w:rFonts w:hint="eastAsia" w:ascii="宋体" w:hAnsi="宋体" w:cs="宋体"/>
          <w:sz w:val="28"/>
          <w:szCs w:val="28"/>
        </w:rPr>
        <w:fldChar w:fldCharType="end"/>
      </w:r>
      <w:r>
        <w:rPr>
          <w:rFonts w:hint="eastAsia" w:ascii="宋体" w:hAnsi="宋体" w:cs="宋体"/>
          <w:sz w:val="28"/>
          <w:szCs w:val="28"/>
        </w:rPr>
        <w:fldChar w:fldCharType="end"/>
      </w:r>
    </w:p>
    <w:p>
      <w:pPr>
        <w:pStyle w:val="18"/>
        <w:tabs>
          <w:tab w:val="right" w:leader="dot" w:pos="8959"/>
        </w:tabs>
        <w:spacing w:line="480" w:lineRule="auto"/>
        <w:rPr>
          <w:rFonts w:ascii="宋体" w:hAnsi="宋体" w:cs="宋体"/>
          <w:sz w:val="28"/>
          <w:szCs w:val="28"/>
        </w:rPr>
      </w:pPr>
      <w:r>
        <w:fldChar w:fldCharType="begin"/>
      </w:r>
      <w:r>
        <w:instrText xml:space="preserve"> HYPERLINK \l "_Toc16251" </w:instrText>
      </w:r>
      <w:r>
        <w:fldChar w:fldCharType="separate"/>
      </w:r>
      <w:r>
        <w:rPr>
          <w:rFonts w:hint="eastAsia" w:ascii="宋体" w:hAnsi="宋体" w:cs="宋体"/>
          <w:sz w:val="28"/>
          <w:szCs w:val="28"/>
        </w:rPr>
        <w:t>第六章  项目技术、服务、政府采购合同内容条款及其他商务要求</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_Toc16251 \h </w:instrText>
      </w:r>
      <w:r>
        <w:rPr>
          <w:rFonts w:hint="eastAsia" w:ascii="宋体" w:hAnsi="宋体" w:cs="宋体"/>
          <w:sz w:val="28"/>
          <w:szCs w:val="28"/>
        </w:rPr>
        <w:fldChar w:fldCharType="separate"/>
      </w:r>
      <w:r>
        <w:rPr>
          <w:rFonts w:hint="eastAsia" w:ascii="宋体" w:hAnsi="宋体" w:cs="宋体"/>
          <w:sz w:val="28"/>
          <w:szCs w:val="28"/>
        </w:rPr>
        <w:t>44</w:t>
      </w:r>
      <w:r>
        <w:rPr>
          <w:rFonts w:hint="eastAsia" w:ascii="宋体" w:hAnsi="宋体" w:cs="宋体"/>
          <w:sz w:val="28"/>
          <w:szCs w:val="28"/>
        </w:rPr>
        <w:fldChar w:fldCharType="end"/>
      </w:r>
      <w:r>
        <w:rPr>
          <w:rFonts w:hint="eastAsia" w:ascii="宋体" w:hAnsi="宋体" w:cs="宋体"/>
          <w:sz w:val="28"/>
          <w:szCs w:val="28"/>
        </w:rPr>
        <w:fldChar w:fldCharType="end"/>
      </w:r>
    </w:p>
    <w:p>
      <w:pPr>
        <w:pStyle w:val="18"/>
        <w:tabs>
          <w:tab w:val="right" w:leader="dot" w:pos="8959"/>
        </w:tabs>
        <w:spacing w:line="480" w:lineRule="auto"/>
        <w:rPr>
          <w:rFonts w:ascii="宋体" w:hAnsi="宋体" w:cs="宋体"/>
          <w:sz w:val="28"/>
          <w:szCs w:val="28"/>
        </w:rPr>
      </w:pPr>
      <w:r>
        <w:fldChar w:fldCharType="begin"/>
      </w:r>
      <w:r>
        <w:instrText xml:space="preserve"> HYPERLINK \l "_Toc17223" </w:instrText>
      </w:r>
      <w:r>
        <w:fldChar w:fldCharType="separate"/>
      </w:r>
      <w:r>
        <w:rPr>
          <w:rFonts w:hint="eastAsia" w:ascii="宋体" w:hAnsi="宋体" w:cs="宋体"/>
          <w:sz w:val="28"/>
          <w:szCs w:val="28"/>
        </w:rPr>
        <w:t>第七章  评标办法</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_Toc17223 \h </w:instrText>
      </w:r>
      <w:r>
        <w:rPr>
          <w:rFonts w:hint="eastAsia" w:ascii="宋体" w:hAnsi="宋体" w:cs="宋体"/>
          <w:sz w:val="28"/>
          <w:szCs w:val="28"/>
        </w:rPr>
        <w:fldChar w:fldCharType="separate"/>
      </w:r>
      <w:r>
        <w:rPr>
          <w:rFonts w:hint="eastAsia" w:ascii="宋体" w:hAnsi="宋体" w:cs="宋体"/>
          <w:sz w:val="28"/>
          <w:szCs w:val="28"/>
        </w:rPr>
        <w:t>56</w:t>
      </w:r>
      <w:r>
        <w:rPr>
          <w:rFonts w:hint="eastAsia" w:ascii="宋体" w:hAnsi="宋体" w:cs="宋体"/>
          <w:sz w:val="28"/>
          <w:szCs w:val="28"/>
        </w:rPr>
        <w:fldChar w:fldCharType="end"/>
      </w:r>
      <w:r>
        <w:rPr>
          <w:rFonts w:hint="eastAsia" w:ascii="宋体" w:hAnsi="宋体" w:cs="宋体"/>
          <w:sz w:val="28"/>
          <w:szCs w:val="28"/>
        </w:rPr>
        <w:fldChar w:fldCharType="end"/>
      </w:r>
    </w:p>
    <w:p>
      <w:pPr>
        <w:pStyle w:val="18"/>
        <w:tabs>
          <w:tab w:val="right" w:leader="dot" w:pos="8959"/>
        </w:tabs>
        <w:spacing w:line="480" w:lineRule="auto"/>
        <w:rPr>
          <w:rFonts w:ascii="宋体" w:hAnsi="宋体" w:cs="宋体"/>
          <w:sz w:val="28"/>
          <w:szCs w:val="28"/>
        </w:rPr>
      </w:pPr>
      <w:r>
        <w:fldChar w:fldCharType="begin"/>
      </w:r>
      <w:r>
        <w:instrText xml:space="preserve"> HYPERLINK \l "_Toc4869" </w:instrText>
      </w:r>
      <w:r>
        <w:fldChar w:fldCharType="separate"/>
      </w:r>
      <w:r>
        <w:rPr>
          <w:rFonts w:hint="eastAsia" w:ascii="宋体" w:hAnsi="宋体" w:cs="宋体"/>
          <w:sz w:val="28"/>
          <w:szCs w:val="28"/>
        </w:rPr>
        <w:t>第八章  政府采购合同（以最终双方签订内容为准）</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_Toc4869 \h </w:instrText>
      </w:r>
      <w:r>
        <w:rPr>
          <w:rFonts w:hint="eastAsia" w:ascii="宋体" w:hAnsi="宋体" w:cs="宋体"/>
          <w:sz w:val="28"/>
          <w:szCs w:val="28"/>
        </w:rPr>
        <w:fldChar w:fldCharType="separate"/>
      </w:r>
      <w:r>
        <w:rPr>
          <w:rFonts w:hint="eastAsia" w:ascii="宋体" w:hAnsi="宋体" w:cs="宋体"/>
          <w:sz w:val="28"/>
          <w:szCs w:val="28"/>
        </w:rPr>
        <w:t>72</w:t>
      </w:r>
      <w:r>
        <w:rPr>
          <w:rFonts w:hint="eastAsia" w:ascii="宋体" w:hAnsi="宋体" w:cs="宋体"/>
          <w:sz w:val="28"/>
          <w:szCs w:val="28"/>
        </w:rPr>
        <w:fldChar w:fldCharType="end"/>
      </w:r>
      <w:r>
        <w:rPr>
          <w:rFonts w:hint="eastAsia" w:ascii="宋体" w:hAnsi="宋体" w:cs="宋体"/>
          <w:sz w:val="28"/>
          <w:szCs w:val="28"/>
        </w:rPr>
        <w:fldChar w:fldCharType="end"/>
      </w:r>
    </w:p>
    <w:p>
      <w:pPr>
        <w:spacing w:line="480" w:lineRule="auto"/>
        <w:rPr>
          <w:rFonts w:ascii="宋体" w:hAnsi="宋体"/>
          <w:sz w:val="28"/>
          <w:szCs w:val="28"/>
        </w:rPr>
        <w:sectPr>
          <w:headerReference r:id="rId9" w:type="default"/>
          <w:footerReference r:id="rId10" w:type="default"/>
          <w:footerReference r:id="rId11" w:type="even"/>
          <w:pgSz w:w="11907" w:h="16840"/>
          <w:pgMar w:top="1440" w:right="1474" w:bottom="1440" w:left="1474" w:header="851" w:footer="992" w:gutter="0"/>
          <w:cols w:space="720" w:num="1"/>
          <w:docGrid w:linePitch="312" w:charSpace="0"/>
        </w:sectPr>
      </w:pPr>
      <w:r>
        <w:rPr>
          <w:rFonts w:hint="eastAsia" w:ascii="宋体" w:hAnsi="宋体" w:cs="宋体"/>
          <w:sz w:val="28"/>
          <w:szCs w:val="28"/>
        </w:rPr>
        <w:fldChar w:fldCharType="end"/>
      </w:r>
      <w:bookmarkStart w:id="3" w:name="_Toc24584"/>
    </w:p>
    <w:p>
      <w:pPr>
        <w:pStyle w:val="3"/>
        <w:spacing w:line="240" w:lineRule="atLeast"/>
        <w:jc w:val="center"/>
        <w:rPr>
          <w:rFonts w:ascii="宋体" w:hAnsi="宋体"/>
          <w:sz w:val="36"/>
          <w:szCs w:val="36"/>
        </w:rPr>
      </w:pPr>
      <w:bookmarkStart w:id="4" w:name="_Toc18160"/>
      <w:r>
        <w:rPr>
          <w:rFonts w:hint="eastAsia" w:ascii="宋体" w:hAnsi="宋体"/>
          <w:sz w:val="36"/>
          <w:szCs w:val="36"/>
        </w:rPr>
        <w:t>第一章  投标邀请</w:t>
      </w:r>
      <w:bookmarkEnd w:id="3"/>
      <w:bookmarkEnd w:id="4"/>
    </w:p>
    <w:p>
      <w:pPr>
        <w:tabs>
          <w:tab w:val="left" w:pos="7665"/>
        </w:tabs>
        <w:spacing w:line="400" w:lineRule="exact"/>
        <w:ind w:firstLine="600" w:firstLineChars="250"/>
        <w:rPr>
          <w:rFonts w:ascii="宋体" w:hAnsi="宋体" w:cs="宋体"/>
          <w:sz w:val="24"/>
        </w:rPr>
      </w:pPr>
      <w:r>
        <w:rPr>
          <w:rFonts w:hint="eastAsia" w:ascii="宋体" w:hAnsi="宋体" w:cs="宋体"/>
          <w:sz w:val="24"/>
          <w:u w:val="single"/>
        </w:rPr>
        <w:t>重庆招标采购（集团）有限责任公司</w:t>
      </w:r>
      <w:r>
        <w:rPr>
          <w:rFonts w:hint="eastAsia" w:ascii="宋体" w:hAnsi="宋体" w:cs="宋体"/>
          <w:sz w:val="24"/>
        </w:rPr>
        <w:t>受</w:t>
      </w:r>
      <w:r>
        <w:rPr>
          <w:rFonts w:hint="eastAsia" w:ascii="宋体" w:hAnsi="宋体" w:cs="宋体"/>
          <w:sz w:val="24"/>
          <w:u w:val="single"/>
        </w:rPr>
        <w:t>成都大学</w:t>
      </w:r>
      <w:r>
        <w:rPr>
          <w:rFonts w:hint="eastAsia" w:ascii="宋体" w:hAnsi="宋体" w:cs="宋体"/>
          <w:sz w:val="24"/>
        </w:rPr>
        <w:t>委托，拟对</w:t>
      </w:r>
      <w:bookmarkStart w:id="5" w:name="PO_默认文件内容_4"/>
      <w:r>
        <w:rPr>
          <w:rFonts w:hint="eastAsia" w:ascii="宋体" w:hAnsi="宋体" w:cs="宋体"/>
          <w:sz w:val="24"/>
          <w:u w:val="single"/>
        </w:rPr>
        <w:t>成都大学斯特灵学院网络设备采购项目</w:t>
      </w:r>
      <w:r>
        <w:rPr>
          <w:rFonts w:hint="eastAsia" w:ascii="宋体" w:hAnsi="宋体" w:cs="宋体"/>
          <w:sz w:val="24"/>
        </w:rPr>
        <w:t>进行国内公开招标，兹邀请符合本次招标要求的供应商参加投标。</w:t>
      </w:r>
      <w:bookmarkEnd w:id="5"/>
    </w:p>
    <w:p>
      <w:pPr>
        <w:spacing w:line="360" w:lineRule="auto"/>
        <w:ind w:firstLine="482" w:firstLineChars="200"/>
        <w:rPr>
          <w:rFonts w:ascii="宋体" w:hAnsi="宋体"/>
          <w:b/>
          <w:sz w:val="24"/>
        </w:rPr>
      </w:pPr>
      <w:r>
        <w:rPr>
          <w:rFonts w:hint="eastAsia" w:ascii="宋体" w:hAnsi="宋体"/>
          <w:b/>
          <w:sz w:val="24"/>
        </w:rPr>
        <w:t xml:space="preserve">一、招标编号： 510101202102100 </w:t>
      </w:r>
    </w:p>
    <w:p>
      <w:pPr>
        <w:spacing w:line="360" w:lineRule="auto"/>
        <w:ind w:right="31" w:rightChars="15" w:firstLine="482" w:firstLineChars="200"/>
        <w:rPr>
          <w:rFonts w:ascii="宋体" w:hAnsi="宋体"/>
          <w:b/>
          <w:sz w:val="24"/>
          <w:szCs w:val="32"/>
        </w:rPr>
      </w:pPr>
      <w:r>
        <w:rPr>
          <w:rFonts w:hint="eastAsia" w:ascii="宋体" w:hAnsi="宋体"/>
          <w:b/>
          <w:bCs/>
          <w:sz w:val="24"/>
        </w:rPr>
        <w:t>二、</w:t>
      </w:r>
      <w:r>
        <w:rPr>
          <w:rFonts w:hint="eastAsia" w:ascii="宋体" w:hAnsi="宋体"/>
          <w:b/>
          <w:sz w:val="24"/>
        </w:rPr>
        <w:t>招标项目：</w:t>
      </w:r>
      <w:r>
        <w:rPr>
          <w:rFonts w:hint="eastAsia" w:ascii="宋体" w:hAnsi="宋体"/>
          <w:bCs/>
          <w:sz w:val="24"/>
          <w:szCs w:val="32"/>
        </w:rPr>
        <w:t>成都大学斯特灵学院网络设备采购项目。</w:t>
      </w:r>
    </w:p>
    <w:p>
      <w:pPr>
        <w:spacing w:line="360" w:lineRule="auto"/>
        <w:ind w:right="31" w:rightChars="15" w:firstLine="482" w:firstLineChars="200"/>
        <w:rPr>
          <w:rFonts w:ascii="宋体" w:hAnsi="宋体"/>
          <w:b/>
          <w:bCs/>
          <w:sz w:val="24"/>
        </w:rPr>
      </w:pPr>
      <w:r>
        <w:rPr>
          <w:rFonts w:hint="eastAsia" w:ascii="宋体" w:hAnsi="宋体"/>
          <w:b/>
          <w:sz w:val="24"/>
          <w:szCs w:val="28"/>
        </w:rPr>
        <w:t>三、资金来源：</w:t>
      </w:r>
      <w:r>
        <w:rPr>
          <w:rFonts w:hint="eastAsia" w:ascii="宋体" w:hAnsi="宋体"/>
          <w:sz w:val="24"/>
        </w:rPr>
        <w:t>财政性资金94.4万元，备案号：（2021）3855号。</w:t>
      </w:r>
    </w:p>
    <w:p>
      <w:pPr>
        <w:spacing w:line="360" w:lineRule="auto"/>
        <w:ind w:firstLine="482" w:firstLineChars="200"/>
        <w:rPr>
          <w:rFonts w:ascii="宋体" w:hAnsi="宋体"/>
          <w:sz w:val="24"/>
        </w:rPr>
      </w:pPr>
      <w:r>
        <w:rPr>
          <w:rFonts w:hint="eastAsia" w:ascii="宋体" w:hAnsi="宋体"/>
          <w:b/>
          <w:sz w:val="24"/>
        </w:rPr>
        <w:t>四</w:t>
      </w:r>
      <w:r>
        <w:rPr>
          <w:rFonts w:hint="eastAsia" w:ascii="宋体" w:hAnsi="宋体"/>
          <w:b/>
          <w:bCs/>
          <w:sz w:val="24"/>
        </w:rPr>
        <w:t>、</w:t>
      </w:r>
      <w:r>
        <w:rPr>
          <w:rFonts w:hint="eastAsia" w:ascii="宋体" w:hAnsi="宋体"/>
          <w:b/>
          <w:sz w:val="24"/>
        </w:rPr>
        <w:t>招标项目简介：</w:t>
      </w:r>
    </w:p>
    <w:p>
      <w:pPr>
        <w:spacing w:after="120" w:afterLines="50" w:line="420" w:lineRule="exact"/>
        <w:ind w:firstLine="464" w:firstLineChars="200"/>
        <w:rPr>
          <w:rFonts w:ascii="宋体" w:hAnsi="宋体"/>
          <w:sz w:val="24"/>
          <w:szCs w:val="28"/>
        </w:rPr>
      </w:pPr>
      <w:bookmarkStart w:id="6" w:name="PO_默认文件内容_3"/>
      <w:r>
        <w:rPr>
          <w:rFonts w:hint="eastAsia" w:ascii="宋体" w:hAnsi="宋体"/>
          <w:spacing w:val="-4"/>
          <w:sz w:val="24"/>
        </w:rPr>
        <w:t>本项目</w:t>
      </w:r>
      <w:r>
        <w:rPr>
          <w:rFonts w:ascii="宋体" w:hAnsi="宋体"/>
          <w:spacing w:val="-4"/>
          <w:sz w:val="24"/>
        </w:rPr>
        <w:t>共</w:t>
      </w:r>
      <w:r>
        <w:rPr>
          <w:rFonts w:hint="eastAsia" w:ascii="宋体" w:hAnsi="宋体"/>
          <w:spacing w:val="-4"/>
          <w:sz w:val="24"/>
        </w:rPr>
        <w:t>1</w:t>
      </w:r>
      <w:r>
        <w:rPr>
          <w:rFonts w:ascii="宋体" w:hAnsi="宋体"/>
          <w:spacing w:val="-4"/>
          <w:sz w:val="24"/>
        </w:rPr>
        <w:t>个包</w:t>
      </w:r>
      <w:r>
        <w:rPr>
          <w:rFonts w:hint="eastAsia" w:ascii="宋体" w:hAnsi="宋体"/>
          <w:spacing w:val="-4"/>
          <w:sz w:val="24"/>
        </w:rPr>
        <w:t>，成都大学斯特灵学院网络设备采购项目。</w:t>
      </w:r>
      <w:r>
        <w:rPr>
          <w:rFonts w:hint="eastAsia" w:ascii="宋体" w:hAnsi="宋体"/>
          <w:sz w:val="24"/>
          <w:szCs w:val="28"/>
        </w:rPr>
        <w:t>（具体详见招标文件第六章）。</w:t>
      </w:r>
      <w:bookmarkEnd w:id="6"/>
    </w:p>
    <w:p>
      <w:pPr>
        <w:spacing w:after="120" w:afterLines="50" w:line="420" w:lineRule="exact"/>
        <w:ind w:firstLine="482" w:firstLineChars="200"/>
        <w:rPr>
          <w:rFonts w:ascii="宋体" w:hAnsi="宋体"/>
          <w:b/>
          <w:bCs/>
          <w:sz w:val="24"/>
        </w:rPr>
      </w:pPr>
      <w:r>
        <w:rPr>
          <w:rFonts w:hint="eastAsia" w:ascii="宋体" w:hAnsi="宋体"/>
          <w:b/>
          <w:bCs/>
          <w:sz w:val="24"/>
        </w:rPr>
        <w:t>五、供应商参加本次政府采购活动，应当在提交投标文件前具备下列条件：</w:t>
      </w:r>
    </w:p>
    <w:p>
      <w:pPr>
        <w:pStyle w:val="51"/>
        <w:spacing w:line="420" w:lineRule="exact"/>
        <w:ind w:firstLine="600" w:firstLineChars="250"/>
        <w:rPr>
          <w:rFonts w:ascii="宋体" w:hAnsi="宋体" w:cs="宋体"/>
          <w:sz w:val="24"/>
        </w:rPr>
      </w:pPr>
      <w:bookmarkStart w:id="7" w:name="PO_供应商资格条件_1"/>
      <w:r>
        <w:rPr>
          <w:rFonts w:ascii="宋体" w:hAnsi="宋体" w:cs="宋体"/>
          <w:sz w:val="24"/>
        </w:rPr>
        <w:t>1、</w:t>
      </w:r>
      <w:r>
        <w:rPr>
          <w:rFonts w:hint="eastAsia" w:ascii="宋体" w:hAnsi="宋体" w:cs="宋体"/>
          <w:sz w:val="24"/>
        </w:rPr>
        <w:t>满足《中华人民共和国政府采购法》第二十二条规定</w:t>
      </w:r>
      <w:r>
        <w:rPr>
          <w:rFonts w:ascii="宋体" w:hAnsi="宋体" w:cs="宋体"/>
          <w:sz w:val="24"/>
        </w:rPr>
        <w:t>；</w:t>
      </w:r>
    </w:p>
    <w:p>
      <w:pPr>
        <w:tabs>
          <w:tab w:val="left" w:pos="7665"/>
        </w:tabs>
        <w:spacing w:line="400" w:lineRule="exact"/>
        <w:ind w:firstLine="600" w:firstLineChars="250"/>
        <w:rPr>
          <w:rFonts w:ascii="宋体" w:hAnsi="宋体" w:cs="宋体"/>
          <w:sz w:val="24"/>
        </w:rPr>
      </w:pPr>
      <w:r>
        <w:rPr>
          <w:rFonts w:ascii="宋体" w:hAnsi="宋体" w:cs="宋体"/>
          <w:sz w:val="24"/>
        </w:rPr>
        <w:t>2、</w:t>
      </w:r>
      <w:r>
        <w:rPr>
          <w:rFonts w:hint="eastAsia" w:ascii="宋体" w:hAnsi="宋体" w:cs="宋体"/>
          <w:sz w:val="24"/>
        </w:rPr>
        <w:t>落实政府采购政策需满足的资格要求：无；</w:t>
      </w:r>
    </w:p>
    <w:p>
      <w:pPr>
        <w:pStyle w:val="51"/>
        <w:spacing w:line="420" w:lineRule="exact"/>
        <w:ind w:firstLine="600" w:firstLineChars="250"/>
        <w:rPr>
          <w:rFonts w:ascii="宋体" w:hAnsi="宋体" w:cs="宋体"/>
          <w:sz w:val="24"/>
        </w:rPr>
      </w:pPr>
      <w:r>
        <w:rPr>
          <w:rFonts w:ascii="宋体" w:hAnsi="宋体" w:cs="宋体"/>
          <w:sz w:val="24"/>
        </w:rPr>
        <w:t>3</w:t>
      </w:r>
      <w:r>
        <w:rPr>
          <w:rFonts w:hint="eastAsia" w:ascii="宋体" w:hAnsi="宋体" w:cs="宋体"/>
          <w:sz w:val="24"/>
        </w:rPr>
        <w:t>、本项目的特定资格要求：无。</w:t>
      </w:r>
    </w:p>
    <w:bookmarkEnd w:id="7"/>
    <w:p>
      <w:pPr>
        <w:spacing w:line="440" w:lineRule="exact"/>
        <w:ind w:firstLine="482" w:firstLineChars="200"/>
        <w:rPr>
          <w:rFonts w:ascii="宋体" w:hAnsi="宋体"/>
          <w:b/>
          <w:sz w:val="24"/>
        </w:rPr>
      </w:pPr>
      <w:r>
        <w:rPr>
          <w:rFonts w:hint="eastAsia" w:ascii="宋体" w:hAnsi="宋体"/>
          <w:b/>
          <w:sz w:val="24"/>
        </w:rPr>
        <w:t>六、禁止参加本次采购活动的供应商</w:t>
      </w:r>
    </w:p>
    <w:p>
      <w:pPr>
        <w:spacing w:after="50" w:line="420" w:lineRule="exact"/>
        <w:ind w:firstLine="480" w:firstLineChars="200"/>
        <w:rPr>
          <w:rFonts w:ascii="宋体" w:hAnsi="宋体"/>
          <w:sz w:val="24"/>
        </w:rPr>
      </w:pPr>
      <w:r>
        <w:rPr>
          <w:rFonts w:ascii="宋体" w:hAnsi="宋体"/>
          <w:sz w:val="24"/>
        </w:rPr>
        <w:t>根据《关于在政府采购活动中查询及使用信用记录有关问题的通知》（财库〔2016〕125号）的要求，采购人/采购代理机构将通过“信用中国”网站（www.creditchina.gov.cn）、“中国政府采购网”网站（www.ccgp.gov.cn）等渠道查</w:t>
      </w:r>
      <w:r>
        <w:rPr>
          <w:rFonts w:hint="eastAsia" w:ascii="宋体" w:hAnsi="宋体"/>
          <w:sz w:val="24"/>
        </w:rPr>
        <w:t>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p>
      <w:pPr>
        <w:spacing w:after="50" w:line="420" w:lineRule="exact"/>
        <w:ind w:firstLine="482" w:firstLineChars="200"/>
        <w:rPr>
          <w:rFonts w:ascii="宋体" w:hAnsi="宋体"/>
          <w:b/>
          <w:sz w:val="24"/>
        </w:rPr>
      </w:pPr>
      <w:r>
        <w:rPr>
          <w:rFonts w:hint="eastAsia" w:ascii="宋体" w:hAnsi="宋体"/>
          <w:b/>
          <w:sz w:val="24"/>
        </w:rPr>
        <w:t>七、招标文件获取：</w:t>
      </w:r>
    </w:p>
    <w:p>
      <w:pPr>
        <w:spacing w:after="50" w:line="420" w:lineRule="exact"/>
        <w:ind w:firstLine="480" w:firstLineChars="200"/>
        <w:rPr>
          <w:rFonts w:ascii="宋体" w:hAnsi="宋体"/>
          <w:sz w:val="24"/>
        </w:rPr>
      </w:pPr>
      <w:r>
        <w:rPr>
          <w:rFonts w:hint="eastAsia" w:ascii="宋体" w:hAnsi="宋体"/>
          <w:sz w:val="24"/>
        </w:rPr>
        <w:t>招标文件获取时间：2021年</w:t>
      </w:r>
      <w:r>
        <w:rPr>
          <w:rFonts w:hint="eastAsia" w:ascii="宋体" w:hAnsi="宋体"/>
          <w:sz w:val="24"/>
          <w:lang w:val="en-US" w:eastAsia="zh-CN"/>
        </w:rPr>
        <w:t>12</w:t>
      </w:r>
      <w:r>
        <w:rPr>
          <w:rFonts w:hint="eastAsia" w:ascii="宋体" w:hAnsi="宋体"/>
          <w:sz w:val="24"/>
        </w:rPr>
        <w:t>月</w:t>
      </w:r>
      <w:r>
        <w:rPr>
          <w:rFonts w:hint="eastAsia" w:ascii="宋体" w:hAnsi="宋体"/>
          <w:sz w:val="24"/>
          <w:lang w:val="en-US" w:eastAsia="zh-CN"/>
        </w:rPr>
        <w:t>17</w:t>
      </w:r>
      <w:r>
        <w:rPr>
          <w:rFonts w:hint="eastAsia" w:ascii="宋体" w:hAnsi="宋体"/>
          <w:sz w:val="24"/>
        </w:rPr>
        <w:t>日9:00至2021年</w:t>
      </w:r>
      <w:r>
        <w:rPr>
          <w:rFonts w:hint="eastAsia" w:ascii="宋体" w:hAnsi="宋体"/>
          <w:sz w:val="24"/>
          <w:lang w:val="en-US" w:eastAsia="zh-CN"/>
        </w:rPr>
        <w:t>12</w:t>
      </w:r>
      <w:r>
        <w:rPr>
          <w:rFonts w:hint="eastAsia" w:ascii="宋体" w:hAnsi="宋体"/>
          <w:sz w:val="24"/>
        </w:rPr>
        <w:t>月</w:t>
      </w:r>
      <w:r>
        <w:rPr>
          <w:rFonts w:hint="eastAsia" w:ascii="宋体" w:hAnsi="宋体"/>
          <w:sz w:val="24"/>
          <w:lang w:val="en-US" w:eastAsia="zh-CN"/>
        </w:rPr>
        <w:t>23</w:t>
      </w:r>
      <w:r>
        <w:rPr>
          <w:rFonts w:hint="eastAsia" w:ascii="宋体" w:hAnsi="宋体"/>
          <w:sz w:val="24"/>
        </w:rPr>
        <w:t>日17：00（北京时间）</w:t>
      </w:r>
    </w:p>
    <w:p>
      <w:pPr>
        <w:spacing w:after="50" w:line="420" w:lineRule="exact"/>
        <w:ind w:firstLine="480" w:firstLineChars="200"/>
        <w:rPr>
          <w:rFonts w:ascii="宋体" w:hAnsi="宋体"/>
          <w:sz w:val="24"/>
        </w:rPr>
      </w:pPr>
      <w:r>
        <w:rPr>
          <w:rFonts w:hint="eastAsia" w:ascii="宋体" w:hAnsi="宋体"/>
          <w:sz w:val="24"/>
        </w:rPr>
        <w:t>招标文件获取方式：投标人从“政府采购云平台”获取采购文件（网址：</w:t>
      </w:r>
      <w:r>
        <w:fldChar w:fldCharType="begin"/>
      </w:r>
      <w:r>
        <w:instrText xml:space="preserve"> HYPERLINK "https://www.zcygov.cn）项目采购—获取采购文件—申请获取采购文件。_x0005_" </w:instrText>
      </w:r>
      <w:r>
        <w:fldChar w:fldCharType="separate"/>
      </w:r>
      <w:r>
        <w:rPr>
          <w:rFonts w:hint="eastAsia" w:ascii="宋体" w:hAnsi="宋体"/>
          <w:sz w:val="24"/>
        </w:rPr>
        <w:t>https://www.zcygov.cn）。登录政府采购云平台—项目采购—获取采购文件—申请获取采购文件</w:t>
      </w:r>
      <w:r>
        <w:rPr>
          <w:rFonts w:hint="eastAsia" w:ascii="宋体" w:hAnsi="宋体"/>
          <w:sz w:val="24"/>
        </w:rPr>
        <w:fldChar w:fldCharType="end"/>
      </w:r>
      <w:r>
        <w:rPr>
          <w:rFonts w:hint="eastAsia" w:ascii="宋体" w:hAnsi="宋体"/>
          <w:sz w:val="24"/>
        </w:rPr>
        <w:t>。</w:t>
      </w:r>
    </w:p>
    <w:p>
      <w:pPr>
        <w:spacing w:after="50" w:line="420" w:lineRule="exact"/>
        <w:ind w:firstLine="480" w:firstLineChars="200"/>
        <w:rPr>
          <w:rFonts w:ascii="宋体" w:hAnsi="宋体"/>
          <w:sz w:val="24"/>
        </w:rPr>
      </w:pPr>
      <w:r>
        <w:rPr>
          <w:rFonts w:hint="eastAsia" w:ascii="宋体" w:hAnsi="宋体"/>
          <w:sz w:val="24"/>
        </w:rPr>
        <w:t>提示：</w:t>
      </w:r>
    </w:p>
    <w:p>
      <w:pPr>
        <w:spacing w:after="50" w:line="420" w:lineRule="exact"/>
        <w:ind w:firstLine="480" w:firstLineChars="200"/>
        <w:rPr>
          <w:rFonts w:ascii="宋体" w:hAnsi="宋体"/>
          <w:sz w:val="24"/>
        </w:rPr>
      </w:pPr>
      <w:r>
        <w:rPr>
          <w:rFonts w:hint="eastAsia" w:ascii="宋体" w:hAnsi="宋体"/>
          <w:sz w:val="24"/>
        </w:rPr>
        <w:t>（1）本项目招标文件免费获取。</w:t>
      </w:r>
    </w:p>
    <w:p>
      <w:pPr>
        <w:spacing w:after="50" w:line="420" w:lineRule="exact"/>
        <w:ind w:firstLine="480" w:firstLineChars="200"/>
        <w:rPr>
          <w:rFonts w:ascii="宋体" w:hAnsi="宋体"/>
          <w:sz w:val="24"/>
        </w:rPr>
      </w:pPr>
      <w:r>
        <w:rPr>
          <w:rFonts w:hint="eastAsia" w:ascii="宋体" w:hAnsi="宋体"/>
          <w:sz w:val="24"/>
        </w:rPr>
        <w:t>（2）投标人只有在“政府采购云平台”完成获取招标文件申请并下载招标文件后才视作依法参与本项目。如未在“政府采购云平台”内完成相关流程，引起的投标无效责任自负。</w:t>
      </w:r>
    </w:p>
    <w:p>
      <w:pPr>
        <w:spacing w:after="50" w:line="420" w:lineRule="exact"/>
        <w:ind w:firstLine="480" w:firstLineChars="200"/>
        <w:rPr>
          <w:rFonts w:ascii="宋体" w:hAnsi="宋体"/>
          <w:sz w:val="24"/>
        </w:rPr>
      </w:pPr>
      <w:r>
        <w:rPr>
          <w:rFonts w:hint="eastAsia" w:ascii="宋体" w:hAnsi="宋体"/>
          <w:sz w:val="24"/>
        </w:rPr>
        <w:t>（3）本项目为电子招标投标项目，投标人参与本项目全过程中凡涉及系统操作请详见</w:t>
      </w:r>
      <w:r>
        <w:rPr>
          <w:rFonts w:hint="eastAsia" w:ascii="宋体" w:hAnsi="宋体"/>
          <w:b/>
          <w:bCs/>
          <w:sz w:val="24"/>
        </w:rPr>
        <w:t>《供应商政府采购项目电子交易操作指南》</w:t>
      </w:r>
      <w:r>
        <w:rPr>
          <w:rFonts w:hint="eastAsia" w:ascii="宋体" w:hAnsi="宋体"/>
          <w:sz w:val="24"/>
        </w:rPr>
        <w:t>。（操作指南以政府采购云平台网站发布为准，获取方式详见：</w:t>
      </w:r>
      <w:r>
        <w:rPr>
          <w:rFonts w:hint="eastAsia" w:ascii="宋体" w:hAnsi="宋体"/>
          <w:b/>
          <w:bCs/>
          <w:sz w:val="24"/>
        </w:rPr>
        <w:t>招标文件附件三-政府采购云平台使用介绍</w:t>
      </w:r>
      <w:r>
        <w:rPr>
          <w:rFonts w:hint="eastAsia" w:ascii="宋体" w:hAnsi="宋体"/>
          <w:sz w:val="24"/>
        </w:rPr>
        <w:t>）</w:t>
      </w:r>
    </w:p>
    <w:p>
      <w:pPr>
        <w:spacing w:after="50" w:line="420" w:lineRule="exact"/>
        <w:ind w:firstLine="480" w:firstLineChars="200"/>
        <w:rPr>
          <w:rFonts w:ascii="宋体" w:hAnsi="宋体"/>
          <w:sz w:val="24"/>
        </w:rPr>
      </w:pPr>
      <w:r>
        <w:rPr>
          <w:rFonts w:hint="eastAsia" w:ascii="宋体" w:hAnsi="宋体"/>
          <w:sz w:val="24"/>
        </w:rPr>
        <w:t>（4）政府采购云平台投标人注册地址：</w:t>
      </w:r>
    </w:p>
    <w:p>
      <w:pPr>
        <w:spacing w:after="50" w:line="420" w:lineRule="exact"/>
        <w:ind w:firstLine="480" w:firstLineChars="200"/>
        <w:rPr>
          <w:rFonts w:ascii="宋体" w:hAnsi="宋体"/>
          <w:sz w:val="24"/>
        </w:rPr>
      </w:pPr>
      <w:r>
        <w:rPr>
          <w:rFonts w:hint="eastAsia" w:ascii="宋体" w:hAnsi="宋体"/>
          <w:sz w:val="24"/>
        </w:rPr>
        <w:t>https://middle.zcygov.cn/v-settle-front/registry</w:t>
      </w:r>
    </w:p>
    <w:p>
      <w:pPr>
        <w:spacing w:after="50" w:line="420" w:lineRule="exact"/>
        <w:ind w:firstLine="482" w:firstLineChars="200"/>
        <w:rPr>
          <w:rFonts w:ascii="宋体" w:hAnsi="宋体"/>
          <w:b/>
          <w:sz w:val="24"/>
        </w:rPr>
      </w:pPr>
      <w:r>
        <w:rPr>
          <w:rFonts w:hint="eastAsia" w:ascii="宋体" w:hAnsi="宋体"/>
          <w:b/>
          <w:sz w:val="24"/>
          <w:szCs w:val="28"/>
        </w:rPr>
        <w:t>八、</w:t>
      </w:r>
      <w:r>
        <w:rPr>
          <w:rFonts w:hint="eastAsia" w:ascii="宋体" w:hAnsi="宋体"/>
          <w:b/>
          <w:sz w:val="24"/>
        </w:rPr>
        <w:t>投标截止时间和开标时间：</w:t>
      </w:r>
      <w:r>
        <w:rPr>
          <w:rFonts w:ascii="宋体" w:hAnsi="宋体"/>
          <w:sz w:val="24"/>
        </w:rPr>
        <w:t>202</w:t>
      </w:r>
      <w:r>
        <w:rPr>
          <w:rFonts w:hint="eastAsia" w:ascii="宋体" w:hAnsi="宋体"/>
          <w:sz w:val="24"/>
          <w:lang w:val="en-US" w:eastAsia="zh-CN"/>
        </w:rPr>
        <w:t>2</w:t>
      </w:r>
      <w:r>
        <w:rPr>
          <w:rFonts w:hint="eastAsia" w:ascii="宋体" w:hAnsi="宋体"/>
          <w:sz w:val="24"/>
        </w:rPr>
        <w:t>年</w:t>
      </w:r>
      <w:r>
        <w:rPr>
          <w:rFonts w:hint="eastAsia" w:ascii="宋体" w:hAnsi="宋体"/>
          <w:sz w:val="24"/>
          <w:lang w:val="en-US" w:eastAsia="zh-CN"/>
        </w:rPr>
        <w:t>1</w:t>
      </w:r>
      <w:r>
        <w:rPr>
          <w:rFonts w:hint="eastAsia" w:ascii="宋体" w:hAnsi="宋体"/>
          <w:sz w:val="24"/>
        </w:rPr>
        <w:t>月</w:t>
      </w:r>
      <w:r>
        <w:rPr>
          <w:rFonts w:hint="eastAsia" w:ascii="宋体" w:hAnsi="宋体"/>
          <w:sz w:val="24"/>
          <w:lang w:val="en-US" w:eastAsia="zh-CN"/>
        </w:rPr>
        <w:t>6</w:t>
      </w:r>
      <w:r>
        <w:rPr>
          <w:rFonts w:hint="eastAsia" w:ascii="宋体" w:hAnsi="宋体"/>
          <w:sz w:val="24"/>
        </w:rPr>
        <w:t>日10:30</w:t>
      </w:r>
      <w:r>
        <w:rPr>
          <w:rFonts w:hint="eastAsia" w:ascii="宋体" w:hAnsi="宋体"/>
          <w:sz w:val="24"/>
          <w:szCs w:val="28"/>
        </w:rPr>
        <w:t>（北京时间）。</w:t>
      </w:r>
    </w:p>
    <w:p>
      <w:pPr>
        <w:pStyle w:val="10"/>
        <w:spacing w:after="120" w:afterLines="50" w:line="420" w:lineRule="exact"/>
        <w:ind w:firstLine="480"/>
        <w:rPr>
          <w:rFonts w:ascii="宋体" w:hAnsi="宋体"/>
          <w:sz w:val="24"/>
          <w:szCs w:val="28"/>
        </w:rPr>
      </w:pPr>
      <w:r>
        <w:rPr>
          <w:rFonts w:hint="eastAsia" w:ascii="宋体" w:hAnsi="宋体"/>
          <w:sz w:val="24"/>
          <w:szCs w:val="28"/>
        </w:rPr>
        <w:t>投标截止时间前，投标人应将加密的电子投标文件递交至“政府采购云平台”对应项目。</w:t>
      </w:r>
    </w:p>
    <w:p>
      <w:pPr>
        <w:spacing w:after="50" w:line="420" w:lineRule="exact"/>
        <w:ind w:firstLine="489" w:firstLineChars="203"/>
        <w:rPr>
          <w:rFonts w:ascii="宋体" w:hAnsi="宋体"/>
          <w:b/>
          <w:sz w:val="24"/>
          <w:szCs w:val="28"/>
        </w:rPr>
      </w:pPr>
      <w:r>
        <w:rPr>
          <w:rFonts w:hint="eastAsia" w:ascii="宋体" w:hAnsi="宋体"/>
          <w:b/>
          <w:sz w:val="24"/>
          <w:szCs w:val="28"/>
        </w:rPr>
        <w:t>九、开标地点：</w:t>
      </w:r>
    </w:p>
    <w:p>
      <w:pPr>
        <w:spacing w:after="50" w:line="420" w:lineRule="exact"/>
        <w:ind w:firstLine="487" w:firstLineChars="203"/>
        <w:rPr>
          <w:rFonts w:ascii="宋体" w:hAnsi="宋体"/>
          <w:sz w:val="24"/>
          <w:szCs w:val="28"/>
        </w:rPr>
      </w:pPr>
      <w:r>
        <w:rPr>
          <w:rFonts w:hint="eastAsia" w:ascii="宋体" w:hAnsi="宋体"/>
          <w:sz w:val="24"/>
          <w:szCs w:val="28"/>
        </w:rPr>
        <w:t>（1）本项目为不见面开标项目。</w:t>
      </w:r>
    </w:p>
    <w:p>
      <w:pPr>
        <w:spacing w:after="50" w:line="420" w:lineRule="exact"/>
        <w:ind w:firstLine="487" w:firstLineChars="203"/>
        <w:rPr>
          <w:rFonts w:ascii="宋体" w:hAnsi="宋体"/>
          <w:sz w:val="24"/>
          <w:szCs w:val="28"/>
        </w:rPr>
      </w:pPr>
      <w:r>
        <w:rPr>
          <w:rFonts w:hint="eastAsia" w:ascii="宋体" w:hAnsi="宋体"/>
          <w:sz w:val="24"/>
          <w:szCs w:val="28"/>
        </w:rPr>
        <w:t>（2）开标地点：政府采购云平台(https://www.zcygov.cn)。</w:t>
      </w:r>
    </w:p>
    <w:p>
      <w:pPr>
        <w:spacing w:after="50" w:line="420" w:lineRule="exact"/>
        <w:ind w:firstLine="487" w:firstLineChars="203"/>
        <w:rPr>
          <w:rFonts w:ascii="宋体" w:hAnsi="宋体"/>
          <w:sz w:val="24"/>
          <w:szCs w:val="28"/>
        </w:rPr>
      </w:pPr>
      <w:r>
        <w:rPr>
          <w:rFonts w:hint="eastAsia" w:ascii="宋体" w:hAnsi="宋体"/>
          <w:sz w:val="24"/>
          <w:szCs w:val="28"/>
        </w:rPr>
        <w:t>（3）本项目只接受投标人加密并递交至“政府采购云平台”的投标文件。</w:t>
      </w:r>
    </w:p>
    <w:p>
      <w:pPr>
        <w:pStyle w:val="51"/>
        <w:spacing w:line="420" w:lineRule="exact"/>
        <w:ind w:firstLine="482"/>
        <w:rPr>
          <w:rFonts w:ascii="宋体" w:hAnsi="宋体"/>
          <w:b/>
          <w:sz w:val="24"/>
        </w:rPr>
      </w:pPr>
      <w:bookmarkStart w:id="8" w:name="PO_默认文件内容_13"/>
      <w:r>
        <w:rPr>
          <w:rFonts w:hint="eastAsia" w:ascii="宋体" w:hAnsi="宋体"/>
          <w:b/>
          <w:sz w:val="24"/>
        </w:rPr>
        <w:t>十、本投标邀请在四川政府采购网上以公告形式发布。</w:t>
      </w:r>
      <w:bookmarkEnd w:id="8"/>
    </w:p>
    <w:p>
      <w:pPr>
        <w:pStyle w:val="51"/>
        <w:spacing w:line="420" w:lineRule="exact"/>
        <w:ind w:firstLine="482"/>
        <w:rPr>
          <w:rFonts w:ascii="宋体" w:hAnsi="宋体"/>
          <w:b/>
          <w:sz w:val="24"/>
        </w:rPr>
      </w:pPr>
      <w:r>
        <w:rPr>
          <w:rFonts w:hint="eastAsia" w:ascii="宋体" w:hAnsi="宋体"/>
          <w:b/>
          <w:sz w:val="24"/>
        </w:rPr>
        <w:t>十一、供应商信用融资：</w:t>
      </w:r>
    </w:p>
    <w:p>
      <w:pPr>
        <w:pStyle w:val="51"/>
        <w:spacing w:line="420" w:lineRule="exact"/>
        <w:ind w:firstLine="480"/>
        <w:rPr>
          <w:rFonts w:ascii="宋体" w:hAnsi="宋体"/>
          <w:sz w:val="24"/>
        </w:rPr>
      </w:pPr>
      <w:r>
        <w:rPr>
          <w:rFonts w:hint="eastAsia" w:ascii="宋体" w:hAnsi="宋体"/>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pPr>
        <w:pStyle w:val="51"/>
        <w:spacing w:line="420" w:lineRule="exact"/>
        <w:ind w:firstLine="480"/>
        <w:rPr>
          <w:rFonts w:ascii="宋体" w:hAnsi="宋体"/>
          <w:sz w:val="24"/>
        </w:rPr>
      </w:pPr>
      <w:r>
        <w:rPr>
          <w:rFonts w:hint="eastAsia" w:ascii="宋体" w:hAnsi="宋体"/>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Pr>
          <w:rFonts w:ascii="宋体" w:hAnsi="宋体"/>
          <w:sz w:val="24"/>
        </w:rPr>
        <w:t>20</w:t>
      </w:r>
      <w:r>
        <w:rPr>
          <w:rFonts w:hint="eastAsia" w:ascii="宋体" w:hAnsi="宋体"/>
          <w:sz w:val="24"/>
        </w:rPr>
        <w:t>〕</w:t>
      </w:r>
      <w:r>
        <w:rPr>
          <w:rFonts w:ascii="宋体" w:hAnsi="宋体"/>
          <w:sz w:val="24"/>
        </w:rPr>
        <w:t>20</w:t>
      </w:r>
      <w:r>
        <w:rPr>
          <w:rFonts w:hint="eastAsia" w:ascii="宋体" w:hAnsi="宋体"/>
          <w:sz w:val="24"/>
        </w:rPr>
        <w:t>号”）。</w:t>
      </w:r>
    </w:p>
    <w:p>
      <w:pPr>
        <w:pStyle w:val="51"/>
        <w:spacing w:line="420" w:lineRule="exact"/>
        <w:ind w:firstLine="480"/>
        <w:rPr>
          <w:rFonts w:ascii="宋体" w:hAnsi="宋体"/>
          <w:sz w:val="24"/>
        </w:rPr>
      </w:pPr>
    </w:p>
    <w:p>
      <w:pPr>
        <w:pStyle w:val="51"/>
        <w:spacing w:line="420" w:lineRule="exact"/>
        <w:ind w:firstLine="482"/>
        <w:rPr>
          <w:rFonts w:ascii="宋体" w:hAnsi="宋体"/>
          <w:b/>
          <w:sz w:val="24"/>
        </w:rPr>
      </w:pPr>
      <w:r>
        <w:rPr>
          <w:rFonts w:hint="eastAsia" w:ascii="宋体" w:hAnsi="宋体"/>
          <w:b/>
          <w:sz w:val="24"/>
        </w:rPr>
        <w:t>十二、联系方式</w:t>
      </w:r>
    </w:p>
    <w:p>
      <w:pPr>
        <w:pStyle w:val="51"/>
        <w:spacing w:line="420" w:lineRule="exact"/>
        <w:ind w:firstLine="1260" w:firstLineChars="525"/>
        <w:rPr>
          <w:rFonts w:ascii="宋体" w:hAnsi="宋体"/>
          <w:bCs/>
          <w:sz w:val="24"/>
        </w:rPr>
      </w:pPr>
      <w:r>
        <w:rPr>
          <w:rFonts w:hint="eastAsia" w:ascii="宋体" w:hAnsi="宋体"/>
          <w:bCs/>
          <w:sz w:val="24"/>
        </w:rPr>
        <w:t>采购人：成都大学</w:t>
      </w:r>
    </w:p>
    <w:p>
      <w:pPr>
        <w:pStyle w:val="51"/>
        <w:spacing w:line="420" w:lineRule="exact"/>
        <w:ind w:firstLine="1260" w:firstLineChars="525"/>
        <w:rPr>
          <w:rFonts w:ascii="宋体" w:hAnsi="宋体"/>
          <w:bCs/>
          <w:sz w:val="24"/>
        </w:rPr>
      </w:pPr>
      <w:r>
        <w:rPr>
          <w:rFonts w:hint="eastAsia" w:ascii="宋体" w:hAnsi="宋体"/>
          <w:bCs/>
          <w:sz w:val="24"/>
        </w:rPr>
        <w:t>地    址：四川省成都市成洛大道2025号</w:t>
      </w:r>
    </w:p>
    <w:p>
      <w:pPr>
        <w:pStyle w:val="51"/>
        <w:spacing w:line="420" w:lineRule="exact"/>
        <w:ind w:firstLine="1260" w:firstLineChars="525"/>
        <w:rPr>
          <w:rFonts w:ascii="宋体" w:hAnsi="宋体"/>
          <w:bCs/>
          <w:sz w:val="24"/>
        </w:rPr>
      </w:pPr>
      <w:r>
        <w:rPr>
          <w:rFonts w:hint="eastAsia" w:ascii="宋体" w:hAnsi="宋体"/>
          <w:bCs/>
          <w:sz w:val="24"/>
        </w:rPr>
        <w:t>联 系 人：魏老师</w:t>
      </w:r>
    </w:p>
    <w:p>
      <w:pPr>
        <w:pStyle w:val="51"/>
        <w:spacing w:line="420" w:lineRule="exact"/>
        <w:ind w:firstLine="1260" w:firstLineChars="525"/>
        <w:rPr>
          <w:rFonts w:ascii="宋体" w:hAnsi="宋体"/>
          <w:bCs/>
          <w:sz w:val="24"/>
        </w:rPr>
      </w:pPr>
      <w:r>
        <w:rPr>
          <w:rFonts w:hint="eastAsia" w:ascii="宋体" w:hAnsi="宋体"/>
          <w:bCs/>
          <w:sz w:val="24"/>
        </w:rPr>
        <w:t>联系电话：028-84616108</w:t>
      </w:r>
    </w:p>
    <w:p>
      <w:pPr>
        <w:pStyle w:val="51"/>
        <w:spacing w:line="420" w:lineRule="exact"/>
        <w:ind w:firstLine="1260" w:firstLineChars="525"/>
        <w:rPr>
          <w:rFonts w:ascii="宋体" w:hAnsi="宋体"/>
          <w:bCs/>
          <w:sz w:val="24"/>
        </w:rPr>
      </w:pPr>
      <w:r>
        <w:rPr>
          <w:rFonts w:hint="eastAsia" w:ascii="宋体" w:hAnsi="宋体"/>
          <w:bCs/>
          <w:sz w:val="24"/>
        </w:rPr>
        <w:t>采购代理机构：重庆招标采购（集团）有限责任公司</w:t>
      </w:r>
    </w:p>
    <w:p>
      <w:pPr>
        <w:pStyle w:val="51"/>
        <w:spacing w:line="420" w:lineRule="exact"/>
        <w:ind w:firstLine="1260" w:firstLineChars="525"/>
        <w:rPr>
          <w:rFonts w:ascii="宋体" w:hAnsi="宋体"/>
          <w:bCs/>
          <w:sz w:val="24"/>
        </w:rPr>
      </w:pPr>
      <w:r>
        <w:rPr>
          <w:rFonts w:hint="eastAsia" w:ascii="宋体" w:hAnsi="宋体"/>
          <w:bCs/>
          <w:sz w:val="24"/>
        </w:rPr>
        <w:t>地    址：成都市高新区九兴大道14号凯乐国际2号楼10楼</w:t>
      </w:r>
    </w:p>
    <w:p>
      <w:pPr>
        <w:pStyle w:val="51"/>
        <w:spacing w:line="420" w:lineRule="exact"/>
        <w:ind w:firstLine="1260" w:firstLineChars="525"/>
        <w:rPr>
          <w:rFonts w:ascii="宋体" w:hAnsi="宋体"/>
          <w:bCs/>
          <w:sz w:val="24"/>
        </w:rPr>
      </w:pPr>
      <w:r>
        <w:rPr>
          <w:rFonts w:hint="eastAsia" w:ascii="宋体" w:hAnsi="宋体"/>
          <w:bCs/>
          <w:sz w:val="24"/>
        </w:rPr>
        <w:t>联系人</w:t>
      </w:r>
      <w:r>
        <w:rPr>
          <w:rFonts w:hint="eastAsia" w:ascii="宋体" w:hAnsi="宋体"/>
          <w:bCs/>
          <w:sz w:val="24"/>
        </w:rPr>
        <w:tab/>
      </w:r>
      <w:r>
        <w:rPr>
          <w:rFonts w:hint="eastAsia" w:ascii="宋体" w:hAnsi="宋体"/>
          <w:bCs/>
          <w:sz w:val="24"/>
        </w:rPr>
        <w:t xml:space="preserve">：王老师   </w:t>
      </w:r>
    </w:p>
    <w:p>
      <w:pPr>
        <w:pStyle w:val="51"/>
        <w:spacing w:line="420" w:lineRule="exact"/>
        <w:ind w:firstLine="1260" w:firstLineChars="525"/>
        <w:rPr>
          <w:rFonts w:ascii="宋体" w:hAnsi="宋体"/>
          <w:bCs/>
          <w:sz w:val="24"/>
        </w:rPr>
      </w:pPr>
      <w:r>
        <w:rPr>
          <w:rFonts w:hint="eastAsia" w:ascii="宋体" w:hAnsi="宋体"/>
          <w:bCs/>
          <w:sz w:val="24"/>
        </w:rPr>
        <w:t xml:space="preserve">联系电话：028-84470966  </w:t>
      </w:r>
    </w:p>
    <w:p>
      <w:pPr>
        <w:pStyle w:val="51"/>
        <w:spacing w:line="420" w:lineRule="exact"/>
        <w:ind w:firstLine="1260" w:firstLineChars="525"/>
        <w:rPr>
          <w:rFonts w:ascii="宋体" w:hAnsi="宋体"/>
          <w:bCs/>
          <w:sz w:val="24"/>
        </w:rPr>
      </w:pPr>
      <w:r>
        <w:rPr>
          <w:rFonts w:hint="eastAsia" w:ascii="宋体" w:hAnsi="宋体"/>
          <w:bCs/>
          <w:sz w:val="24"/>
        </w:rPr>
        <w:t>邮箱：1814500300@qq.com</w:t>
      </w:r>
    </w:p>
    <w:p>
      <w:pPr>
        <w:pStyle w:val="51"/>
        <w:spacing w:line="420" w:lineRule="exact"/>
        <w:ind w:firstLine="1260" w:firstLineChars="525"/>
        <w:rPr>
          <w:rFonts w:ascii="宋体" w:hAnsi="宋体"/>
          <w:bCs/>
          <w:sz w:val="24"/>
        </w:rPr>
      </w:pPr>
      <w:r>
        <w:rPr>
          <w:rFonts w:hint="eastAsia" w:ascii="宋体" w:hAnsi="宋体"/>
          <w:bCs/>
          <w:sz w:val="24"/>
        </w:rPr>
        <w:t>财务室联系人：岳老师（发票、转账等事宜）</w:t>
      </w:r>
    </w:p>
    <w:p>
      <w:pPr>
        <w:pStyle w:val="51"/>
        <w:spacing w:line="420" w:lineRule="exact"/>
        <w:ind w:firstLine="1260" w:firstLineChars="525"/>
        <w:rPr>
          <w:rFonts w:ascii="宋体" w:hAnsi="宋体"/>
        </w:rPr>
      </w:pPr>
      <w:r>
        <w:rPr>
          <w:rFonts w:hint="eastAsia" w:ascii="宋体" w:hAnsi="宋体"/>
          <w:bCs/>
          <w:sz w:val="24"/>
        </w:rPr>
        <w:t>联系电话：028-85161122转8501</w:t>
      </w:r>
    </w:p>
    <w:p>
      <w:pPr>
        <w:pStyle w:val="51"/>
        <w:spacing w:line="420" w:lineRule="exact"/>
        <w:ind w:firstLine="1102" w:firstLineChars="525"/>
        <w:rPr>
          <w:rFonts w:ascii="宋体" w:hAnsi="宋体"/>
        </w:rPr>
      </w:pPr>
    </w:p>
    <w:p>
      <w:pPr>
        <w:pStyle w:val="23"/>
        <w:spacing w:after="50" w:afterAutospacing="0" w:line="420" w:lineRule="exact"/>
        <w:rPr>
          <w:rFonts w:hAnsi="宋体"/>
          <w:sz w:val="36"/>
          <w:szCs w:val="36"/>
        </w:rPr>
        <w:sectPr>
          <w:footerReference r:id="rId12" w:type="default"/>
          <w:footerReference r:id="rId13" w:type="even"/>
          <w:pgSz w:w="11907" w:h="16840"/>
          <w:pgMar w:top="1440" w:right="1474" w:bottom="1440" w:left="1474" w:header="851" w:footer="992" w:gutter="0"/>
          <w:pgNumType w:start="1"/>
          <w:cols w:space="720" w:num="1"/>
          <w:docGrid w:linePitch="312" w:charSpace="0"/>
        </w:sectPr>
      </w:pPr>
      <w:bookmarkStart w:id="9" w:name="_Toc12497"/>
      <w:bookmarkStart w:id="10" w:name="_Toc213496267"/>
      <w:bookmarkStart w:id="11" w:name="_Toc213396945"/>
      <w:bookmarkStart w:id="12" w:name="_Toc217446031"/>
      <w:bookmarkStart w:id="13" w:name="_Toc213396759"/>
      <w:bookmarkStart w:id="14" w:name="_Toc213397009"/>
    </w:p>
    <w:p>
      <w:pPr>
        <w:pStyle w:val="3"/>
        <w:jc w:val="center"/>
        <w:rPr>
          <w:rFonts w:ascii="宋体" w:hAnsi="宋体"/>
          <w:sz w:val="36"/>
          <w:szCs w:val="36"/>
        </w:rPr>
      </w:pPr>
      <w:bookmarkStart w:id="15" w:name="_Toc14077"/>
      <w:r>
        <w:rPr>
          <w:rFonts w:hint="eastAsia" w:ascii="宋体" w:hAnsi="宋体"/>
          <w:sz w:val="36"/>
          <w:szCs w:val="36"/>
        </w:rPr>
        <w:t>第二章  投标人须知</w:t>
      </w:r>
      <w:bookmarkEnd w:id="9"/>
      <w:bookmarkEnd w:id="15"/>
    </w:p>
    <w:p>
      <w:pPr>
        <w:pStyle w:val="4"/>
        <w:spacing w:line="240" w:lineRule="atLeast"/>
        <w:jc w:val="center"/>
        <w:rPr>
          <w:rFonts w:ascii="宋体" w:hAnsi="宋体" w:eastAsia="宋体"/>
        </w:rPr>
      </w:pPr>
      <w:r>
        <w:rPr>
          <w:rFonts w:hint="eastAsia" w:ascii="宋体" w:hAnsi="宋体" w:eastAsia="宋体"/>
        </w:rPr>
        <w:t>一、投标人须知附表</w:t>
      </w:r>
    </w:p>
    <w:bookmarkEnd w:id="10"/>
    <w:bookmarkEnd w:id="11"/>
    <w:bookmarkEnd w:id="12"/>
    <w:bookmarkEnd w:id="13"/>
    <w:bookmarkEnd w:id="14"/>
    <w:tbl>
      <w:tblPr>
        <w:tblStyle w:val="26"/>
        <w:tblW w:w="9663"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38"/>
        <w:gridCol w:w="1901"/>
        <w:gridCol w:w="6924"/>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10" w:hRule="atLeast"/>
          <w:tblHeader/>
          <w:jc w:val="center"/>
        </w:trPr>
        <w:tc>
          <w:tcPr>
            <w:tcW w:w="838" w:type="dxa"/>
            <w:vAlign w:val="center"/>
          </w:tcPr>
          <w:p>
            <w:pPr>
              <w:pStyle w:val="50"/>
              <w:spacing w:after="0" w:line="260" w:lineRule="auto"/>
              <w:ind w:left="9"/>
              <w:jc w:val="center"/>
              <w:rPr>
                <w:kern w:val="2"/>
              </w:rPr>
            </w:pPr>
            <w:r>
              <w:rPr>
                <w:rFonts w:hint="eastAsia"/>
                <w:kern w:val="2"/>
              </w:rPr>
              <w:t>序号</w:t>
            </w:r>
          </w:p>
        </w:tc>
        <w:tc>
          <w:tcPr>
            <w:tcW w:w="1901" w:type="dxa"/>
            <w:vAlign w:val="center"/>
          </w:tcPr>
          <w:p>
            <w:pPr>
              <w:pStyle w:val="50"/>
              <w:spacing w:after="0" w:line="260" w:lineRule="auto"/>
              <w:ind w:left="38"/>
              <w:jc w:val="center"/>
              <w:rPr>
                <w:kern w:val="2"/>
              </w:rPr>
            </w:pPr>
            <w:r>
              <w:rPr>
                <w:rFonts w:hint="eastAsia"/>
                <w:kern w:val="2"/>
              </w:rPr>
              <w:t>条款名称</w:t>
            </w:r>
          </w:p>
        </w:tc>
        <w:tc>
          <w:tcPr>
            <w:tcW w:w="6924" w:type="dxa"/>
            <w:vAlign w:val="center"/>
          </w:tcPr>
          <w:p>
            <w:pPr>
              <w:pStyle w:val="50"/>
              <w:spacing w:after="0" w:line="260" w:lineRule="auto"/>
              <w:jc w:val="center"/>
              <w:rPr>
                <w:kern w:val="2"/>
              </w:rPr>
            </w:pPr>
            <w:r>
              <w:rPr>
                <w:rFonts w:hint="eastAsia"/>
                <w:kern w:val="2"/>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Merge w:val="restart"/>
            <w:vAlign w:val="center"/>
          </w:tcPr>
          <w:p>
            <w:pPr>
              <w:pStyle w:val="50"/>
              <w:ind w:right="230"/>
              <w:jc w:val="center"/>
              <w:rPr>
                <w:kern w:val="2"/>
              </w:rPr>
            </w:pPr>
            <w:r>
              <w:rPr>
                <w:rFonts w:hint="eastAsia"/>
                <w:kern w:val="2"/>
              </w:rPr>
              <w:t>1</w:t>
            </w:r>
          </w:p>
        </w:tc>
        <w:tc>
          <w:tcPr>
            <w:tcW w:w="1901" w:type="dxa"/>
            <w:tcBorders>
              <w:bottom w:val="single" w:color="auto" w:sz="4" w:space="0"/>
            </w:tcBorders>
            <w:vAlign w:val="center"/>
          </w:tcPr>
          <w:p>
            <w:pPr>
              <w:pStyle w:val="50"/>
              <w:ind w:left="38"/>
              <w:jc w:val="center"/>
              <w:rPr>
                <w:kern w:val="2"/>
              </w:rPr>
            </w:pPr>
            <w:r>
              <w:rPr>
                <w:rFonts w:hint="eastAsia"/>
                <w:kern w:val="2"/>
              </w:rPr>
              <w:t>采购预算</w:t>
            </w:r>
          </w:p>
          <w:p>
            <w:pPr>
              <w:pStyle w:val="50"/>
              <w:ind w:left="38"/>
              <w:jc w:val="center"/>
              <w:rPr>
                <w:kern w:val="2"/>
              </w:rPr>
            </w:pPr>
            <w:r>
              <w:rPr>
                <w:rFonts w:hint="eastAsia"/>
              </w:rPr>
              <w:t>（实质性要求）</w:t>
            </w:r>
          </w:p>
        </w:tc>
        <w:tc>
          <w:tcPr>
            <w:tcW w:w="6924" w:type="dxa"/>
            <w:tcBorders>
              <w:bottom w:val="single" w:color="auto" w:sz="4" w:space="0"/>
            </w:tcBorders>
          </w:tcPr>
          <w:p>
            <w:pPr>
              <w:pStyle w:val="50"/>
              <w:jc w:val="both"/>
            </w:pPr>
            <w:r>
              <w:rPr>
                <w:rFonts w:hint="eastAsia"/>
              </w:rPr>
              <w:t>采购预算：94.4万元；</w:t>
            </w:r>
          </w:p>
          <w:p>
            <w:pPr>
              <w:pStyle w:val="50"/>
              <w:jc w:val="both"/>
              <w:rPr>
                <w:kern w:val="2"/>
              </w:rPr>
            </w:pPr>
            <w:r>
              <w:rPr>
                <w:rFonts w:hint="eastAsia"/>
              </w:rPr>
              <w:t>超过采购预算的报价为无效投标。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Merge w:val="continue"/>
            <w:vAlign w:val="center"/>
          </w:tcPr>
          <w:p>
            <w:pPr>
              <w:rPr>
                <w:rFonts w:ascii="宋体" w:hAnsi="宋体" w:cs="宋体"/>
                <w:sz w:val="24"/>
              </w:rPr>
            </w:pPr>
          </w:p>
        </w:tc>
        <w:tc>
          <w:tcPr>
            <w:tcW w:w="1901" w:type="dxa"/>
            <w:tcBorders>
              <w:top w:val="single" w:color="auto" w:sz="4" w:space="0"/>
            </w:tcBorders>
            <w:vAlign w:val="center"/>
          </w:tcPr>
          <w:p>
            <w:pPr>
              <w:pStyle w:val="50"/>
              <w:jc w:val="center"/>
              <w:rPr>
                <w:kern w:val="2"/>
              </w:rPr>
            </w:pPr>
            <w:r>
              <w:rPr>
                <w:rFonts w:hint="eastAsia"/>
                <w:kern w:val="2"/>
              </w:rPr>
              <w:t>最高限价</w:t>
            </w:r>
          </w:p>
          <w:p>
            <w:pPr>
              <w:pStyle w:val="50"/>
              <w:jc w:val="center"/>
              <w:rPr>
                <w:kern w:val="2"/>
              </w:rPr>
            </w:pPr>
            <w:r>
              <w:rPr>
                <w:rFonts w:hint="eastAsia"/>
              </w:rPr>
              <w:t>（实质性要求）</w:t>
            </w:r>
          </w:p>
        </w:tc>
        <w:tc>
          <w:tcPr>
            <w:tcW w:w="6924" w:type="dxa"/>
            <w:tcBorders>
              <w:top w:val="single" w:color="auto" w:sz="4" w:space="0"/>
            </w:tcBorders>
          </w:tcPr>
          <w:p>
            <w:pPr>
              <w:pStyle w:val="50"/>
              <w:jc w:val="both"/>
            </w:pPr>
            <w:bookmarkStart w:id="16" w:name="PO_默认文件内容_27"/>
            <w:r>
              <w:rPr>
                <w:rFonts w:hint="eastAsia"/>
              </w:rPr>
              <w:t>最高限价：94.4万元；</w:t>
            </w:r>
          </w:p>
          <w:p>
            <w:pPr>
              <w:pStyle w:val="50"/>
              <w:jc w:val="both"/>
            </w:pPr>
            <w:r>
              <w:rPr>
                <w:rFonts w:hint="eastAsia"/>
              </w:rPr>
              <w:t>超过最高限价的报价为无效投标。</w:t>
            </w:r>
            <w:bookmarkEnd w:id="16"/>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046" w:hRule="atLeast"/>
          <w:jc w:val="center"/>
        </w:trPr>
        <w:tc>
          <w:tcPr>
            <w:tcW w:w="838" w:type="dxa"/>
            <w:vAlign w:val="center"/>
          </w:tcPr>
          <w:p>
            <w:pPr>
              <w:pStyle w:val="50"/>
              <w:spacing w:after="0"/>
              <w:jc w:val="center"/>
              <w:rPr>
                <w:kern w:val="2"/>
              </w:rPr>
            </w:pPr>
            <w:r>
              <w:rPr>
                <w:rFonts w:hint="eastAsia"/>
                <w:kern w:val="2"/>
              </w:rPr>
              <w:t>2</w:t>
            </w:r>
          </w:p>
        </w:tc>
        <w:tc>
          <w:tcPr>
            <w:tcW w:w="1901" w:type="dxa"/>
            <w:vAlign w:val="center"/>
          </w:tcPr>
          <w:p>
            <w:pPr>
              <w:pStyle w:val="50"/>
              <w:ind w:left="38"/>
              <w:jc w:val="center"/>
              <w:rPr>
                <w:kern w:val="2"/>
              </w:rPr>
            </w:pPr>
            <w:r>
              <w:rPr>
                <w:rFonts w:hint="eastAsia"/>
                <w:kern w:val="2"/>
              </w:rPr>
              <w:t>不正当竞争预防措施</w:t>
            </w:r>
          </w:p>
          <w:p>
            <w:pPr>
              <w:pStyle w:val="50"/>
              <w:ind w:left="38"/>
              <w:jc w:val="center"/>
              <w:rPr>
                <w:kern w:val="2"/>
              </w:rPr>
            </w:pPr>
            <w:r>
              <w:rPr>
                <w:rFonts w:hint="eastAsia"/>
                <w:kern w:val="2"/>
              </w:rPr>
              <w:t>（实质性要求）</w:t>
            </w:r>
          </w:p>
        </w:tc>
        <w:tc>
          <w:tcPr>
            <w:tcW w:w="6924" w:type="dxa"/>
            <w:vAlign w:val="center"/>
          </w:tcPr>
          <w:p>
            <w:pPr>
              <w:pStyle w:val="50"/>
              <w:jc w:val="both"/>
            </w:pPr>
            <w:bookmarkStart w:id="17" w:name="PO_默认文件内容_1"/>
            <w:r>
              <w:rPr>
                <w:rFonts w:hint="eastAsia"/>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7"/>
          </w:p>
          <w:p>
            <w:pPr>
              <w:pStyle w:val="50"/>
              <w:jc w:val="both"/>
            </w:pPr>
            <w:r>
              <w:rPr>
                <w:rFonts w:hint="eastAsia"/>
                <w:b/>
                <w:bCs/>
              </w:rPr>
              <w:t>注：</w:t>
            </w:r>
            <w:r>
              <w:rPr>
                <w:rFonts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hint="eastAsia"/>
                <w:b/>
                <w:bCs/>
              </w:rPr>
              <w:t>30分钟，供应商已明确表示澄清、说明完毕的除外</w:t>
            </w:r>
            <w:r>
              <w:rPr>
                <w:rFonts w:hint="eastAsia"/>
                <w:b/>
                <w:bCs/>
                <w:lang w:val="zh-CN"/>
              </w:rPr>
              <w:t>）。如因系统故障（</w:t>
            </w:r>
            <w:r>
              <w:rPr>
                <w:rFonts w:hint="eastAsia"/>
                <w:b/>
                <w:bCs/>
              </w:rPr>
              <w:t>包括组织场所停电、断网等）</w:t>
            </w:r>
            <w:r>
              <w:rPr>
                <w:rFonts w:hint="eastAsia"/>
                <w:b/>
                <w:bCs/>
                <w:lang w:val="zh-CN"/>
              </w:rPr>
              <w:t>导致系统无法使用的，由投标人按评标委员会的要求进行澄清或者说明。</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50" w:hRule="atLeast"/>
          <w:jc w:val="center"/>
        </w:trPr>
        <w:tc>
          <w:tcPr>
            <w:tcW w:w="838" w:type="dxa"/>
            <w:vAlign w:val="center"/>
          </w:tcPr>
          <w:p>
            <w:pPr>
              <w:pStyle w:val="50"/>
              <w:spacing w:after="0" w:line="260" w:lineRule="auto"/>
              <w:jc w:val="center"/>
              <w:rPr>
                <w:lang w:val="zh-CN"/>
              </w:rPr>
            </w:pPr>
            <w:r>
              <w:rPr>
                <w:rFonts w:hint="eastAsia"/>
                <w:lang w:val="zh-CN"/>
              </w:rPr>
              <w:t>3</w:t>
            </w:r>
          </w:p>
        </w:tc>
        <w:tc>
          <w:tcPr>
            <w:tcW w:w="1901" w:type="dxa"/>
            <w:vAlign w:val="center"/>
          </w:tcPr>
          <w:p>
            <w:pPr>
              <w:pStyle w:val="50"/>
              <w:spacing w:after="0" w:line="260" w:lineRule="auto"/>
              <w:ind w:left="38"/>
              <w:jc w:val="center"/>
              <w:rPr>
                <w:lang w:val="zh-CN"/>
              </w:rPr>
            </w:pPr>
            <w:r>
              <w:rPr>
                <w:rFonts w:hint="eastAsia"/>
                <w:lang w:val="zh-CN"/>
              </w:rPr>
              <w:t>进口产品</w:t>
            </w:r>
          </w:p>
          <w:p>
            <w:pPr>
              <w:pStyle w:val="50"/>
              <w:spacing w:after="0" w:line="260" w:lineRule="auto"/>
              <w:ind w:left="38"/>
              <w:jc w:val="center"/>
              <w:rPr>
                <w:lang w:val="zh-CN"/>
              </w:rPr>
            </w:pPr>
            <w:r>
              <w:rPr>
                <w:rFonts w:hint="eastAsia"/>
                <w:lang w:val="zh-CN"/>
              </w:rPr>
              <w:t>（实质性要求）</w:t>
            </w:r>
          </w:p>
        </w:tc>
        <w:tc>
          <w:tcPr>
            <w:tcW w:w="6924" w:type="dxa"/>
            <w:vAlign w:val="center"/>
          </w:tcPr>
          <w:p>
            <w:pPr>
              <w:pStyle w:val="50"/>
              <w:spacing w:after="0" w:line="260" w:lineRule="auto"/>
              <w:ind w:firstLine="240" w:firstLineChars="100"/>
              <w:jc w:val="both"/>
              <w:rPr>
                <w:lang w:val="zh-CN"/>
              </w:rPr>
            </w:pPr>
            <w:bookmarkStart w:id="18" w:name="PO_默认文件内容_15"/>
            <w:r>
              <w:rPr>
                <w:rFonts w:hint="eastAsia"/>
              </w:rPr>
              <w:t>本项目不允许采购进口产品。</w:t>
            </w:r>
            <w:bookmarkEnd w:id="18"/>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50"/>
              <w:spacing w:after="0"/>
              <w:jc w:val="center"/>
              <w:rPr>
                <w:lang w:val="zh-CN"/>
              </w:rPr>
            </w:pPr>
            <w:r>
              <w:rPr>
                <w:rFonts w:hint="eastAsia"/>
                <w:lang w:val="zh-CN"/>
              </w:rPr>
              <w:t>4</w:t>
            </w:r>
          </w:p>
        </w:tc>
        <w:tc>
          <w:tcPr>
            <w:tcW w:w="1901" w:type="dxa"/>
            <w:vAlign w:val="center"/>
          </w:tcPr>
          <w:p>
            <w:pPr>
              <w:pStyle w:val="50"/>
              <w:spacing w:after="0"/>
              <w:jc w:val="center"/>
              <w:rPr>
                <w:kern w:val="2"/>
              </w:rPr>
            </w:pPr>
            <w:r>
              <w:rPr>
                <w:rFonts w:hint="eastAsia"/>
                <w:kern w:val="2"/>
              </w:rPr>
              <w:t>小微企业（监狱企业、残疾人福利性单位</w:t>
            </w:r>
            <w:r>
              <w:rPr>
                <w:rFonts w:hint="eastAsia"/>
              </w:rPr>
              <w:t>视同小微企业</w:t>
            </w:r>
            <w:r>
              <w:rPr>
                <w:rFonts w:hint="eastAsia"/>
                <w:kern w:val="2"/>
              </w:rPr>
              <w:t>）价格扣除</w:t>
            </w:r>
          </w:p>
        </w:tc>
        <w:tc>
          <w:tcPr>
            <w:tcW w:w="6924" w:type="dxa"/>
            <w:vAlign w:val="center"/>
          </w:tcPr>
          <w:p>
            <w:pPr>
              <w:widowControl/>
              <w:spacing w:after="120"/>
              <w:jc w:val="left"/>
              <w:rPr>
                <w:rFonts w:ascii="宋体" w:hAnsi="宋体" w:cs="宋体"/>
                <w:kern w:val="0"/>
                <w:sz w:val="24"/>
              </w:rPr>
            </w:pPr>
            <w:r>
              <w:rPr>
                <w:rFonts w:hint="eastAsia" w:ascii="宋体" w:hAnsi="宋体" w:cs="宋体"/>
                <w:kern w:val="0"/>
                <w:sz w:val="24"/>
              </w:rPr>
              <w:t>一、小微企业（监狱企业、残疾人福利性单位均视同小微企业）价格扣除</w:t>
            </w:r>
          </w:p>
          <w:p>
            <w:pPr>
              <w:widowControl/>
              <w:spacing w:after="120"/>
              <w:jc w:val="left"/>
              <w:rPr>
                <w:rFonts w:ascii="宋体" w:hAnsi="宋体" w:cs="宋体"/>
                <w:kern w:val="0"/>
                <w:sz w:val="24"/>
              </w:rPr>
            </w:pPr>
            <w:r>
              <w:rPr>
                <w:rFonts w:hint="eastAsia" w:ascii="宋体" w:hAnsi="宋体" w:cs="宋体"/>
                <w:kern w:val="0"/>
                <w:sz w:val="24"/>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pPr>
              <w:widowControl/>
              <w:spacing w:after="120"/>
              <w:jc w:val="left"/>
              <w:rPr>
                <w:rFonts w:ascii="宋体" w:hAnsi="宋体" w:cs="宋体"/>
                <w:kern w:val="0"/>
                <w:sz w:val="24"/>
              </w:rPr>
            </w:pPr>
            <w:r>
              <w:rPr>
                <w:rFonts w:hint="eastAsia" w:ascii="宋体" w:hAnsi="宋体" w:cs="宋体"/>
                <w:kern w:val="0"/>
                <w:sz w:val="24"/>
              </w:rPr>
              <w:t>2、参加政府采购活动的中小企业提供《中小企业声明函》原件，未提供的，视为放弃享受小微企业价格扣除优惠政策。</w:t>
            </w:r>
          </w:p>
          <w:p>
            <w:pPr>
              <w:widowControl/>
              <w:spacing w:after="120"/>
              <w:jc w:val="left"/>
              <w:rPr>
                <w:rFonts w:ascii="宋体" w:hAnsi="宋体" w:cs="宋体"/>
                <w:kern w:val="0"/>
                <w:sz w:val="24"/>
              </w:rPr>
            </w:pPr>
            <w:r>
              <w:rPr>
                <w:rFonts w:hint="eastAsia" w:ascii="宋体" w:hAnsi="宋体" w:cs="宋体"/>
                <w:kern w:val="0"/>
                <w:sz w:val="24"/>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pPr>
              <w:widowControl/>
              <w:spacing w:after="120"/>
              <w:jc w:val="left"/>
              <w:rPr>
                <w:rFonts w:ascii="宋体" w:hAnsi="宋体" w:cs="宋体"/>
                <w:kern w:val="0"/>
                <w:sz w:val="24"/>
              </w:rPr>
            </w:pPr>
            <w:r>
              <w:rPr>
                <w:rFonts w:hint="eastAsia" w:ascii="宋体" w:hAnsi="宋体" w:cs="宋体"/>
                <w:kern w:val="0"/>
                <w:sz w:val="24"/>
              </w:rPr>
              <w:t>联合体各方均为小型、微型企业的，联合体视同为小型、微型企业享受规定的扶持政策。组成联合体的大中型企业和其他自然人、法人或者其他组织，与小型、微型企业之间不得存在投资关系。</w:t>
            </w:r>
          </w:p>
          <w:p>
            <w:pPr>
              <w:widowControl/>
              <w:spacing w:after="120"/>
              <w:jc w:val="left"/>
              <w:rPr>
                <w:rFonts w:ascii="宋体" w:hAnsi="宋体" w:cs="宋体"/>
                <w:kern w:val="0"/>
                <w:sz w:val="24"/>
              </w:rPr>
            </w:pPr>
            <w:r>
              <w:rPr>
                <w:rFonts w:hint="eastAsia" w:ascii="宋体" w:hAnsi="宋体" w:cs="宋体"/>
                <w:kern w:val="0"/>
                <w:sz w:val="24"/>
              </w:rPr>
              <w:t>4、参加政府采购活动的残疾人福利性单位应当提供《残疾人福利性单位声明函》原件，未提供的，视为放弃享受小微企业价格扣除优惠政策。</w:t>
            </w:r>
          </w:p>
          <w:p>
            <w:pPr>
              <w:widowControl/>
              <w:spacing w:after="120"/>
              <w:jc w:val="left"/>
              <w:rPr>
                <w:rFonts w:ascii="宋体" w:hAnsi="宋体" w:cs="宋体"/>
                <w:kern w:val="0"/>
                <w:sz w:val="24"/>
              </w:rPr>
            </w:pPr>
            <w:r>
              <w:rPr>
                <w:rFonts w:hint="eastAsia" w:ascii="宋体" w:hAnsi="宋体" w:cs="宋体"/>
                <w:kern w:val="0"/>
                <w:sz w:val="24"/>
              </w:rPr>
              <w:t>5、参加政府采购活动的监狱企业提供由省级以上监狱管理局、戒毒管理局(含新疆生产建设兵团)出具的属于监狱企业的证明文件，未提供的，视为放弃享受小微企业价格扣除优惠政策。</w:t>
            </w:r>
          </w:p>
          <w:p>
            <w:pPr>
              <w:widowControl/>
              <w:spacing w:after="120"/>
              <w:jc w:val="left"/>
              <w:rPr>
                <w:rFonts w:ascii="宋体" w:hAnsi="宋体" w:cs="宋体"/>
                <w:kern w:val="0"/>
                <w:sz w:val="24"/>
              </w:rPr>
            </w:pPr>
            <w:r>
              <w:rPr>
                <w:rFonts w:hint="eastAsia" w:ascii="宋体" w:hAnsi="宋体" w:cs="宋体"/>
                <w:kern w:val="0"/>
                <w:sz w:val="24"/>
              </w:rPr>
              <w:t>6、符合中小企业划分标准的个体工商户，在政府采购活动中视同中小企业。</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50"/>
              <w:spacing w:after="0" w:line="260" w:lineRule="auto"/>
              <w:jc w:val="center"/>
              <w:rPr>
                <w:lang w:val="zh-CN"/>
              </w:rPr>
            </w:pPr>
            <w:r>
              <w:rPr>
                <w:rFonts w:hint="eastAsia"/>
                <w:kern w:val="2"/>
              </w:rPr>
              <w:t>5</w:t>
            </w:r>
          </w:p>
        </w:tc>
        <w:tc>
          <w:tcPr>
            <w:tcW w:w="1901" w:type="dxa"/>
            <w:vAlign w:val="center"/>
          </w:tcPr>
          <w:p>
            <w:pPr>
              <w:spacing w:line="340" w:lineRule="exact"/>
              <w:ind w:left="105" w:leftChars="50" w:right="105" w:rightChars="50"/>
              <w:jc w:val="center"/>
              <w:rPr>
                <w:rFonts w:ascii="宋体" w:hAnsi="宋体" w:cs="宋体"/>
                <w:kern w:val="0"/>
                <w:sz w:val="24"/>
              </w:rPr>
            </w:pPr>
            <w:r>
              <w:rPr>
                <w:rFonts w:hint="eastAsia" w:ascii="宋体" w:hAnsi="宋体" w:cs="宋体"/>
                <w:kern w:val="0"/>
                <w:sz w:val="24"/>
              </w:rPr>
              <w:t>节能、环保及无线局域网产品政府采购政策</w:t>
            </w:r>
          </w:p>
        </w:tc>
        <w:tc>
          <w:tcPr>
            <w:tcW w:w="6924" w:type="dxa"/>
            <w:vAlign w:val="center"/>
          </w:tcPr>
          <w:p>
            <w:pPr>
              <w:spacing w:after="0" w:line="340" w:lineRule="exact"/>
              <w:ind w:right="105" w:rightChars="50"/>
              <w:rPr>
                <w:rFonts w:ascii="宋体" w:hAnsi="宋体" w:cs="宋体"/>
                <w:b/>
                <w:sz w:val="24"/>
              </w:rPr>
            </w:pPr>
            <w:r>
              <w:rPr>
                <w:rFonts w:hint="eastAsia" w:ascii="宋体" w:hAnsi="宋体" w:cs="宋体"/>
                <w:b/>
                <w:sz w:val="24"/>
              </w:rPr>
              <w:t>一、节能、环保产品政府采购政策：</w:t>
            </w:r>
          </w:p>
          <w:p>
            <w:pPr>
              <w:spacing w:after="0" w:line="340" w:lineRule="exact"/>
              <w:ind w:right="105" w:rightChars="50"/>
              <w:rPr>
                <w:rFonts w:ascii="宋体" w:hAnsi="宋体" w:cs="宋体"/>
                <w:sz w:val="24"/>
              </w:rPr>
            </w:pPr>
            <w:r>
              <w:rPr>
                <w:rFonts w:hint="eastAsia" w:ascii="宋体" w:hAnsi="宋体" w:cs="宋体"/>
                <w:sz w:val="24"/>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spacing w:after="0" w:line="340" w:lineRule="exact"/>
              <w:ind w:right="105" w:rightChars="50"/>
              <w:rPr>
                <w:rFonts w:ascii="宋体" w:hAnsi="宋体" w:cs="宋体"/>
                <w:sz w:val="24"/>
              </w:rPr>
            </w:pPr>
            <w:r>
              <w:rPr>
                <w:rFonts w:hint="eastAsia" w:ascii="宋体" w:hAnsi="宋体" w:cs="宋体"/>
                <w:sz w:val="24"/>
              </w:rPr>
              <w:t>本项目采购的产品属于品目清单强制采购范围的，供应商应按上述要求提供产品认证证书复印件并加盖供应商单位公章，否则投标无效。</w:t>
            </w:r>
            <w:r>
              <w:rPr>
                <w:rFonts w:hint="eastAsia" w:ascii="宋体" w:hAnsi="宋体" w:cs="宋体"/>
                <w:b/>
                <w:sz w:val="24"/>
              </w:rPr>
              <w:t>（实质性要求）</w:t>
            </w:r>
          </w:p>
          <w:p>
            <w:pPr>
              <w:spacing w:after="0" w:line="340" w:lineRule="exact"/>
              <w:ind w:right="105" w:rightChars="50"/>
              <w:rPr>
                <w:rFonts w:ascii="宋体" w:hAnsi="宋体" w:cs="宋体"/>
                <w:sz w:val="24"/>
              </w:rPr>
            </w:pPr>
            <w:r>
              <w:rPr>
                <w:rFonts w:hint="eastAsia" w:ascii="宋体" w:hAnsi="宋体" w:cs="宋体"/>
                <w:sz w:val="24"/>
              </w:rPr>
              <w:t>本项目采购的产品属于品目清单优先采购范围的，按照第七章《综合评分明细表》的规则进行加分。</w:t>
            </w:r>
          </w:p>
          <w:p>
            <w:pPr>
              <w:spacing w:after="0" w:line="340" w:lineRule="exact"/>
              <w:ind w:right="105" w:rightChars="50"/>
              <w:rPr>
                <w:rFonts w:ascii="宋体" w:hAnsi="宋体" w:cs="宋体"/>
                <w:sz w:val="24"/>
              </w:rPr>
            </w:pPr>
            <w:r>
              <w:rPr>
                <w:rFonts w:hint="eastAsia" w:ascii="宋体" w:hAnsi="宋体" w:cs="宋体"/>
                <w:sz w:val="24"/>
              </w:rPr>
              <w:t>注：对政府采购节能产品、环境标志产品实施品目清单管理。财政部、发展改革委、生态环境部等部门确定实施政府优先采购和强制采购的产品类别，以品目清单的形式发布并适时调整。</w:t>
            </w:r>
          </w:p>
          <w:p>
            <w:pPr>
              <w:spacing w:after="0" w:line="340" w:lineRule="exact"/>
              <w:ind w:right="105" w:rightChars="50"/>
              <w:rPr>
                <w:rFonts w:ascii="宋体" w:hAnsi="宋体" w:cs="宋体"/>
                <w:b/>
                <w:sz w:val="24"/>
              </w:rPr>
            </w:pPr>
            <w:r>
              <w:rPr>
                <w:rFonts w:hint="eastAsia" w:ascii="宋体" w:hAnsi="宋体" w:cs="宋体"/>
                <w:b/>
                <w:sz w:val="24"/>
              </w:rPr>
              <w:t>二、无线局域网产品政府采购政策：</w:t>
            </w:r>
          </w:p>
          <w:p>
            <w:pPr>
              <w:spacing w:after="0" w:line="340" w:lineRule="exact"/>
              <w:ind w:right="105" w:rightChars="50"/>
              <w:rPr>
                <w:rFonts w:ascii="宋体" w:hAnsi="宋体" w:cs="宋体"/>
                <w:sz w:val="24"/>
              </w:rPr>
            </w:pPr>
            <w:r>
              <w:rPr>
                <w:rFonts w:hint="eastAsia" w:ascii="宋体" w:hAnsi="宋体" w:cs="宋体"/>
                <w:sz w:val="24"/>
              </w:rPr>
              <w:t>本项目采购的产品属于中国政府采购网公布的《无线局域网认证产品政府采购清单》的，按照第七章《综合评分明细表》的规则进行加分。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43" w:hRule="atLeast"/>
          <w:jc w:val="center"/>
        </w:trPr>
        <w:tc>
          <w:tcPr>
            <w:tcW w:w="838" w:type="dxa"/>
            <w:vAlign w:val="center"/>
          </w:tcPr>
          <w:p>
            <w:pPr>
              <w:pStyle w:val="50"/>
              <w:spacing w:after="0" w:line="440" w:lineRule="exact"/>
              <w:jc w:val="center"/>
              <w:rPr>
                <w:kern w:val="2"/>
              </w:rPr>
            </w:pPr>
            <w:r>
              <w:rPr>
                <w:rFonts w:hint="eastAsia"/>
                <w:kern w:val="2"/>
              </w:rPr>
              <w:t>6</w:t>
            </w:r>
          </w:p>
        </w:tc>
        <w:tc>
          <w:tcPr>
            <w:tcW w:w="1901" w:type="dxa"/>
            <w:vAlign w:val="center"/>
          </w:tcPr>
          <w:p>
            <w:pPr>
              <w:spacing w:after="0" w:line="340" w:lineRule="exact"/>
              <w:ind w:left="105" w:leftChars="50" w:right="105" w:rightChars="50"/>
              <w:jc w:val="center"/>
              <w:rPr>
                <w:rFonts w:ascii="宋体" w:hAnsi="宋体" w:cs="宋体"/>
                <w:sz w:val="24"/>
              </w:rPr>
            </w:pPr>
            <w:r>
              <w:rPr>
                <w:rFonts w:hint="eastAsia" w:ascii="宋体" w:hAnsi="宋体" w:cs="宋体"/>
                <w:kern w:val="0"/>
                <w:sz w:val="24"/>
              </w:rPr>
              <w:t>评标情况公告</w:t>
            </w:r>
          </w:p>
        </w:tc>
        <w:tc>
          <w:tcPr>
            <w:tcW w:w="6924" w:type="dxa"/>
            <w:vAlign w:val="center"/>
          </w:tcPr>
          <w:p>
            <w:pPr>
              <w:widowControl/>
              <w:spacing w:after="0"/>
              <w:jc w:val="left"/>
              <w:rPr>
                <w:rFonts w:ascii="宋体" w:hAnsi="宋体" w:cs="宋体"/>
                <w:sz w:val="24"/>
              </w:rPr>
            </w:pPr>
            <w:bookmarkStart w:id="19" w:name="PO_默认文件内容_6"/>
            <w:r>
              <w:rPr>
                <w:rFonts w:hint="eastAsia" w:ascii="宋体" w:hAnsi="宋体" w:cs="宋体"/>
                <w:kern w:val="0"/>
                <w:sz w:val="24"/>
              </w:rPr>
              <w:t>所有供应商投标文件资格性、符合性检查情况、采用综合评分法时的总得分和分项汇总得分情况、评标结果等将在四川政府采购网上采购结果公告栏中予以公告。</w:t>
            </w:r>
            <w:bookmarkEnd w:id="19"/>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93" w:hRule="atLeast"/>
          <w:jc w:val="center"/>
        </w:trPr>
        <w:tc>
          <w:tcPr>
            <w:tcW w:w="838" w:type="dxa"/>
            <w:vAlign w:val="center"/>
          </w:tcPr>
          <w:p>
            <w:pPr>
              <w:pStyle w:val="50"/>
              <w:spacing w:after="0" w:line="440" w:lineRule="exact"/>
              <w:jc w:val="center"/>
              <w:rPr>
                <w:kern w:val="2"/>
              </w:rPr>
            </w:pPr>
            <w:r>
              <w:rPr>
                <w:rFonts w:hint="eastAsia"/>
                <w:kern w:val="2"/>
              </w:rPr>
              <w:t>7</w:t>
            </w:r>
          </w:p>
        </w:tc>
        <w:tc>
          <w:tcPr>
            <w:tcW w:w="1901" w:type="dxa"/>
            <w:vAlign w:val="center"/>
          </w:tcPr>
          <w:p>
            <w:pPr>
              <w:pStyle w:val="50"/>
              <w:spacing w:after="0" w:line="240" w:lineRule="auto"/>
              <w:ind w:left="96"/>
              <w:jc w:val="center"/>
              <w:rPr>
                <w:lang w:val="zh-CN"/>
              </w:rPr>
            </w:pPr>
            <w:r>
              <w:rPr>
                <w:rFonts w:hint="eastAsia"/>
                <w:lang w:val="zh-CN"/>
              </w:rPr>
              <w:t>投标保证金</w:t>
            </w:r>
          </w:p>
        </w:tc>
        <w:tc>
          <w:tcPr>
            <w:tcW w:w="6924" w:type="dxa"/>
            <w:vAlign w:val="center"/>
          </w:tcPr>
          <w:p>
            <w:pPr>
              <w:pStyle w:val="50"/>
              <w:spacing w:after="0" w:line="240" w:lineRule="auto"/>
              <w:jc w:val="both"/>
              <w:rPr>
                <w:b/>
                <w:lang w:val="zh-CN"/>
              </w:rPr>
            </w:pPr>
            <w:r>
              <w:rPr>
                <w:rFonts w:hint="eastAsia"/>
                <w:bCs/>
                <w:lang w:val="zh-CN"/>
              </w:rPr>
              <w:t>本项目不收取投标保证金。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50"/>
              <w:spacing w:after="0" w:line="260" w:lineRule="auto"/>
              <w:jc w:val="center"/>
              <w:rPr>
                <w:kern w:val="2"/>
              </w:rPr>
            </w:pPr>
            <w:r>
              <w:rPr>
                <w:rFonts w:hint="eastAsia"/>
                <w:kern w:val="2"/>
              </w:rPr>
              <w:t>8</w:t>
            </w:r>
          </w:p>
        </w:tc>
        <w:tc>
          <w:tcPr>
            <w:tcW w:w="1901" w:type="dxa"/>
            <w:vAlign w:val="center"/>
          </w:tcPr>
          <w:p>
            <w:pPr>
              <w:pStyle w:val="50"/>
              <w:ind w:left="96"/>
              <w:jc w:val="center"/>
            </w:pPr>
            <w:r>
              <w:rPr>
                <w:rFonts w:hint="eastAsia"/>
                <w:lang w:val="zh-CN"/>
              </w:rPr>
              <w:t>履约保证金</w:t>
            </w:r>
          </w:p>
          <w:p>
            <w:pPr>
              <w:pStyle w:val="50"/>
              <w:ind w:left="96"/>
              <w:jc w:val="center"/>
              <w:rPr>
                <w:lang w:val="zh-CN"/>
              </w:rPr>
            </w:pPr>
          </w:p>
        </w:tc>
        <w:tc>
          <w:tcPr>
            <w:tcW w:w="6924" w:type="dxa"/>
            <w:vAlign w:val="center"/>
          </w:tcPr>
          <w:p>
            <w:pPr>
              <w:pStyle w:val="50"/>
              <w:ind w:firstLine="240"/>
              <w:jc w:val="both"/>
              <w:rPr>
                <w:lang w:val="zh-CN"/>
              </w:rPr>
            </w:pPr>
            <w:r>
              <w:rPr>
                <w:rFonts w:ascii="宋体" w:hAnsi="宋体" w:eastAsia="宋体" w:cs="宋体"/>
                <w:sz w:val="24"/>
                <w:szCs w:val="24"/>
              </w:rPr>
              <w:t>1.本项目履约保证金为中标金额的百分之五，投标人应在中标通知书发出之日起至合同签订前，以支票、汇票、本票或者金融机构出具的保函等非现金形式向采购人交纳规定金额的履约保证金。</w:t>
            </w:r>
            <w:r>
              <w:rPr>
                <w:rFonts w:ascii="宋体" w:hAnsi="宋体" w:eastAsia="宋体" w:cs="宋体"/>
                <w:sz w:val="24"/>
                <w:szCs w:val="24"/>
              </w:rPr>
              <w:br w:type="textWrapping"/>
            </w:r>
            <w:r>
              <w:rPr>
                <w:rFonts w:ascii="宋体" w:hAnsi="宋体" w:eastAsia="宋体" w:cs="宋体"/>
                <w:sz w:val="24"/>
                <w:szCs w:val="24"/>
              </w:rPr>
              <w:t>2.履行合同约定（含售后服务）完毕后,无质量问题和违约责任情况，投标人凭“验收报告单”、“收到退还履约保证金的收据”、“履约保证金退还申请”到采购人</w:t>
            </w:r>
            <w:r>
              <w:rPr>
                <w:rFonts w:hint="eastAsia" w:cs="宋体"/>
                <w:sz w:val="24"/>
                <w:szCs w:val="24"/>
                <w:lang w:eastAsia="zh-CN"/>
              </w:rPr>
              <w:t>财务处</w:t>
            </w:r>
            <w:bookmarkStart w:id="184" w:name="_GoBack"/>
            <w:bookmarkEnd w:id="184"/>
            <w:r>
              <w:rPr>
                <w:rFonts w:ascii="宋体" w:hAnsi="宋体" w:eastAsia="宋体" w:cs="宋体"/>
                <w:sz w:val="24"/>
                <w:szCs w:val="24"/>
              </w:rPr>
              <w:t>办理，无息退还。采购人收到投标人提交的履约保证金退还申请等资料并经采购人审核后，30个日历日内退还投标人应退部分履约保证金。因采购人原因逾期退还的，应当以未退还金额为基数，按合同订立时1年期贷款市场报价利率标准向投标人支付相应违约金，但违约金最高不得超过未退还金额的百分之二十。</w:t>
            </w:r>
            <w:r>
              <w:rPr>
                <w:rFonts w:ascii="宋体" w:hAnsi="宋体" w:eastAsia="宋体" w:cs="宋体"/>
                <w:sz w:val="24"/>
                <w:szCs w:val="24"/>
              </w:rPr>
              <w:br w:type="textWrapping"/>
            </w:r>
            <w:r>
              <w:rPr>
                <w:rFonts w:ascii="宋体" w:hAnsi="宋体" w:eastAsia="宋体" w:cs="宋体"/>
                <w:sz w:val="24"/>
                <w:szCs w:val="24"/>
              </w:rPr>
              <w:t>3.履约保证金汇入的银行及账号：</w:t>
            </w:r>
            <w:r>
              <w:rPr>
                <w:rFonts w:ascii="宋体" w:hAnsi="宋体" w:eastAsia="宋体" w:cs="宋体"/>
                <w:sz w:val="24"/>
                <w:szCs w:val="24"/>
              </w:rPr>
              <w:br w:type="textWrapping"/>
            </w:r>
            <w:r>
              <w:rPr>
                <w:rFonts w:ascii="宋体" w:hAnsi="宋体" w:eastAsia="宋体" w:cs="宋体"/>
                <w:sz w:val="24"/>
                <w:szCs w:val="24"/>
              </w:rPr>
              <w:t>    收款账号：</w:t>
            </w:r>
            <w:r>
              <w:rPr>
                <w:rFonts w:hint="eastAsia"/>
                <w:lang w:val="zh-CN"/>
              </w:rPr>
              <w:t>成都大学</w:t>
            </w:r>
            <w:r>
              <w:rPr>
                <w:rFonts w:ascii="宋体" w:hAnsi="宋体" w:eastAsia="宋体" w:cs="宋体"/>
                <w:sz w:val="24"/>
                <w:szCs w:val="24"/>
              </w:rPr>
              <w:br w:type="textWrapping"/>
            </w:r>
            <w:r>
              <w:rPr>
                <w:rFonts w:ascii="宋体" w:hAnsi="宋体" w:eastAsia="宋体" w:cs="宋体"/>
                <w:sz w:val="24"/>
                <w:szCs w:val="24"/>
              </w:rPr>
              <w:t>    开户行：</w:t>
            </w:r>
            <w:r>
              <w:rPr>
                <w:rFonts w:hint="eastAsia"/>
                <w:lang w:val="zh-CN"/>
              </w:rPr>
              <w:t>中国银行龙泉驿十陵支行</w:t>
            </w:r>
            <w:r>
              <w:rPr>
                <w:rFonts w:ascii="宋体" w:hAnsi="宋体" w:eastAsia="宋体" w:cs="宋体"/>
                <w:sz w:val="24"/>
                <w:szCs w:val="24"/>
              </w:rPr>
              <w:br w:type="textWrapping"/>
            </w:r>
            <w:r>
              <w:rPr>
                <w:rFonts w:ascii="宋体" w:hAnsi="宋体" w:eastAsia="宋体" w:cs="宋体"/>
                <w:sz w:val="24"/>
                <w:szCs w:val="24"/>
              </w:rPr>
              <w:t>    银行账号：</w:t>
            </w:r>
            <w:r>
              <w:rPr>
                <w:rFonts w:hint="eastAsia"/>
                <w:lang w:val="zh-CN"/>
              </w:rPr>
              <w:t>126608533369</w:t>
            </w:r>
            <w:r>
              <w:rPr>
                <w:rFonts w:ascii="宋体" w:hAnsi="宋体" w:eastAsia="宋体" w:cs="宋体"/>
                <w:sz w:val="24"/>
                <w:szCs w:val="24"/>
              </w:rPr>
              <w:br w:type="textWrapping"/>
            </w:r>
            <w:r>
              <w:rPr>
                <w:rFonts w:ascii="宋体" w:hAnsi="宋体" w:eastAsia="宋体" w:cs="宋体"/>
                <w:sz w:val="24"/>
                <w:szCs w:val="24"/>
              </w:rPr>
              <w:t>4.如投标人未按时足额向采购人交纳履约保证金，采购人有权按照评审报告确定的投标人候选人名单顺序，确定下一候选人为中标投标人，或重新开展政府采购活动。</w:t>
            </w:r>
            <w:r>
              <w:rPr>
                <w:rFonts w:ascii="宋体" w:hAnsi="宋体" w:eastAsia="宋体" w:cs="宋体"/>
                <w:sz w:val="24"/>
                <w:szCs w:val="24"/>
              </w:rPr>
              <w:br w:type="textWrapping"/>
            </w:r>
            <w:r>
              <w:rPr>
                <w:rFonts w:ascii="宋体" w:hAnsi="宋体" w:eastAsia="宋体" w:cs="宋体"/>
                <w:sz w:val="24"/>
                <w:szCs w:val="24"/>
              </w:rPr>
              <w:t>5.履约保证金不予退还情形：一是投标人未按合同要求履行的，其履约保证金全部扣除。二是投标人缴纳了履约保证金，但因自身原因被取消中标资格或在中标通知书发出之日起30个日历天(含法定节假日)内投标人不按招标文件确定的事项与采购人签订合同的，其履约保证金不予退还；三是法律法规或合同约定的其他情形。</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26" w:hRule="atLeast"/>
          <w:jc w:val="center"/>
        </w:trPr>
        <w:tc>
          <w:tcPr>
            <w:tcW w:w="838" w:type="dxa"/>
            <w:tcBorders>
              <w:top w:val="single" w:color="auto" w:sz="4" w:space="0"/>
              <w:bottom w:val="single" w:color="auto" w:sz="4" w:space="0"/>
            </w:tcBorders>
            <w:vAlign w:val="center"/>
          </w:tcPr>
          <w:p>
            <w:pPr>
              <w:pStyle w:val="50"/>
              <w:spacing w:after="0" w:line="260" w:lineRule="auto"/>
              <w:jc w:val="center"/>
              <w:rPr>
                <w:kern w:val="2"/>
              </w:rPr>
            </w:pPr>
            <w:r>
              <w:rPr>
                <w:rFonts w:hint="eastAsia"/>
                <w:kern w:val="2"/>
              </w:rPr>
              <w:t>9</w:t>
            </w:r>
          </w:p>
        </w:tc>
        <w:tc>
          <w:tcPr>
            <w:tcW w:w="1901" w:type="dxa"/>
            <w:vAlign w:val="center"/>
          </w:tcPr>
          <w:p>
            <w:pPr>
              <w:ind w:firstLine="120" w:firstLineChars="50"/>
              <w:jc w:val="center"/>
              <w:rPr>
                <w:rFonts w:ascii="宋体" w:hAnsi="宋体" w:cs="宋体"/>
                <w:sz w:val="24"/>
              </w:rPr>
            </w:pPr>
            <w:r>
              <w:rPr>
                <w:rFonts w:hint="eastAsia" w:ascii="宋体" w:hAnsi="宋体" w:cs="宋体"/>
                <w:sz w:val="24"/>
              </w:rPr>
              <w:t>合同分包</w:t>
            </w:r>
          </w:p>
          <w:p>
            <w:pPr>
              <w:ind w:firstLine="120" w:firstLineChars="50"/>
              <w:jc w:val="center"/>
              <w:rPr>
                <w:rFonts w:ascii="宋体" w:hAnsi="宋体" w:cs="宋体"/>
                <w:sz w:val="24"/>
              </w:rPr>
            </w:pPr>
            <w:r>
              <w:rPr>
                <w:rFonts w:hint="eastAsia" w:ascii="宋体" w:hAnsi="宋体" w:cs="宋体"/>
                <w:sz w:val="24"/>
              </w:rPr>
              <w:t>（实质性要求）</w:t>
            </w:r>
          </w:p>
        </w:tc>
        <w:tc>
          <w:tcPr>
            <w:tcW w:w="6924" w:type="dxa"/>
            <w:vAlign w:val="center"/>
          </w:tcPr>
          <w:p>
            <w:pPr>
              <w:pStyle w:val="50"/>
              <w:spacing w:line="360" w:lineRule="auto"/>
              <w:ind w:firstLine="240" w:firstLineChars="100"/>
              <w:jc w:val="both"/>
              <w:rPr>
                <w:b/>
                <w:kern w:val="2"/>
              </w:rPr>
            </w:pPr>
            <w:r>
              <w:rPr>
                <w:rFonts w:hint="eastAsia"/>
                <w:kern w:val="2"/>
              </w:rPr>
              <w:t>☑</w:t>
            </w:r>
            <w:r>
              <w:rPr>
                <w:rFonts w:hint="eastAsia"/>
                <w:b/>
                <w:kern w:val="2"/>
              </w:rPr>
              <w:t>本项目不接受合同分包。</w:t>
            </w:r>
          </w:p>
          <w:p>
            <w:pPr>
              <w:pStyle w:val="50"/>
              <w:spacing w:line="360" w:lineRule="auto"/>
              <w:ind w:firstLine="240" w:firstLineChars="100"/>
              <w:jc w:val="both"/>
              <w:rPr>
                <w:b/>
                <w:kern w:val="2"/>
              </w:rPr>
            </w:pPr>
            <w:r>
              <w:rPr>
                <w:rFonts w:hint="eastAsia"/>
                <w:kern w:val="2"/>
              </w:rPr>
              <w:t>□</w:t>
            </w:r>
            <w:r>
              <w:rPr>
                <w:rFonts w:hint="eastAsia"/>
                <w:b/>
                <w:kern w:val="2"/>
              </w:rPr>
              <w:t>本项目接受合同分包，具体要求如下：</w:t>
            </w:r>
          </w:p>
          <w:p>
            <w:pPr>
              <w:pStyle w:val="50"/>
              <w:spacing w:line="360" w:lineRule="auto"/>
              <w:ind w:firstLine="240" w:firstLineChars="100"/>
              <w:jc w:val="both"/>
              <w:rPr>
                <w:kern w:val="2"/>
              </w:rPr>
            </w:pPr>
            <w:r>
              <w:rPr>
                <w:rFonts w:hint="eastAsia"/>
                <w:kern w:val="2"/>
              </w:rPr>
              <w:t>1.投标人根据招标文件的规定和采购项目的实际情况，拟在中标后将中标项目的非主体、非关键性工作分包的，应当在投标文件中载明分包承担主体，分包承担主体应当具备相应资质条件且不得再次分包。分包供应商履行的分包项目的品牌、规格型号及技术要求等，必须与中标的一致。</w:t>
            </w:r>
          </w:p>
          <w:p>
            <w:pPr>
              <w:pStyle w:val="50"/>
              <w:spacing w:line="360" w:lineRule="auto"/>
              <w:ind w:firstLine="240" w:firstLineChars="100"/>
              <w:jc w:val="both"/>
              <w:rPr>
                <w:kern w:val="2"/>
              </w:rPr>
            </w:pPr>
            <w:r>
              <w:rPr>
                <w:rFonts w:hint="eastAsia"/>
                <w:kern w:val="2"/>
              </w:rPr>
              <w:t>2.分包履行合同的部分应当为采购项目的非主体、非关键性工作，不属于中标人的主要合同义务。</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26" w:hRule="atLeast"/>
          <w:jc w:val="center"/>
        </w:trPr>
        <w:tc>
          <w:tcPr>
            <w:tcW w:w="838" w:type="dxa"/>
            <w:tcBorders>
              <w:top w:val="single" w:color="auto" w:sz="4" w:space="0"/>
              <w:bottom w:val="single" w:color="auto" w:sz="4" w:space="0"/>
            </w:tcBorders>
            <w:vAlign w:val="center"/>
          </w:tcPr>
          <w:p>
            <w:pPr>
              <w:pStyle w:val="50"/>
              <w:spacing w:after="0" w:line="260" w:lineRule="auto"/>
              <w:jc w:val="center"/>
              <w:rPr>
                <w:kern w:val="2"/>
              </w:rPr>
            </w:pPr>
            <w:r>
              <w:rPr>
                <w:rFonts w:hint="eastAsia"/>
                <w:kern w:val="2"/>
              </w:rPr>
              <w:t>10</w:t>
            </w:r>
          </w:p>
        </w:tc>
        <w:tc>
          <w:tcPr>
            <w:tcW w:w="1901" w:type="dxa"/>
            <w:tcBorders>
              <w:top w:val="single" w:color="auto" w:sz="4" w:space="0"/>
              <w:bottom w:val="single" w:color="auto" w:sz="4" w:space="0"/>
            </w:tcBorders>
            <w:vAlign w:val="center"/>
          </w:tcPr>
          <w:p>
            <w:pPr>
              <w:pStyle w:val="50"/>
              <w:jc w:val="center"/>
              <w:rPr>
                <w:kern w:val="2"/>
              </w:rPr>
            </w:pPr>
            <w:r>
              <w:rPr>
                <w:rFonts w:hint="eastAsia"/>
                <w:b/>
                <w:bCs/>
                <w:kern w:val="2"/>
              </w:rPr>
              <w:t>采购项目具体事项/采购文件内容咨询</w:t>
            </w:r>
          </w:p>
        </w:tc>
        <w:tc>
          <w:tcPr>
            <w:tcW w:w="6924" w:type="dxa"/>
            <w:tcBorders>
              <w:top w:val="single" w:color="auto" w:sz="4" w:space="0"/>
              <w:bottom w:val="single" w:color="auto" w:sz="4" w:space="0"/>
            </w:tcBorders>
            <w:vAlign w:val="center"/>
          </w:tcPr>
          <w:p>
            <w:pPr>
              <w:spacing w:line="340" w:lineRule="exact"/>
              <w:ind w:right="105" w:rightChars="50"/>
              <w:jc w:val="left"/>
              <w:rPr>
                <w:rFonts w:ascii="宋体" w:hAnsi="宋体" w:cs="宋体"/>
                <w:sz w:val="24"/>
              </w:rPr>
            </w:pPr>
            <w:r>
              <w:rPr>
                <w:rFonts w:hint="eastAsia" w:ascii="宋体" w:hAnsi="宋体" w:cs="宋体"/>
                <w:sz w:val="24"/>
              </w:rPr>
              <w:t xml:space="preserve">联系人：王老师。 </w:t>
            </w:r>
          </w:p>
          <w:p>
            <w:pPr>
              <w:spacing w:line="340" w:lineRule="exact"/>
              <w:ind w:right="105" w:rightChars="50"/>
              <w:jc w:val="left"/>
              <w:rPr>
                <w:rFonts w:ascii="宋体" w:hAnsi="宋体" w:cs="宋体"/>
                <w:sz w:val="24"/>
              </w:rPr>
            </w:pPr>
            <w:r>
              <w:rPr>
                <w:rFonts w:hint="eastAsia" w:ascii="宋体" w:hAnsi="宋体" w:cs="宋体"/>
                <w:sz w:val="24"/>
              </w:rPr>
              <w:t>联系电话：028-84470966</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4" w:hRule="atLeast"/>
          <w:jc w:val="center"/>
        </w:trPr>
        <w:tc>
          <w:tcPr>
            <w:tcW w:w="838" w:type="dxa"/>
            <w:tcBorders>
              <w:top w:val="single" w:color="auto" w:sz="4" w:space="0"/>
              <w:bottom w:val="single" w:color="auto" w:sz="4" w:space="0"/>
            </w:tcBorders>
            <w:vAlign w:val="center"/>
          </w:tcPr>
          <w:p>
            <w:pPr>
              <w:pStyle w:val="50"/>
              <w:spacing w:after="0" w:line="260" w:lineRule="auto"/>
              <w:jc w:val="center"/>
              <w:rPr>
                <w:kern w:val="2"/>
              </w:rPr>
            </w:pPr>
            <w:r>
              <w:rPr>
                <w:rFonts w:hint="eastAsia"/>
                <w:kern w:val="2"/>
              </w:rPr>
              <w:t>11</w:t>
            </w:r>
          </w:p>
        </w:tc>
        <w:tc>
          <w:tcPr>
            <w:tcW w:w="1901" w:type="dxa"/>
            <w:tcBorders>
              <w:top w:val="single" w:color="auto" w:sz="4" w:space="0"/>
              <w:bottom w:val="single" w:color="auto" w:sz="4" w:space="0"/>
            </w:tcBorders>
            <w:vAlign w:val="center"/>
          </w:tcPr>
          <w:p>
            <w:pPr>
              <w:pStyle w:val="50"/>
              <w:jc w:val="center"/>
              <w:rPr>
                <w:kern w:val="2"/>
              </w:rPr>
            </w:pPr>
            <w:r>
              <w:rPr>
                <w:rFonts w:hint="eastAsia"/>
                <w:kern w:val="2"/>
              </w:rPr>
              <w:t>开标、评标工作咨询</w:t>
            </w:r>
          </w:p>
        </w:tc>
        <w:tc>
          <w:tcPr>
            <w:tcW w:w="6924" w:type="dxa"/>
            <w:tcBorders>
              <w:top w:val="single" w:color="auto" w:sz="4" w:space="0"/>
              <w:bottom w:val="single" w:color="auto" w:sz="4" w:space="0"/>
            </w:tcBorders>
            <w:vAlign w:val="center"/>
          </w:tcPr>
          <w:p>
            <w:pPr>
              <w:spacing w:line="340" w:lineRule="exact"/>
              <w:ind w:right="105" w:rightChars="50"/>
              <w:jc w:val="left"/>
              <w:rPr>
                <w:rFonts w:ascii="宋体" w:hAnsi="宋体" w:cs="宋体"/>
                <w:sz w:val="24"/>
              </w:rPr>
            </w:pPr>
            <w:r>
              <w:rPr>
                <w:rFonts w:hint="eastAsia" w:ascii="宋体" w:hAnsi="宋体" w:cs="宋体"/>
                <w:sz w:val="24"/>
              </w:rPr>
              <w:t xml:space="preserve">联系人：王老师。 </w:t>
            </w:r>
          </w:p>
          <w:p>
            <w:pPr>
              <w:spacing w:line="340" w:lineRule="exact"/>
              <w:ind w:right="105" w:rightChars="50"/>
              <w:jc w:val="left"/>
              <w:rPr>
                <w:rFonts w:ascii="宋体" w:hAnsi="宋体" w:cs="宋体"/>
                <w:sz w:val="24"/>
              </w:rPr>
            </w:pPr>
            <w:r>
              <w:rPr>
                <w:rFonts w:hint="eastAsia" w:ascii="宋体" w:hAnsi="宋体" w:cs="宋体"/>
                <w:sz w:val="24"/>
              </w:rPr>
              <w:t>联系电话：028-84470966</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tcBorders>
              <w:top w:val="single" w:color="auto" w:sz="4" w:space="0"/>
            </w:tcBorders>
            <w:vAlign w:val="center"/>
          </w:tcPr>
          <w:p>
            <w:pPr>
              <w:pStyle w:val="50"/>
              <w:spacing w:after="0" w:line="260" w:lineRule="auto"/>
              <w:jc w:val="center"/>
              <w:rPr>
                <w:kern w:val="2"/>
              </w:rPr>
            </w:pPr>
            <w:r>
              <w:rPr>
                <w:rFonts w:hint="eastAsia"/>
                <w:kern w:val="2"/>
              </w:rPr>
              <w:t>12</w:t>
            </w:r>
          </w:p>
        </w:tc>
        <w:tc>
          <w:tcPr>
            <w:tcW w:w="1901" w:type="dxa"/>
            <w:tcBorders>
              <w:top w:val="single" w:color="auto" w:sz="4" w:space="0"/>
            </w:tcBorders>
            <w:vAlign w:val="center"/>
          </w:tcPr>
          <w:p>
            <w:pPr>
              <w:spacing w:line="340" w:lineRule="exact"/>
              <w:ind w:left="105" w:leftChars="50" w:right="105" w:rightChars="50"/>
              <w:jc w:val="center"/>
              <w:rPr>
                <w:rFonts w:ascii="宋体" w:hAnsi="宋体" w:cs="宋体"/>
                <w:sz w:val="24"/>
              </w:rPr>
            </w:pPr>
            <w:r>
              <w:rPr>
                <w:rFonts w:hint="eastAsia" w:ascii="宋体" w:hAnsi="宋体" w:cs="宋体"/>
                <w:sz w:val="24"/>
              </w:rPr>
              <w:t>中标通知书领取</w:t>
            </w:r>
          </w:p>
        </w:tc>
        <w:tc>
          <w:tcPr>
            <w:tcW w:w="6924" w:type="dxa"/>
            <w:tcBorders>
              <w:top w:val="single" w:color="auto" w:sz="4" w:space="0"/>
            </w:tcBorders>
            <w:vAlign w:val="center"/>
          </w:tcPr>
          <w:p>
            <w:pPr>
              <w:ind w:firstLine="120" w:firstLineChars="50"/>
              <w:rPr>
                <w:rFonts w:ascii="宋体" w:hAnsi="宋体" w:cs="宋体"/>
                <w:sz w:val="24"/>
                <w:lang w:val="zh-CN"/>
              </w:rPr>
            </w:pPr>
            <w:r>
              <w:rPr>
                <w:rFonts w:hint="eastAsia" w:ascii="宋体" w:hAnsi="宋体" w:cs="宋体"/>
                <w:sz w:val="24"/>
                <w:lang w:val="zh-CN"/>
              </w:rPr>
              <w:t>在四川政府采购网公告中标结果同时发出中标通知书，请中标供应商凭有效身份证明及加盖鲜章的转账凭证（代理服务费）复印件到采购代理机构财务处领取中标通知书。</w:t>
            </w:r>
          </w:p>
          <w:p>
            <w:pPr>
              <w:ind w:firstLine="120" w:firstLineChars="50"/>
              <w:rPr>
                <w:rFonts w:ascii="宋体" w:hAnsi="宋体" w:cs="宋体"/>
                <w:sz w:val="24"/>
                <w:lang w:val="zh-CN"/>
              </w:rPr>
            </w:pPr>
            <w:r>
              <w:rPr>
                <w:rFonts w:hint="eastAsia" w:ascii="宋体" w:hAnsi="宋体" w:cs="宋体"/>
                <w:sz w:val="24"/>
                <w:lang w:val="zh-CN"/>
              </w:rPr>
              <w:t>联系人：岳老师</w:t>
            </w:r>
          </w:p>
          <w:p>
            <w:pPr>
              <w:ind w:firstLine="120" w:firstLineChars="50"/>
              <w:rPr>
                <w:rFonts w:ascii="宋体" w:hAnsi="宋体" w:cs="宋体"/>
                <w:sz w:val="24"/>
              </w:rPr>
            </w:pPr>
            <w:r>
              <w:rPr>
                <w:rFonts w:hint="eastAsia" w:ascii="宋体" w:hAnsi="宋体" w:cs="宋体"/>
                <w:sz w:val="24"/>
                <w:lang w:val="zh-CN"/>
              </w:rPr>
              <w:t>联系电话：</w:t>
            </w:r>
            <w:r>
              <w:rPr>
                <w:rFonts w:hint="eastAsia" w:ascii="宋体" w:hAnsi="宋体" w:cs="宋体"/>
                <w:sz w:val="24"/>
              </w:rPr>
              <w:t>028-85161122转8501</w:t>
            </w:r>
          </w:p>
          <w:p>
            <w:pPr>
              <w:ind w:firstLine="120" w:firstLineChars="50"/>
            </w:pPr>
            <w:r>
              <w:rPr>
                <w:rFonts w:hint="eastAsia" w:ascii="宋体" w:hAnsi="宋体" w:cs="宋体"/>
                <w:sz w:val="24"/>
              </w:rPr>
              <w:t>地址：成都市高新区九兴大道14号凯乐国际2号楼10楼财务室。</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tcBorders>
              <w:top w:val="single" w:color="auto" w:sz="4" w:space="0"/>
            </w:tcBorders>
            <w:vAlign w:val="center"/>
          </w:tcPr>
          <w:p>
            <w:pPr>
              <w:pStyle w:val="50"/>
              <w:spacing w:after="0" w:line="260" w:lineRule="auto"/>
              <w:jc w:val="center"/>
              <w:rPr>
                <w:kern w:val="2"/>
              </w:rPr>
            </w:pPr>
            <w:r>
              <w:rPr>
                <w:rFonts w:hint="eastAsia"/>
                <w:kern w:val="2"/>
              </w:rPr>
              <w:t>13</w:t>
            </w:r>
          </w:p>
        </w:tc>
        <w:tc>
          <w:tcPr>
            <w:tcW w:w="1901" w:type="dxa"/>
            <w:tcBorders>
              <w:top w:val="single" w:color="auto" w:sz="4" w:space="0"/>
            </w:tcBorders>
            <w:vAlign w:val="center"/>
          </w:tcPr>
          <w:p>
            <w:pPr>
              <w:pStyle w:val="50"/>
              <w:jc w:val="center"/>
              <w:rPr>
                <w:kern w:val="2"/>
              </w:rPr>
            </w:pPr>
            <w:r>
              <w:rPr>
                <w:rFonts w:hint="eastAsia"/>
                <w:kern w:val="2"/>
              </w:rPr>
              <w:t>供应商询问</w:t>
            </w:r>
          </w:p>
        </w:tc>
        <w:tc>
          <w:tcPr>
            <w:tcW w:w="6924" w:type="dxa"/>
            <w:tcBorders>
              <w:top w:val="single" w:color="auto" w:sz="4" w:space="0"/>
            </w:tcBorders>
          </w:tcPr>
          <w:p>
            <w:pPr>
              <w:ind w:firstLine="120" w:firstLineChars="50"/>
              <w:rPr>
                <w:rFonts w:ascii="宋体" w:hAnsi="宋体" w:cs="宋体"/>
                <w:sz w:val="24"/>
                <w:lang w:val="zh-CN"/>
              </w:rPr>
            </w:pPr>
            <w:r>
              <w:rPr>
                <w:rFonts w:hint="eastAsia" w:ascii="宋体" w:hAnsi="宋体" w:cs="宋体"/>
                <w:sz w:val="24"/>
                <w:lang w:val="zh-CN"/>
              </w:rPr>
              <w:t>根据委托代理协议约定，供应商询问由采购代理机构负责答复。</w:t>
            </w:r>
          </w:p>
          <w:p>
            <w:pPr>
              <w:ind w:firstLine="120" w:firstLineChars="50"/>
              <w:rPr>
                <w:rFonts w:ascii="宋体" w:hAnsi="宋体" w:cs="宋体"/>
                <w:sz w:val="24"/>
                <w:lang w:val="zh-CN"/>
              </w:rPr>
            </w:pPr>
            <w:r>
              <w:rPr>
                <w:rFonts w:hint="eastAsia" w:ascii="宋体" w:hAnsi="宋体" w:cs="宋体"/>
                <w:sz w:val="24"/>
                <w:lang w:val="zh-CN"/>
              </w:rPr>
              <w:t>项目问题询问：</w:t>
            </w:r>
          </w:p>
          <w:p>
            <w:pPr>
              <w:ind w:firstLine="120" w:firstLineChars="50"/>
              <w:rPr>
                <w:rFonts w:ascii="宋体" w:hAnsi="宋体" w:cs="宋体"/>
                <w:sz w:val="24"/>
              </w:rPr>
            </w:pPr>
            <w:r>
              <w:rPr>
                <w:rFonts w:hint="eastAsia" w:ascii="宋体" w:hAnsi="宋体" w:cs="宋体"/>
                <w:sz w:val="24"/>
              </w:rPr>
              <w:t xml:space="preserve">联系人：王老师。 </w:t>
            </w:r>
          </w:p>
          <w:p>
            <w:pPr>
              <w:ind w:firstLine="120" w:firstLineChars="50"/>
              <w:rPr>
                <w:rFonts w:ascii="宋体" w:hAnsi="宋体" w:cs="宋体"/>
                <w:sz w:val="24"/>
              </w:rPr>
            </w:pPr>
            <w:r>
              <w:rPr>
                <w:rFonts w:hint="eastAsia" w:ascii="宋体" w:hAnsi="宋体" w:cs="宋体"/>
                <w:sz w:val="24"/>
              </w:rPr>
              <w:t>联系电话：028-84470966</w:t>
            </w:r>
          </w:p>
          <w:p>
            <w:pPr>
              <w:rPr>
                <w:rFonts w:ascii="宋体" w:hAnsi="宋体" w:cs="宋体"/>
                <w:sz w:val="24"/>
              </w:rPr>
            </w:pPr>
            <w:r>
              <w:rPr>
                <w:rFonts w:hint="eastAsia" w:ascii="宋体" w:hAnsi="宋体" w:cs="宋体"/>
                <w:sz w:val="24"/>
                <w:lang w:val="zh-CN"/>
              </w:rPr>
              <w:t>递交地址</w:t>
            </w:r>
            <w:r>
              <w:rPr>
                <w:rFonts w:hint="eastAsia" w:ascii="宋体" w:hAnsi="宋体" w:cs="宋体"/>
                <w:sz w:val="24"/>
              </w:rPr>
              <w:t>：https://www.zcygov.cn</w:t>
            </w:r>
            <w:r>
              <w:rPr>
                <w:rFonts w:hint="eastAsia" w:ascii="宋体" w:hAnsi="宋体" w:cs="宋体"/>
                <w:sz w:val="24"/>
                <w:lang w:val="zh-CN"/>
              </w:rPr>
              <w:t>。（须通过政采云平台递交，请勿线下提交。）</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50"/>
              <w:spacing w:after="0" w:line="260" w:lineRule="auto"/>
              <w:jc w:val="center"/>
              <w:rPr>
                <w:kern w:val="2"/>
              </w:rPr>
            </w:pPr>
            <w:r>
              <w:rPr>
                <w:rFonts w:hint="eastAsia"/>
                <w:kern w:val="2"/>
              </w:rPr>
              <w:t>14</w:t>
            </w:r>
          </w:p>
        </w:tc>
        <w:tc>
          <w:tcPr>
            <w:tcW w:w="1901" w:type="dxa"/>
            <w:vAlign w:val="center"/>
          </w:tcPr>
          <w:p>
            <w:pPr>
              <w:pStyle w:val="50"/>
              <w:jc w:val="center"/>
              <w:rPr>
                <w:kern w:val="2"/>
              </w:rPr>
            </w:pPr>
            <w:r>
              <w:rPr>
                <w:rFonts w:hint="eastAsia"/>
                <w:kern w:val="2"/>
              </w:rPr>
              <w:t>供应商质疑</w:t>
            </w:r>
          </w:p>
        </w:tc>
        <w:tc>
          <w:tcPr>
            <w:tcW w:w="6924" w:type="dxa"/>
            <w:vAlign w:val="center"/>
          </w:tcPr>
          <w:p>
            <w:pPr>
              <w:spacing w:line="340" w:lineRule="exact"/>
              <w:ind w:right="105" w:rightChars="50"/>
              <w:jc w:val="left"/>
              <w:rPr>
                <w:rFonts w:ascii="宋体" w:hAnsi="宋体" w:cs="宋体"/>
                <w:sz w:val="24"/>
              </w:rPr>
            </w:pPr>
            <w:r>
              <w:rPr>
                <w:rFonts w:hint="eastAsia" w:ascii="宋体" w:hAnsi="宋体" w:cs="宋体"/>
                <w:sz w:val="24"/>
              </w:rPr>
              <w:t>根据委托代理协议约定，供应商质疑由采购代理机构负责答复。</w:t>
            </w:r>
          </w:p>
          <w:p>
            <w:pPr>
              <w:spacing w:line="340" w:lineRule="exact"/>
              <w:ind w:right="105" w:rightChars="50"/>
              <w:jc w:val="left"/>
              <w:rPr>
                <w:rFonts w:ascii="宋体" w:hAnsi="宋体" w:cs="宋体"/>
                <w:sz w:val="24"/>
              </w:rPr>
            </w:pPr>
            <w:r>
              <w:rPr>
                <w:rFonts w:hint="eastAsia" w:ascii="宋体" w:hAnsi="宋体" w:cs="宋体"/>
                <w:sz w:val="24"/>
              </w:rPr>
              <w:t xml:space="preserve">联系人：王老师。 </w:t>
            </w:r>
          </w:p>
          <w:p>
            <w:pPr>
              <w:spacing w:line="340" w:lineRule="exact"/>
              <w:ind w:right="105" w:rightChars="50"/>
              <w:jc w:val="left"/>
              <w:rPr>
                <w:rFonts w:ascii="宋体" w:hAnsi="宋体" w:cs="宋体"/>
                <w:sz w:val="24"/>
              </w:rPr>
            </w:pPr>
            <w:r>
              <w:rPr>
                <w:rFonts w:hint="eastAsia" w:ascii="宋体" w:hAnsi="宋体" w:cs="宋体"/>
                <w:sz w:val="24"/>
              </w:rPr>
              <w:t>联系电话：028-84470966</w:t>
            </w:r>
          </w:p>
          <w:p>
            <w:pPr>
              <w:spacing w:line="340" w:lineRule="exact"/>
              <w:ind w:right="105" w:rightChars="50"/>
              <w:jc w:val="left"/>
              <w:rPr>
                <w:rFonts w:ascii="宋体" w:hAnsi="宋体" w:cs="宋体"/>
                <w:sz w:val="24"/>
              </w:rPr>
            </w:pPr>
            <w:r>
              <w:rPr>
                <w:rFonts w:hint="eastAsia" w:ascii="宋体" w:hAnsi="宋体" w:cs="宋体"/>
                <w:sz w:val="24"/>
                <w:lang w:val="zh-CN"/>
              </w:rPr>
              <w:t>递交地址</w:t>
            </w:r>
            <w:r>
              <w:rPr>
                <w:rFonts w:hint="eastAsia" w:ascii="宋体" w:hAnsi="宋体" w:cs="宋体"/>
                <w:sz w:val="24"/>
              </w:rPr>
              <w:t>：https://www.zcygov.cn</w:t>
            </w:r>
            <w:r>
              <w:rPr>
                <w:rFonts w:hint="eastAsia" w:ascii="宋体" w:hAnsi="宋体" w:cs="宋体"/>
                <w:sz w:val="24"/>
                <w:lang w:val="zh-CN"/>
              </w:rPr>
              <w:t>。（须通过政采云平台递交，请勿线下提交。）</w:t>
            </w:r>
          </w:p>
          <w:p>
            <w:pPr>
              <w:spacing w:line="340" w:lineRule="exact"/>
              <w:ind w:right="105" w:rightChars="50"/>
              <w:jc w:val="left"/>
              <w:rPr>
                <w:rFonts w:ascii="宋体" w:hAnsi="宋体" w:cs="宋体"/>
                <w:sz w:val="24"/>
              </w:rPr>
            </w:pPr>
            <w:r>
              <w:rPr>
                <w:rFonts w:hint="eastAsia" w:ascii="宋体" w:hAnsi="宋体" w:cs="宋体"/>
                <w:sz w:val="24"/>
              </w:rPr>
              <w:t>注：根据《中华人民共和国政府采购法》等规定，供应商质疑不得超出采购文件、采购过程、采购结果的范围, 供应商针对同一采购程序环节的质疑应在法定质疑期内一次性提出。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spacing w:after="0" w:line="260" w:lineRule="auto"/>
              <w:ind w:firstLine="360" w:firstLineChars="150"/>
              <w:jc w:val="center"/>
              <w:rPr>
                <w:rFonts w:ascii="宋体" w:hAnsi="宋体" w:cs="宋体"/>
                <w:sz w:val="24"/>
              </w:rPr>
            </w:pPr>
          </w:p>
          <w:p>
            <w:pPr>
              <w:spacing w:after="0" w:line="260" w:lineRule="auto"/>
              <w:ind w:firstLine="120" w:firstLineChars="50"/>
              <w:jc w:val="center"/>
              <w:rPr>
                <w:rFonts w:ascii="宋体" w:hAnsi="宋体" w:cs="宋体"/>
                <w:sz w:val="24"/>
              </w:rPr>
            </w:pPr>
            <w:r>
              <w:rPr>
                <w:rFonts w:hint="eastAsia" w:ascii="宋体" w:hAnsi="宋体" w:cs="宋体"/>
                <w:sz w:val="24"/>
              </w:rPr>
              <w:t>15</w:t>
            </w:r>
          </w:p>
        </w:tc>
        <w:tc>
          <w:tcPr>
            <w:tcW w:w="1901" w:type="dxa"/>
            <w:vAlign w:val="center"/>
          </w:tcPr>
          <w:p>
            <w:pPr>
              <w:pStyle w:val="50"/>
              <w:jc w:val="center"/>
              <w:rPr>
                <w:kern w:val="2"/>
              </w:rPr>
            </w:pPr>
            <w:r>
              <w:rPr>
                <w:rFonts w:hint="eastAsia"/>
                <w:kern w:val="2"/>
              </w:rPr>
              <w:t>供应商投诉</w:t>
            </w:r>
          </w:p>
        </w:tc>
        <w:tc>
          <w:tcPr>
            <w:tcW w:w="6924" w:type="dxa"/>
          </w:tcPr>
          <w:p>
            <w:pPr>
              <w:spacing w:line="340" w:lineRule="exact"/>
              <w:ind w:right="105" w:rightChars="50"/>
              <w:rPr>
                <w:rFonts w:ascii="宋体" w:hAnsi="宋体" w:cs="宋体"/>
                <w:sz w:val="24"/>
              </w:rPr>
            </w:pPr>
            <w:r>
              <w:rPr>
                <w:rFonts w:hint="eastAsia" w:ascii="宋体" w:hAnsi="宋体" w:cs="宋体"/>
                <w:sz w:val="24"/>
              </w:rPr>
              <w:t>投诉受理单位：本采购项目同级财政部门，即成都市财政局。</w:t>
            </w:r>
          </w:p>
          <w:p>
            <w:pPr>
              <w:spacing w:line="340" w:lineRule="exact"/>
              <w:ind w:right="105" w:rightChars="50"/>
              <w:rPr>
                <w:rFonts w:ascii="宋体" w:hAnsi="宋体" w:cs="宋体"/>
                <w:sz w:val="24"/>
              </w:rPr>
            </w:pPr>
            <w:r>
              <w:rPr>
                <w:rFonts w:hint="eastAsia" w:ascii="宋体" w:hAnsi="宋体" w:cs="宋体"/>
                <w:sz w:val="24"/>
              </w:rPr>
              <w:t>联系电话：028-61882648。</w:t>
            </w:r>
          </w:p>
          <w:p>
            <w:pPr>
              <w:spacing w:line="340" w:lineRule="exact"/>
              <w:ind w:right="105" w:rightChars="50"/>
              <w:jc w:val="left"/>
              <w:rPr>
                <w:rFonts w:ascii="宋体" w:hAnsi="宋体" w:cs="宋体"/>
                <w:sz w:val="24"/>
              </w:rPr>
            </w:pPr>
            <w:r>
              <w:rPr>
                <w:rFonts w:hint="eastAsia" w:ascii="宋体" w:hAnsi="宋体" w:cs="宋体"/>
                <w:sz w:val="24"/>
              </w:rPr>
              <w:t>地址：成都市锦城大道366号。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spacing w:after="0" w:line="260" w:lineRule="auto"/>
              <w:ind w:firstLine="120" w:firstLineChars="50"/>
              <w:jc w:val="center"/>
              <w:rPr>
                <w:rFonts w:ascii="宋体" w:hAnsi="宋体" w:cs="宋体"/>
                <w:sz w:val="24"/>
              </w:rPr>
            </w:pPr>
            <w:r>
              <w:rPr>
                <w:rFonts w:hint="eastAsia" w:ascii="宋体" w:hAnsi="宋体" w:cs="宋体"/>
                <w:sz w:val="24"/>
              </w:rPr>
              <w:t>16</w:t>
            </w:r>
          </w:p>
        </w:tc>
        <w:tc>
          <w:tcPr>
            <w:tcW w:w="1901" w:type="dxa"/>
            <w:tcBorders>
              <w:right w:val="single" w:color="auto" w:sz="4" w:space="0"/>
            </w:tcBorders>
          </w:tcPr>
          <w:p>
            <w:pPr>
              <w:jc w:val="center"/>
              <w:rPr>
                <w:rFonts w:ascii="宋体" w:hAnsi="宋体" w:cs="宋体"/>
                <w:sz w:val="24"/>
              </w:rPr>
            </w:pPr>
          </w:p>
          <w:p>
            <w:pPr>
              <w:ind w:firstLine="120" w:firstLineChars="50"/>
              <w:jc w:val="center"/>
              <w:rPr>
                <w:rFonts w:ascii="宋体" w:hAnsi="宋体" w:cs="宋体"/>
                <w:sz w:val="24"/>
              </w:rPr>
            </w:pPr>
            <w:r>
              <w:rPr>
                <w:rFonts w:hint="eastAsia" w:ascii="宋体" w:hAnsi="宋体" w:cs="宋体"/>
                <w:sz w:val="24"/>
              </w:rPr>
              <w:t>政府采购合同</w:t>
            </w:r>
          </w:p>
          <w:p>
            <w:pPr>
              <w:ind w:firstLine="120" w:firstLineChars="50"/>
              <w:jc w:val="center"/>
              <w:rPr>
                <w:rFonts w:ascii="宋体" w:hAnsi="宋体" w:cs="宋体"/>
                <w:sz w:val="24"/>
              </w:rPr>
            </w:pPr>
            <w:r>
              <w:rPr>
                <w:rFonts w:hint="eastAsia" w:ascii="宋体" w:hAnsi="宋体" w:cs="宋体"/>
                <w:sz w:val="24"/>
              </w:rPr>
              <w:t>公告备案</w:t>
            </w:r>
          </w:p>
        </w:tc>
        <w:tc>
          <w:tcPr>
            <w:tcW w:w="6924" w:type="dxa"/>
            <w:tcBorders>
              <w:left w:val="single" w:color="auto" w:sz="4" w:space="0"/>
            </w:tcBorders>
            <w:vAlign w:val="center"/>
          </w:tcPr>
          <w:p>
            <w:pPr>
              <w:rPr>
                <w:rFonts w:ascii="宋体" w:hAnsi="宋体" w:cs="宋体"/>
                <w:sz w:val="24"/>
              </w:rPr>
            </w:pPr>
            <w:bookmarkStart w:id="20" w:name="PO_默认文件内容_38"/>
            <w:r>
              <w:rPr>
                <w:rFonts w:hint="eastAsia" w:ascii="宋体" w:hAnsi="宋体" w:cs="宋体"/>
                <w:sz w:val="24"/>
              </w:rPr>
              <w:t>政府采购合同签订之日起2个工作日内，采购人应将政府采购合同在四川政府采购网公告；政府采购合同签订之日起七个工作日内，政府采购合同将向本采购项目同级财政部门备案</w:t>
            </w:r>
            <w:r>
              <w:rPr>
                <w:rFonts w:hint="eastAsia" w:ascii="宋体" w:hAnsi="宋体" w:cs="宋体"/>
                <w:sz w:val="24"/>
                <w:lang w:val="zh-CN"/>
              </w:rPr>
              <w:t>。</w:t>
            </w:r>
            <w:bookmarkEnd w:id="20"/>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80" w:hRule="atLeast"/>
          <w:jc w:val="center"/>
        </w:trPr>
        <w:tc>
          <w:tcPr>
            <w:tcW w:w="838" w:type="dxa"/>
            <w:vAlign w:val="center"/>
          </w:tcPr>
          <w:p>
            <w:pPr>
              <w:spacing w:after="0" w:line="260" w:lineRule="auto"/>
              <w:ind w:firstLine="120" w:firstLineChars="50"/>
              <w:jc w:val="center"/>
              <w:rPr>
                <w:rFonts w:ascii="宋体" w:hAnsi="宋体" w:cs="宋体"/>
                <w:sz w:val="24"/>
              </w:rPr>
            </w:pPr>
            <w:r>
              <w:rPr>
                <w:rFonts w:hint="eastAsia" w:ascii="宋体" w:hAnsi="宋体" w:cs="宋体"/>
                <w:sz w:val="24"/>
              </w:rPr>
              <w:t>17</w:t>
            </w:r>
          </w:p>
        </w:tc>
        <w:tc>
          <w:tcPr>
            <w:tcW w:w="1901" w:type="dxa"/>
            <w:tcBorders>
              <w:right w:val="single" w:color="auto" w:sz="4" w:space="0"/>
            </w:tcBorders>
            <w:vAlign w:val="center"/>
          </w:tcPr>
          <w:p>
            <w:pPr>
              <w:pStyle w:val="50"/>
              <w:ind w:left="96"/>
              <w:jc w:val="center"/>
            </w:pPr>
            <w:r>
              <w:rPr>
                <w:rFonts w:hint="eastAsia"/>
                <w:lang w:val="zh-CN"/>
              </w:rPr>
              <w:t>招标服务费</w:t>
            </w:r>
          </w:p>
        </w:tc>
        <w:tc>
          <w:tcPr>
            <w:tcW w:w="6924" w:type="dxa"/>
            <w:tcBorders>
              <w:left w:val="single" w:color="auto" w:sz="4" w:space="0"/>
            </w:tcBorders>
            <w:vAlign w:val="center"/>
          </w:tcPr>
          <w:p>
            <w:pPr>
              <w:pStyle w:val="50"/>
              <w:rPr>
                <w:lang w:val="zh-CN"/>
              </w:rPr>
            </w:pPr>
            <w:bookmarkStart w:id="21" w:name="PO_默认文件内容_8"/>
            <w:r>
              <w:rPr>
                <w:rFonts w:hint="eastAsia"/>
                <w:lang w:val="zh-CN"/>
              </w:rPr>
              <w:t>依照成本加合理利润的原则,以中标金额作为计算基数,</w:t>
            </w:r>
            <w:r>
              <w:rPr>
                <w:rFonts w:hint="eastAsia"/>
              </w:rPr>
              <w:t xml:space="preserve"> </w:t>
            </w:r>
            <w:r>
              <w:rPr>
                <w:rFonts w:hint="eastAsia"/>
                <w:lang w:val="zh-CN"/>
              </w:rPr>
              <w:t>按下列收费标准</w:t>
            </w:r>
            <w:bookmarkEnd w:id="21"/>
            <w:r>
              <w:rPr>
                <w:rFonts w:hint="eastAsia"/>
              </w:rPr>
              <w:t>下浮20%</w:t>
            </w:r>
            <w:r>
              <w:rPr>
                <w:rFonts w:hint="eastAsia"/>
                <w:lang w:val="zh-CN"/>
              </w:rPr>
              <w:t>进行收取:</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7"/>
              <w:gridCol w:w="1478"/>
              <w:gridCol w:w="1477"/>
              <w:gridCol w:w="1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 w:hRule="atLeast"/>
              </w:trPr>
              <w:tc>
                <w:tcPr>
                  <w:tcW w:w="1827" w:type="dxa"/>
                  <w:tcBorders>
                    <w:top w:val="single" w:color="auto" w:sz="4" w:space="0"/>
                    <w:left w:val="single" w:color="auto" w:sz="4" w:space="0"/>
                    <w:bottom w:val="single" w:color="auto" w:sz="4" w:space="0"/>
                    <w:right w:val="single" w:color="auto" w:sz="4" w:space="0"/>
                  </w:tcBorders>
                </w:tcPr>
                <w:p>
                  <w:pPr>
                    <w:rPr>
                      <w:rFonts w:ascii="宋体" w:hAnsi="宋体" w:cs="宋体"/>
                      <w:b/>
                      <w:sz w:val="24"/>
                    </w:rPr>
                  </w:pPr>
                  <w:r>
                    <w:rPr>
                      <w:rFonts w:hint="eastAsia" w:ascii="宋体" w:hAnsi="宋体" w:cs="宋体"/>
                      <w:b/>
                      <w:sz w:val="24"/>
                    </w:rPr>
                    <w:t>服务类型</w:t>
                  </w:r>
                </w:p>
                <w:p>
                  <w:pPr>
                    <w:snapToGrid w:val="0"/>
                    <w:rPr>
                      <w:rFonts w:ascii="宋体" w:hAnsi="宋体" w:cs="宋体"/>
                      <w:b/>
                      <w:sz w:val="24"/>
                    </w:rPr>
                  </w:pPr>
                  <w:r>
                    <w:rPr>
                      <w:rFonts w:hint="eastAsia" w:ascii="宋体" w:hAnsi="宋体" w:cs="宋体"/>
                      <w:b/>
                      <w:sz w:val="24"/>
                    </w:rPr>
                    <w:t>费率</w:t>
                  </w:r>
                </w:p>
                <w:p>
                  <w:pPr>
                    <w:snapToGrid w:val="0"/>
                    <w:rPr>
                      <w:rFonts w:ascii="宋体" w:hAnsi="宋体" w:cs="宋体"/>
                      <w:b/>
                      <w:sz w:val="24"/>
                    </w:rPr>
                  </w:pPr>
                  <w:r>
                    <w:rPr>
                      <w:rFonts w:hint="eastAsia" w:ascii="宋体" w:hAnsi="宋体" w:cs="宋体"/>
                      <w:b/>
                      <w:sz w:val="24"/>
                    </w:rPr>
                    <w:t>中标金额（万元）</w:t>
                  </w:r>
                </w:p>
              </w:tc>
              <w:tc>
                <w:tcPr>
                  <w:tcW w:w="147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sz w:val="24"/>
                    </w:rPr>
                  </w:pPr>
                  <w:r>
                    <w:rPr>
                      <w:rFonts w:hint="eastAsia" w:ascii="宋体" w:hAnsi="宋体" w:cs="宋体"/>
                      <w:b/>
                      <w:sz w:val="24"/>
                    </w:rPr>
                    <w:t>货物招标</w:t>
                  </w:r>
                </w:p>
              </w:tc>
              <w:tc>
                <w:tcPr>
                  <w:tcW w:w="147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sz w:val="24"/>
                    </w:rPr>
                  </w:pPr>
                  <w:r>
                    <w:rPr>
                      <w:rFonts w:hint="eastAsia" w:ascii="宋体" w:hAnsi="宋体" w:cs="宋体"/>
                      <w:b/>
                      <w:sz w:val="24"/>
                    </w:rPr>
                    <w:t>服务招标</w:t>
                  </w:r>
                </w:p>
              </w:tc>
              <w:tc>
                <w:tcPr>
                  <w:tcW w:w="147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sz w:val="24"/>
                    </w:rPr>
                  </w:pPr>
                  <w:r>
                    <w:rPr>
                      <w:rFonts w:hint="eastAsia" w:ascii="宋体" w:hAnsi="宋体" w:cs="宋体"/>
                      <w:b/>
                      <w:sz w:val="24"/>
                    </w:rPr>
                    <w:t>工程招标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827" w:type="dxa"/>
                  <w:tcBorders>
                    <w:top w:val="single" w:color="auto" w:sz="4" w:space="0"/>
                    <w:left w:val="single" w:color="auto" w:sz="4" w:space="0"/>
                    <w:bottom w:val="single" w:color="auto" w:sz="4" w:space="0"/>
                    <w:right w:val="single" w:color="auto" w:sz="4" w:space="0"/>
                  </w:tcBorders>
                </w:tcPr>
                <w:p>
                  <w:pPr>
                    <w:jc w:val="center"/>
                    <w:rPr>
                      <w:rFonts w:ascii="宋体" w:hAnsi="宋体" w:cs="宋体"/>
                      <w:sz w:val="24"/>
                    </w:rPr>
                  </w:pPr>
                  <w:r>
                    <w:rPr>
                      <w:rFonts w:hint="eastAsia" w:ascii="宋体" w:hAnsi="宋体" w:cs="宋体"/>
                      <w:sz w:val="24"/>
                    </w:rPr>
                    <w:t>100以下</w:t>
                  </w:r>
                </w:p>
              </w:tc>
              <w:tc>
                <w:tcPr>
                  <w:tcW w:w="1478" w:type="dxa"/>
                  <w:tcBorders>
                    <w:top w:val="single" w:color="auto" w:sz="4" w:space="0"/>
                    <w:left w:val="single" w:color="auto" w:sz="4" w:space="0"/>
                    <w:bottom w:val="single" w:color="auto" w:sz="4" w:space="0"/>
                    <w:right w:val="single" w:color="auto" w:sz="4" w:space="0"/>
                  </w:tcBorders>
                </w:tcPr>
                <w:p>
                  <w:pPr>
                    <w:jc w:val="center"/>
                    <w:rPr>
                      <w:rFonts w:ascii="宋体" w:hAnsi="宋体" w:cs="宋体"/>
                      <w:sz w:val="24"/>
                    </w:rPr>
                  </w:pPr>
                  <w:r>
                    <w:rPr>
                      <w:rFonts w:hint="eastAsia" w:ascii="宋体" w:hAnsi="宋体" w:cs="宋体"/>
                      <w:sz w:val="24"/>
                    </w:rPr>
                    <w:t>1.5%</w:t>
                  </w:r>
                </w:p>
              </w:tc>
              <w:tc>
                <w:tcPr>
                  <w:tcW w:w="1477" w:type="dxa"/>
                  <w:tcBorders>
                    <w:top w:val="single" w:color="auto" w:sz="4" w:space="0"/>
                    <w:left w:val="single" w:color="auto" w:sz="4" w:space="0"/>
                    <w:bottom w:val="single" w:color="auto" w:sz="4" w:space="0"/>
                    <w:right w:val="single" w:color="auto" w:sz="4" w:space="0"/>
                  </w:tcBorders>
                </w:tcPr>
                <w:p>
                  <w:pPr>
                    <w:jc w:val="center"/>
                    <w:rPr>
                      <w:rFonts w:ascii="宋体" w:hAnsi="宋体" w:cs="宋体"/>
                      <w:sz w:val="24"/>
                    </w:rPr>
                  </w:pPr>
                  <w:r>
                    <w:rPr>
                      <w:rFonts w:hint="eastAsia" w:ascii="宋体" w:hAnsi="宋体" w:cs="宋体"/>
                      <w:sz w:val="24"/>
                    </w:rPr>
                    <w:t>1.5%</w:t>
                  </w:r>
                </w:p>
              </w:tc>
              <w:tc>
                <w:tcPr>
                  <w:tcW w:w="1478" w:type="dxa"/>
                  <w:tcBorders>
                    <w:top w:val="single" w:color="auto" w:sz="4" w:space="0"/>
                    <w:left w:val="single" w:color="auto" w:sz="4" w:space="0"/>
                    <w:bottom w:val="single" w:color="auto" w:sz="4" w:space="0"/>
                    <w:right w:val="single" w:color="auto" w:sz="4" w:space="0"/>
                  </w:tcBorders>
                </w:tcPr>
                <w:p>
                  <w:pPr>
                    <w:jc w:val="center"/>
                    <w:rPr>
                      <w:rFonts w:ascii="宋体" w:hAnsi="宋体" w:cs="宋体"/>
                      <w:sz w:val="24"/>
                    </w:rPr>
                  </w:pPr>
                  <w:r>
                    <w:rPr>
                      <w:rFonts w:hint="eastAsia" w:ascii="宋体" w:hAnsi="宋体" w:cs="宋体"/>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Borders>
                    <w:top w:val="single" w:color="auto" w:sz="4" w:space="0"/>
                    <w:left w:val="single" w:color="auto" w:sz="4" w:space="0"/>
                    <w:bottom w:val="single" w:color="auto" w:sz="4" w:space="0"/>
                    <w:right w:val="single" w:color="auto" w:sz="4" w:space="0"/>
                  </w:tcBorders>
                </w:tcPr>
                <w:p>
                  <w:pPr>
                    <w:jc w:val="center"/>
                    <w:rPr>
                      <w:rFonts w:ascii="宋体" w:hAnsi="宋体" w:cs="宋体"/>
                      <w:sz w:val="24"/>
                    </w:rPr>
                  </w:pPr>
                  <w:r>
                    <w:rPr>
                      <w:rFonts w:hint="eastAsia" w:ascii="宋体" w:hAnsi="宋体" w:cs="宋体"/>
                      <w:sz w:val="24"/>
                    </w:rPr>
                    <w:t>100-500</w:t>
                  </w:r>
                </w:p>
              </w:tc>
              <w:tc>
                <w:tcPr>
                  <w:tcW w:w="1478" w:type="dxa"/>
                  <w:tcBorders>
                    <w:top w:val="single" w:color="auto" w:sz="4" w:space="0"/>
                    <w:left w:val="single" w:color="auto" w:sz="4" w:space="0"/>
                    <w:bottom w:val="single" w:color="auto" w:sz="4" w:space="0"/>
                    <w:right w:val="single" w:color="auto" w:sz="4" w:space="0"/>
                  </w:tcBorders>
                </w:tcPr>
                <w:p>
                  <w:pPr>
                    <w:jc w:val="center"/>
                    <w:rPr>
                      <w:rFonts w:ascii="宋体" w:hAnsi="宋体" w:cs="宋体"/>
                      <w:sz w:val="24"/>
                    </w:rPr>
                  </w:pPr>
                  <w:r>
                    <w:rPr>
                      <w:rFonts w:hint="eastAsia" w:ascii="宋体" w:hAnsi="宋体" w:cs="宋体"/>
                      <w:sz w:val="24"/>
                    </w:rPr>
                    <w:t>1.1%</w:t>
                  </w:r>
                </w:p>
              </w:tc>
              <w:tc>
                <w:tcPr>
                  <w:tcW w:w="1477" w:type="dxa"/>
                  <w:tcBorders>
                    <w:top w:val="single" w:color="auto" w:sz="4" w:space="0"/>
                    <w:left w:val="single" w:color="auto" w:sz="4" w:space="0"/>
                    <w:bottom w:val="single" w:color="auto" w:sz="4" w:space="0"/>
                    <w:right w:val="single" w:color="auto" w:sz="4" w:space="0"/>
                  </w:tcBorders>
                </w:tcPr>
                <w:p>
                  <w:pPr>
                    <w:jc w:val="center"/>
                    <w:rPr>
                      <w:rFonts w:ascii="宋体" w:hAnsi="宋体" w:cs="宋体"/>
                      <w:sz w:val="24"/>
                    </w:rPr>
                  </w:pPr>
                  <w:r>
                    <w:rPr>
                      <w:rFonts w:hint="eastAsia" w:ascii="宋体" w:hAnsi="宋体" w:cs="宋体"/>
                      <w:sz w:val="24"/>
                    </w:rPr>
                    <w:t>0.8%</w:t>
                  </w:r>
                </w:p>
              </w:tc>
              <w:tc>
                <w:tcPr>
                  <w:tcW w:w="1478" w:type="dxa"/>
                  <w:tcBorders>
                    <w:top w:val="single" w:color="auto" w:sz="4" w:space="0"/>
                    <w:left w:val="single" w:color="auto" w:sz="4" w:space="0"/>
                    <w:bottom w:val="single" w:color="auto" w:sz="4" w:space="0"/>
                    <w:right w:val="single" w:color="auto" w:sz="4" w:space="0"/>
                  </w:tcBorders>
                </w:tcPr>
                <w:p>
                  <w:pPr>
                    <w:jc w:val="center"/>
                    <w:rPr>
                      <w:rFonts w:ascii="宋体" w:hAnsi="宋体" w:cs="宋体"/>
                      <w:sz w:val="24"/>
                    </w:rPr>
                  </w:pPr>
                  <w:r>
                    <w:rPr>
                      <w:rFonts w:hint="eastAsia" w:ascii="宋体" w:hAnsi="宋体" w:cs="宋体"/>
                      <w:sz w:val="24"/>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Borders>
                    <w:top w:val="single" w:color="auto" w:sz="4" w:space="0"/>
                    <w:left w:val="single" w:color="auto" w:sz="4" w:space="0"/>
                    <w:bottom w:val="single" w:color="auto" w:sz="4" w:space="0"/>
                    <w:right w:val="single" w:color="auto" w:sz="4" w:space="0"/>
                  </w:tcBorders>
                </w:tcPr>
                <w:p>
                  <w:pPr>
                    <w:jc w:val="center"/>
                    <w:rPr>
                      <w:rFonts w:ascii="宋体" w:hAnsi="宋体" w:cs="宋体"/>
                      <w:sz w:val="24"/>
                    </w:rPr>
                  </w:pPr>
                  <w:r>
                    <w:rPr>
                      <w:rFonts w:hint="eastAsia" w:ascii="宋体" w:hAnsi="宋体" w:cs="宋体"/>
                      <w:sz w:val="24"/>
                    </w:rPr>
                    <w:t>500-1000</w:t>
                  </w:r>
                </w:p>
              </w:tc>
              <w:tc>
                <w:tcPr>
                  <w:tcW w:w="1478" w:type="dxa"/>
                  <w:tcBorders>
                    <w:top w:val="single" w:color="auto" w:sz="4" w:space="0"/>
                    <w:left w:val="single" w:color="auto" w:sz="4" w:space="0"/>
                    <w:bottom w:val="single" w:color="auto" w:sz="4" w:space="0"/>
                    <w:right w:val="single" w:color="auto" w:sz="4" w:space="0"/>
                  </w:tcBorders>
                </w:tcPr>
                <w:p>
                  <w:pPr>
                    <w:jc w:val="center"/>
                    <w:rPr>
                      <w:rFonts w:ascii="宋体" w:hAnsi="宋体" w:cs="宋体"/>
                      <w:sz w:val="24"/>
                    </w:rPr>
                  </w:pPr>
                  <w:r>
                    <w:rPr>
                      <w:rFonts w:hint="eastAsia" w:ascii="宋体" w:hAnsi="宋体" w:cs="宋体"/>
                      <w:sz w:val="24"/>
                    </w:rPr>
                    <w:t>0.8%</w:t>
                  </w:r>
                </w:p>
              </w:tc>
              <w:tc>
                <w:tcPr>
                  <w:tcW w:w="1477" w:type="dxa"/>
                  <w:tcBorders>
                    <w:top w:val="single" w:color="auto" w:sz="4" w:space="0"/>
                    <w:left w:val="single" w:color="auto" w:sz="4" w:space="0"/>
                    <w:bottom w:val="single" w:color="auto" w:sz="4" w:space="0"/>
                    <w:right w:val="single" w:color="auto" w:sz="4" w:space="0"/>
                  </w:tcBorders>
                </w:tcPr>
                <w:p>
                  <w:pPr>
                    <w:jc w:val="center"/>
                    <w:rPr>
                      <w:rFonts w:ascii="宋体" w:hAnsi="宋体" w:cs="宋体"/>
                      <w:sz w:val="24"/>
                    </w:rPr>
                  </w:pPr>
                  <w:r>
                    <w:rPr>
                      <w:rFonts w:hint="eastAsia" w:ascii="宋体" w:hAnsi="宋体" w:cs="宋体"/>
                      <w:sz w:val="24"/>
                    </w:rPr>
                    <w:t>0.45%</w:t>
                  </w:r>
                </w:p>
              </w:tc>
              <w:tc>
                <w:tcPr>
                  <w:tcW w:w="1478" w:type="dxa"/>
                  <w:tcBorders>
                    <w:top w:val="single" w:color="auto" w:sz="4" w:space="0"/>
                    <w:left w:val="single" w:color="auto" w:sz="4" w:space="0"/>
                    <w:bottom w:val="single" w:color="auto" w:sz="4" w:space="0"/>
                    <w:right w:val="single" w:color="auto" w:sz="4" w:space="0"/>
                  </w:tcBorders>
                </w:tcPr>
                <w:p>
                  <w:pPr>
                    <w:jc w:val="center"/>
                    <w:rPr>
                      <w:rFonts w:ascii="宋体" w:hAnsi="宋体" w:cs="宋体"/>
                      <w:sz w:val="24"/>
                    </w:rPr>
                  </w:pPr>
                  <w:r>
                    <w:rPr>
                      <w:rFonts w:hint="eastAsia" w:ascii="宋体" w:hAnsi="宋体" w:cs="宋体"/>
                      <w:sz w:val="24"/>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Borders>
                    <w:top w:val="single" w:color="auto" w:sz="4" w:space="0"/>
                    <w:left w:val="single" w:color="auto" w:sz="4" w:space="0"/>
                    <w:bottom w:val="single" w:color="auto" w:sz="4" w:space="0"/>
                    <w:right w:val="single" w:color="auto" w:sz="4" w:space="0"/>
                  </w:tcBorders>
                </w:tcPr>
                <w:p>
                  <w:pPr>
                    <w:jc w:val="center"/>
                    <w:rPr>
                      <w:rFonts w:ascii="宋体" w:hAnsi="宋体" w:cs="宋体"/>
                      <w:sz w:val="24"/>
                    </w:rPr>
                  </w:pPr>
                  <w:r>
                    <w:rPr>
                      <w:rFonts w:hint="eastAsia" w:ascii="宋体" w:hAnsi="宋体" w:cs="宋体"/>
                      <w:sz w:val="24"/>
                    </w:rPr>
                    <w:t>1000-5000</w:t>
                  </w:r>
                </w:p>
              </w:tc>
              <w:tc>
                <w:tcPr>
                  <w:tcW w:w="1478" w:type="dxa"/>
                  <w:tcBorders>
                    <w:top w:val="single" w:color="auto" w:sz="4" w:space="0"/>
                    <w:left w:val="single" w:color="auto" w:sz="4" w:space="0"/>
                    <w:bottom w:val="single" w:color="auto" w:sz="4" w:space="0"/>
                    <w:right w:val="single" w:color="auto" w:sz="4" w:space="0"/>
                  </w:tcBorders>
                </w:tcPr>
                <w:p>
                  <w:pPr>
                    <w:jc w:val="center"/>
                    <w:rPr>
                      <w:rFonts w:ascii="宋体" w:hAnsi="宋体" w:cs="宋体"/>
                      <w:sz w:val="24"/>
                    </w:rPr>
                  </w:pPr>
                  <w:r>
                    <w:rPr>
                      <w:rFonts w:hint="eastAsia" w:ascii="宋体" w:hAnsi="宋体" w:cs="宋体"/>
                      <w:sz w:val="24"/>
                    </w:rPr>
                    <w:t>0.5%</w:t>
                  </w:r>
                </w:p>
              </w:tc>
              <w:tc>
                <w:tcPr>
                  <w:tcW w:w="1477" w:type="dxa"/>
                  <w:tcBorders>
                    <w:top w:val="single" w:color="auto" w:sz="4" w:space="0"/>
                    <w:left w:val="single" w:color="auto" w:sz="4" w:space="0"/>
                    <w:bottom w:val="single" w:color="auto" w:sz="4" w:space="0"/>
                    <w:right w:val="single" w:color="auto" w:sz="4" w:space="0"/>
                  </w:tcBorders>
                </w:tcPr>
                <w:p>
                  <w:pPr>
                    <w:jc w:val="center"/>
                    <w:rPr>
                      <w:rFonts w:ascii="宋体" w:hAnsi="宋体" w:cs="宋体"/>
                      <w:sz w:val="24"/>
                    </w:rPr>
                  </w:pPr>
                  <w:r>
                    <w:rPr>
                      <w:rFonts w:hint="eastAsia" w:ascii="宋体" w:hAnsi="宋体" w:cs="宋体"/>
                      <w:sz w:val="24"/>
                    </w:rPr>
                    <w:t>0.25%</w:t>
                  </w:r>
                </w:p>
              </w:tc>
              <w:tc>
                <w:tcPr>
                  <w:tcW w:w="1478" w:type="dxa"/>
                  <w:tcBorders>
                    <w:top w:val="single" w:color="auto" w:sz="4" w:space="0"/>
                    <w:left w:val="single" w:color="auto" w:sz="4" w:space="0"/>
                    <w:bottom w:val="single" w:color="auto" w:sz="4" w:space="0"/>
                    <w:right w:val="single" w:color="auto" w:sz="4" w:space="0"/>
                  </w:tcBorders>
                </w:tcPr>
                <w:p>
                  <w:pPr>
                    <w:jc w:val="center"/>
                    <w:rPr>
                      <w:rFonts w:ascii="宋体" w:hAnsi="宋体" w:cs="宋体"/>
                      <w:sz w:val="24"/>
                    </w:rPr>
                  </w:pPr>
                  <w:r>
                    <w:rPr>
                      <w:rFonts w:hint="eastAsia" w:ascii="宋体" w:hAnsi="宋体" w:cs="宋体"/>
                      <w:sz w:val="24"/>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Borders>
                    <w:top w:val="single" w:color="auto" w:sz="4" w:space="0"/>
                    <w:left w:val="single" w:color="auto" w:sz="4" w:space="0"/>
                    <w:bottom w:val="single" w:color="auto" w:sz="4" w:space="0"/>
                    <w:right w:val="single" w:color="auto" w:sz="4" w:space="0"/>
                  </w:tcBorders>
                </w:tcPr>
                <w:p>
                  <w:pPr>
                    <w:jc w:val="center"/>
                    <w:rPr>
                      <w:rFonts w:ascii="宋体" w:hAnsi="宋体" w:cs="宋体"/>
                      <w:sz w:val="24"/>
                    </w:rPr>
                  </w:pPr>
                  <w:r>
                    <w:rPr>
                      <w:rFonts w:hint="eastAsia" w:ascii="宋体" w:hAnsi="宋体" w:cs="宋体"/>
                      <w:sz w:val="24"/>
                    </w:rPr>
                    <w:t>5000-10000</w:t>
                  </w:r>
                </w:p>
              </w:tc>
              <w:tc>
                <w:tcPr>
                  <w:tcW w:w="1478" w:type="dxa"/>
                  <w:tcBorders>
                    <w:top w:val="single" w:color="auto" w:sz="4" w:space="0"/>
                    <w:left w:val="single" w:color="auto" w:sz="4" w:space="0"/>
                    <w:bottom w:val="single" w:color="auto" w:sz="4" w:space="0"/>
                    <w:right w:val="single" w:color="auto" w:sz="4" w:space="0"/>
                  </w:tcBorders>
                </w:tcPr>
                <w:p>
                  <w:pPr>
                    <w:jc w:val="center"/>
                    <w:rPr>
                      <w:rFonts w:ascii="宋体" w:hAnsi="宋体" w:cs="宋体"/>
                      <w:sz w:val="24"/>
                    </w:rPr>
                  </w:pPr>
                  <w:r>
                    <w:rPr>
                      <w:rFonts w:hint="eastAsia" w:ascii="宋体" w:hAnsi="宋体" w:cs="宋体"/>
                      <w:sz w:val="24"/>
                    </w:rPr>
                    <w:t>0.25%</w:t>
                  </w:r>
                </w:p>
              </w:tc>
              <w:tc>
                <w:tcPr>
                  <w:tcW w:w="1477" w:type="dxa"/>
                  <w:tcBorders>
                    <w:top w:val="single" w:color="auto" w:sz="4" w:space="0"/>
                    <w:left w:val="single" w:color="auto" w:sz="4" w:space="0"/>
                    <w:bottom w:val="single" w:color="auto" w:sz="4" w:space="0"/>
                    <w:right w:val="single" w:color="auto" w:sz="4" w:space="0"/>
                  </w:tcBorders>
                </w:tcPr>
                <w:p>
                  <w:pPr>
                    <w:jc w:val="center"/>
                    <w:rPr>
                      <w:rFonts w:ascii="宋体" w:hAnsi="宋体" w:cs="宋体"/>
                      <w:sz w:val="24"/>
                    </w:rPr>
                  </w:pPr>
                  <w:r>
                    <w:rPr>
                      <w:rFonts w:hint="eastAsia" w:ascii="宋体" w:hAnsi="宋体" w:cs="宋体"/>
                      <w:sz w:val="24"/>
                    </w:rPr>
                    <w:t>0.1%</w:t>
                  </w:r>
                </w:p>
              </w:tc>
              <w:tc>
                <w:tcPr>
                  <w:tcW w:w="1478" w:type="dxa"/>
                  <w:tcBorders>
                    <w:top w:val="single" w:color="auto" w:sz="4" w:space="0"/>
                    <w:left w:val="single" w:color="auto" w:sz="4" w:space="0"/>
                    <w:bottom w:val="single" w:color="auto" w:sz="4" w:space="0"/>
                    <w:right w:val="single" w:color="auto" w:sz="4" w:space="0"/>
                  </w:tcBorders>
                </w:tcPr>
                <w:p>
                  <w:pPr>
                    <w:jc w:val="center"/>
                    <w:rPr>
                      <w:rFonts w:ascii="宋体" w:hAnsi="宋体" w:cs="宋体"/>
                      <w:sz w:val="24"/>
                    </w:rPr>
                  </w:pPr>
                  <w:r>
                    <w:rPr>
                      <w:rFonts w:hint="eastAsia" w:ascii="宋体" w:hAnsi="宋体" w:cs="宋体"/>
                      <w:sz w:val="24"/>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Borders>
                    <w:top w:val="single" w:color="auto" w:sz="4" w:space="0"/>
                    <w:left w:val="single" w:color="auto" w:sz="4" w:space="0"/>
                    <w:bottom w:val="single" w:color="auto" w:sz="4" w:space="0"/>
                    <w:right w:val="single" w:color="auto" w:sz="4" w:space="0"/>
                  </w:tcBorders>
                </w:tcPr>
                <w:p>
                  <w:pPr>
                    <w:jc w:val="center"/>
                    <w:rPr>
                      <w:rFonts w:ascii="宋体" w:hAnsi="宋体" w:cs="宋体"/>
                      <w:sz w:val="24"/>
                    </w:rPr>
                  </w:pPr>
                  <w:r>
                    <w:rPr>
                      <w:rFonts w:hint="eastAsia" w:ascii="宋体" w:hAnsi="宋体" w:cs="宋体"/>
                      <w:sz w:val="24"/>
                    </w:rPr>
                    <w:t>10000-100000</w:t>
                  </w:r>
                </w:p>
              </w:tc>
              <w:tc>
                <w:tcPr>
                  <w:tcW w:w="1478" w:type="dxa"/>
                  <w:tcBorders>
                    <w:top w:val="single" w:color="auto" w:sz="4" w:space="0"/>
                    <w:left w:val="single" w:color="auto" w:sz="4" w:space="0"/>
                    <w:bottom w:val="single" w:color="auto" w:sz="4" w:space="0"/>
                    <w:right w:val="single" w:color="auto" w:sz="4" w:space="0"/>
                  </w:tcBorders>
                </w:tcPr>
                <w:p>
                  <w:pPr>
                    <w:jc w:val="center"/>
                    <w:rPr>
                      <w:rFonts w:ascii="宋体" w:hAnsi="宋体" w:cs="宋体"/>
                      <w:sz w:val="24"/>
                    </w:rPr>
                  </w:pPr>
                  <w:r>
                    <w:rPr>
                      <w:rFonts w:hint="eastAsia" w:ascii="宋体" w:hAnsi="宋体" w:cs="宋体"/>
                      <w:sz w:val="24"/>
                    </w:rPr>
                    <w:t>0.05%</w:t>
                  </w:r>
                </w:p>
              </w:tc>
              <w:tc>
                <w:tcPr>
                  <w:tcW w:w="1477" w:type="dxa"/>
                  <w:tcBorders>
                    <w:top w:val="single" w:color="auto" w:sz="4" w:space="0"/>
                    <w:left w:val="single" w:color="auto" w:sz="4" w:space="0"/>
                    <w:bottom w:val="single" w:color="auto" w:sz="4" w:space="0"/>
                    <w:right w:val="single" w:color="auto" w:sz="4" w:space="0"/>
                  </w:tcBorders>
                </w:tcPr>
                <w:p>
                  <w:pPr>
                    <w:jc w:val="center"/>
                    <w:rPr>
                      <w:rFonts w:ascii="宋体" w:hAnsi="宋体" w:cs="宋体"/>
                      <w:sz w:val="24"/>
                    </w:rPr>
                  </w:pPr>
                  <w:r>
                    <w:rPr>
                      <w:rFonts w:hint="eastAsia" w:ascii="宋体" w:hAnsi="宋体" w:cs="宋体"/>
                      <w:sz w:val="24"/>
                    </w:rPr>
                    <w:t>0.05%</w:t>
                  </w:r>
                </w:p>
              </w:tc>
              <w:tc>
                <w:tcPr>
                  <w:tcW w:w="1478" w:type="dxa"/>
                  <w:tcBorders>
                    <w:top w:val="single" w:color="auto" w:sz="4" w:space="0"/>
                    <w:left w:val="single" w:color="auto" w:sz="4" w:space="0"/>
                    <w:bottom w:val="single" w:color="auto" w:sz="4" w:space="0"/>
                    <w:right w:val="single" w:color="auto" w:sz="4" w:space="0"/>
                  </w:tcBorders>
                </w:tcPr>
                <w:p>
                  <w:pPr>
                    <w:jc w:val="center"/>
                    <w:rPr>
                      <w:rFonts w:ascii="宋体" w:hAnsi="宋体" w:cs="宋体"/>
                      <w:sz w:val="24"/>
                    </w:rPr>
                  </w:pPr>
                  <w:r>
                    <w:rPr>
                      <w:rFonts w:hint="eastAsia" w:ascii="宋体" w:hAnsi="宋体" w:cs="宋体"/>
                      <w:sz w:val="24"/>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1827" w:type="dxa"/>
                  <w:tcBorders>
                    <w:top w:val="single" w:color="auto" w:sz="4" w:space="0"/>
                    <w:left w:val="single" w:color="auto" w:sz="4" w:space="0"/>
                    <w:bottom w:val="single" w:color="auto" w:sz="4" w:space="0"/>
                    <w:right w:val="single" w:color="auto" w:sz="4" w:space="0"/>
                  </w:tcBorders>
                </w:tcPr>
                <w:p>
                  <w:pPr>
                    <w:jc w:val="center"/>
                    <w:rPr>
                      <w:rFonts w:ascii="宋体" w:hAnsi="宋体" w:cs="宋体"/>
                      <w:sz w:val="24"/>
                    </w:rPr>
                  </w:pPr>
                  <w:r>
                    <w:rPr>
                      <w:rFonts w:hint="eastAsia" w:ascii="宋体" w:hAnsi="宋体" w:cs="宋体"/>
                      <w:sz w:val="24"/>
                    </w:rPr>
                    <w:t>1000000以上</w:t>
                  </w:r>
                </w:p>
              </w:tc>
              <w:tc>
                <w:tcPr>
                  <w:tcW w:w="1478" w:type="dxa"/>
                  <w:tcBorders>
                    <w:top w:val="single" w:color="auto" w:sz="4" w:space="0"/>
                    <w:left w:val="single" w:color="auto" w:sz="4" w:space="0"/>
                    <w:bottom w:val="single" w:color="auto" w:sz="4" w:space="0"/>
                    <w:right w:val="single" w:color="auto" w:sz="4" w:space="0"/>
                  </w:tcBorders>
                </w:tcPr>
                <w:p>
                  <w:pPr>
                    <w:jc w:val="center"/>
                    <w:rPr>
                      <w:rFonts w:ascii="宋体" w:hAnsi="宋体" w:cs="宋体"/>
                      <w:sz w:val="24"/>
                    </w:rPr>
                  </w:pPr>
                  <w:r>
                    <w:rPr>
                      <w:rFonts w:hint="eastAsia" w:ascii="宋体" w:hAnsi="宋体" w:cs="宋体"/>
                      <w:sz w:val="24"/>
                    </w:rPr>
                    <w:t>0.01%</w:t>
                  </w:r>
                </w:p>
              </w:tc>
              <w:tc>
                <w:tcPr>
                  <w:tcW w:w="1477" w:type="dxa"/>
                  <w:tcBorders>
                    <w:top w:val="single" w:color="auto" w:sz="4" w:space="0"/>
                    <w:left w:val="single" w:color="auto" w:sz="4" w:space="0"/>
                    <w:bottom w:val="single" w:color="auto" w:sz="4" w:space="0"/>
                    <w:right w:val="single" w:color="auto" w:sz="4" w:space="0"/>
                  </w:tcBorders>
                </w:tcPr>
                <w:p>
                  <w:pPr>
                    <w:jc w:val="center"/>
                    <w:rPr>
                      <w:rFonts w:ascii="宋体" w:hAnsi="宋体" w:cs="宋体"/>
                      <w:sz w:val="24"/>
                    </w:rPr>
                  </w:pPr>
                  <w:r>
                    <w:rPr>
                      <w:rFonts w:hint="eastAsia" w:ascii="宋体" w:hAnsi="宋体" w:cs="宋体"/>
                      <w:sz w:val="24"/>
                    </w:rPr>
                    <w:t>0.01%</w:t>
                  </w:r>
                </w:p>
              </w:tc>
              <w:tc>
                <w:tcPr>
                  <w:tcW w:w="1478" w:type="dxa"/>
                  <w:tcBorders>
                    <w:top w:val="single" w:color="auto" w:sz="4" w:space="0"/>
                    <w:left w:val="single" w:color="auto" w:sz="4" w:space="0"/>
                    <w:bottom w:val="single" w:color="auto" w:sz="4" w:space="0"/>
                    <w:right w:val="single" w:color="auto" w:sz="4" w:space="0"/>
                  </w:tcBorders>
                </w:tcPr>
                <w:p>
                  <w:pPr>
                    <w:jc w:val="center"/>
                    <w:rPr>
                      <w:rFonts w:ascii="宋体" w:hAnsi="宋体" w:cs="宋体"/>
                      <w:sz w:val="24"/>
                    </w:rPr>
                  </w:pPr>
                  <w:r>
                    <w:rPr>
                      <w:rFonts w:hint="eastAsia" w:ascii="宋体" w:hAnsi="宋体" w:cs="宋体"/>
                      <w:sz w:val="24"/>
                    </w:rPr>
                    <w:t>0.01%</w:t>
                  </w:r>
                </w:p>
              </w:tc>
            </w:tr>
          </w:tbl>
          <w:p>
            <w:pPr>
              <w:pStyle w:val="50"/>
              <w:rPr>
                <w:lang w:val="zh-CN"/>
              </w:rPr>
            </w:pPr>
            <w:r>
              <w:rPr>
                <w:rFonts w:hint="eastAsia"/>
                <w:lang w:val="zh-CN"/>
              </w:rPr>
              <w:t>注: 1、按本表费率计算的收费为招标代理服务全过程的收费基准价格。</w:t>
            </w:r>
          </w:p>
          <w:p>
            <w:pPr>
              <w:pStyle w:val="50"/>
              <w:numPr>
                <w:ilvl w:val="0"/>
                <w:numId w:val="1"/>
              </w:numPr>
              <w:rPr>
                <w:lang w:val="zh-CN"/>
              </w:rPr>
            </w:pPr>
            <w:r>
              <w:rPr>
                <w:rFonts w:hint="eastAsia"/>
                <w:lang w:val="zh-CN"/>
              </w:rPr>
              <w:t>招标代理服务收费按差额定率累进法计算。</w:t>
            </w:r>
          </w:p>
          <w:p>
            <w:pPr>
              <w:pStyle w:val="50"/>
              <w:numPr>
                <w:ilvl w:val="0"/>
                <w:numId w:val="1"/>
              </w:numPr>
              <w:rPr>
                <w:b/>
                <w:bCs/>
                <w:lang w:val="zh-CN"/>
              </w:rPr>
            </w:pPr>
            <w:r>
              <w:rPr>
                <w:rFonts w:hint="eastAsia"/>
                <w:b/>
                <w:bCs/>
                <w:lang w:val="zh-CN"/>
              </w:rPr>
              <w:t>中标人在领取中标通知书前向招标代理机构交纳招标代理服务费。</w:t>
            </w:r>
          </w:p>
          <w:p>
            <w:pPr>
              <w:widowControl/>
              <w:spacing w:after="0" w:line="240" w:lineRule="auto"/>
              <w:ind w:firstLine="482" w:firstLineChars="200"/>
              <w:jc w:val="left"/>
              <w:rPr>
                <w:rFonts w:ascii="宋体" w:hAnsi="宋体" w:cs="宋体"/>
                <w:b/>
                <w:bCs/>
                <w:kern w:val="0"/>
                <w:sz w:val="24"/>
              </w:rPr>
            </w:pPr>
            <w:r>
              <w:rPr>
                <w:rFonts w:hint="eastAsia" w:ascii="宋体" w:hAnsi="宋体" w:cs="宋体"/>
                <w:b/>
                <w:bCs/>
                <w:sz w:val="24"/>
              </w:rPr>
              <w:t>4</w:t>
            </w:r>
            <w:r>
              <w:rPr>
                <w:rFonts w:hint="eastAsia" w:ascii="宋体" w:hAnsi="宋体" w:cs="宋体"/>
                <w:b/>
                <w:bCs/>
                <w:sz w:val="24"/>
                <w:lang w:val="zh-CN"/>
              </w:rPr>
              <w:t>、服务费交纳账户：</w:t>
            </w:r>
            <w:r>
              <w:rPr>
                <w:rFonts w:hint="eastAsia" w:ascii="宋体" w:hAnsi="宋体" w:cs="宋体"/>
                <w:b/>
                <w:bCs/>
                <w:kern w:val="0"/>
                <w:sz w:val="24"/>
              </w:rPr>
              <w:t xml:space="preserve"> </w:t>
            </w:r>
          </w:p>
          <w:p>
            <w:pPr>
              <w:widowControl/>
              <w:spacing w:after="0" w:line="240" w:lineRule="auto"/>
              <w:jc w:val="left"/>
              <w:rPr>
                <w:rFonts w:ascii="宋体" w:hAnsi="宋体" w:cs="宋体"/>
                <w:b/>
                <w:bCs/>
                <w:sz w:val="24"/>
                <w:lang w:val="zh-CN"/>
              </w:rPr>
            </w:pPr>
            <w:r>
              <w:rPr>
                <w:rFonts w:hint="eastAsia" w:ascii="宋体" w:hAnsi="宋体" w:cs="宋体"/>
                <w:b/>
                <w:bCs/>
                <w:kern w:val="0"/>
                <w:sz w:val="24"/>
                <w:lang w:val="zh-CN"/>
              </w:rPr>
              <w:t>（</w:t>
            </w:r>
            <w:r>
              <w:rPr>
                <w:rFonts w:hint="eastAsia" w:ascii="宋体" w:hAnsi="宋体" w:cs="宋体"/>
                <w:b/>
                <w:bCs/>
                <w:kern w:val="0"/>
                <w:sz w:val="24"/>
              </w:rPr>
              <w:t>1</w:t>
            </w:r>
            <w:r>
              <w:rPr>
                <w:rFonts w:hint="eastAsia" w:ascii="宋体" w:hAnsi="宋体" w:cs="宋体"/>
                <w:b/>
                <w:bCs/>
                <w:kern w:val="0"/>
                <w:sz w:val="24"/>
                <w:lang w:val="zh-CN"/>
              </w:rPr>
              <w:t>）</w:t>
            </w:r>
            <w:r>
              <w:rPr>
                <w:rFonts w:hint="eastAsia" w:ascii="宋体" w:hAnsi="宋体" w:cs="宋体"/>
                <w:b/>
                <w:bCs/>
                <w:sz w:val="24"/>
                <w:lang w:val="zh-CN"/>
              </w:rPr>
              <w:t>收款单位：</w:t>
            </w:r>
            <w:r>
              <w:rPr>
                <w:rFonts w:hint="eastAsia" w:ascii="宋体" w:hAnsi="宋体" w:cs="宋体"/>
                <w:sz w:val="24"/>
                <w:lang w:val="zh-CN"/>
              </w:rPr>
              <w:t>重庆招标采购（集团）有限责任公司四川分公司</w:t>
            </w:r>
          </w:p>
          <w:p>
            <w:pPr>
              <w:widowControl/>
              <w:spacing w:after="0" w:line="240" w:lineRule="auto"/>
              <w:jc w:val="left"/>
              <w:rPr>
                <w:rFonts w:ascii="宋体" w:hAnsi="宋体" w:cs="宋体"/>
                <w:b/>
                <w:bCs/>
                <w:sz w:val="24"/>
                <w:lang w:val="zh-CN"/>
              </w:rPr>
            </w:pPr>
            <w:r>
              <w:rPr>
                <w:rFonts w:hint="eastAsia" w:ascii="宋体" w:hAnsi="宋体" w:cs="宋体"/>
                <w:b/>
                <w:bCs/>
                <w:sz w:val="24"/>
                <w:lang w:val="zh-CN"/>
              </w:rPr>
              <w:t>（</w:t>
            </w:r>
            <w:r>
              <w:rPr>
                <w:rFonts w:hint="eastAsia" w:ascii="宋体" w:hAnsi="宋体" w:cs="宋体"/>
                <w:b/>
                <w:bCs/>
                <w:sz w:val="24"/>
              </w:rPr>
              <w:t>2</w:t>
            </w:r>
            <w:r>
              <w:rPr>
                <w:rFonts w:hint="eastAsia" w:ascii="宋体" w:hAnsi="宋体" w:cs="宋体"/>
                <w:b/>
                <w:bCs/>
                <w:sz w:val="24"/>
                <w:lang w:val="zh-CN"/>
              </w:rPr>
              <w:t>）开 户 行：</w:t>
            </w:r>
            <w:r>
              <w:rPr>
                <w:rFonts w:hint="eastAsia" w:ascii="宋体" w:hAnsi="宋体" w:cs="宋体"/>
                <w:sz w:val="24"/>
                <w:lang w:val="zh-CN"/>
              </w:rPr>
              <w:t>成都银行高升桥支行</w:t>
            </w:r>
          </w:p>
          <w:p>
            <w:pPr>
              <w:widowControl/>
              <w:spacing w:after="0" w:line="240" w:lineRule="auto"/>
              <w:jc w:val="left"/>
              <w:rPr>
                <w:rFonts w:ascii="宋体" w:hAnsi="宋体" w:cs="宋体"/>
                <w:kern w:val="0"/>
                <w:sz w:val="24"/>
                <w:lang w:val="zh-CN"/>
              </w:rPr>
            </w:pPr>
            <w:r>
              <w:rPr>
                <w:rFonts w:hint="eastAsia" w:ascii="宋体" w:hAnsi="宋体" w:cs="宋体"/>
                <w:b/>
                <w:bCs/>
                <w:sz w:val="24"/>
                <w:lang w:val="zh-CN"/>
              </w:rPr>
              <w:t>（</w:t>
            </w:r>
            <w:r>
              <w:rPr>
                <w:rFonts w:hint="eastAsia" w:ascii="宋体" w:hAnsi="宋体" w:cs="宋体"/>
                <w:b/>
                <w:bCs/>
                <w:sz w:val="24"/>
              </w:rPr>
              <w:t>3</w:t>
            </w:r>
            <w:r>
              <w:rPr>
                <w:rFonts w:hint="eastAsia" w:ascii="宋体" w:hAnsi="宋体" w:cs="宋体"/>
                <w:b/>
                <w:bCs/>
                <w:sz w:val="24"/>
                <w:lang w:val="zh-CN"/>
              </w:rPr>
              <w:t>）银行账号：</w:t>
            </w:r>
            <w:r>
              <w:rPr>
                <w:rFonts w:hint="eastAsia" w:ascii="宋体" w:hAnsi="宋体" w:cs="宋体"/>
                <w:kern w:val="0"/>
                <w:sz w:val="24"/>
                <w:lang w:val="zh-CN"/>
              </w:rPr>
              <w:t xml:space="preserve"> 1001 3000 0057 0334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00" w:hRule="atLeast"/>
          <w:jc w:val="center"/>
        </w:trPr>
        <w:tc>
          <w:tcPr>
            <w:tcW w:w="838" w:type="dxa"/>
            <w:vAlign w:val="center"/>
          </w:tcPr>
          <w:p>
            <w:pPr>
              <w:spacing w:after="0" w:line="260" w:lineRule="auto"/>
              <w:ind w:firstLine="120" w:firstLineChars="50"/>
              <w:jc w:val="center"/>
              <w:rPr>
                <w:rFonts w:ascii="宋体" w:hAnsi="宋体" w:cs="宋体"/>
                <w:sz w:val="24"/>
              </w:rPr>
            </w:pPr>
            <w:r>
              <w:rPr>
                <w:rFonts w:hint="eastAsia" w:ascii="宋体" w:hAnsi="宋体" w:cs="宋体"/>
                <w:sz w:val="24"/>
              </w:rPr>
              <w:t>18</w:t>
            </w:r>
          </w:p>
        </w:tc>
        <w:tc>
          <w:tcPr>
            <w:tcW w:w="1901" w:type="dxa"/>
            <w:tcBorders>
              <w:right w:val="single" w:color="auto" w:sz="4" w:space="0"/>
            </w:tcBorders>
            <w:vAlign w:val="center"/>
          </w:tcPr>
          <w:p>
            <w:pPr>
              <w:pStyle w:val="50"/>
              <w:spacing w:after="0" w:line="260" w:lineRule="auto"/>
              <w:ind w:left="96"/>
              <w:jc w:val="center"/>
              <w:rPr>
                <w:lang w:val="zh-CN"/>
              </w:rPr>
            </w:pPr>
            <w:r>
              <w:rPr>
                <w:rFonts w:hint="eastAsia"/>
                <w:lang w:val="zh-CN"/>
              </w:rPr>
              <w:t>送样提醒</w:t>
            </w:r>
          </w:p>
        </w:tc>
        <w:tc>
          <w:tcPr>
            <w:tcW w:w="6924" w:type="dxa"/>
            <w:tcBorders>
              <w:left w:val="single" w:color="auto" w:sz="4" w:space="0"/>
            </w:tcBorders>
            <w:vAlign w:val="center"/>
          </w:tcPr>
          <w:p>
            <w:pPr>
              <w:pStyle w:val="50"/>
              <w:spacing w:after="0" w:line="260" w:lineRule="auto"/>
              <w:jc w:val="both"/>
              <w:rPr>
                <w:lang w:val="zh-CN"/>
              </w:rPr>
            </w:pPr>
            <w:r>
              <w:rPr>
                <w:rFonts w:hint="eastAsia"/>
                <w:lang w:val="zh-CN"/>
              </w:rPr>
              <w:t>本项目不收取样品。</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spacing w:after="0" w:line="260" w:lineRule="auto"/>
              <w:ind w:firstLine="120" w:firstLineChars="50"/>
              <w:jc w:val="center"/>
              <w:rPr>
                <w:rFonts w:ascii="宋体" w:hAnsi="宋体" w:cs="宋体"/>
                <w:sz w:val="24"/>
              </w:rPr>
            </w:pPr>
            <w:r>
              <w:rPr>
                <w:rFonts w:hint="eastAsia" w:ascii="宋体" w:hAnsi="宋体" w:cs="宋体"/>
                <w:sz w:val="24"/>
              </w:rPr>
              <w:t>19</w:t>
            </w:r>
          </w:p>
        </w:tc>
        <w:tc>
          <w:tcPr>
            <w:tcW w:w="1901" w:type="dxa"/>
            <w:tcBorders>
              <w:right w:val="single" w:color="auto" w:sz="4" w:space="0"/>
            </w:tcBorders>
            <w:vAlign w:val="center"/>
          </w:tcPr>
          <w:p>
            <w:pPr>
              <w:pStyle w:val="50"/>
              <w:ind w:left="96"/>
              <w:jc w:val="center"/>
              <w:rPr>
                <w:lang w:val="zh-CN"/>
              </w:rPr>
            </w:pPr>
            <w:r>
              <w:rPr>
                <w:rFonts w:hint="eastAsia"/>
                <w:lang w:val="zh-CN"/>
              </w:rPr>
              <w:t>承诺提醒</w:t>
            </w:r>
          </w:p>
        </w:tc>
        <w:tc>
          <w:tcPr>
            <w:tcW w:w="6924" w:type="dxa"/>
            <w:tcBorders>
              <w:left w:val="single" w:color="auto" w:sz="4" w:space="0"/>
            </w:tcBorders>
            <w:vAlign w:val="center"/>
          </w:tcPr>
          <w:p>
            <w:pPr>
              <w:pStyle w:val="50"/>
              <w:jc w:val="both"/>
              <w:rPr>
                <w:lang w:val="zh-CN"/>
              </w:rPr>
            </w:pPr>
            <w:r>
              <w:rPr>
                <w:rFonts w:hint="eastAsia"/>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342" w:hRule="atLeast"/>
          <w:jc w:val="center"/>
        </w:trPr>
        <w:tc>
          <w:tcPr>
            <w:tcW w:w="838" w:type="dxa"/>
            <w:vAlign w:val="center"/>
          </w:tcPr>
          <w:p>
            <w:pPr>
              <w:spacing w:after="0" w:line="260" w:lineRule="auto"/>
              <w:ind w:firstLine="120" w:firstLineChars="50"/>
              <w:jc w:val="center"/>
              <w:rPr>
                <w:rFonts w:ascii="宋体" w:hAnsi="宋体" w:cs="宋体"/>
                <w:sz w:val="24"/>
              </w:rPr>
            </w:pPr>
            <w:r>
              <w:rPr>
                <w:rFonts w:hint="eastAsia" w:ascii="宋体" w:hAnsi="宋体" w:cs="宋体"/>
                <w:sz w:val="24"/>
              </w:rPr>
              <w:t>20</w:t>
            </w:r>
          </w:p>
        </w:tc>
        <w:tc>
          <w:tcPr>
            <w:tcW w:w="1901" w:type="dxa"/>
            <w:tcBorders>
              <w:right w:val="single" w:color="auto" w:sz="4" w:space="0"/>
            </w:tcBorders>
            <w:vAlign w:val="center"/>
          </w:tcPr>
          <w:p>
            <w:pPr>
              <w:pStyle w:val="50"/>
              <w:spacing w:after="0" w:line="260" w:lineRule="auto"/>
              <w:ind w:left="96"/>
              <w:jc w:val="center"/>
              <w:rPr>
                <w:lang w:val="zh-CN"/>
              </w:rPr>
            </w:pPr>
            <w:r>
              <w:rPr>
                <w:rFonts w:hint="eastAsia"/>
                <w:lang w:val="zh-CN"/>
              </w:rPr>
              <w:t>联合体</w:t>
            </w:r>
          </w:p>
          <w:p>
            <w:pPr>
              <w:pStyle w:val="50"/>
              <w:spacing w:after="0" w:line="260" w:lineRule="auto"/>
              <w:ind w:left="96"/>
              <w:jc w:val="center"/>
              <w:rPr>
                <w:lang w:val="zh-CN"/>
              </w:rPr>
            </w:pPr>
            <w:r>
              <w:rPr>
                <w:rFonts w:hint="eastAsia"/>
                <w:lang w:val="zh-CN"/>
              </w:rPr>
              <w:t>（实质性要求）</w:t>
            </w:r>
          </w:p>
        </w:tc>
        <w:tc>
          <w:tcPr>
            <w:tcW w:w="6924" w:type="dxa"/>
            <w:tcBorders>
              <w:left w:val="single" w:color="auto" w:sz="4" w:space="0"/>
            </w:tcBorders>
            <w:vAlign w:val="center"/>
          </w:tcPr>
          <w:p>
            <w:pPr>
              <w:pStyle w:val="50"/>
              <w:spacing w:after="0" w:line="260" w:lineRule="auto"/>
              <w:rPr>
                <w:b/>
                <w:lang w:val="zh-CN"/>
              </w:rPr>
            </w:pPr>
            <w:r>
              <w:rPr>
                <w:rFonts w:hint="eastAsia"/>
                <w:b/>
                <w:kern w:val="2"/>
              </w:rPr>
              <w:t>☑</w:t>
            </w:r>
            <w:r>
              <w:rPr>
                <w:rFonts w:hint="eastAsia"/>
                <w:b/>
                <w:lang w:val="zh-CN"/>
              </w:rPr>
              <w:t xml:space="preserve">本项目不允许联合体参加    </w:t>
            </w:r>
          </w:p>
          <w:p>
            <w:pPr>
              <w:pStyle w:val="50"/>
              <w:spacing w:after="0" w:line="260" w:lineRule="auto"/>
              <w:jc w:val="both"/>
              <w:rPr>
                <w:lang w:val="zh-CN"/>
              </w:rPr>
            </w:pPr>
            <w:r>
              <w:rPr>
                <w:rFonts w:hint="eastAsia"/>
                <w:b/>
                <w:lang w:val="zh-CN"/>
              </w:rPr>
              <w:t>□本项目允许联合体参加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60" w:hRule="atLeast"/>
          <w:jc w:val="center"/>
        </w:trPr>
        <w:tc>
          <w:tcPr>
            <w:tcW w:w="838" w:type="dxa"/>
            <w:vAlign w:val="center"/>
          </w:tcPr>
          <w:p>
            <w:pPr>
              <w:spacing w:after="0" w:line="260" w:lineRule="auto"/>
              <w:ind w:firstLine="120" w:firstLineChars="50"/>
              <w:jc w:val="center"/>
              <w:rPr>
                <w:rFonts w:ascii="宋体" w:hAnsi="宋体" w:cs="宋体"/>
                <w:sz w:val="24"/>
              </w:rPr>
            </w:pPr>
            <w:r>
              <w:rPr>
                <w:rFonts w:hint="eastAsia" w:ascii="宋体" w:hAnsi="宋体" w:cs="宋体"/>
                <w:sz w:val="24"/>
              </w:rPr>
              <w:t>21</w:t>
            </w:r>
          </w:p>
        </w:tc>
        <w:tc>
          <w:tcPr>
            <w:tcW w:w="1901" w:type="dxa"/>
            <w:tcBorders>
              <w:right w:val="single" w:color="auto" w:sz="4" w:space="0"/>
            </w:tcBorders>
            <w:vAlign w:val="center"/>
          </w:tcPr>
          <w:p>
            <w:pPr>
              <w:pStyle w:val="50"/>
              <w:spacing w:after="0" w:line="260" w:lineRule="auto"/>
              <w:ind w:left="96"/>
              <w:jc w:val="center"/>
              <w:rPr>
                <w:lang w:val="zh-CN"/>
              </w:rPr>
            </w:pPr>
            <w:r>
              <w:rPr>
                <w:rFonts w:hint="eastAsia"/>
                <w:lang w:val="zh-CN"/>
              </w:rPr>
              <w:t>现场考察或标前答疑会</w:t>
            </w:r>
          </w:p>
        </w:tc>
        <w:tc>
          <w:tcPr>
            <w:tcW w:w="6924" w:type="dxa"/>
            <w:tcBorders>
              <w:left w:val="single" w:color="auto" w:sz="4" w:space="0"/>
            </w:tcBorders>
            <w:vAlign w:val="center"/>
          </w:tcPr>
          <w:p>
            <w:pPr>
              <w:pStyle w:val="50"/>
              <w:spacing w:after="0" w:line="260" w:lineRule="auto"/>
              <w:ind w:left="96"/>
              <w:rPr>
                <w:lang w:val="zh-CN"/>
              </w:rPr>
            </w:pPr>
            <w:r>
              <w:rPr>
                <w:rFonts w:hint="eastAsia"/>
              </w:rPr>
              <w:t>本项目不组织</w:t>
            </w:r>
            <w:r>
              <w:rPr>
                <w:rFonts w:hint="eastAsia"/>
                <w:lang w:val="zh-CN"/>
              </w:rPr>
              <w:t>。</w:t>
            </w:r>
          </w:p>
        </w:tc>
      </w:tr>
    </w:tbl>
    <w:p>
      <w:pPr>
        <w:rPr>
          <w:rFonts w:ascii="宋体" w:hAnsi="宋体"/>
        </w:rPr>
      </w:pPr>
    </w:p>
    <w:p>
      <w:pPr>
        <w:pStyle w:val="4"/>
        <w:spacing w:line="400" w:lineRule="exact"/>
        <w:jc w:val="center"/>
        <w:rPr>
          <w:rFonts w:ascii="宋体" w:hAnsi="宋体" w:eastAsia="宋体"/>
          <w:bCs w:val="0"/>
        </w:rPr>
      </w:pPr>
      <w:r>
        <w:rPr>
          <w:rFonts w:hint="eastAsia" w:ascii="宋体" w:hAnsi="宋体" w:eastAsia="宋体"/>
          <w:bCs w:val="0"/>
        </w:rPr>
        <w:t>二、总  则</w:t>
      </w:r>
    </w:p>
    <w:p>
      <w:pPr>
        <w:pStyle w:val="5"/>
        <w:spacing w:line="400" w:lineRule="exact"/>
        <w:ind w:firstLine="482" w:firstLineChars="200"/>
        <w:rPr>
          <w:rFonts w:ascii="宋体" w:hAnsi="宋体"/>
          <w:sz w:val="24"/>
          <w:szCs w:val="24"/>
        </w:rPr>
      </w:pPr>
      <w:bookmarkStart w:id="22" w:name="_Toc183682342"/>
      <w:bookmarkStart w:id="23" w:name="_Toc183582205"/>
      <w:bookmarkStart w:id="24" w:name="_Toc217446034"/>
      <w:bookmarkStart w:id="25" w:name="PO_默认文件内容_19"/>
      <w:r>
        <w:rPr>
          <w:rFonts w:hint="eastAsia" w:ascii="宋体" w:hAnsi="宋体"/>
          <w:sz w:val="24"/>
          <w:szCs w:val="24"/>
        </w:rPr>
        <w:t>1.</w:t>
      </w:r>
      <w:bookmarkEnd w:id="22"/>
      <w:bookmarkEnd w:id="23"/>
      <w:r>
        <w:rPr>
          <w:rFonts w:hint="eastAsia" w:ascii="宋体" w:hAnsi="宋体"/>
          <w:sz w:val="24"/>
          <w:szCs w:val="24"/>
        </w:rPr>
        <w:t xml:space="preserve"> 适用范围</w:t>
      </w:r>
      <w:bookmarkEnd w:id="24"/>
    </w:p>
    <w:p>
      <w:pPr>
        <w:tabs>
          <w:tab w:val="left" w:pos="7665"/>
        </w:tabs>
        <w:spacing w:line="400" w:lineRule="exact"/>
        <w:ind w:firstLine="480" w:firstLineChars="200"/>
        <w:rPr>
          <w:rFonts w:ascii="宋体" w:hAnsi="宋体"/>
          <w:sz w:val="24"/>
        </w:rPr>
      </w:pPr>
      <w:r>
        <w:rPr>
          <w:rFonts w:hint="eastAsia" w:ascii="宋体" w:hAnsi="宋体"/>
          <w:sz w:val="24"/>
        </w:rPr>
        <w:t>1.1 本招标文件仅适用于本次招标采购项目。</w:t>
      </w:r>
    </w:p>
    <w:p>
      <w:pPr>
        <w:pStyle w:val="5"/>
        <w:spacing w:line="400" w:lineRule="exact"/>
        <w:ind w:firstLine="482" w:firstLineChars="200"/>
        <w:rPr>
          <w:rFonts w:ascii="宋体" w:hAnsi="宋体"/>
          <w:sz w:val="24"/>
        </w:rPr>
      </w:pPr>
      <w:bookmarkStart w:id="26" w:name="_Toc183582206"/>
      <w:bookmarkStart w:id="27" w:name="_Toc183682343"/>
      <w:bookmarkStart w:id="28" w:name="_Toc217446035"/>
      <w:r>
        <w:rPr>
          <w:rFonts w:hint="eastAsia" w:ascii="宋体" w:hAnsi="宋体"/>
          <w:sz w:val="24"/>
        </w:rPr>
        <w:t xml:space="preserve">2. </w:t>
      </w:r>
      <w:bookmarkEnd w:id="26"/>
      <w:bookmarkEnd w:id="27"/>
      <w:r>
        <w:rPr>
          <w:rFonts w:hint="eastAsia" w:ascii="宋体" w:hAnsi="宋体"/>
          <w:sz w:val="24"/>
        </w:rPr>
        <w:t>有关</w:t>
      </w:r>
      <w:r>
        <w:rPr>
          <w:rFonts w:hint="eastAsia" w:ascii="宋体" w:hAnsi="宋体"/>
          <w:sz w:val="24"/>
          <w:szCs w:val="24"/>
        </w:rPr>
        <w:t>定义</w:t>
      </w:r>
      <w:bookmarkEnd w:id="28"/>
    </w:p>
    <w:p>
      <w:pPr>
        <w:tabs>
          <w:tab w:val="left" w:pos="7665"/>
        </w:tabs>
        <w:spacing w:line="400" w:lineRule="exact"/>
        <w:ind w:firstLine="480" w:firstLineChars="200"/>
        <w:rPr>
          <w:rFonts w:ascii="宋体" w:hAnsi="宋体"/>
          <w:sz w:val="24"/>
        </w:rPr>
      </w:pPr>
      <w:r>
        <w:rPr>
          <w:rFonts w:hint="eastAsia" w:ascii="宋体" w:hAnsi="宋体"/>
          <w:sz w:val="24"/>
        </w:rPr>
        <w:t>2.1 “采购人”系指依法进行政府采购的国家机关、事业单位、团体组织。本次招标的采购人是</w:t>
      </w:r>
      <w:bookmarkEnd w:id="25"/>
      <w:r>
        <w:rPr>
          <w:rFonts w:hint="eastAsia" w:ascii="宋体" w:hAnsi="宋体"/>
          <w:b/>
          <w:bCs/>
          <w:sz w:val="24"/>
          <w:u w:val="single"/>
        </w:rPr>
        <w:t>成都大学</w:t>
      </w:r>
      <w:r>
        <w:rPr>
          <w:rFonts w:hint="eastAsia" w:ascii="宋体" w:hAnsi="宋体"/>
          <w:sz w:val="24"/>
        </w:rPr>
        <w:t>。</w:t>
      </w:r>
    </w:p>
    <w:p>
      <w:pPr>
        <w:tabs>
          <w:tab w:val="left" w:pos="7665"/>
        </w:tabs>
        <w:spacing w:line="400" w:lineRule="exact"/>
        <w:ind w:firstLine="480" w:firstLineChars="200"/>
        <w:rPr>
          <w:rFonts w:ascii="宋体" w:hAnsi="宋体"/>
          <w:sz w:val="24"/>
        </w:rPr>
      </w:pPr>
      <w:bookmarkStart w:id="29" w:name="PO_默认文件内容_20"/>
      <w:r>
        <w:rPr>
          <w:rFonts w:hint="eastAsia" w:ascii="宋体" w:hAnsi="宋体"/>
          <w:sz w:val="24"/>
        </w:rPr>
        <w:t>2.2 “采购代理机构” 系指根据采购人的委托依法办理招标事宜的采购机构。本次招标的采购代理机构是</w:t>
      </w:r>
      <w:r>
        <w:rPr>
          <w:rFonts w:hint="eastAsia" w:ascii="宋体" w:hAnsi="宋体"/>
          <w:b/>
          <w:bCs/>
          <w:sz w:val="24"/>
          <w:u w:val="single"/>
        </w:rPr>
        <w:t>重庆招标采购（集团）有限责任公司</w:t>
      </w:r>
      <w:r>
        <w:rPr>
          <w:rFonts w:hint="eastAsia" w:ascii="宋体" w:hAnsi="宋体"/>
          <w:sz w:val="24"/>
        </w:rPr>
        <w:t>。</w:t>
      </w:r>
    </w:p>
    <w:p>
      <w:pPr>
        <w:tabs>
          <w:tab w:val="left" w:pos="7665"/>
        </w:tabs>
        <w:spacing w:line="400" w:lineRule="exact"/>
        <w:ind w:firstLine="480" w:firstLineChars="200"/>
        <w:rPr>
          <w:rFonts w:ascii="宋体" w:hAnsi="宋体"/>
          <w:sz w:val="24"/>
        </w:rPr>
      </w:pPr>
      <w:r>
        <w:rPr>
          <w:rFonts w:hint="eastAsia" w:ascii="宋体" w:hAnsi="宋体"/>
          <w:sz w:val="24"/>
        </w:rPr>
        <w:t>2.3 “招标采购单位”系指“采购人”和“采购代理机构”的统称。</w:t>
      </w:r>
    </w:p>
    <w:p>
      <w:pPr>
        <w:tabs>
          <w:tab w:val="left" w:pos="7665"/>
        </w:tabs>
        <w:spacing w:line="400" w:lineRule="exact"/>
        <w:ind w:firstLine="480" w:firstLineChars="200"/>
        <w:rPr>
          <w:rFonts w:ascii="宋体" w:hAnsi="宋体"/>
          <w:sz w:val="24"/>
        </w:rPr>
      </w:pPr>
      <w:r>
        <w:rPr>
          <w:rFonts w:hint="eastAsia" w:ascii="宋体" w:hAnsi="宋体"/>
          <w:sz w:val="24"/>
        </w:rPr>
        <w:t>2.4 “投标人”系指获取了招标文件拟参加投标和向采购人提供货物及相应服务的供应商。</w:t>
      </w:r>
    </w:p>
    <w:p>
      <w:pPr>
        <w:pStyle w:val="5"/>
        <w:spacing w:line="400" w:lineRule="exact"/>
        <w:ind w:firstLine="482" w:firstLineChars="200"/>
        <w:rPr>
          <w:rFonts w:ascii="宋体" w:hAnsi="宋体"/>
          <w:sz w:val="24"/>
        </w:rPr>
      </w:pPr>
      <w:bookmarkStart w:id="30" w:name="_Toc217446036"/>
      <w:bookmarkStart w:id="31" w:name="_Toc183582207"/>
      <w:bookmarkStart w:id="32" w:name="_Toc183682344"/>
      <w:bookmarkStart w:id="33" w:name="_Toc217390843"/>
      <w:r>
        <w:rPr>
          <w:rFonts w:hint="eastAsia" w:ascii="宋体" w:hAnsi="宋体"/>
          <w:sz w:val="24"/>
        </w:rPr>
        <w:t>3. 合格的投标人</w:t>
      </w:r>
      <w:bookmarkEnd w:id="30"/>
      <w:bookmarkEnd w:id="31"/>
      <w:bookmarkEnd w:id="32"/>
      <w:bookmarkEnd w:id="33"/>
    </w:p>
    <w:p>
      <w:pPr>
        <w:tabs>
          <w:tab w:val="left" w:pos="7665"/>
        </w:tabs>
        <w:spacing w:line="400" w:lineRule="exact"/>
        <w:ind w:firstLine="480" w:firstLineChars="200"/>
        <w:rPr>
          <w:rFonts w:ascii="宋体" w:hAnsi="宋体"/>
          <w:sz w:val="24"/>
        </w:rPr>
      </w:pPr>
      <w:r>
        <w:rPr>
          <w:rFonts w:hint="eastAsia" w:ascii="宋体" w:hAnsi="宋体"/>
          <w:sz w:val="24"/>
        </w:rPr>
        <w:t>合格的投标人应具备以下条件：</w:t>
      </w:r>
    </w:p>
    <w:p>
      <w:pPr>
        <w:tabs>
          <w:tab w:val="left" w:pos="7665"/>
        </w:tabs>
        <w:spacing w:line="400" w:lineRule="exact"/>
        <w:ind w:firstLine="480" w:firstLineChars="200"/>
        <w:rPr>
          <w:rFonts w:ascii="宋体" w:hAnsi="宋体"/>
          <w:spacing w:val="-4"/>
          <w:sz w:val="24"/>
        </w:rPr>
      </w:pPr>
      <w:r>
        <w:rPr>
          <w:rFonts w:hint="eastAsia" w:ascii="宋体" w:hAnsi="宋体"/>
          <w:sz w:val="24"/>
        </w:rPr>
        <w:t>（1）本招标文件规定的供应商资格条件</w:t>
      </w:r>
      <w:r>
        <w:rPr>
          <w:rFonts w:hint="eastAsia" w:ascii="宋体" w:hAnsi="宋体"/>
          <w:spacing w:val="-4"/>
          <w:sz w:val="24"/>
        </w:rPr>
        <w:t>；</w:t>
      </w:r>
    </w:p>
    <w:p>
      <w:pPr>
        <w:tabs>
          <w:tab w:val="left" w:pos="7665"/>
        </w:tabs>
        <w:spacing w:line="400" w:lineRule="exact"/>
        <w:ind w:firstLine="480" w:firstLineChars="200"/>
        <w:rPr>
          <w:rFonts w:ascii="宋体" w:hAnsi="宋体"/>
          <w:sz w:val="24"/>
        </w:rPr>
      </w:pPr>
      <w:r>
        <w:rPr>
          <w:rFonts w:hint="eastAsia" w:ascii="宋体" w:hAnsi="宋体"/>
          <w:sz w:val="24"/>
        </w:rPr>
        <w:t>（2）遵守国家有关的法律、法规、规章和其他政策制度；</w:t>
      </w:r>
    </w:p>
    <w:p>
      <w:pPr>
        <w:tabs>
          <w:tab w:val="left" w:pos="7665"/>
        </w:tabs>
        <w:spacing w:line="400" w:lineRule="exact"/>
        <w:ind w:firstLine="480" w:firstLineChars="200"/>
        <w:rPr>
          <w:rFonts w:ascii="宋体" w:hAnsi="宋体"/>
          <w:sz w:val="24"/>
        </w:rPr>
      </w:pPr>
      <w:r>
        <w:rPr>
          <w:rFonts w:hint="eastAsia" w:ascii="宋体" w:hAnsi="宋体"/>
          <w:sz w:val="24"/>
        </w:rPr>
        <w:t>（3）按照招标文件第一章要求规定获取了招标文件。</w:t>
      </w:r>
    </w:p>
    <w:bookmarkEnd w:id="29"/>
    <w:p>
      <w:pPr>
        <w:pStyle w:val="5"/>
        <w:spacing w:line="400" w:lineRule="exact"/>
        <w:ind w:firstLine="482" w:firstLineChars="200"/>
        <w:rPr>
          <w:rFonts w:ascii="宋体" w:hAnsi="宋体"/>
          <w:sz w:val="24"/>
        </w:rPr>
      </w:pPr>
      <w:bookmarkStart w:id="34" w:name="_Toc183682345"/>
      <w:bookmarkStart w:id="35" w:name="_Toc183582208"/>
      <w:bookmarkStart w:id="36" w:name="_Toc217446037"/>
      <w:bookmarkStart w:id="37" w:name="PO_默认文件内容_16"/>
      <w:r>
        <w:rPr>
          <w:rFonts w:hint="eastAsia" w:ascii="宋体" w:hAnsi="宋体"/>
          <w:sz w:val="24"/>
        </w:rPr>
        <w:t>4. 投标费用</w:t>
      </w:r>
      <w:bookmarkEnd w:id="34"/>
      <w:bookmarkEnd w:id="35"/>
      <w:bookmarkEnd w:id="36"/>
      <w:r>
        <w:rPr>
          <w:rFonts w:hint="eastAsia" w:ascii="宋体" w:hAnsi="宋体"/>
          <w:sz w:val="24"/>
          <w:szCs w:val="24"/>
        </w:rPr>
        <w:t>（实质性要求）</w:t>
      </w:r>
    </w:p>
    <w:p>
      <w:pPr>
        <w:tabs>
          <w:tab w:val="left" w:pos="7665"/>
        </w:tabs>
        <w:spacing w:line="400" w:lineRule="exact"/>
        <w:ind w:firstLine="480"/>
        <w:rPr>
          <w:rFonts w:ascii="宋体" w:hAnsi="宋体"/>
          <w:sz w:val="24"/>
        </w:rPr>
      </w:pPr>
      <w:r>
        <w:rPr>
          <w:rFonts w:hint="eastAsia" w:ascii="宋体" w:hAnsi="宋体"/>
          <w:sz w:val="24"/>
        </w:rPr>
        <w:t>投标人参加投标的有关费用由投标人自行承担。</w:t>
      </w:r>
    </w:p>
    <w:p>
      <w:pPr>
        <w:pStyle w:val="5"/>
        <w:spacing w:line="400" w:lineRule="exact"/>
        <w:ind w:firstLine="482" w:firstLineChars="200"/>
        <w:rPr>
          <w:rFonts w:ascii="宋体" w:hAnsi="宋体"/>
          <w:sz w:val="24"/>
        </w:rPr>
      </w:pPr>
      <w:r>
        <w:rPr>
          <w:rFonts w:hint="eastAsia" w:ascii="宋体" w:hAnsi="宋体"/>
          <w:sz w:val="24"/>
        </w:rPr>
        <w:t>5. 充分、公平竞争保障措施</w:t>
      </w:r>
      <w:r>
        <w:rPr>
          <w:rFonts w:hint="eastAsia" w:ascii="宋体" w:hAnsi="宋体"/>
          <w:sz w:val="24"/>
          <w:szCs w:val="24"/>
        </w:rPr>
        <w:t>（实质性要求）</w:t>
      </w:r>
    </w:p>
    <w:p>
      <w:pPr>
        <w:pStyle w:val="49"/>
        <w:spacing w:line="460" w:lineRule="exact"/>
        <w:ind w:left="1" w:firstLine="482" w:firstLineChars="200"/>
        <w:rPr>
          <w:rFonts w:hAnsi="宋体"/>
          <w:b/>
          <w:sz w:val="24"/>
          <w:szCs w:val="24"/>
        </w:rPr>
      </w:pPr>
      <w:r>
        <w:rPr>
          <w:rFonts w:hint="eastAsia" w:hAnsi="宋体"/>
          <w:b/>
          <w:sz w:val="24"/>
        </w:rPr>
        <w:t>5.1 提供相同品牌产品处理</w:t>
      </w:r>
      <w:r>
        <w:rPr>
          <w:rFonts w:hint="eastAsia" w:hAnsi="宋体"/>
          <w:b/>
          <w:sz w:val="24"/>
          <w:szCs w:val="24"/>
        </w:rPr>
        <w:t>。</w:t>
      </w:r>
    </w:p>
    <w:p>
      <w:pPr>
        <w:pStyle w:val="49"/>
        <w:spacing w:line="460" w:lineRule="exact"/>
        <w:ind w:left="1" w:firstLine="482" w:firstLineChars="200"/>
        <w:rPr>
          <w:rFonts w:hAnsi="宋体"/>
          <w:bCs/>
          <w:sz w:val="24"/>
          <w:szCs w:val="24"/>
        </w:rPr>
      </w:pPr>
      <w:r>
        <w:rPr>
          <w:rFonts w:hint="eastAsia" w:hAnsi="宋体"/>
          <w:b/>
          <w:sz w:val="24"/>
          <w:szCs w:val="24"/>
        </w:rPr>
        <w:t xml:space="preserve">5.1.1 </w:t>
      </w:r>
      <w:r>
        <w:rPr>
          <w:rFonts w:hint="eastAsia" w:hAnsi="宋体"/>
          <w:bCs/>
          <w:sz w:val="24"/>
          <w:szCs w:val="24"/>
        </w:rPr>
        <w:t>非单一产品采购项目中，采购人根据采购项目技术构成、产品价格比重等合理确定核心产品。多家投标人提供的任一核心产品品牌相同的，视为提供相同品牌产品。</w:t>
      </w:r>
      <w:r>
        <w:rPr>
          <w:rFonts w:hint="eastAsia" w:hAnsi="宋体"/>
          <w:b/>
          <w:sz w:val="24"/>
          <w:szCs w:val="24"/>
        </w:rPr>
        <w:t>核心产品为：网络管理平台。</w:t>
      </w:r>
    </w:p>
    <w:p>
      <w:pPr>
        <w:pStyle w:val="49"/>
        <w:spacing w:line="460" w:lineRule="exact"/>
        <w:ind w:left="1" w:firstLine="482" w:firstLineChars="200"/>
        <w:rPr>
          <w:rFonts w:hAnsi="宋体"/>
          <w:b/>
          <w:sz w:val="24"/>
          <w:szCs w:val="24"/>
        </w:rPr>
      </w:pPr>
      <w:r>
        <w:rPr>
          <w:rFonts w:hint="eastAsia" w:hAnsi="宋体"/>
          <w:b/>
          <w:sz w:val="24"/>
          <w:szCs w:val="24"/>
        </w:rPr>
        <w:t>5.1.2 采用综合评分法的采购项目。</w:t>
      </w:r>
    </w:p>
    <w:p>
      <w:pPr>
        <w:pStyle w:val="49"/>
        <w:spacing w:line="460" w:lineRule="exact"/>
        <w:ind w:left="1" w:firstLine="480" w:firstLineChars="200"/>
        <w:rPr>
          <w:rFonts w:hAnsi="宋体"/>
          <w:bCs/>
          <w:sz w:val="24"/>
          <w:szCs w:val="24"/>
        </w:rPr>
      </w:pPr>
      <w:r>
        <w:rPr>
          <w:rFonts w:hint="eastAsia" w:hAnsi="宋体"/>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pPr>
        <w:pStyle w:val="49"/>
        <w:spacing w:line="460" w:lineRule="exact"/>
        <w:ind w:left="1" w:firstLine="482" w:firstLineChars="200"/>
        <w:rPr>
          <w:rFonts w:hAnsi="宋体"/>
          <w:sz w:val="24"/>
        </w:rPr>
      </w:pPr>
      <w:r>
        <w:rPr>
          <w:rFonts w:hint="eastAsia" w:hAnsi="宋体"/>
          <w:b/>
          <w:sz w:val="24"/>
        </w:rPr>
        <w:t>5.2 利害关系供应商处理。</w:t>
      </w:r>
      <w:r>
        <w:rPr>
          <w:rFonts w:hint="eastAsia" w:hAnsi="宋体"/>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pPr>
        <w:pStyle w:val="49"/>
        <w:spacing w:line="460" w:lineRule="exact"/>
        <w:ind w:left="1" w:firstLine="482" w:firstLineChars="200"/>
        <w:rPr>
          <w:rFonts w:hAnsi="宋体"/>
          <w:sz w:val="24"/>
        </w:rPr>
      </w:pPr>
      <w:r>
        <w:rPr>
          <w:rFonts w:hint="eastAsia" w:hAnsi="宋体"/>
          <w:b/>
          <w:sz w:val="24"/>
        </w:rPr>
        <w:t>5.3 前期参与供应商处理。</w:t>
      </w:r>
      <w:r>
        <w:rPr>
          <w:rFonts w:hint="eastAsia" w:hAnsi="宋体"/>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pStyle w:val="49"/>
        <w:spacing w:line="460" w:lineRule="exact"/>
        <w:ind w:left="1" w:firstLine="482" w:firstLineChars="200"/>
        <w:rPr>
          <w:rFonts w:hAnsi="宋体"/>
          <w:sz w:val="24"/>
        </w:rPr>
      </w:pPr>
      <w:r>
        <w:rPr>
          <w:rFonts w:hint="eastAsia" w:hAnsi="宋体"/>
          <w:b/>
          <w:sz w:val="24"/>
        </w:rPr>
        <w:t>5.4 利害关系代理人处理。</w:t>
      </w:r>
      <w:r>
        <w:rPr>
          <w:rFonts w:hint="eastAsia" w:hAnsi="宋体"/>
          <w:sz w:val="24"/>
        </w:rPr>
        <w:t>2家以上的供应商不得在同一合同项下的采购项目中，同时委托同一个自然人、同一家庭的人员、同一单位的人员作为其代理人，否则，其投标文件作为无效处理。</w:t>
      </w:r>
    </w:p>
    <w:p>
      <w:pPr>
        <w:pStyle w:val="4"/>
        <w:spacing w:line="400" w:lineRule="exact"/>
        <w:jc w:val="center"/>
        <w:rPr>
          <w:rFonts w:ascii="宋体" w:hAnsi="宋体" w:eastAsia="宋体"/>
          <w:bCs w:val="0"/>
        </w:rPr>
      </w:pPr>
      <w:bookmarkStart w:id="38" w:name="_Toc183682346"/>
      <w:bookmarkStart w:id="39" w:name="_Toc217446038"/>
      <w:bookmarkStart w:id="40" w:name="_Toc183582209"/>
      <w:bookmarkStart w:id="41" w:name="_Toc89075875"/>
      <w:bookmarkStart w:id="42" w:name="_Toc77400779"/>
      <w:r>
        <w:rPr>
          <w:rFonts w:hint="eastAsia" w:ascii="宋体" w:hAnsi="宋体" w:eastAsia="宋体"/>
          <w:bCs w:val="0"/>
        </w:rPr>
        <w:t>三、招标文件</w:t>
      </w:r>
      <w:bookmarkEnd w:id="38"/>
      <w:bookmarkEnd w:id="39"/>
      <w:bookmarkEnd w:id="40"/>
      <w:bookmarkEnd w:id="41"/>
      <w:bookmarkEnd w:id="42"/>
    </w:p>
    <w:p>
      <w:pPr>
        <w:pStyle w:val="5"/>
        <w:spacing w:line="400" w:lineRule="exact"/>
        <w:ind w:firstLine="482" w:firstLineChars="200"/>
        <w:rPr>
          <w:rFonts w:ascii="宋体" w:hAnsi="宋体"/>
          <w:sz w:val="24"/>
        </w:rPr>
      </w:pPr>
      <w:bookmarkStart w:id="43" w:name="_Toc217446039"/>
      <w:bookmarkStart w:id="44" w:name="_Toc183682347"/>
      <w:bookmarkStart w:id="45" w:name="_Toc183582210"/>
      <w:r>
        <w:rPr>
          <w:rFonts w:hint="eastAsia" w:ascii="宋体" w:hAnsi="宋体"/>
          <w:sz w:val="24"/>
        </w:rPr>
        <w:t>6．招标文件的构成</w:t>
      </w:r>
      <w:bookmarkEnd w:id="43"/>
      <w:bookmarkEnd w:id="44"/>
      <w:bookmarkEnd w:id="45"/>
    </w:p>
    <w:p>
      <w:pPr>
        <w:tabs>
          <w:tab w:val="left" w:pos="7665"/>
        </w:tabs>
        <w:spacing w:line="400" w:lineRule="exact"/>
        <w:ind w:firstLine="480" w:firstLineChars="200"/>
        <w:rPr>
          <w:rFonts w:ascii="宋体" w:hAnsi="宋体"/>
          <w:kern w:val="0"/>
          <w:sz w:val="24"/>
          <w:szCs w:val="22"/>
        </w:rPr>
      </w:pPr>
      <w:r>
        <w:rPr>
          <w:rFonts w:hint="eastAsia" w:ascii="宋体" w:hAnsi="宋体"/>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pPr>
        <w:tabs>
          <w:tab w:val="left" w:pos="720"/>
        </w:tabs>
        <w:spacing w:line="400" w:lineRule="exact"/>
        <w:ind w:firstLine="480" w:firstLineChars="200"/>
        <w:rPr>
          <w:rFonts w:ascii="宋体" w:hAnsi="宋体"/>
          <w:sz w:val="24"/>
        </w:rPr>
      </w:pPr>
      <w:r>
        <w:rPr>
          <w:rFonts w:hint="eastAsia" w:ascii="宋体" w:hAnsi="宋体"/>
          <w:kern w:val="0"/>
          <w:sz w:val="24"/>
          <w:szCs w:val="22"/>
        </w:rPr>
        <w:t>（一）投标</w:t>
      </w:r>
      <w:r>
        <w:rPr>
          <w:rFonts w:hint="eastAsia" w:ascii="宋体" w:hAnsi="宋体"/>
          <w:sz w:val="24"/>
        </w:rPr>
        <w:t>邀请；</w:t>
      </w:r>
    </w:p>
    <w:p>
      <w:pPr>
        <w:tabs>
          <w:tab w:val="left" w:pos="720"/>
        </w:tabs>
        <w:spacing w:line="400" w:lineRule="exact"/>
        <w:ind w:firstLine="480" w:firstLineChars="200"/>
        <w:rPr>
          <w:rFonts w:ascii="宋体" w:hAnsi="宋体"/>
          <w:sz w:val="24"/>
        </w:rPr>
      </w:pPr>
      <w:r>
        <w:rPr>
          <w:rFonts w:hint="eastAsia" w:ascii="宋体" w:hAnsi="宋体"/>
          <w:sz w:val="24"/>
        </w:rPr>
        <w:t>（二）投标人须知；</w:t>
      </w:r>
    </w:p>
    <w:p>
      <w:pPr>
        <w:tabs>
          <w:tab w:val="left" w:pos="720"/>
        </w:tabs>
        <w:spacing w:line="400" w:lineRule="exact"/>
        <w:ind w:firstLine="480" w:firstLineChars="200"/>
        <w:rPr>
          <w:rFonts w:ascii="宋体" w:hAnsi="宋体"/>
          <w:sz w:val="24"/>
        </w:rPr>
      </w:pPr>
      <w:r>
        <w:rPr>
          <w:rFonts w:hint="eastAsia" w:ascii="宋体" w:hAnsi="宋体"/>
          <w:sz w:val="24"/>
        </w:rPr>
        <w:t>（三）投标文件格式；</w:t>
      </w:r>
    </w:p>
    <w:p>
      <w:pPr>
        <w:tabs>
          <w:tab w:val="left" w:pos="720"/>
        </w:tabs>
        <w:spacing w:line="400" w:lineRule="exact"/>
        <w:ind w:firstLine="480" w:firstLineChars="200"/>
        <w:rPr>
          <w:rFonts w:ascii="宋体" w:hAnsi="宋体"/>
          <w:sz w:val="24"/>
        </w:rPr>
      </w:pPr>
      <w:r>
        <w:rPr>
          <w:rFonts w:hint="eastAsia" w:ascii="宋体" w:hAnsi="宋体"/>
          <w:sz w:val="24"/>
        </w:rPr>
        <w:t>（四）投标人和投标产品的资格、资质性及其他类似效力要求；</w:t>
      </w:r>
    </w:p>
    <w:p>
      <w:pPr>
        <w:tabs>
          <w:tab w:val="left" w:pos="720"/>
        </w:tabs>
        <w:spacing w:line="400" w:lineRule="exact"/>
        <w:ind w:firstLine="480" w:firstLineChars="200"/>
        <w:rPr>
          <w:rFonts w:ascii="宋体" w:hAnsi="宋体"/>
          <w:sz w:val="24"/>
        </w:rPr>
      </w:pPr>
      <w:r>
        <w:rPr>
          <w:rFonts w:hint="eastAsia" w:ascii="宋体" w:hAnsi="宋体"/>
          <w:sz w:val="24"/>
        </w:rPr>
        <w:t>（五）</w:t>
      </w:r>
      <w:r>
        <w:rPr>
          <w:rFonts w:hint="eastAsia" w:ascii="宋体" w:hAnsi="宋体" w:cs="仿宋"/>
          <w:bCs/>
          <w:sz w:val="24"/>
        </w:rPr>
        <w:t>资格性审查要求</w:t>
      </w:r>
      <w:r>
        <w:rPr>
          <w:rFonts w:hint="eastAsia" w:ascii="宋体" w:hAnsi="宋体"/>
          <w:sz w:val="24"/>
        </w:rPr>
        <w:t>；</w:t>
      </w:r>
    </w:p>
    <w:p>
      <w:pPr>
        <w:tabs>
          <w:tab w:val="left" w:pos="720"/>
        </w:tabs>
        <w:spacing w:line="400" w:lineRule="exact"/>
        <w:ind w:firstLine="480" w:firstLineChars="200"/>
        <w:rPr>
          <w:rFonts w:ascii="宋体" w:hAnsi="宋体"/>
          <w:sz w:val="24"/>
        </w:rPr>
      </w:pPr>
      <w:r>
        <w:rPr>
          <w:rFonts w:hint="eastAsia" w:ascii="宋体" w:hAnsi="宋体"/>
          <w:sz w:val="24"/>
        </w:rPr>
        <w:t>（六）招标项目技术、服务、政府采购合同内容条款及其他商务要求；</w:t>
      </w:r>
    </w:p>
    <w:p>
      <w:pPr>
        <w:tabs>
          <w:tab w:val="left" w:pos="720"/>
        </w:tabs>
        <w:spacing w:line="400" w:lineRule="exact"/>
        <w:ind w:firstLine="480" w:firstLineChars="200"/>
        <w:rPr>
          <w:rFonts w:ascii="宋体" w:hAnsi="宋体"/>
          <w:sz w:val="24"/>
        </w:rPr>
      </w:pPr>
      <w:r>
        <w:rPr>
          <w:rFonts w:hint="eastAsia" w:ascii="宋体" w:hAnsi="宋体"/>
          <w:sz w:val="24"/>
        </w:rPr>
        <w:t>（七）评标办法；</w:t>
      </w:r>
    </w:p>
    <w:p>
      <w:pPr>
        <w:tabs>
          <w:tab w:val="left" w:pos="720"/>
        </w:tabs>
        <w:spacing w:line="400" w:lineRule="exact"/>
        <w:ind w:firstLine="480" w:firstLineChars="200"/>
        <w:rPr>
          <w:rFonts w:ascii="宋体" w:hAnsi="宋体"/>
          <w:sz w:val="24"/>
        </w:rPr>
      </w:pPr>
      <w:r>
        <w:rPr>
          <w:rFonts w:hint="eastAsia" w:ascii="宋体" w:hAnsi="宋体"/>
          <w:sz w:val="24"/>
        </w:rPr>
        <w:t>（八）合同主要条款。</w:t>
      </w:r>
    </w:p>
    <w:p>
      <w:pPr>
        <w:pStyle w:val="5"/>
        <w:spacing w:line="400" w:lineRule="exact"/>
        <w:ind w:firstLine="482" w:firstLineChars="200"/>
        <w:rPr>
          <w:rFonts w:ascii="宋体" w:hAnsi="宋体"/>
          <w:sz w:val="24"/>
        </w:rPr>
      </w:pPr>
      <w:bookmarkStart w:id="46" w:name="_Toc183682348"/>
      <w:bookmarkStart w:id="47" w:name="_Toc183582211"/>
      <w:bookmarkStart w:id="48" w:name="_Toc217446040"/>
      <w:r>
        <w:rPr>
          <w:rFonts w:hint="eastAsia" w:ascii="宋体" w:hAnsi="宋体"/>
          <w:sz w:val="24"/>
        </w:rPr>
        <w:t>7. 招标文件的澄清</w:t>
      </w:r>
      <w:bookmarkEnd w:id="46"/>
      <w:bookmarkEnd w:id="47"/>
      <w:r>
        <w:rPr>
          <w:rFonts w:hint="eastAsia" w:ascii="宋体" w:hAnsi="宋体"/>
          <w:sz w:val="24"/>
        </w:rPr>
        <w:t>和修改</w:t>
      </w:r>
      <w:bookmarkEnd w:id="48"/>
    </w:p>
    <w:p>
      <w:pPr>
        <w:tabs>
          <w:tab w:val="left" w:pos="7665"/>
        </w:tabs>
        <w:spacing w:line="400" w:lineRule="exact"/>
        <w:ind w:firstLine="480" w:firstLineChars="200"/>
        <w:rPr>
          <w:rFonts w:ascii="宋体" w:hAnsi="宋体"/>
          <w:sz w:val="24"/>
        </w:rPr>
      </w:pPr>
      <w:r>
        <w:rPr>
          <w:rFonts w:hint="eastAsia" w:ascii="宋体" w:hAnsi="宋体"/>
          <w:sz w:val="24"/>
        </w:rPr>
        <w:t>7.1 招标采购单位可以依法对招标文件进行澄清或者修改。</w:t>
      </w:r>
    </w:p>
    <w:p>
      <w:pPr>
        <w:tabs>
          <w:tab w:val="left" w:pos="7665"/>
        </w:tabs>
        <w:spacing w:line="400" w:lineRule="exact"/>
        <w:ind w:firstLine="480" w:firstLineChars="200"/>
        <w:rPr>
          <w:rFonts w:ascii="宋体" w:hAnsi="宋体"/>
          <w:sz w:val="24"/>
        </w:rPr>
      </w:pPr>
      <w:r>
        <w:rPr>
          <w:rFonts w:hint="eastAsia" w:ascii="宋体" w:hAnsi="宋体"/>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pPr>
        <w:tabs>
          <w:tab w:val="left" w:pos="7665"/>
        </w:tabs>
        <w:spacing w:line="400" w:lineRule="exact"/>
        <w:ind w:firstLine="480" w:firstLineChars="200"/>
        <w:rPr>
          <w:rFonts w:ascii="宋体" w:hAnsi="宋体"/>
          <w:sz w:val="24"/>
        </w:rPr>
      </w:pPr>
      <w:r>
        <w:rPr>
          <w:rFonts w:hint="eastAsia" w:ascii="宋体" w:hAnsi="宋体"/>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pPr>
        <w:tabs>
          <w:tab w:val="left" w:pos="7665"/>
        </w:tabs>
        <w:spacing w:line="400" w:lineRule="exact"/>
        <w:ind w:firstLine="480" w:firstLineChars="200"/>
        <w:rPr>
          <w:rFonts w:ascii="宋体" w:hAnsi="宋体"/>
          <w:sz w:val="24"/>
        </w:rPr>
      </w:pPr>
      <w:r>
        <w:rPr>
          <w:rFonts w:hint="eastAsia" w:ascii="宋体" w:hAnsi="宋体"/>
          <w:sz w:val="24"/>
        </w:rPr>
        <w:t>更正通知通过政府采购云平台通知所有获取招标文件的潜在供应商。</w:t>
      </w:r>
    </w:p>
    <w:p>
      <w:pPr>
        <w:tabs>
          <w:tab w:val="left" w:pos="7665"/>
        </w:tabs>
        <w:spacing w:line="400" w:lineRule="exact"/>
        <w:ind w:firstLine="480" w:firstLineChars="200"/>
        <w:rPr>
          <w:rFonts w:ascii="宋体" w:hAnsi="宋体"/>
          <w:sz w:val="24"/>
        </w:rPr>
      </w:pPr>
      <w:r>
        <w:rPr>
          <w:rFonts w:ascii="宋体" w:hAnsi="宋体"/>
          <w:sz w:val="24"/>
        </w:rPr>
        <w:t xml:space="preserve">7.4 </w:t>
      </w:r>
      <w:r>
        <w:rPr>
          <w:rFonts w:hint="eastAsia" w:ascii="宋体" w:hAnsi="宋体"/>
          <w:sz w:val="24"/>
        </w:rPr>
        <w:t>投标人认为需要对招标文件进行澄清或者修改的，可以以书面形式向招标采购单位提出申请，但招标采购单位可以决定是否采纳投标人的申请事项。</w:t>
      </w:r>
    </w:p>
    <w:p>
      <w:pPr>
        <w:pStyle w:val="5"/>
        <w:spacing w:line="400" w:lineRule="exact"/>
        <w:ind w:firstLine="482" w:firstLineChars="200"/>
        <w:rPr>
          <w:rFonts w:ascii="宋体" w:hAnsi="宋体"/>
          <w:sz w:val="24"/>
        </w:rPr>
      </w:pPr>
      <w:bookmarkStart w:id="49" w:name="_Toc208848971"/>
      <w:bookmarkStart w:id="50" w:name="_Toc217446041"/>
      <w:r>
        <w:rPr>
          <w:rFonts w:hint="eastAsia" w:ascii="宋体" w:hAnsi="宋体"/>
          <w:sz w:val="24"/>
        </w:rPr>
        <w:t>8. 答疑会和现场考察</w:t>
      </w:r>
      <w:bookmarkEnd w:id="49"/>
      <w:bookmarkEnd w:id="50"/>
    </w:p>
    <w:p>
      <w:pPr>
        <w:tabs>
          <w:tab w:val="left" w:pos="7665"/>
        </w:tabs>
        <w:spacing w:line="400" w:lineRule="exact"/>
        <w:ind w:firstLine="480" w:firstLineChars="200"/>
        <w:rPr>
          <w:rFonts w:ascii="宋体" w:hAnsi="宋体"/>
          <w:sz w:val="24"/>
        </w:rPr>
      </w:pPr>
      <w:r>
        <w:rPr>
          <w:rFonts w:hint="eastAsia" w:ascii="宋体" w:hAnsi="宋体"/>
          <w:sz w:val="24"/>
        </w:rPr>
        <w:t>8.1 根据采购项目和具体情况，招标采购单位认为有必要，可以在招标文件提供期限截止后，组织已获取招标文件的潜在投标人现场考察或者召开开标前答疑会。</w:t>
      </w:r>
    </w:p>
    <w:p>
      <w:pPr>
        <w:tabs>
          <w:tab w:val="left" w:pos="7665"/>
        </w:tabs>
        <w:spacing w:line="400" w:lineRule="exact"/>
        <w:ind w:firstLine="480" w:firstLineChars="200"/>
        <w:rPr>
          <w:rFonts w:ascii="宋体" w:hAnsi="宋体"/>
          <w:sz w:val="24"/>
        </w:rPr>
      </w:pPr>
      <w:r>
        <w:rPr>
          <w:rFonts w:hint="eastAsia" w:ascii="宋体" w:hAnsi="宋体"/>
          <w:sz w:val="24"/>
        </w:rPr>
        <w:t>现场考察或标前答疑会时间：详见投标人须知表。</w:t>
      </w:r>
    </w:p>
    <w:p>
      <w:pPr>
        <w:tabs>
          <w:tab w:val="left" w:pos="7665"/>
        </w:tabs>
        <w:spacing w:line="400" w:lineRule="exact"/>
        <w:ind w:firstLine="480" w:firstLineChars="200"/>
        <w:rPr>
          <w:rFonts w:ascii="宋体" w:hAnsi="宋体"/>
          <w:sz w:val="24"/>
        </w:rPr>
      </w:pPr>
      <w:r>
        <w:rPr>
          <w:rFonts w:hint="eastAsia" w:ascii="宋体" w:hAnsi="宋体"/>
          <w:sz w:val="24"/>
        </w:rPr>
        <w:t>现场考察或标前答疑会地点：详见投标人须知表。</w:t>
      </w:r>
    </w:p>
    <w:bookmarkEnd w:id="37"/>
    <w:p>
      <w:pPr>
        <w:tabs>
          <w:tab w:val="left" w:pos="7665"/>
        </w:tabs>
        <w:spacing w:line="400" w:lineRule="exact"/>
        <w:ind w:firstLine="480" w:firstLineChars="200"/>
        <w:rPr>
          <w:rFonts w:ascii="宋体" w:hAnsi="宋体"/>
          <w:sz w:val="24"/>
        </w:rPr>
      </w:pPr>
      <w:bookmarkStart w:id="51" w:name="PO_默认文件内容_18"/>
      <w:r>
        <w:rPr>
          <w:rFonts w:hint="eastAsia" w:ascii="宋体" w:hAnsi="宋体"/>
          <w:sz w:val="24"/>
        </w:rPr>
        <w:t>8.2 供应商考察现场所发生的一切费用由供应商自己承担。</w:t>
      </w:r>
    </w:p>
    <w:p>
      <w:pPr>
        <w:pStyle w:val="4"/>
        <w:spacing w:line="400" w:lineRule="exact"/>
        <w:jc w:val="center"/>
        <w:rPr>
          <w:rFonts w:ascii="宋体" w:hAnsi="宋体" w:eastAsia="宋体"/>
          <w:bCs w:val="0"/>
        </w:rPr>
      </w:pPr>
      <w:bookmarkStart w:id="52" w:name="_Toc217446042"/>
      <w:bookmarkStart w:id="53" w:name="_Toc77400780"/>
      <w:bookmarkStart w:id="54" w:name="_Toc183682351"/>
      <w:bookmarkStart w:id="55" w:name="_Toc89075876"/>
      <w:bookmarkStart w:id="56" w:name="_Toc183582214"/>
      <w:r>
        <w:rPr>
          <w:rFonts w:hint="eastAsia" w:ascii="宋体" w:hAnsi="宋体" w:eastAsia="宋体"/>
          <w:bCs w:val="0"/>
        </w:rPr>
        <w:t>四、投标文件</w:t>
      </w:r>
      <w:bookmarkEnd w:id="52"/>
      <w:bookmarkEnd w:id="53"/>
      <w:bookmarkEnd w:id="54"/>
      <w:bookmarkEnd w:id="55"/>
      <w:bookmarkEnd w:id="56"/>
    </w:p>
    <w:p>
      <w:pPr>
        <w:pStyle w:val="5"/>
        <w:spacing w:line="400" w:lineRule="exact"/>
        <w:ind w:firstLine="482" w:firstLineChars="200"/>
        <w:rPr>
          <w:rFonts w:ascii="宋体" w:hAnsi="宋体"/>
          <w:bCs w:val="0"/>
          <w:sz w:val="24"/>
        </w:rPr>
      </w:pPr>
      <w:bookmarkStart w:id="57" w:name="_Toc183582215"/>
      <w:bookmarkStart w:id="58" w:name="_Toc183682352"/>
      <w:bookmarkStart w:id="59" w:name="_Toc217446043"/>
      <w:r>
        <w:rPr>
          <w:rFonts w:hint="eastAsia" w:ascii="宋体" w:hAnsi="宋体"/>
          <w:bCs w:val="0"/>
          <w:sz w:val="24"/>
        </w:rPr>
        <w:t>9．投标文件的语言</w:t>
      </w:r>
      <w:bookmarkEnd w:id="57"/>
      <w:bookmarkEnd w:id="58"/>
      <w:bookmarkEnd w:id="59"/>
    </w:p>
    <w:p>
      <w:pPr>
        <w:tabs>
          <w:tab w:val="left" w:pos="1134"/>
        </w:tabs>
        <w:spacing w:line="360" w:lineRule="auto"/>
        <w:ind w:firstLine="480" w:firstLineChars="200"/>
        <w:jc w:val="left"/>
        <w:rPr>
          <w:rFonts w:ascii="宋体" w:hAnsi="宋体"/>
          <w:sz w:val="24"/>
        </w:rPr>
      </w:pPr>
      <w:bookmarkStart w:id="60" w:name="_Toc183582216"/>
      <w:bookmarkStart w:id="61" w:name="_Toc217446044"/>
      <w:bookmarkStart w:id="62" w:name="_Toc183682353"/>
      <w:r>
        <w:rPr>
          <w:rFonts w:hint="eastAsia" w:ascii="宋体" w:hAnsi="宋体"/>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pPr>
        <w:tabs>
          <w:tab w:val="left" w:pos="1134"/>
        </w:tabs>
        <w:spacing w:line="360" w:lineRule="auto"/>
        <w:ind w:firstLine="480" w:firstLineChars="200"/>
        <w:jc w:val="left"/>
        <w:rPr>
          <w:rFonts w:ascii="宋体" w:hAnsi="宋体"/>
          <w:sz w:val="24"/>
        </w:rPr>
      </w:pPr>
      <w:r>
        <w:rPr>
          <w:rFonts w:hint="eastAsia" w:ascii="宋体" w:hAnsi="宋体"/>
          <w:sz w:val="24"/>
        </w:rPr>
        <w:t>9.2 翻译的中文资料与外文资料如果出现差异和矛盾时，以中文为准。涉嫌虚假响应的按照相关法律法规处理。</w:t>
      </w:r>
    </w:p>
    <w:p>
      <w:pPr>
        <w:spacing w:line="400" w:lineRule="exact"/>
        <w:ind w:firstLine="480" w:firstLineChars="200"/>
        <w:rPr>
          <w:rFonts w:ascii="宋体" w:hAnsi="宋体" w:cs="宋体"/>
          <w:sz w:val="24"/>
        </w:rPr>
      </w:pPr>
      <w:r>
        <w:rPr>
          <w:rFonts w:hint="eastAsia" w:ascii="宋体" w:hAnsi="宋体" w:cs="宋体"/>
          <w:sz w:val="24"/>
        </w:rPr>
        <w:t>9.3 如因未翻译而造成的废标，由投标人承担。</w:t>
      </w:r>
    </w:p>
    <w:p>
      <w:pPr>
        <w:pStyle w:val="5"/>
        <w:spacing w:line="400" w:lineRule="exact"/>
        <w:ind w:firstLine="482" w:firstLineChars="200"/>
        <w:rPr>
          <w:rFonts w:ascii="宋体" w:hAnsi="宋体"/>
          <w:sz w:val="24"/>
        </w:rPr>
      </w:pPr>
      <w:r>
        <w:rPr>
          <w:rFonts w:hint="eastAsia" w:ascii="宋体" w:hAnsi="宋体"/>
          <w:sz w:val="24"/>
        </w:rPr>
        <w:t>10．计量单位</w:t>
      </w:r>
      <w:bookmarkEnd w:id="60"/>
      <w:bookmarkEnd w:id="61"/>
      <w:bookmarkEnd w:id="62"/>
      <w:r>
        <w:rPr>
          <w:rFonts w:hint="eastAsia" w:ascii="宋体" w:hAnsi="宋体"/>
          <w:sz w:val="24"/>
          <w:szCs w:val="24"/>
        </w:rPr>
        <w:t>（实质性要求）</w:t>
      </w:r>
    </w:p>
    <w:p>
      <w:pPr>
        <w:spacing w:line="400" w:lineRule="exact"/>
        <w:ind w:firstLine="470" w:firstLineChars="196"/>
        <w:rPr>
          <w:rFonts w:ascii="宋体" w:hAnsi="宋体"/>
          <w:sz w:val="24"/>
        </w:rPr>
      </w:pPr>
      <w:r>
        <w:rPr>
          <w:rFonts w:hint="eastAsia" w:ascii="宋体" w:hAnsi="宋体"/>
          <w:sz w:val="24"/>
        </w:rPr>
        <w:t>除招标文件中另有规定外，本次采购项目所有合同项下的投标均采用国家法定的计量单位。</w:t>
      </w:r>
    </w:p>
    <w:p>
      <w:pPr>
        <w:pStyle w:val="5"/>
        <w:spacing w:line="400" w:lineRule="exact"/>
        <w:ind w:firstLine="482" w:firstLineChars="200"/>
        <w:rPr>
          <w:rFonts w:ascii="宋体" w:hAnsi="宋体"/>
          <w:sz w:val="24"/>
        </w:rPr>
      </w:pPr>
      <w:bookmarkStart w:id="63" w:name="_Toc217446045"/>
      <w:r>
        <w:rPr>
          <w:rFonts w:hint="eastAsia" w:ascii="宋体" w:hAnsi="宋体"/>
          <w:sz w:val="24"/>
        </w:rPr>
        <w:t>11. 投标货币</w:t>
      </w:r>
      <w:bookmarkEnd w:id="63"/>
      <w:r>
        <w:rPr>
          <w:rFonts w:hint="eastAsia" w:ascii="宋体" w:hAnsi="宋体"/>
          <w:sz w:val="24"/>
        </w:rPr>
        <w:t>（实质性要求）</w:t>
      </w:r>
    </w:p>
    <w:p>
      <w:pPr>
        <w:spacing w:line="400" w:lineRule="exact"/>
        <w:ind w:firstLine="470" w:firstLineChars="196"/>
        <w:rPr>
          <w:rFonts w:ascii="宋体" w:hAnsi="宋体"/>
          <w:sz w:val="24"/>
        </w:rPr>
      </w:pPr>
      <w:r>
        <w:rPr>
          <w:rFonts w:hint="eastAsia" w:ascii="宋体" w:hAnsi="宋体"/>
          <w:sz w:val="24"/>
        </w:rPr>
        <w:t>本次招标项目的投标均以人民币报价。</w:t>
      </w:r>
    </w:p>
    <w:p>
      <w:pPr>
        <w:pStyle w:val="5"/>
        <w:spacing w:line="400" w:lineRule="exact"/>
        <w:ind w:firstLine="482" w:firstLineChars="200"/>
        <w:rPr>
          <w:rFonts w:ascii="宋体" w:hAnsi="宋体"/>
          <w:sz w:val="24"/>
        </w:rPr>
      </w:pPr>
      <w:bookmarkStart w:id="64" w:name="_Toc217446046"/>
      <w:r>
        <w:rPr>
          <w:rFonts w:hint="eastAsia" w:ascii="宋体" w:hAnsi="宋体"/>
          <w:sz w:val="24"/>
        </w:rPr>
        <w:t>12. 联合体投标</w:t>
      </w:r>
      <w:bookmarkEnd w:id="64"/>
      <w:r>
        <w:rPr>
          <w:rFonts w:hint="eastAsia" w:ascii="宋体" w:hAnsi="宋体"/>
          <w:sz w:val="24"/>
        </w:rPr>
        <w:t>（仅适用于允许联合体参与的项目）</w:t>
      </w:r>
    </w:p>
    <w:p>
      <w:pPr>
        <w:spacing w:line="400" w:lineRule="exact"/>
        <w:ind w:firstLine="470" w:firstLineChars="196"/>
        <w:rPr>
          <w:rFonts w:ascii="宋体" w:hAnsi="宋体"/>
          <w:sz w:val="24"/>
        </w:rPr>
      </w:pPr>
      <w:bookmarkStart w:id="65" w:name="_Toc217446047"/>
      <w:r>
        <w:rPr>
          <w:rFonts w:hint="eastAsia" w:ascii="宋体" w:hAnsi="宋体"/>
          <w:sz w:val="24"/>
        </w:rPr>
        <w:t>联合体各方应当共同与采购人签订采购合同，就采购合同约定的事项对采购人承担连带责任。</w:t>
      </w:r>
    </w:p>
    <w:p>
      <w:pPr>
        <w:pStyle w:val="5"/>
        <w:spacing w:line="400" w:lineRule="exact"/>
        <w:ind w:firstLine="482" w:firstLineChars="200"/>
        <w:rPr>
          <w:rFonts w:ascii="宋体" w:hAnsi="宋体"/>
          <w:sz w:val="24"/>
        </w:rPr>
      </w:pPr>
      <w:bookmarkStart w:id="66" w:name="_Toc308164797"/>
      <w:r>
        <w:rPr>
          <w:rFonts w:hint="eastAsia" w:ascii="宋体" w:hAnsi="宋体"/>
          <w:sz w:val="24"/>
        </w:rPr>
        <w:t>13. 知识产权</w:t>
      </w:r>
      <w:bookmarkEnd w:id="65"/>
      <w:bookmarkEnd w:id="66"/>
      <w:r>
        <w:rPr>
          <w:rFonts w:hint="eastAsia" w:ascii="宋体" w:hAnsi="宋体"/>
          <w:sz w:val="24"/>
        </w:rPr>
        <w:t>（实质性要求）</w:t>
      </w:r>
    </w:p>
    <w:p>
      <w:pPr>
        <w:pStyle w:val="10"/>
        <w:spacing w:line="400" w:lineRule="exact"/>
        <w:ind w:firstLine="480" w:firstLineChars="200"/>
        <w:rPr>
          <w:rFonts w:ascii="宋体" w:hAnsi="宋体"/>
          <w:sz w:val="24"/>
          <w:szCs w:val="24"/>
        </w:rPr>
      </w:pPr>
      <w:r>
        <w:rPr>
          <w:rFonts w:hint="eastAsia" w:ascii="宋体" w:hAnsi="宋体"/>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pStyle w:val="10"/>
        <w:spacing w:line="400" w:lineRule="exact"/>
        <w:ind w:firstLine="480" w:firstLineChars="200"/>
        <w:rPr>
          <w:rFonts w:ascii="宋体" w:hAnsi="宋体"/>
          <w:sz w:val="24"/>
          <w:szCs w:val="24"/>
        </w:rPr>
      </w:pPr>
      <w:r>
        <w:rPr>
          <w:rFonts w:hint="eastAsia" w:ascii="宋体" w:hAnsi="宋体"/>
          <w:sz w:val="24"/>
          <w:szCs w:val="24"/>
        </w:rPr>
        <w:t>13.2 采购人享有本项目实施过程中产生的知识成果及知识产权。</w:t>
      </w:r>
    </w:p>
    <w:p>
      <w:pPr>
        <w:spacing w:line="400" w:lineRule="exact"/>
        <w:ind w:firstLine="480" w:firstLineChars="200"/>
        <w:rPr>
          <w:rFonts w:ascii="宋体" w:hAnsi="宋体"/>
          <w:sz w:val="24"/>
        </w:rPr>
      </w:pPr>
      <w:r>
        <w:rPr>
          <w:rFonts w:hint="eastAsia" w:ascii="宋体" w:hAnsi="宋体"/>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pPr>
        <w:spacing w:line="400" w:lineRule="exact"/>
        <w:ind w:firstLine="460" w:firstLineChars="192"/>
        <w:rPr>
          <w:rFonts w:ascii="宋体" w:hAnsi="宋体"/>
          <w:sz w:val="24"/>
        </w:rPr>
      </w:pPr>
      <w:r>
        <w:rPr>
          <w:rFonts w:hint="eastAsia" w:ascii="宋体" w:hAnsi="宋体"/>
          <w:sz w:val="24"/>
        </w:rPr>
        <w:t xml:space="preserve">13.4 如采用投标人所不拥有的知识产权，则在投标报价中必须包括合法获取该知识产权的相关费用。 </w:t>
      </w:r>
    </w:p>
    <w:p>
      <w:pPr>
        <w:pStyle w:val="5"/>
        <w:spacing w:line="400" w:lineRule="exact"/>
        <w:ind w:firstLine="482" w:firstLineChars="200"/>
        <w:rPr>
          <w:rFonts w:ascii="宋体" w:hAnsi="宋体"/>
          <w:sz w:val="24"/>
        </w:rPr>
      </w:pPr>
      <w:bookmarkStart w:id="67" w:name="_Toc183582217"/>
      <w:bookmarkStart w:id="68" w:name="_Toc183682354"/>
      <w:bookmarkStart w:id="69" w:name="_Toc217446048"/>
      <w:bookmarkStart w:id="70" w:name="_Toc308164798"/>
      <w:r>
        <w:rPr>
          <w:rFonts w:hint="eastAsia" w:ascii="宋体" w:hAnsi="宋体"/>
          <w:sz w:val="24"/>
        </w:rPr>
        <w:t>14．投标文件的组成</w:t>
      </w:r>
      <w:bookmarkEnd w:id="67"/>
      <w:bookmarkEnd w:id="68"/>
      <w:bookmarkEnd w:id="69"/>
      <w:bookmarkEnd w:id="70"/>
    </w:p>
    <w:p>
      <w:pPr>
        <w:spacing w:line="400" w:lineRule="exact"/>
        <w:ind w:firstLine="480" w:firstLineChars="200"/>
        <w:rPr>
          <w:rFonts w:ascii="宋体" w:hAnsi="宋体"/>
          <w:sz w:val="24"/>
        </w:rPr>
      </w:pPr>
      <w:r>
        <w:rPr>
          <w:rFonts w:hint="eastAsia" w:ascii="宋体" w:hAnsi="宋体"/>
          <w:sz w:val="24"/>
        </w:rPr>
        <w:t>投标人应按照招标文件的规定和要求编制投标文件。投标人编写的投标文件应至少包括下列两部分文件：</w:t>
      </w:r>
    </w:p>
    <w:p>
      <w:pPr>
        <w:spacing w:line="400" w:lineRule="exact"/>
        <w:ind w:firstLine="482" w:firstLineChars="200"/>
        <w:rPr>
          <w:rFonts w:ascii="宋体" w:hAnsi="宋体"/>
          <w:b/>
          <w:sz w:val="24"/>
        </w:rPr>
      </w:pPr>
      <w:r>
        <w:rPr>
          <w:rFonts w:hint="eastAsia" w:ascii="宋体" w:hAnsi="宋体"/>
          <w:b/>
          <w:sz w:val="24"/>
        </w:rPr>
        <w:t>文件一：资格性投标文件</w:t>
      </w:r>
    </w:p>
    <w:p>
      <w:pPr>
        <w:spacing w:line="400" w:lineRule="exact"/>
        <w:ind w:firstLine="480" w:firstLineChars="200"/>
        <w:rPr>
          <w:rFonts w:ascii="宋体" w:hAnsi="宋体"/>
          <w:sz w:val="24"/>
        </w:rPr>
      </w:pPr>
      <w:r>
        <w:rPr>
          <w:rFonts w:hint="eastAsia" w:ascii="宋体" w:hAnsi="宋体"/>
          <w:sz w:val="24"/>
        </w:rPr>
        <w:t>严格按照第四、五章要求提供相关资格、资质性及其他类似效力要求的相关证明材料。</w:t>
      </w:r>
    </w:p>
    <w:p>
      <w:pPr>
        <w:spacing w:line="400" w:lineRule="exact"/>
        <w:ind w:firstLine="482" w:firstLineChars="200"/>
        <w:rPr>
          <w:rFonts w:ascii="宋体" w:hAnsi="宋体"/>
          <w:b/>
          <w:sz w:val="24"/>
        </w:rPr>
      </w:pPr>
      <w:r>
        <w:rPr>
          <w:rFonts w:hint="eastAsia" w:ascii="宋体" w:hAnsi="宋体"/>
          <w:b/>
          <w:sz w:val="24"/>
        </w:rPr>
        <w:t>文件二：其他响应性投标文件</w:t>
      </w:r>
    </w:p>
    <w:p>
      <w:pPr>
        <w:spacing w:line="400" w:lineRule="exact"/>
        <w:ind w:firstLine="480" w:firstLineChars="200"/>
        <w:rPr>
          <w:rFonts w:ascii="宋体" w:hAnsi="宋体"/>
          <w:sz w:val="24"/>
        </w:rPr>
      </w:pPr>
      <w:r>
        <w:rPr>
          <w:rFonts w:hint="eastAsia" w:ascii="宋体" w:hAnsi="宋体"/>
          <w:sz w:val="24"/>
        </w:rPr>
        <w:t>严格按照招标文件要求提供以下五个方面的相关材料：</w:t>
      </w:r>
    </w:p>
    <w:p>
      <w:pPr>
        <w:pStyle w:val="56"/>
        <w:numPr>
          <w:ilvl w:val="0"/>
          <w:numId w:val="2"/>
        </w:numPr>
        <w:spacing w:line="400" w:lineRule="exact"/>
        <w:ind w:firstLineChars="0"/>
        <w:rPr>
          <w:rFonts w:ascii="宋体" w:hAnsi="宋体"/>
          <w:b/>
          <w:sz w:val="24"/>
        </w:rPr>
      </w:pPr>
      <w:r>
        <w:rPr>
          <w:rFonts w:hint="eastAsia" w:ascii="宋体" w:hAnsi="宋体"/>
          <w:b/>
          <w:sz w:val="24"/>
        </w:rPr>
        <w:t>报价部分。</w:t>
      </w:r>
    </w:p>
    <w:p>
      <w:pPr>
        <w:spacing w:line="400" w:lineRule="exact"/>
        <w:ind w:firstLine="480" w:firstLineChars="200"/>
        <w:rPr>
          <w:rFonts w:ascii="宋体" w:hAnsi="宋体"/>
          <w:sz w:val="24"/>
        </w:rPr>
      </w:pPr>
      <w:r>
        <w:rPr>
          <w:rFonts w:hint="eastAsia" w:ascii="宋体" w:hAnsi="宋体"/>
          <w:sz w:val="24"/>
        </w:rPr>
        <w:t xml:space="preserve">1、投标人按照招标文件要求填写的“开标一览表”、“报价明细表”（如涉及）。 </w:t>
      </w:r>
    </w:p>
    <w:p>
      <w:pPr>
        <w:spacing w:line="400" w:lineRule="exact"/>
        <w:ind w:firstLine="480" w:firstLineChars="200"/>
        <w:rPr>
          <w:rFonts w:ascii="宋体" w:hAnsi="宋体"/>
          <w:sz w:val="24"/>
        </w:rPr>
      </w:pPr>
      <w:r>
        <w:rPr>
          <w:rFonts w:hint="eastAsia" w:ascii="宋体" w:hAnsi="宋体"/>
          <w:sz w:val="24"/>
        </w:rPr>
        <w:t>2、本次招标报价要求：</w:t>
      </w:r>
    </w:p>
    <w:p>
      <w:pPr>
        <w:spacing w:line="400" w:lineRule="exact"/>
        <w:ind w:firstLine="480" w:firstLineChars="200"/>
        <w:rPr>
          <w:rFonts w:ascii="宋体" w:hAnsi="宋体"/>
          <w:sz w:val="24"/>
        </w:rPr>
      </w:pPr>
      <w:r>
        <w:rPr>
          <w:rFonts w:hint="eastAsia" w:ascii="宋体" w:hAnsi="宋体"/>
          <w:sz w:val="24"/>
        </w:rPr>
        <w:t>（1）投标人的报价是投标人响应招标项目要求的全部工作内容的价格体现，包括投标人完成本项目所需的一切费用</w:t>
      </w:r>
      <w:r>
        <w:rPr>
          <w:rFonts w:hint="eastAsia" w:ascii="宋体" w:hAnsi="宋体"/>
          <w:b/>
          <w:bCs/>
          <w:sz w:val="24"/>
        </w:rPr>
        <w:t>（实质性要求）</w:t>
      </w:r>
      <w:r>
        <w:rPr>
          <w:rFonts w:hint="eastAsia" w:ascii="宋体" w:hAnsi="宋体"/>
          <w:sz w:val="24"/>
        </w:rPr>
        <w:t>。</w:t>
      </w:r>
    </w:p>
    <w:p>
      <w:pPr>
        <w:spacing w:line="400" w:lineRule="exact"/>
        <w:ind w:left="2" w:firstLine="360" w:firstLineChars="150"/>
        <w:rPr>
          <w:rFonts w:ascii="宋体" w:hAnsi="宋体"/>
          <w:sz w:val="24"/>
        </w:rPr>
      </w:pPr>
      <w:r>
        <w:rPr>
          <w:rFonts w:hint="eastAsia" w:ascii="宋体" w:hAnsi="宋体"/>
          <w:sz w:val="24"/>
        </w:rPr>
        <w:t xml:space="preserve"> （2）投标人每种货物只允许有一个报价，并且在合同履行过程中是固定不变的，任何有选择或可调整的报价将不予接受，并按无效投标处理</w:t>
      </w:r>
      <w:r>
        <w:rPr>
          <w:rFonts w:hint="eastAsia" w:ascii="宋体" w:hAnsi="宋体"/>
          <w:b/>
          <w:bCs/>
          <w:sz w:val="24"/>
        </w:rPr>
        <w:t>（实质性要求）</w:t>
      </w:r>
      <w:r>
        <w:rPr>
          <w:rFonts w:hint="eastAsia" w:ascii="宋体" w:hAnsi="宋体"/>
          <w:sz w:val="24"/>
        </w:rPr>
        <w:t>。</w:t>
      </w:r>
    </w:p>
    <w:p>
      <w:pPr>
        <w:spacing w:line="400" w:lineRule="exact"/>
        <w:ind w:firstLine="480" w:firstLineChars="200"/>
        <w:rPr>
          <w:rFonts w:ascii="宋体" w:hAnsi="宋体"/>
          <w:sz w:val="24"/>
        </w:rPr>
      </w:pPr>
      <w:r>
        <w:rPr>
          <w:rFonts w:hint="eastAsia" w:ascii="宋体" w:hAnsi="宋体"/>
          <w:sz w:val="24"/>
        </w:rPr>
        <w:t>（3）在本次投标之前一周年内，投标人本次投标中对同一品牌同一型号相同配置的产品报价与其在中国境内其他地方的最低报价比例不得高于20%。</w:t>
      </w:r>
      <w:r>
        <w:rPr>
          <w:rFonts w:hint="eastAsia" w:ascii="宋体" w:hAnsi="宋体"/>
          <w:b/>
          <w:bCs/>
          <w:sz w:val="24"/>
        </w:rPr>
        <w:t>（实质性要求）</w:t>
      </w:r>
      <w:r>
        <w:rPr>
          <w:rFonts w:hint="eastAsia" w:ascii="宋体" w:hAnsi="宋体"/>
          <w:sz w:val="24"/>
        </w:rPr>
        <w:t>。</w:t>
      </w:r>
    </w:p>
    <w:p>
      <w:pPr>
        <w:spacing w:line="400" w:lineRule="exact"/>
        <w:ind w:firstLine="482" w:firstLineChars="200"/>
        <w:rPr>
          <w:rFonts w:ascii="宋体" w:hAnsi="宋体"/>
          <w:b/>
          <w:bCs/>
          <w:sz w:val="24"/>
        </w:rPr>
      </w:pPr>
      <w:r>
        <w:rPr>
          <w:rFonts w:hint="eastAsia" w:ascii="宋体" w:hAnsi="宋体"/>
          <w:b/>
          <w:sz w:val="24"/>
        </w:rPr>
        <w:t>（二）技术部分。</w:t>
      </w:r>
      <w:r>
        <w:rPr>
          <w:rFonts w:hint="eastAsia" w:ascii="宋体" w:hAnsi="宋体"/>
          <w:sz w:val="24"/>
        </w:rPr>
        <w:t>投标人按照招标文件要求做出的技术应答，主要是针对招标项目的技术指标、参数和技术要求做出的实质性响应和满足。投标人的技术应答包括下列内容（如涉及）：</w:t>
      </w:r>
    </w:p>
    <w:p>
      <w:pPr>
        <w:spacing w:line="400" w:lineRule="exact"/>
        <w:ind w:firstLine="480" w:firstLineChars="200"/>
        <w:rPr>
          <w:rFonts w:ascii="宋体" w:hAnsi="宋体"/>
          <w:sz w:val="24"/>
        </w:rPr>
      </w:pPr>
      <w:r>
        <w:rPr>
          <w:rFonts w:hint="eastAsia" w:ascii="宋体" w:hAnsi="宋体"/>
          <w:sz w:val="24"/>
        </w:rPr>
        <w:t>（1）投标产品的品牌、型号、配置；</w:t>
      </w:r>
    </w:p>
    <w:p>
      <w:pPr>
        <w:spacing w:line="400" w:lineRule="exact"/>
        <w:ind w:firstLine="480" w:firstLineChars="200"/>
        <w:rPr>
          <w:rFonts w:ascii="宋体" w:hAnsi="宋体"/>
          <w:sz w:val="24"/>
        </w:rPr>
      </w:pPr>
      <w:r>
        <w:rPr>
          <w:rFonts w:hint="eastAsia" w:ascii="宋体" w:hAnsi="宋体"/>
          <w:sz w:val="24"/>
        </w:rPr>
        <w:t>（2）投标产品本身的详细的技术指标和参数（应当尽可能提供检测报告、产品使用说明书、用户手册等材料予以佐证）；</w:t>
      </w:r>
    </w:p>
    <w:p>
      <w:pPr>
        <w:spacing w:line="400" w:lineRule="exact"/>
        <w:ind w:firstLine="480" w:firstLineChars="200"/>
        <w:rPr>
          <w:rFonts w:ascii="宋体" w:hAnsi="宋体"/>
          <w:sz w:val="24"/>
        </w:rPr>
      </w:pPr>
      <w:r>
        <w:rPr>
          <w:rFonts w:hint="eastAsia" w:ascii="宋体" w:hAnsi="宋体"/>
          <w:sz w:val="24"/>
        </w:rPr>
        <w:t>（3）技术方案、项目实施方案；</w:t>
      </w:r>
    </w:p>
    <w:p>
      <w:pPr>
        <w:spacing w:line="400" w:lineRule="exact"/>
        <w:ind w:firstLine="480" w:firstLineChars="200"/>
        <w:rPr>
          <w:rFonts w:ascii="宋体" w:hAnsi="宋体"/>
          <w:sz w:val="24"/>
        </w:rPr>
      </w:pPr>
      <w:r>
        <w:rPr>
          <w:rFonts w:hint="eastAsia" w:ascii="宋体" w:hAnsi="宋体"/>
          <w:sz w:val="24"/>
        </w:rPr>
        <w:t>（4）投标产品技术参数表；</w:t>
      </w:r>
    </w:p>
    <w:p>
      <w:pPr>
        <w:spacing w:line="400" w:lineRule="exact"/>
        <w:ind w:firstLine="480" w:firstLineChars="200"/>
        <w:rPr>
          <w:rFonts w:ascii="宋体" w:hAnsi="宋体"/>
          <w:sz w:val="24"/>
        </w:rPr>
      </w:pPr>
      <w:r>
        <w:rPr>
          <w:rFonts w:hint="eastAsia" w:ascii="宋体" w:hAnsi="宋体"/>
          <w:sz w:val="24"/>
        </w:rPr>
        <w:t>（5）产品彩页资料；</w:t>
      </w:r>
    </w:p>
    <w:p>
      <w:pPr>
        <w:spacing w:line="400" w:lineRule="exact"/>
        <w:ind w:firstLine="480" w:firstLineChars="200"/>
        <w:rPr>
          <w:rFonts w:ascii="宋体" w:hAnsi="宋体"/>
          <w:sz w:val="24"/>
        </w:rPr>
      </w:pPr>
      <w:r>
        <w:rPr>
          <w:rFonts w:hint="eastAsia" w:ascii="宋体" w:hAnsi="宋体"/>
          <w:sz w:val="24"/>
        </w:rPr>
        <w:t>（6）产品工作环境条件；</w:t>
      </w:r>
    </w:p>
    <w:p>
      <w:pPr>
        <w:spacing w:line="400" w:lineRule="exact"/>
        <w:ind w:firstLine="480" w:firstLineChars="200"/>
        <w:rPr>
          <w:rFonts w:ascii="宋体" w:hAnsi="宋体"/>
          <w:sz w:val="24"/>
        </w:rPr>
      </w:pPr>
      <w:r>
        <w:rPr>
          <w:rFonts w:hint="eastAsia" w:ascii="宋体" w:hAnsi="宋体"/>
          <w:sz w:val="24"/>
        </w:rPr>
        <w:t>（7）产品验收标准和验收方法；</w:t>
      </w:r>
    </w:p>
    <w:p>
      <w:pPr>
        <w:spacing w:line="400" w:lineRule="exact"/>
        <w:ind w:firstLine="480" w:firstLineChars="200"/>
        <w:rPr>
          <w:rFonts w:ascii="宋体" w:hAnsi="宋体"/>
          <w:sz w:val="24"/>
        </w:rPr>
      </w:pPr>
      <w:r>
        <w:rPr>
          <w:rFonts w:hint="eastAsia" w:ascii="宋体" w:hAnsi="宋体"/>
          <w:sz w:val="24"/>
        </w:rPr>
        <w:t>（8）产品验收清单（注明各部件的品名、数量、价格、规格型号和原产地或生产厂家）。</w:t>
      </w:r>
    </w:p>
    <w:p>
      <w:pPr>
        <w:spacing w:line="400" w:lineRule="exact"/>
        <w:ind w:firstLine="480" w:firstLineChars="200"/>
        <w:rPr>
          <w:rFonts w:ascii="宋体" w:hAnsi="宋体"/>
          <w:sz w:val="24"/>
        </w:rPr>
      </w:pPr>
      <w:r>
        <w:rPr>
          <w:rFonts w:hint="eastAsia" w:ascii="宋体" w:hAnsi="宋体"/>
          <w:sz w:val="24"/>
        </w:rPr>
        <w:t>（9）投标人认为需要提供的文件和资料。</w:t>
      </w:r>
    </w:p>
    <w:p>
      <w:pPr>
        <w:spacing w:line="400" w:lineRule="exact"/>
        <w:ind w:firstLine="482" w:firstLineChars="200"/>
        <w:rPr>
          <w:rFonts w:ascii="宋体" w:hAnsi="宋体"/>
          <w:sz w:val="24"/>
        </w:rPr>
      </w:pPr>
      <w:r>
        <w:rPr>
          <w:rFonts w:hint="eastAsia" w:ascii="宋体" w:hAnsi="宋体"/>
          <w:b/>
          <w:sz w:val="24"/>
        </w:rPr>
        <w:t>（三）商务部分。</w:t>
      </w:r>
      <w:r>
        <w:rPr>
          <w:rFonts w:hint="eastAsia" w:ascii="宋体" w:hAnsi="宋体"/>
          <w:sz w:val="24"/>
        </w:rPr>
        <w:t>投标人按照招标文件要求提供的有关文件及优惠承诺。包括以下内容（如涉及）：</w:t>
      </w:r>
    </w:p>
    <w:p>
      <w:pPr>
        <w:spacing w:line="400" w:lineRule="exact"/>
        <w:ind w:firstLine="480" w:firstLineChars="200"/>
        <w:rPr>
          <w:rFonts w:ascii="宋体" w:hAnsi="宋体"/>
          <w:sz w:val="24"/>
        </w:rPr>
      </w:pPr>
      <w:r>
        <w:rPr>
          <w:rFonts w:hint="eastAsia" w:ascii="宋体" w:hAnsi="宋体"/>
          <w:sz w:val="24"/>
        </w:rPr>
        <w:t>（1）投标函；</w:t>
      </w:r>
    </w:p>
    <w:p>
      <w:pPr>
        <w:spacing w:line="400" w:lineRule="exact"/>
        <w:ind w:firstLine="480" w:firstLineChars="200"/>
        <w:rPr>
          <w:rFonts w:ascii="宋体" w:hAnsi="宋体"/>
          <w:sz w:val="24"/>
        </w:rPr>
      </w:pPr>
      <w:r>
        <w:rPr>
          <w:rFonts w:hint="eastAsia" w:ascii="宋体" w:hAnsi="宋体"/>
          <w:sz w:val="24"/>
        </w:rPr>
        <w:t>（</w:t>
      </w:r>
      <w:r>
        <w:rPr>
          <w:rFonts w:ascii="宋体" w:hAnsi="宋体"/>
          <w:sz w:val="24"/>
        </w:rPr>
        <w:t>2</w:t>
      </w:r>
      <w:r>
        <w:rPr>
          <w:rFonts w:hint="eastAsia" w:ascii="宋体" w:hAnsi="宋体"/>
          <w:sz w:val="24"/>
        </w:rPr>
        <w:t>）证明投标人业绩和荣誉的有关材料复印件；</w:t>
      </w:r>
    </w:p>
    <w:p>
      <w:pPr>
        <w:spacing w:line="400" w:lineRule="exact"/>
        <w:ind w:firstLine="480" w:firstLineChars="200"/>
        <w:rPr>
          <w:rFonts w:ascii="宋体" w:hAnsi="宋体"/>
          <w:sz w:val="24"/>
        </w:rPr>
      </w:pPr>
      <w:r>
        <w:rPr>
          <w:rFonts w:hint="eastAsia" w:ascii="宋体" w:hAnsi="宋体"/>
          <w:sz w:val="24"/>
        </w:rPr>
        <w:t>（</w:t>
      </w:r>
      <w:r>
        <w:rPr>
          <w:rFonts w:ascii="宋体" w:hAnsi="宋体"/>
          <w:sz w:val="24"/>
        </w:rPr>
        <w:t>3</w:t>
      </w:r>
      <w:r>
        <w:rPr>
          <w:rFonts w:hint="eastAsia" w:ascii="宋体" w:hAnsi="宋体"/>
          <w:sz w:val="24"/>
        </w:rPr>
        <w:t>）商务应答表；</w:t>
      </w:r>
    </w:p>
    <w:p>
      <w:pPr>
        <w:spacing w:line="400" w:lineRule="exact"/>
        <w:ind w:firstLine="480" w:firstLineChars="200"/>
        <w:rPr>
          <w:rFonts w:ascii="宋体" w:hAnsi="宋体"/>
          <w:sz w:val="24"/>
        </w:rPr>
      </w:pPr>
      <w:r>
        <w:rPr>
          <w:rFonts w:hint="eastAsia" w:ascii="宋体" w:hAnsi="宋体"/>
          <w:sz w:val="24"/>
        </w:rPr>
        <w:t>（</w:t>
      </w:r>
      <w:r>
        <w:rPr>
          <w:rFonts w:ascii="宋体" w:hAnsi="宋体"/>
          <w:sz w:val="24"/>
        </w:rPr>
        <w:t>4</w:t>
      </w:r>
      <w:r>
        <w:rPr>
          <w:rFonts w:hint="eastAsia" w:ascii="宋体" w:hAnsi="宋体"/>
          <w:sz w:val="24"/>
        </w:rPr>
        <w:t>）其他投标人认为需要提供的文件和资料。</w:t>
      </w:r>
    </w:p>
    <w:p>
      <w:pPr>
        <w:spacing w:line="400" w:lineRule="exact"/>
        <w:ind w:firstLine="482" w:firstLineChars="200"/>
        <w:rPr>
          <w:rFonts w:ascii="宋体" w:hAnsi="宋体"/>
          <w:b/>
          <w:bCs/>
          <w:sz w:val="24"/>
        </w:rPr>
      </w:pPr>
      <w:r>
        <w:rPr>
          <w:rFonts w:hint="eastAsia" w:ascii="宋体" w:hAnsi="宋体"/>
          <w:b/>
          <w:sz w:val="24"/>
        </w:rPr>
        <w:t>（四）售后服务。</w:t>
      </w:r>
      <w:r>
        <w:rPr>
          <w:rFonts w:hint="eastAsia" w:ascii="宋体" w:hAnsi="宋体"/>
          <w:sz w:val="24"/>
        </w:rPr>
        <w:t>投标人按照招标文件中售后服务要求作出的积极响应和承诺。包括以下内容（如涉及）：</w:t>
      </w:r>
    </w:p>
    <w:p>
      <w:pPr>
        <w:spacing w:line="400" w:lineRule="exact"/>
        <w:ind w:firstLine="480" w:firstLineChars="200"/>
        <w:rPr>
          <w:rFonts w:ascii="宋体" w:hAnsi="宋体"/>
          <w:sz w:val="24"/>
        </w:rPr>
      </w:pPr>
      <w:r>
        <w:rPr>
          <w:rFonts w:hint="eastAsia" w:ascii="宋体" w:hAnsi="宋体"/>
          <w:sz w:val="24"/>
        </w:rPr>
        <w:t>（1）产品制造厂家或投标人设立的售后服务机构网点清单、服务电话和维修人员名单；</w:t>
      </w:r>
    </w:p>
    <w:p>
      <w:pPr>
        <w:spacing w:line="400" w:lineRule="exact"/>
        <w:ind w:firstLine="480" w:firstLineChars="200"/>
        <w:rPr>
          <w:rFonts w:ascii="宋体" w:hAnsi="宋体"/>
          <w:sz w:val="24"/>
        </w:rPr>
      </w:pPr>
      <w:r>
        <w:rPr>
          <w:rFonts w:hint="eastAsia" w:ascii="宋体" w:hAnsi="宋体"/>
          <w:sz w:val="24"/>
        </w:rPr>
        <w:t>（2）说明投标产品的保修时间、保修期内的保修内容与范围、维修响应时间等。分别提供产品制造厂家和投标人的服务承诺和保障措施；</w:t>
      </w:r>
    </w:p>
    <w:p>
      <w:pPr>
        <w:spacing w:line="400" w:lineRule="exact"/>
        <w:ind w:firstLine="480" w:firstLineChars="200"/>
        <w:rPr>
          <w:rFonts w:ascii="宋体" w:hAnsi="宋体"/>
          <w:sz w:val="24"/>
        </w:rPr>
      </w:pPr>
      <w:r>
        <w:rPr>
          <w:rFonts w:hint="eastAsia" w:ascii="宋体" w:hAnsi="宋体"/>
          <w:sz w:val="24"/>
        </w:rPr>
        <w:t>（3）培训措施：说明培训内容及培训的时间、地点、目标、培训人数、收费标准和办法；</w:t>
      </w:r>
    </w:p>
    <w:p>
      <w:pPr>
        <w:spacing w:line="400" w:lineRule="exact"/>
        <w:ind w:firstLine="480" w:firstLineChars="200"/>
        <w:rPr>
          <w:rFonts w:ascii="宋体" w:hAnsi="宋体"/>
          <w:sz w:val="24"/>
        </w:rPr>
      </w:pPr>
      <w:r>
        <w:rPr>
          <w:rFonts w:hint="eastAsia" w:ascii="宋体" w:hAnsi="宋体"/>
          <w:sz w:val="24"/>
        </w:rPr>
        <w:t>（4）其他有利于用户的服务承诺。</w:t>
      </w:r>
    </w:p>
    <w:p>
      <w:pPr>
        <w:adjustRightInd w:val="0"/>
        <w:snapToGrid w:val="0"/>
        <w:spacing w:line="400" w:lineRule="exact"/>
        <w:ind w:firstLine="482" w:firstLineChars="200"/>
        <w:rPr>
          <w:rFonts w:ascii="宋体" w:hAnsi="宋体"/>
          <w:sz w:val="24"/>
        </w:rPr>
      </w:pPr>
      <w:r>
        <w:rPr>
          <w:rFonts w:hint="eastAsia" w:ascii="宋体" w:hAnsi="宋体"/>
          <w:b/>
          <w:bCs/>
          <w:sz w:val="24"/>
        </w:rPr>
        <w:t>（五）其他部分。</w:t>
      </w:r>
      <w:r>
        <w:rPr>
          <w:rFonts w:hint="eastAsia" w:ascii="宋体" w:hAnsi="宋体"/>
          <w:bCs/>
          <w:sz w:val="24"/>
        </w:rPr>
        <w:t>投标人按照招标文件要求作出的其他应答和承诺。</w:t>
      </w:r>
    </w:p>
    <w:p>
      <w:pPr>
        <w:pStyle w:val="5"/>
        <w:tabs>
          <w:tab w:val="left" w:pos="3480"/>
        </w:tabs>
        <w:spacing w:line="400" w:lineRule="exact"/>
        <w:ind w:firstLine="482" w:firstLineChars="200"/>
        <w:rPr>
          <w:rFonts w:ascii="宋体" w:hAnsi="宋体"/>
          <w:sz w:val="24"/>
        </w:rPr>
      </w:pPr>
      <w:bookmarkStart w:id="71" w:name="_Toc217446049"/>
      <w:bookmarkStart w:id="72" w:name="_Toc308164799"/>
      <w:bookmarkStart w:id="73" w:name="_Toc183582218"/>
      <w:bookmarkStart w:id="74" w:name="_Toc183682355"/>
      <w:r>
        <w:rPr>
          <w:rFonts w:hint="eastAsia" w:ascii="宋体" w:hAnsi="宋体"/>
          <w:sz w:val="24"/>
        </w:rPr>
        <w:t>15．投标文件格式</w:t>
      </w:r>
      <w:bookmarkEnd w:id="71"/>
      <w:bookmarkEnd w:id="72"/>
      <w:bookmarkEnd w:id="73"/>
      <w:bookmarkEnd w:id="74"/>
    </w:p>
    <w:p>
      <w:pPr>
        <w:tabs>
          <w:tab w:val="left" w:pos="7665"/>
        </w:tabs>
        <w:spacing w:line="400" w:lineRule="exact"/>
        <w:ind w:left="13" w:leftChars="6" w:firstLine="480" w:firstLineChars="200"/>
        <w:rPr>
          <w:rFonts w:ascii="宋体" w:hAnsi="宋体"/>
          <w:sz w:val="24"/>
        </w:rPr>
      </w:pPr>
      <w:r>
        <w:rPr>
          <w:rFonts w:hint="eastAsia" w:ascii="宋体" w:hAnsi="宋体"/>
          <w:sz w:val="24"/>
        </w:rPr>
        <w:t>15.1 投标人应执行招标文件第三章的规定要求。第三章格式中“注”的内容，投标人可自行决定是否保留在投标文件中，未保留的视为投标人默认接受“注”的内容。</w:t>
      </w:r>
    </w:p>
    <w:p>
      <w:pPr>
        <w:tabs>
          <w:tab w:val="left" w:pos="7665"/>
        </w:tabs>
        <w:spacing w:line="400" w:lineRule="exact"/>
        <w:ind w:left="13" w:leftChars="6" w:firstLine="480" w:firstLineChars="200"/>
        <w:rPr>
          <w:rFonts w:ascii="宋体" w:hAnsi="宋体"/>
          <w:sz w:val="24"/>
        </w:rPr>
      </w:pPr>
      <w:r>
        <w:rPr>
          <w:rFonts w:hint="eastAsia" w:ascii="宋体" w:hAnsi="宋体"/>
          <w:sz w:val="24"/>
        </w:rPr>
        <w:t>15.2 对于没有格式要求的投标文件由投标人自行编写。</w:t>
      </w:r>
    </w:p>
    <w:p>
      <w:pPr>
        <w:pStyle w:val="5"/>
        <w:spacing w:line="400" w:lineRule="exact"/>
        <w:ind w:firstLine="482" w:firstLineChars="200"/>
        <w:rPr>
          <w:rFonts w:ascii="宋体" w:hAnsi="宋体"/>
          <w:bCs w:val="0"/>
          <w:sz w:val="24"/>
        </w:rPr>
      </w:pPr>
      <w:bookmarkStart w:id="75" w:name="_Toc308164801"/>
      <w:bookmarkStart w:id="76" w:name="_Toc183682361"/>
      <w:bookmarkStart w:id="77" w:name="_Toc183582224"/>
      <w:bookmarkStart w:id="78" w:name="_Toc217446051"/>
      <w:r>
        <w:rPr>
          <w:rFonts w:hint="eastAsia" w:ascii="宋体" w:hAnsi="宋体"/>
          <w:bCs w:val="0"/>
          <w:sz w:val="24"/>
        </w:rPr>
        <w:t>16．投标有效期</w:t>
      </w:r>
      <w:bookmarkEnd w:id="75"/>
      <w:bookmarkEnd w:id="76"/>
      <w:bookmarkEnd w:id="77"/>
      <w:bookmarkEnd w:id="78"/>
      <w:r>
        <w:rPr>
          <w:rFonts w:hint="eastAsia" w:ascii="宋体" w:hAnsi="宋体"/>
          <w:sz w:val="24"/>
          <w:szCs w:val="24"/>
        </w:rPr>
        <w:t>（实质性要求）</w:t>
      </w:r>
    </w:p>
    <w:p>
      <w:pPr>
        <w:tabs>
          <w:tab w:val="left" w:pos="7665"/>
        </w:tabs>
        <w:spacing w:line="400" w:lineRule="exact"/>
        <w:ind w:left="13" w:leftChars="6" w:firstLine="360" w:firstLineChars="150"/>
        <w:rPr>
          <w:rFonts w:ascii="宋体" w:hAnsi="宋体"/>
          <w:sz w:val="24"/>
        </w:rPr>
      </w:pPr>
      <w:r>
        <w:rPr>
          <w:rFonts w:hint="eastAsia" w:ascii="宋体" w:hAnsi="宋体"/>
          <w:sz w:val="24"/>
        </w:rPr>
        <w:t>16.1 本项目投标有效期为投标截止时间届满后</w:t>
      </w:r>
      <w:r>
        <w:rPr>
          <w:rFonts w:hint="eastAsia" w:ascii="宋体" w:hAnsi="宋体"/>
          <w:b/>
          <w:bCs/>
          <w:sz w:val="24"/>
        </w:rPr>
        <w:t>90</w:t>
      </w:r>
      <w:r>
        <w:rPr>
          <w:rFonts w:hint="eastAsia" w:ascii="宋体" w:hAnsi="宋体"/>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pPr>
        <w:tabs>
          <w:tab w:val="left" w:pos="7665"/>
        </w:tabs>
        <w:spacing w:line="400" w:lineRule="exact"/>
        <w:ind w:left="13" w:leftChars="6" w:firstLine="360" w:firstLineChars="150"/>
        <w:rPr>
          <w:rFonts w:ascii="宋体" w:hAnsi="宋体"/>
          <w:sz w:val="24"/>
        </w:rPr>
      </w:pPr>
      <w:r>
        <w:rPr>
          <w:rFonts w:hint="eastAsia" w:ascii="宋体" w:hAnsi="宋体"/>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pPr>
        <w:tabs>
          <w:tab w:val="left" w:pos="7665"/>
        </w:tabs>
        <w:spacing w:line="400" w:lineRule="exact"/>
        <w:ind w:left="13" w:leftChars="6" w:firstLine="360" w:firstLineChars="150"/>
        <w:rPr>
          <w:rFonts w:ascii="宋体" w:hAnsi="宋体"/>
          <w:sz w:val="24"/>
        </w:rPr>
      </w:pPr>
      <w:r>
        <w:rPr>
          <w:rFonts w:hint="eastAsia" w:ascii="宋体" w:hAnsi="宋体"/>
          <w:sz w:val="24"/>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pPr>
        <w:pStyle w:val="5"/>
        <w:spacing w:line="400" w:lineRule="exact"/>
        <w:ind w:firstLine="482" w:firstLineChars="200"/>
        <w:rPr>
          <w:rFonts w:ascii="宋体" w:hAnsi="宋体"/>
          <w:bCs w:val="0"/>
          <w:sz w:val="24"/>
        </w:rPr>
      </w:pPr>
      <w:bookmarkStart w:id="79" w:name="_Toc217446052"/>
      <w:bookmarkStart w:id="80" w:name="_Toc183682362"/>
      <w:bookmarkStart w:id="81" w:name="_Toc183582225"/>
      <w:bookmarkStart w:id="82" w:name="_Toc308164802"/>
      <w:bookmarkStart w:id="83" w:name="_Toc183582227"/>
      <w:bookmarkStart w:id="84" w:name="_Toc183682364"/>
      <w:bookmarkStart w:id="85" w:name="_Toc308164804"/>
      <w:bookmarkStart w:id="86" w:name="_Toc217446054"/>
      <w:r>
        <w:rPr>
          <w:rFonts w:hint="eastAsia" w:ascii="宋体" w:hAnsi="宋体"/>
          <w:bCs w:val="0"/>
          <w:sz w:val="24"/>
        </w:rPr>
        <w:t>17．</w:t>
      </w:r>
      <w:bookmarkEnd w:id="79"/>
      <w:bookmarkEnd w:id="80"/>
      <w:bookmarkEnd w:id="81"/>
      <w:bookmarkEnd w:id="82"/>
      <w:r>
        <w:rPr>
          <w:rFonts w:hint="eastAsia" w:ascii="宋体" w:hAnsi="宋体"/>
          <w:bCs w:val="0"/>
          <w:sz w:val="24"/>
        </w:rPr>
        <w:t>投标文件的制作和签章、加密</w:t>
      </w:r>
    </w:p>
    <w:p>
      <w:pPr>
        <w:tabs>
          <w:tab w:val="left" w:pos="7665"/>
        </w:tabs>
        <w:spacing w:line="400" w:lineRule="exact"/>
        <w:ind w:left="13" w:leftChars="6" w:firstLine="360" w:firstLineChars="150"/>
        <w:rPr>
          <w:rFonts w:ascii="宋体" w:hAnsi="宋体"/>
          <w:sz w:val="24"/>
        </w:rPr>
      </w:pPr>
      <w:r>
        <w:rPr>
          <w:rFonts w:hint="eastAsia" w:ascii="宋体" w:hAnsi="宋体"/>
          <w:sz w:val="24"/>
        </w:rPr>
        <w:t>17.1 本项目实行电子投标。投标人应先安装“政采云投标客户端”。（政府采购云平台—CA管理—绑定CA—下载驱动—“政采云投标客户端”立即下载）。投标人应按招标文件要求，通过“政采云投标客户端”制作、确认、加密并提交投标文件。</w:t>
      </w:r>
    </w:p>
    <w:p>
      <w:pPr>
        <w:tabs>
          <w:tab w:val="left" w:pos="7665"/>
        </w:tabs>
        <w:spacing w:line="400" w:lineRule="exact"/>
        <w:ind w:left="13" w:leftChars="6" w:firstLine="361" w:firstLineChars="150"/>
        <w:rPr>
          <w:rFonts w:ascii="宋体" w:hAnsi="宋体"/>
          <w:b/>
          <w:bCs/>
          <w:sz w:val="24"/>
        </w:rPr>
      </w:pPr>
      <w:r>
        <w:rPr>
          <w:rFonts w:hint="eastAsia" w:ascii="宋体" w:hAnsi="宋体"/>
          <w:b/>
          <w:bCs/>
          <w:sz w:val="24"/>
        </w:rPr>
        <w:t>17.2 资格性投标文件、其他响应性投标文件封面均应加盖投标人（法定名称）电子印章，不得使用投标人专用章（如经济合同章、投标专用章等）或下属单位印章代替。（实质性要求）</w:t>
      </w:r>
    </w:p>
    <w:p>
      <w:pPr>
        <w:tabs>
          <w:tab w:val="left" w:pos="7665"/>
        </w:tabs>
        <w:spacing w:line="400" w:lineRule="exact"/>
        <w:ind w:left="13" w:leftChars="6" w:firstLine="360" w:firstLineChars="150"/>
        <w:rPr>
          <w:rFonts w:ascii="宋体" w:hAnsi="宋体"/>
          <w:sz w:val="24"/>
        </w:rPr>
      </w:pPr>
      <w:r>
        <w:rPr>
          <w:rFonts w:hint="eastAsia" w:ascii="宋体" w:hAnsi="宋体"/>
          <w:sz w:val="24"/>
        </w:rPr>
        <w:t>17.3 投标人应使用CA数字证书对投标文件进行加密。</w:t>
      </w:r>
    </w:p>
    <w:p>
      <w:pPr>
        <w:tabs>
          <w:tab w:val="left" w:pos="7665"/>
        </w:tabs>
        <w:spacing w:line="400" w:lineRule="exact"/>
        <w:ind w:left="13" w:leftChars="6" w:firstLine="360" w:firstLineChars="150"/>
        <w:rPr>
          <w:rFonts w:ascii="宋体" w:hAnsi="宋体"/>
          <w:sz w:val="24"/>
        </w:rPr>
      </w:pPr>
      <w:r>
        <w:rPr>
          <w:rFonts w:hint="eastAsia" w:ascii="宋体" w:hAnsi="宋体"/>
          <w:sz w:val="24"/>
        </w:rPr>
        <w:t>17.4 招标文件若有修改，投标人根据修改后的招标文件制作或修改并递交投标文件。</w:t>
      </w:r>
    </w:p>
    <w:p>
      <w:pPr>
        <w:tabs>
          <w:tab w:val="left" w:pos="7665"/>
        </w:tabs>
        <w:spacing w:line="400" w:lineRule="exact"/>
        <w:ind w:left="13" w:leftChars="6" w:firstLine="360" w:firstLineChars="150"/>
        <w:rPr>
          <w:rFonts w:ascii="宋体" w:hAnsi="宋体"/>
          <w:sz w:val="24"/>
        </w:rPr>
      </w:pPr>
      <w:r>
        <w:rPr>
          <w:rFonts w:hint="eastAsia" w:ascii="宋体" w:hAnsi="宋体"/>
          <w:sz w:val="24"/>
        </w:rPr>
        <w:t>17.5 使用“政府采购云平台”需要提前申领CA数字证书及电子印章，请自行前往四川CA、CFCA、天威CA、北京CA、重庆CA、山西CA、浙江汇信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pPr>
        <w:tabs>
          <w:tab w:val="left" w:pos="7665"/>
        </w:tabs>
        <w:spacing w:line="400" w:lineRule="exact"/>
        <w:ind w:left="13" w:leftChars="6" w:firstLine="360" w:firstLineChars="150"/>
        <w:rPr>
          <w:rFonts w:ascii="宋体" w:hAnsi="宋体"/>
          <w:sz w:val="24"/>
        </w:rPr>
      </w:pPr>
      <w:r>
        <w:rPr>
          <w:rFonts w:hint="eastAsia" w:ascii="宋体" w:hAnsi="宋体"/>
          <w:sz w:val="24"/>
        </w:rPr>
        <w:t>17.6本次招标要求的复印件是指对图文进行复制后的文件，包括扫描、复印、影印等方式复制的材料。</w:t>
      </w:r>
    </w:p>
    <w:p>
      <w:pPr>
        <w:pStyle w:val="5"/>
        <w:spacing w:line="400" w:lineRule="exact"/>
        <w:ind w:firstLine="482" w:firstLineChars="200"/>
        <w:rPr>
          <w:rFonts w:ascii="宋体" w:hAnsi="宋体"/>
          <w:bCs w:val="0"/>
          <w:sz w:val="24"/>
          <w:szCs w:val="24"/>
        </w:rPr>
      </w:pPr>
      <w:r>
        <w:rPr>
          <w:rFonts w:hint="eastAsia" w:ascii="宋体" w:hAnsi="宋体"/>
          <w:bCs w:val="0"/>
          <w:sz w:val="24"/>
          <w:szCs w:val="24"/>
        </w:rPr>
        <w:t>18</w:t>
      </w:r>
      <w:r>
        <w:rPr>
          <w:rFonts w:hint="eastAsia" w:ascii="宋体" w:hAnsi="宋体"/>
          <w:bCs w:val="0"/>
          <w:sz w:val="28"/>
          <w:szCs w:val="28"/>
        </w:rPr>
        <w:t>．</w:t>
      </w:r>
      <w:r>
        <w:rPr>
          <w:rFonts w:hint="eastAsia" w:ascii="宋体" w:hAnsi="宋体"/>
          <w:bCs w:val="0"/>
          <w:sz w:val="24"/>
          <w:szCs w:val="24"/>
        </w:rPr>
        <w:t>投标文件的</w:t>
      </w:r>
      <w:bookmarkEnd w:id="83"/>
      <w:bookmarkEnd w:id="84"/>
      <w:r>
        <w:rPr>
          <w:rFonts w:hint="eastAsia" w:ascii="宋体" w:hAnsi="宋体"/>
          <w:bCs w:val="0"/>
          <w:sz w:val="24"/>
          <w:szCs w:val="24"/>
        </w:rPr>
        <w:t>递交</w:t>
      </w:r>
      <w:bookmarkEnd w:id="85"/>
      <w:bookmarkEnd w:id="86"/>
    </w:p>
    <w:p>
      <w:pPr>
        <w:tabs>
          <w:tab w:val="left" w:pos="1095"/>
        </w:tabs>
        <w:spacing w:line="400" w:lineRule="exact"/>
        <w:ind w:firstLine="460" w:firstLineChars="192"/>
        <w:rPr>
          <w:rFonts w:ascii="宋体" w:hAnsi="宋体"/>
          <w:sz w:val="24"/>
        </w:rPr>
      </w:pPr>
      <w:r>
        <w:rPr>
          <w:rFonts w:hint="eastAsia" w:ascii="宋体" w:hAnsi="宋体"/>
          <w:sz w:val="24"/>
        </w:rPr>
        <w:t>18.1 投标人应当在投标文件递交截止时间前，将编制完成并且已加密的电子投标文件成功递交至“政府采购云平台”。</w:t>
      </w:r>
    </w:p>
    <w:p>
      <w:pPr>
        <w:tabs>
          <w:tab w:val="left" w:pos="1095"/>
        </w:tabs>
        <w:spacing w:line="400" w:lineRule="exact"/>
        <w:ind w:firstLine="460" w:firstLineChars="192"/>
        <w:rPr>
          <w:rFonts w:ascii="宋体" w:hAnsi="宋体"/>
          <w:sz w:val="24"/>
        </w:rPr>
      </w:pPr>
      <w:r>
        <w:rPr>
          <w:rFonts w:hint="eastAsia" w:ascii="宋体" w:hAnsi="宋体"/>
          <w:sz w:val="24"/>
        </w:rPr>
        <w:t>18.2投标人应充分考虑递交文件的不可预见因素，在投标截止时间后将无法递交。</w:t>
      </w:r>
    </w:p>
    <w:p>
      <w:pPr>
        <w:pStyle w:val="5"/>
        <w:spacing w:line="400" w:lineRule="exact"/>
        <w:ind w:firstLine="482" w:firstLineChars="200"/>
        <w:rPr>
          <w:rFonts w:ascii="宋体" w:hAnsi="宋体"/>
          <w:bCs w:val="0"/>
          <w:sz w:val="24"/>
          <w:szCs w:val="24"/>
        </w:rPr>
      </w:pPr>
      <w:bookmarkStart w:id="87" w:name="_Toc183582228"/>
      <w:bookmarkStart w:id="88" w:name="_Toc183682365"/>
      <w:bookmarkStart w:id="89" w:name="_Toc217446055"/>
      <w:r>
        <w:rPr>
          <w:rFonts w:hint="eastAsia" w:ascii="宋体" w:hAnsi="宋体"/>
          <w:bCs w:val="0"/>
          <w:sz w:val="24"/>
          <w:szCs w:val="24"/>
        </w:rPr>
        <w:t>19.</w:t>
      </w:r>
      <w:r>
        <w:rPr>
          <w:rFonts w:ascii="宋体" w:hAnsi="宋体"/>
          <w:bCs w:val="0"/>
          <w:sz w:val="24"/>
          <w:szCs w:val="24"/>
        </w:rPr>
        <w:t>投标文件的</w:t>
      </w:r>
      <w:r>
        <w:rPr>
          <w:rFonts w:hint="eastAsia" w:ascii="宋体" w:hAnsi="宋体"/>
          <w:bCs w:val="0"/>
          <w:sz w:val="24"/>
          <w:szCs w:val="24"/>
        </w:rPr>
        <w:t>补充</w:t>
      </w:r>
      <w:r>
        <w:rPr>
          <w:rFonts w:ascii="宋体" w:hAnsi="宋体"/>
          <w:bCs w:val="0"/>
          <w:sz w:val="24"/>
          <w:szCs w:val="24"/>
        </w:rPr>
        <w:t>、</w:t>
      </w:r>
      <w:r>
        <w:rPr>
          <w:rFonts w:hint="eastAsia" w:ascii="宋体" w:hAnsi="宋体"/>
          <w:bCs w:val="0"/>
          <w:sz w:val="24"/>
          <w:szCs w:val="24"/>
        </w:rPr>
        <w:t>修改或撤</w:t>
      </w:r>
      <w:bookmarkEnd w:id="87"/>
      <w:bookmarkEnd w:id="88"/>
      <w:r>
        <w:rPr>
          <w:rFonts w:hint="eastAsia" w:ascii="宋体" w:hAnsi="宋体"/>
          <w:bCs w:val="0"/>
          <w:sz w:val="24"/>
          <w:szCs w:val="24"/>
        </w:rPr>
        <w:t>回</w:t>
      </w:r>
      <w:bookmarkEnd w:id="89"/>
    </w:p>
    <w:p>
      <w:pPr>
        <w:spacing w:line="400" w:lineRule="exact"/>
        <w:ind w:firstLine="470" w:firstLineChars="196"/>
        <w:rPr>
          <w:rFonts w:ascii="宋体" w:hAnsi="宋体"/>
          <w:b/>
          <w:bCs/>
          <w:sz w:val="24"/>
        </w:rPr>
      </w:pPr>
      <w:r>
        <w:rPr>
          <w:rFonts w:hint="eastAsia" w:ascii="宋体" w:hAnsi="宋体"/>
          <w:sz w:val="24"/>
        </w:rPr>
        <w:t>19.1投标截止时间前，投标人可对已递交的投标文件进行补充、修改或撤回。补充或者修改投标文件的，应当先行撤回已递交的投标文件，在“政采云投标客户端”补充、修改投标文件并加密后重新递交。</w:t>
      </w:r>
      <w:r>
        <w:rPr>
          <w:rFonts w:hint="eastAsia" w:ascii="宋体" w:hAnsi="宋体"/>
          <w:b/>
          <w:bCs/>
          <w:sz w:val="24"/>
        </w:rPr>
        <w:t>撤回投标文件进行补充、修改，在投标截止时间前未重新递交的，视为撤回投标文件。</w:t>
      </w:r>
    </w:p>
    <w:p>
      <w:pPr>
        <w:spacing w:line="400" w:lineRule="exact"/>
        <w:ind w:firstLine="470" w:firstLineChars="196"/>
        <w:rPr>
          <w:rFonts w:ascii="宋体" w:hAnsi="宋体"/>
          <w:sz w:val="24"/>
        </w:rPr>
      </w:pPr>
      <w:r>
        <w:rPr>
          <w:rFonts w:hint="eastAsia" w:ascii="宋体" w:hAnsi="宋体"/>
          <w:sz w:val="24"/>
        </w:rPr>
        <w:t>19.2投标截止时间后，投标人不得对其递交的投标文件做任何补充、修改。</w:t>
      </w:r>
    </w:p>
    <w:p>
      <w:pPr>
        <w:spacing w:line="400" w:lineRule="exact"/>
        <w:ind w:firstLine="472" w:firstLineChars="196"/>
        <w:outlineLvl w:val="2"/>
        <w:rPr>
          <w:rFonts w:ascii="宋体" w:hAnsi="宋体"/>
          <w:b/>
          <w:bCs/>
          <w:sz w:val="24"/>
        </w:rPr>
      </w:pPr>
      <w:r>
        <w:rPr>
          <w:rFonts w:hint="eastAsia" w:ascii="宋体" w:hAnsi="宋体"/>
          <w:b/>
          <w:bCs/>
          <w:sz w:val="24"/>
        </w:rPr>
        <w:t>20.投标文件的解密</w:t>
      </w:r>
    </w:p>
    <w:p>
      <w:pPr>
        <w:spacing w:line="400" w:lineRule="exact"/>
        <w:ind w:firstLine="470" w:firstLineChars="196"/>
        <w:rPr>
          <w:rFonts w:ascii="宋体" w:hAnsi="宋体"/>
          <w:b/>
          <w:bCs/>
          <w:sz w:val="24"/>
        </w:rPr>
      </w:pPr>
      <w:r>
        <w:rPr>
          <w:rFonts w:hint="eastAsia" w:ascii="宋体" w:hAnsi="宋体"/>
          <w:sz w:val="24"/>
        </w:rPr>
        <w:t>投标人登录政府采购云平台，点击“项目采购—开标评标”模块，进入本项目“开标大厅”，等待代理机构开启解密后，进行线上解密。</w:t>
      </w:r>
      <w:r>
        <w:rPr>
          <w:rFonts w:hint="eastAsia" w:ascii="宋体" w:hAnsi="宋体"/>
          <w:b/>
          <w:bCs/>
          <w:sz w:val="24"/>
        </w:rPr>
        <w:t>除因系统发生故障</w:t>
      </w:r>
      <w:r>
        <w:rPr>
          <w:rFonts w:hint="eastAsia" w:ascii="宋体" w:hAnsi="宋体"/>
          <w:b/>
          <w:bCs/>
          <w:sz w:val="24"/>
          <w:lang w:val="zh-CN"/>
        </w:rPr>
        <w:t>（</w:t>
      </w:r>
      <w:r>
        <w:rPr>
          <w:rFonts w:hint="eastAsia" w:ascii="宋体" w:hAnsi="宋体"/>
          <w:b/>
          <w:bCs/>
          <w:sz w:val="24"/>
        </w:rPr>
        <w:t>包括组织场所停电、断网等）导致投标文件无法按时解密外，投标文件未按时解密的作为无效投标处理。</w:t>
      </w:r>
    </w:p>
    <w:p>
      <w:pPr>
        <w:spacing w:line="400" w:lineRule="exact"/>
        <w:ind w:firstLine="470" w:firstLineChars="196"/>
        <w:rPr>
          <w:rFonts w:ascii="宋体" w:hAnsi="宋体"/>
          <w:sz w:val="24"/>
        </w:rPr>
      </w:pPr>
    </w:p>
    <w:p>
      <w:pPr>
        <w:spacing w:line="400" w:lineRule="exact"/>
        <w:ind w:firstLine="480"/>
        <w:rPr>
          <w:rFonts w:ascii="宋体" w:hAnsi="宋体"/>
          <w:sz w:val="24"/>
        </w:rPr>
      </w:pPr>
    </w:p>
    <w:p>
      <w:pPr>
        <w:pStyle w:val="4"/>
        <w:spacing w:line="400" w:lineRule="exact"/>
        <w:jc w:val="center"/>
        <w:rPr>
          <w:rFonts w:ascii="宋体" w:hAnsi="宋体" w:eastAsia="宋体"/>
        </w:rPr>
      </w:pPr>
      <w:bookmarkStart w:id="90" w:name="_Toc217446056"/>
      <w:bookmarkStart w:id="91" w:name="_Toc308164805"/>
      <w:bookmarkStart w:id="92" w:name="_Toc183582231"/>
      <w:bookmarkStart w:id="93" w:name="_Toc183682368"/>
      <w:bookmarkStart w:id="94" w:name="_Toc89075878"/>
      <w:bookmarkStart w:id="95" w:name="_Toc77400782"/>
      <w:r>
        <w:rPr>
          <w:rFonts w:hint="eastAsia" w:ascii="宋体" w:hAnsi="宋体" w:eastAsia="宋体"/>
        </w:rPr>
        <w:t>五、开标和中标</w:t>
      </w:r>
      <w:bookmarkEnd w:id="90"/>
      <w:bookmarkEnd w:id="91"/>
      <w:bookmarkEnd w:id="92"/>
      <w:bookmarkEnd w:id="93"/>
      <w:bookmarkEnd w:id="94"/>
      <w:bookmarkEnd w:id="95"/>
    </w:p>
    <w:p>
      <w:pPr>
        <w:pStyle w:val="5"/>
        <w:spacing w:line="400" w:lineRule="exact"/>
        <w:ind w:firstLine="482" w:firstLineChars="200"/>
        <w:rPr>
          <w:rFonts w:ascii="宋体" w:hAnsi="宋体"/>
          <w:bCs w:val="0"/>
          <w:sz w:val="24"/>
        </w:rPr>
      </w:pPr>
      <w:bookmarkStart w:id="96" w:name="_Toc183682369"/>
      <w:bookmarkStart w:id="97" w:name="_Toc217446057"/>
      <w:bookmarkStart w:id="98" w:name="_Toc183582232"/>
      <w:bookmarkStart w:id="99" w:name="_Toc308164806"/>
      <w:r>
        <w:rPr>
          <w:rFonts w:hint="eastAsia" w:ascii="宋体" w:hAnsi="宋体"/>
          <w:bCs w:val="0"/>
          <w:sz w:val="24"/>
        </w:rPr>
        <w:t>21．开标</w:t>
      </w:r>
      <w:bookmarkEnd w:id="96"/>
      <w:bookmarkEnd w:id="97"/>
      <w:bookmarkEnd w:id="98"/>
      <w:bookmarkEnd w:id="99"/>
      <w:r>
        <w:rPr>
          <w:rFonts w:hint="eastAsia" w:ascii="宋体" w:hAnsi="宋体"/>
          <w:bCs w:val="0"/>
          <w:sz w:val="24"/>
        </w:rPr>
        <w:t>及开标程序</w:t>
      </w:r>
    </w:p>
    <w:p>
      <w:pPr>
        <w:ind w:firstLine="480" w:firstLineChars="200"/>
        <w:rPr>
          <w:rFonts w:ascii="宋体" w:hAnsi="宋体"/>
        </w:rPr>
      </w:pPr>
      <w:r>
        <w:rPr>
          <w:rFonts w:hint="eastAsia" w:ascii="宋体" w:hAnsi="宋体"/>
          <w:sz w:val="24"/>
        </w:rPr>
        <w:t>21.1本项目为不见面开标项目。（递交电子投标文件的投标人不足3家的，不予开标。）</w:t>
      </w:r>
    </w:p>
    <w:p>
      <w:pPr>
        <w:spacing w:before="120" w:line="400" w:lineRule="exact"/>
        <w:ind w:firstLine="480" w:firstLineChars="200"/>
        <w:rPr>
          <w:rFonts w:ascii="宋体" w:hAnsi="宋体"/>
          <w:sz w:val="24"/>
        </w:rPr>
      </w:pPr>
      <w:r>
        <w:rPr>
          <w:rFonts w:hint="eastAsia" w:ascii="宋体" w:hAnsi="宋体"/>
          <w:sz w:val="24"/>
        </w:rPr>
        <w:t>21.2开标准备工作。投标人需在开标当日、投标截止时间前登录“政府采购云平台”，通过本项目“开标大厅”参与不见面开标。登录政府采购云平台—项目采购—开标评标—开标大厅（确保进入本项目开标大厅）。</w:t>
      </w:r>
    </w:p>
    <w:p>
      <w:pPr>
        <w:spacing w:before="120" w:line="400" w:lineRule="exact"/>
        <w:ind w:firstLine="482" w:firstLineChars="200"/>
        <w:rPr>
          <w:rFonts w:ascii="宋体" w:hAnsi="宋体"/>
          <w:b/>
          <w:bCs/>
          <w:sz w:val="24"/>
        </w:rPr>
      </w:pPr>
      <w:r>
        <w:rPr>
          <w:rFonts w:hint="eastAsia" w:ascii="宋体" w:hAnsi="宋体"/>
          <w:b/>
          <w:bCs/>
          <w:sz w:val="24"/>
        </w:rPr>
        <w:t>提示：投标人未按时登录不见面开标系统，错过开标解密时间的，由投标人自行承担不利后果。</w:t>
      </w:r>
    </w:p>
    <w:p>
      <w:pPr>
        <w:spacing w:before="120" w:line="400" w:lineRule="exact"/>
        <w:ind w:firstLine="480" w:firstLineChars="200"/>
        <w:rPr>
          <w:rFonts w:ascii="宋体" w:hAnsi="宋体"/>
          <w:sz w:val="24"/>
        </w:rPr>
      </w:pPr>
      <w:r>
        <w:rPr>
          <w:rFonts w:hint="eastAsia" w:ascii="宋体" w:hAnsi="宋体"/>
          <w:sz w:val="24"/>
        </w:rPr>
        <w:t>21.3解密投标文件。等待代理机构开启解密后，投标人进行线上解密。开启解密后，投标人应在</w:t>
      </w:r>
      <w:r>
        <w:rPr>
          <w:rFonts w:hint="eastAsia" w:ascii="宋体" w:hAnsi="宋体"/>
          <w:b/>
          <w:bCs/>
          <w:sz w:val="24"/>
        </w:rPr>
        <w:t>60分钟</w:t>
      </w:r>
      <w:r>
        <w:rPr>
          <w:rFonts w:hint="eastAsia" w:ascii="宋体" w:hAnsi="宋体"/>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pPr>
        <w:spacing w:before="120" w:line="400" w:lineRule="exact"/>
        <w:ind w:firstLine="480" w:firstLineChars="200"/>
        <w:rPr>
          <w:rFonts w:ascii="宋体" w:hAnsi="宋体"/>
          <w:b/>
          <w:bCs/>
          <w:sz w:val="24"/>
        </w:rPr>
      </w:pPr>
      <w:r>
        <w:rPr>
          <w:rFonts w:hint="eastAsia" w:ascii="宋体" w:hAnsi="宋体"/>
          <w:sz w:val="24"/>
        </w:rPr>
        <w:t>21.4确认开标记录。解密时间截止或者所有投标人投标文件均完成解密后（以发生在先的时间为准），由“政府采购云平台”系统展示投标人名称、投标文件解密情况、投标报价等唱标内容。</w:t>
      </w:r>
      <w:r>
        <w:rPr>
          <w:rFonts w:hint="eastAsia" w:ascii="宋体" w:hAnsi="宋体"/>
          <w:b/>
          <w:bCs/>
          <w:sz w:val="24"/>
        </w:rPr>
        <w:t>如成功解密投标文件的投标人不足三家的，则只展示投标人名称、投标文件解密情况。投标人对开标记录（包含解密情况、投标报价、其他情况等）在规定时间内确认，如未确认，视为认可开标记录。</w:t>
      </w:r>
    </w:p>
    <w:p>
      <w:pPr>
        <w:spacing w:before="120" w:line="400" w:lineRule="exact"/>
        <w:ind w:firstLine="480" w:firstLineChars="200"/>
        <w:rPr>
          <w:rFonts w:ascii="宋体" w:hAnsi="宋体"/>
          <w:sz w:val="24"/>
        </w:rPr>
      </w:pPr>
      <w:bookmarkStart w:id="100" w:name="_Toc308164807"/>
      <w:bookmarkStart w:id="101" w:name="_Toc217446058"/>
      <w:r>
        <w:rPr>
          <w:rFonts w:hint="eastAsia" w:ascii="宋体" w:hAnsi="宋体"/>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pPr>
        <w:ind w:firstLine="480" w:firstLineChars="200"/>
        <w:rPr>
          <w:rFonts w:ascii="宋体" w:hAnsi="宋体"/>
        </w:rPr>
      </w:pPr>
      <w:r>
        <w:rPr>
          <w:rFonts w:hint="eastAsia" w:ascii="宋体" w:hAnsi="宋体"/>
          <w:sz w:val="24"/>
        </w:rPr>
        <w:t>21.6因组织场所断电、断网、系统故障或其他不可抗力等因素导致不见面开标系统无法正常运行的，开标活动中止或延迟，待系统恢复正常后继续进行开标活动。</w:t>
      </w:r>
    </w:p>
    <w:p>
      <w:pPr>
        <w:ind w:firstLine="480" w:firstLineChars="200"/>
        <w:rPr>
          <w:rFonts w:ascii="宋体" w:hAnsi="宋体"/>
          <w:sz w:val="24"/>
        </w:rPr>
      </w:pPr>
      <w:r>
        <w:rPr>
          <w:rFonts w:hint="eastAsia" w:ascii="宋体" w:hAnsi="宋体"/>
          <w:sz w:val="24"/>
        </w:rPr>
        <w:t>21.7不见面开标过程中，各方主体均应遵守互联网有关规定，不得发表与交易活动无关的言论。</w:t>
      </w:r>
    </w:p>
    <w:bookmarkEnd w:id="100"/>
    <w:bookmarkEnd w:id="101"/>
    <w:p>
      <w:pPr>
        <w:pStyle w:val="5"/>
        <w:spacing w:line="400" w:lineRule="exact"/>
        <w:ind w:firstLine="482" w:firstLineChars="200"/>
        <w:rPr>
          <w:rFonts w:ascii="宋体" w:hAnsi="宋体"/>
          <w:sz w:val="24"/>
        </w:rPr>
      </w:pPr>
      <w:bookmarkStart w:id="102" w:name="_Toc183682375"/>
      <w:bookmarkStart w:id="103" w:name="_Toc183582238"/>
      <w:bookmarkStart w:id="104" w:name="_Toc217446063"/>
      <w:bookmarkStart w:id="105" w:name="_Toc308164809"/>
      <w:r>
        <w:rPr>
          <w:rFonts w:hint="eastAsia" w:ascii="宋体" w:hAnsi="宋体"/>
          <w:sz w:val="24"/>
        </w:rPr>
        <w:t>22．开评标过程存档</w:t>
      </w:r>
    </w:p>
    <w:p>
      <w:pPr>
        <w:spacing w:line="400" w:lineRule="exact"/>
        <w:ind w:firstLine="480" w:firstLineChars="200"/>
        <w:rPr>
          <w:rFonts w:ascii="宋体" w:hAnsi="宋体"/>
          <w:sz w:val="24"/>
        </w:rPr>
      </w:pPr>
      <w:r>
        <w:rPr>
          <w:rFonts w:hint="eastAsia" w:ascii="宋体" w:hAnsi="宋体"/>
          <w:sz w:val="24"/>
        </w:rPr>
        <w:t>开标和评标过程进行全过程电子监控，并将电子监控资料存储介质留存归档。</w:t>
      </w:r>
    </w:p>
    <w:p>
      <w:pPr>
        <w:pStyle w:val="5"/>
        <w:spacing w:line="400" w:lineRule="exact"/>
        <w:ind w:firstLine="482" w:firstLineChars="200"/>
        <w:rPr>
          <w:rFonts w:ascii="宋体" w:hAnsi="宋体"/>
          <w:sz w:val="24"/>
        </w:rPr>
      </w:pPr>
      <w:r>
        <w:rPr>
          <w:rFonts w:hint="eastAsia" w:ascii="宋体" w:hAnsi="宋体"/>
          <w:sz w:val="24"/>
        </w:rPr>
        <w:t>23.评标情况公告</w:t>
      </w:r>
    </w:p>
    <w:p>
      <w:pPr>
        <w:spacing w:line="400" w:lineRule="exact"/>
        <w:ind w:firstLine="480" w:firstLineChars="200"/>
        <w:rPr>
          <w:rFonts w:ascii="宋体" w:hAnsi="宋体"/>
          <w:sz w:val="24"/>
        </w:rPr>
      </w:pPr>
      <w:r>
        <w:rPr>
          <w:rFonts w:hint="eastAsia" w:ascii="宋体" w:hAnsi="宋体"/>
          <w:sz w:val="24"/>
        </w:rPr>
        <w:t>所有供应商投标文件资格性、符合性检查情况、采用综合评分法时的总得分和评标结果等将在四川政府采购网上采购结果公告栏中予以公告。</w:t>
      </w:r>
    </w:p>
    <w:p>
      <w:pPr>
        <w:pStyle w:val="5"/>
        <w:keepNext w:val="0"/>
        <w:keepLines w:val="0"/>
        <w:spacing w:before="0" w:after="0" w:line="400" w:lineRule="exact"/>
        <w:ind w:firstLine="482" w:firstLineChars="200"/>
        <w:rPr>
          <w:rFonts w:ascii="宋体" w:hAnsi="宋体"/>
          <w:b w:val="0"/>
          <w:sz w:val="24"/>
          <w:szCs w:val="24"/>
        </w:rPr>
      </w:pPr>
      <w:r>
        <w:rPr>
          <w:rFonts w:hint="eastAsia" w:ascii="宋体" w:hAnsi="宋体"/>
          <w:bCs w:val="0"/>
          <w:sz w:val="24"/>
          <w:szCs w:val="24"/>
        </w:rPr>
        <w:t>24.采购人确定中标人过程中，发现中标候选人有下列情形之一的，应当不予确定其为中标人：</w:t>
      </w:r>
    </w:p>
    <w:p>
      <w:pPr>
        <w:spacing w:after="0" w:line="400" w:lineRule="exact"/>
        <w:ind w:firstLine="480" w:firstLineChars="200"/>
        <w:rPr>
          <w:rFonts w:ascii="宋体" w:hAnsi="宋体"/>
          <w:sz w:val="24"/>
        </w:rPr>
      </w:pPr>
      <w:r>
        <w:rPr>
          <w:rFonts w:hint="eastAsia" w:ascii="宋体" w:hAnsi="宋体"/>
          <w:sz w:val="24"/>
        </w:rPr>
        <w:t>（1）发现中标候选人存在禁止参加本项目采购活动的违法行为的；</w:t>
      </w:r>
    </w:p>
    <w:p>
      <w:pPr>
        <w:spacing w:after="0" w:line="400" w:lineRule="exact"/>
        <w:ind w:firstLine="480" w:firstLineChars="200"/>
        <w:rPr>
          <w:rFonts w:ascii="宋体" w:hAnsi="宋体"/>
          <w:sz w:val="24"/>
        </w:rPr>
      </w:pPr>
      <w:r>
        <w:rPr>
          <w:rFonts w:hint="eastAsia" w:ascii="宋体" w:hAnsi="宋体"/>
          <w:sz w:val="24"/>
        </w:rPr>
        <w:t>（2）中标候选人因不可抗力，不能继续参加政府采购活动；</w:t>
      </w:r>
    </w:p>
    <w:p>
      <w:pPr>
        <w:spacing w:after="0" w:line="400" w:lineRule="exact"/>
        <w:ind w:firstLine="480" w:firstLineChars="200"/>
        <w:rPr>
          <w:rFonts w:ascii="宋体" w:hAnsi="宋体"/>
          <w:sz w:val="24"/>
        </w:rPr>
      </w:pPr>
      <w:r>
        <w:rPr>
          <w:rFonts w:hint="eastAsia" w:ascii="宋体" w:hAnsi="宋体"/>
          <w:sz w:val="24"/>
        </w:rPr>
        <w:t>（3）中标候选人无偿赠与或者低于成本价竞争；</w:t>
      </w:r>
    </w:p>
    <w:p>
      <w:pPr>
        <w:spacing w:after="0" w:line="400" w:lineRule="exact"/>
        <w:ind w:firstLine="480" w:firstLineChars="200"/>
        <w:rPr>
          <w:rFonts w:ascii="宋体" w:hAnsi="宋体"/>
          <w:sz w:val="24"/>
        </w:rPr>
      </w:pPr>
      <w:r>
        <w:rPr>
          <w:rFonts w:hint="eastAsia" w:ascii="宋体" w:hAnsi="宋体"/>
          <w:sz w:val="24"/>
        </w:rPr>
        <w:t>（4）中标候选人提供虚假材料；</w:t>
      </w:r>
    </w:p>
    <w:p>
      <w:pPr>
        <w:spacing w:after="0" w:line="400" w:lineRule="exact"/>
        <w:ind w:firstLine="480" w:firstLineChars="200"/>
        <w:rPr>
          <w:rFonts w:ascii="宋体" w:hAnsi="宋体"/>
          <w:sz w:val="24"/>
        </w:rPr>
      </w:pPr>
      <w:r>
        <w:rPr>
          <w:rFonts w:hint="eastAsia" w:ascii="宋体" w:hAnsi="宋体"/>
          <w:sz w:val="24"/>
        </w:rPr>
        <w:t>（5</w:t>
      </w:r>
      <w:r>
        <w:rPr>
          <w:rFonts w:ascii="宋体" w:hAnsi="宋体"/>
          <w:sz w:val="24"/>
        </w:rPr>
        <w:t>）</w:t>
      </w:r>
      <w:r>
        <w:rPr>
          <w:rFonts w:hint="eastAsia" w:ascii="宋体" w:hAnsi="宋体"/>
          <w:sz w:val="24"/>
        </w:rPr>
        <w:t>中标候选人恶意串通。</w:t>
      </w:r>
    </w:p>
    <w:p>
      <w:pPr>
        <w:pStyle w:val="5"/>
        <w:spacing w:line="400" w:lineRule="exact"/>
        <w:ind w:firstLine="482" w:firstLineChars="200"/>
        <w:rPr>
          <w:rFonts w:ascii="宋体" w:hAnsi="宋体"/>
          <w:bCs w:val="0"/>
          <w:sz w:val="24"/>
          <w:szCs w:val="24"/>
        </w:rPr>
      </w:pPr>
      <w:r>
        <w:rPr>
          <w:rFonts w:hint="eastAsia" w:ascii="宋体" w:hAnsi="宋体"/>
          <w:bCs w:val="0"/>
          <w:sz w:val="24"/>
          <w:szCs w:val="24"/>
        </w:rPr>
        <w:t>25.中标通知</w:t>
      </w:r>
      <w:bookmarkEnd w:id="102"/>
      <w:bookmarkEnd w:id="103"/>
      <w:r>
        <w:rPr>
          <w:rFonts w:hint="eastAsia" w:ascii="宋体" w:hAnsi="宋体"/>
          <w:bCs w:val="0"/>
          <w:sz w:val="24"/>
          <w:szCs w:val="24"/>
        </w:rPr>
        <w:t>书</w:t>
      </w:r>
      <w:bookmarkEnd w:id="104"/>
      <w:bookmarkEnd w:id="105"/>
    </w:p>
    <w:p>
      <w:pPr>
        <w:tabs>
          <w:tab w:val="left" w:pos="7665"/>
        </w:tabs>
        <w:spacing w:line="400" w:lineRule="exact"/>
        <w:ind w:firstLine="480" w:firstLineChars="200"/>
        <w:rPr>
          <w:rFonts w:ascii="宋体" w:hAnsi="宋体"/>
          <w:sz w:val="24"/>
        </w:rPr>
      </w:pPr>
      <w:r>
        <w:rPr>
          <w:rFonts w:hint="eastAsia" w:ascii="宋体" w:hAnsi="宋体"/>
          <w:sz w:val="24"/>
        </w:rPr>
        <w:t>25</w:t>
      </w:r>
      <w:r>
        <w:rPr>
          <w:rFonts w:hint="eastAsia" w:ascii="宋体" w:hAnsi="宋体"/>
          <w:bCs/>
          <w:sz w:val="24"/>
        </w:rPr>
        <w:t>.</w:t>
      </w:r>
      <w:r>
        <w:rPr>
          <w:rFonts w:hint="eastAsia" w:ascii="宋体" w:hAnsi="宋体"/>
          <w:sz w:val="24"/>
        </w:rPr>
        <w:t>1 中标通知书为签订政府采购合同的依据之一，是合同的有效组成部分。</w:t>
      </w:r>
    </w:p>
    <w:p>
      <w:pPr>
        <w:tabs>
          <w:tab w:val="left" w:pos="7665"/>
        </w:tabs>
        <w:spacing w:line="400" w:lineRule="exact"/>
        <w:ind w:firstLine="480"/>
        <w:rPr>
          <w:rFonts w:ascii="宋体" w:hAnsi="宋体"/>
          <w:sz w:val="24"/>
        </w:rPr>
      </w:pPr>
      <w:r>
        <w:rPr>
          <w:rFonts w:hint="eastAsia" w:ascii="宋体" w:hAnsi="宋体"/>
          <w:sz w:val="24"/>
        </w:rPr>
        <w:t>25.2 中标通知书对采购人和中标人均具有法律效力。中标通知书发出后，采购人改变中标结果，或者中标人无正当理由放弃中标的，应当承担相应的法律责任。</w:t>
      </w:r>
    </w:p>
    <w:p>
      <w:pPr>
        <w:tabs>
          <w:tab w:val="left" w:pos="7665"/>
        </w:tabs>
        <w:spacing w:line="400" w:lineRule="exact"/>
        <w:ind w:firstLine="480"/>
        <w:rPr>
          <w:rFonts w:ascii="宋体" w:hAnsi="宋体"/>
          <w:sz w:val="24"/>
        </w:rPr>
      </w:pPr>
      <w:r>
        <w:rPr>
          <w:rFonts w:hint="eastAsia" w:ascii="宋体" w:hAnsi="宋体"/>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pPr>
        <w:tabs>
          <w:tab w:val="left" w:pos="7665"/>
        </w:tabs>
        <w:spacing w:line="400" w:lineRule="exact"/>
        <w:ind w:firstLine="480"/>
        <w:rPr>
          <w:rFonts w:ascii="宋体" w:hAnsi="宋体"/>
          <w:b/>
          <w:bCs/>
          <w:sz w:val="24"/>
        </w:rPr>
      </w:pPr>
      <w:r>
        <w:rPr>
          <w:rFonts w:hint="eastAsia" w:ascii="宋体" w:hAnsi="宋体"/>
          <w:b/>
          <w:bCs/>
          <w:sz w:val="24"/>
        </w:rPr>
        <w:t>25.4</w:t>
      </w:r>
      <w:r>
        <w:rPr>
          <w:rFonts w:hint="eastAsia" w:ascii="宋体" w:hAnsi="宋体"/>
          <w:b/>
          <w:bCs/>
          <w:sz w:val="24"/>
          <w:lang w:val="zh-CN"/>
        </w:rPr>
        <w:t>在四川政府采购网公告中标结果同时发出中标通知书，中标供应商自行登录政府采购云平台下载中标通知书。</w:t>
      </w:r>
    </w:p>
    <w:p>
      <w:pPr>
        <w:pStyle w:val="4"/>
        <w:spacing w:line="400" w:lineRule="exact"/>
        <w:jc w:val="center"/>
        <w:rPr>
          <w:rFonts w:ascii="宋体" w:hAnsi="宋体" w:eastAsia="宋体"/>
          <w:szCs w:val="28"/>
        </w:rPr>
      </w:pPr>
      <w:bookmarkStart w:id="106" w:name="_Toc308164810"/>
      <w:bookmarkStart w:id="107" w:name="_Toc217446064"/>
      <w:bookmarkStart w:id="108" w:name="_Toc183582240"/>
      <w:bookmarkStart w:id="109" w:name="_Toc183682377"/>
      <w:r>
        <w:rPr>
          <w:rFonts w:hint="eastAsia" w:ascii="宋体" w:hAnsi="宋体" w:eastAsia="宋体"/>
          <w:szCs w:val="28"/>
        </w:rPr>
        <w:t>六、签订及履行合同和验收</w:t>
      </w:r>
      <w:bookmarkEnd w:id="106"/>
      <w:bookmarkEnd w:id="107"/>
    </w:p>
    <w:p>
      <w:pPr>
        <w:pStyle w:val="5"/>
        <w:spacing w:line="400" w:lineRule="exact"/>
        <w:ind w:firstLine="482" w:firstLineChars="200"/>
        <w:rPr>
          <w:rFonts w:ascii="宋体" w:hAnsi="宋体"/>
          <w:b w:val="0"/>
          <w:sz w:val="24"/>
          <w:szCs w:val="24"/>
        </w:rPr>
      </w:pPr>
      <w:bookmarkStart w:id="110" w:name="_Toc308164811"/>
      <w:bookmarkStart w:id="111" w:name="_Toc217446065"/>
      <w:r>
        <w:rPr>
          <w:rFonts w:hint="eastAsia" w:ascii="宋体" w:hAnsi="宋体"/>
          <w:sz w:val="24"/>
        </w:rPr>
        <w:t>26.</w:t>
      </w:r>
      <w:r>
        <w:rPr>
          <w:rFonts w:hint="eastAsia" w:ascii="宋体" w:hAnsi="宋体"/>
          <w:sz w:val="24"/>
          <w:szCs w:val="24"/>
        </w:rPr>
        <w:t>签订合同</w:t>
      </w:r>
      <w:bookmarkEnd w:id="110"/>
      <w:bookmarkEnd w:id="111"/>
    </w:p>
    <w:p>
      <w:pPr>
        <w:spacing w:line="400" w:lineRule="exact"/>
        <w:ind w:firstLine="480" w:firstLineChars="200"/>
        <w:rPr>
          <w:rFonts w:ascii="宋体" w:hAnsi="宋体"/>
          <w:sz w:val="24"/>
        </w:rPr>
      </w:pPr>
      <w:r>
        <w:rPr>
          <w:rFonts w:hint="eastAsia" w:ascii="宋体" w:hAnsi="宋体"/>
          <w:sz w:val="24"/>
        </w:rPr>
        <w:t>26.1 中标人应在中标通知书发出之日起三十日内与采购人签订采购合同。由于中标人的原因逾期未与采购人签订采购合同的，将视为放弃中标，取消其中标资格并将按相关规定进行处理。</w:t>
      </w:r>
    </w:p>
    <w:p>
      <w:pPr>
        <w:spacing w:line="400" w:lineRule="exact"/>
        <w:ind w:firstLine="420" w:firstLineChars="175"/>
        <w:rPr>
          <w:rFonts w:ascii="宋体" w:hAnsi="宋体"/>
          <w:sz w:val="24"/>
        </w:rPr>
      </w:pPr>
      <w:r>
        <w:rPr>
          <w:rFonts w:hint="eastAsia" w:ascii="宋体" w:hAnsi="宋体"/>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pPr>
        <w:spacing w:line="400" w:lineRule="exact"/>
        <w:ind w:firstLine="420" w:firstLineChars="175"/>
        <w:rPr>
          <w:rFonts w:ascii="宋体" w:hAnsi="宋体"/>
          <w:sz w:val="24"/>
        </w:rPr>
      </w:pPr>
      <w:r>
        <w:rPr>
          <w:rFonts w:hint="eastAsia" w:ascii="宋体" w:hAnsi="宋体"/>
          <w:sz w:val="24"/>
        </w:rPr>
        <w:t>26.3 中标人拒绝与采购人签订合同的，采购人可以按照评审报告推荐的中标候选人名单排序，确定下一候选人为中标供应商，也可以重新开展政府采购活动。</w:t>
      </w:r>
    </w:p>
    <w:p>
      <w:pPr>
        <w:pStyle w:val="5"/>
        <w:spacing w:line="400" w:lineRule="exact"/>
        <w:ind w:firstLine="482" w:firstLineChars="200"/>
        <w:rPr>
          <w:rFonts w:ascii="宋体" w:hAnsi="宋体"/>
          <w:sz w:val="24"/>
          <w:szCs w:val="24"/>
        </w:rPr>
      </w:pPr>
      <w:r>
        <w:rPr>
          <w:rFonts w:hint="eastAsia" w:ascii="宋体" w:hAnsi="宋体"/>
          <w:sz w:val="24"/>
          <w:szCs w:val="24"/>
        </w:rPr>
        <w:t>27. 合同分包（实质性要求）</w:t>
      </w:r>
    </w:p>
    <w:p>
      <w:pPr>
        <w:spacing w:line="400" w:lineRule="exact"/>
        <w:ind w:firstLine="480" w:firstLineChars="200"/>
        <w:rPr>
          <w:rFonts w:ascii="宋体" w:hAnsi="宋体"/>
          <w:sz w:val="24"/>
        </w:rPr>
      </w:pPr>
      <w:r>
        <w:rPr>
          <w:rFonts w:ascii="宋体" w:hAnsi="宋体"/>
          <w:sz w:val="24"/>
        </w:rPr>
        <w:t>2</w:t>
      </w:r>
      <w:r>
        <w:rPr>
          <w:rFonts w:hint="eastAsia" w:ascii="宋体" w:hAnsi="宋体"/>
          <w:sz w:val="24"/>
        </w:rPr>
        <w:t>7</w:t>
      </w:r>
      <w:r>
        <w:rPr>
          <w:rFonts w:ascii="宋体" w:hAnsi="宋体"/>
          <w:sz w:val="24"/>
        </w:rPr>
        <w:t>.1</w:t>
      </w:r>
      <w:r>
        <w:rPr>
          <w:rFonts w:hint="eastAsia" w:ascii="宋体" w:hAnsi="宋体"/>
          <w:sz w:val="24"/>
        </w:rPr>
        <w:t>本项目合同接受分包与否，以“投标人须知附表”勾选项为准。</w:t>
      </w:r>
    </w:p>
    <w:p>
      <w:pPr>
        <w:spacing w:line="400" w:lineRule="exact"/>
        <w:ind w:firstLine="480" w:firstLineChars="200"/>
        <w:rPr>
          <w:rFonts w:ascii="宋体" w:hAnsi="宋体"/>
          <w:sz w:val="24"/>
        </w:rPr>
      </w:pPr>
      <w:r>
        <w:rPr>
          <w:rFonts w:ascii="宋体" w:hAnsi="宋体"/>
          <w:sz w:val="24"/>
        </w:rPr>
        <w:t>2</w:t>
      </w:r>
      <w:r>
        <w:rPr>
          <w:rFonts w:hint="eastAsia" w:ascii="宋体" w:hAnsi="宋体"/>
          <w:sz w:val="24"/>
        </w:rPr>
        <w:t>7</w:t>
      </w:r>
      <w:r>
        <w:rPr>
          <w:rFonts w:ascii="宋体" w:hAnsi="宋体"/>
          <w:sz w:val="24"/>
        </w:rPr>
        <w:t>.</w:t>
      </w:r>
      <w:r>
        <w:rPr>
          <w:rFonts w:hint="eastAsia" w:ascii="宋体" w:hAnsi="宋体"/>
          <w:sz w:val="24"/>
        </w:rPr>
        <w:t>2</w:t>
      </w:r>
      <w:r>
        <w:rPr>
          <w:rFonts w:ascii="宋体" w:hAnsi="宋体"/>
          <w:sz w:val="24"/>
        </w:rPr>
        <w:t xml:space="preserve"> 中小企业依据</w:t>
      </w:r>
      <w:r>
        <w:rPr>
          <w:rFonts w:hint="eastAsia" w:ascii="宋体" w:hAnsi="宋体"/>
          <w:sz w:val="24"/>
        </w:rPr>
        <w:t>《政府采购促进中小企业发展管理办法》（财库〔2020〕46号）</w:t>
      </w:r>
      <w:r>
        <w:rPr>
          <w:rFonts w:ascii="宋体" w:hAnsi="宋体"/>
          <w:sz w:val="24"/>
        </w:rPr>
        <w:t>规定的政策获取政府采购合同后，小型、微型企业不得分包或转包给大型、中型企业，中型企业不得分包或转包给大型企业。</w:t>
      </w:r>
    </w:p>
    <w:p>
      <w:pPr>
        <w:pStyle w:val="5"/>
        <w:spacing w:line="400" w:lineRule="exact"/>
        <w:ind w:firstLine="482" w:firstLineChars="200"/>
        <w:rPr>
          <w:rFonts w:ascii="宋体" w:hAnsi="宋体"/>
          <w:sz w:val="24"/>
          <w:szCs w:val="24"/>
        </w:rPr>
      </w:pPr>
      <w:r>
        <w:rPr>
          <w:rFonts w:hint="eastAsia" w:ascii="宋体" w:hAnsi="宋体"/>
          <w:sz w:val="24"/>
          <w:szCs w:val="24"/>
        </w:rPr>
        <w:t>28.合同转包（实质性要求）</w:t>
      </w:r>
    </w:p>
    <w:p>
      <w:pPr>
        <w:spacing w:line="400" w:lineRule="exact"/>
        <w:ind w:firstLine="540" w:firstLineChars="225"/>
        <w:rPr>
          <w:rFonts w:ascii="宋体" w:hAnsi="宋体"/>
          <w:sz w:val="24"/>
        </w:rPr>
      </w:pPr>
      <w:r>
        <w:rPr>
          <w:rFonts w:hint="eastAsia" w:ascii="宋体" w:hAnsi="宋体"/>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spacing w:line="400" w:lineRule="exact"/>
        <w:ind w:firstLine="540" w:firstLineChars="225"/>
        <w:rPr>
          <w:rFonts w:ascii="宋体" w:hAnsi="宋体"/>
          <w:sz w:val="24"/>
        </w:rPr>
      </w:pPr>
      <w:r>
        <w:rPr>
          <w:rFonts w:hint="eastAsia" w:ascii="宋体" w:hAnsi="宋体"/>
          <w:sz w:val="24"/>
        </w:rPr>
        <w:t>中标人转包的，视同拒绝履行政府采购合同义务，将依法追究法律责任。</w:t>
      </w:r>
    </w:p>
    <w:p>
      <w:pPr>
        <w:pStyle w:val="5"/>
        <w:spacing w:line="400" w:lineRule="exact"/>
        <w:ind w:firstLine="482" w:firstLineChars="200"/>
        <w:rPr>
          <w:rFonts w:ascii="宋体" w:hAnsi="宋体"/>
          <w:sz w:val="24"/>
          <w:szCs w:val="24"/>
        </w:rPr>
      </w:pPr>
      <w:bookmarkStart w:id="112" w:name="_Toc217446066"/>
      <w:r>
        <w:rPr>
          <w:rFonts w:hint="eastAsia" w:ascii="宋体" w:hAnsi="宋体"/>
          <w:sz w:val="24"/>
          <w:szCs w:val="24"/>
        </w:rPr>
        <w:t>29.</w:t>
      </w:r>
      <w:bookmarkEnd w:id="112"/>
      <w:r>
        <w:rPr>
          <w:rFonts w:hint="eastAsia" w:ascii="宋体" w:hAnsi="宋体"/>
          <w:sz w:val="24"/>
          <w:szCs w:val="24"/>
        </w:rPr>
        <w:t xml:space="preserve"> 补充合同</w:t>
      </w:r>
    </w:p>
    <w:p>
      <w:pPr>
        <w:spacing w:line="400" w:lineRule="exact"/>
        <w:ind w:firstLine="480" w:firstLineChars="200"/>
        <w:rPr>
          <w:rFonts w:ascii="宋体" w:hAnsi="宋体"/>
          <w:sz w:val="24"/>
        </w:rPr>
      </w:pPr>
      <w:r>
        <w:rPr>
          <w:rFonts w:hint="eastAsia" w:ascii="宋体" w:hAnsi="宋体"/>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pPr>
        <w:pStyle w:val="5"/>
        <w:spacing w:line="400" w:lineRule="exact"/>
        <w:ind w:firstLine="482" w:firstLineChars="200"/>
        <w:rPr>
          <w:rFonts w:ascii="宋体" w:hAnsi="宋体"/>
          <w:b w:val="0"/>
          <w:sz w:val="24"/>
          <w:szCs w:val="24"/>
        </w:rPr>
      </w:pPr>
      <w:bookmarkStart w:id="113" w:name="_Toc308164812"/>
      <w:bookmarkStart w:id="114" w:name="_Toc217446068"/>
      <w:r>
        <w:rPr>
          <w:rFonts w:hint="eastAsia" w:ascii="宋体" w:hAnsi="宋体"/>
          <w:sz w:val="24"/>
          <w:szCs w:val="24"/>
        </w:rPr>
        <w:t>30</w:t>
      </w:r>
      <w:r>
        <w:rPr>
          <w:rFonts w:hint="eastAsia" w:ascii="宋体" w:hAnsi="宋体"/>
          <w:b w:val="0"/>
          <w:sz w:val="24"/>
          <w:szCs w:val="24"/>
        </w:rPr>
        <w:t xml:space="preserve">. </w:t>
      </w:r>
      <w:r>
        <w:rPr>
          <w:rFonts w:hint="eastAsia" w:ascii="宋体" w:hAnsi="宋体"/>
          <w:sz w:val="24"/>
          <w:szCs w:val="24"/>
        </w:rPr>
        <w:t>履约保证金</w:t>
      </w:r>
      <w:bookmarkEnd w:id="113"/>
      <w:bookmarkEnd w:id="114"/>
      <w:r>
        <w:rPr>
          <w:rFonts w:hint="eastAsia" w:ascii="宋体" w:hAnsi="宋体"/>
          <w:sz w:val="24"/>
          <w:szCs w:val="24"/>
        </w:rPr>
        <w:t>（实质性要求）</w:t>
      </w:r>
    </w:p>
    <w:p>
      <w:pPr>
        <w:spacing w:line="400" w:lineRule="exact"/>
        <w:ind w:firstLine="480" w:firstLineChars="200"/>
        <w:rPr>
          <w:rFonts w:ascii="宋体" w:hAnsi="宋体"/>
          <w:sz w:val="24"/>
        </w:rPr>
      </w:pPr>
      <w:r>
        <w:rPr>
          <w:rFonts w:hint="eastAsia" w:ascii="宋体" w:hAnsi="宋体"/>
          <w:sz w:val="24"/>
        </w:rPr>
        <w:t>30.1 中标人应在合同签订之前交纳招标文件规定数额的履约保证金。</w:t>
      </w:r>
    </w:p>
    <w:p>
      <w:pPr>
        <w:spacing w:line="400" w:lineRule="exact"/>
        <w:ind w:firstLine="480" w:firstLineChars="200"/>
        <w:rPr>
          <w:rFonts w:ascii="宋体" w:hAnsi="宋体"/>
          <w:sz w:val="24"/>
        </w:rPr>
      </w:pPr>
      <w:r>
        <w:rPr>
          <w:rFonts w:hint="eastAsia" w:ascii="宋体" w:hAnsi="宋体"/>
          <w:sz w:val="24"/>
        </w:rPr>
        <w:t>30.2 如果中标人在规定的合同签订时间内，没有按照招标文件的规定交纳履约保证金，且又无正当理由的，将视为放弃中标。</w:t>
      </w:r>
    </w:p>
    <w:p>
      <w:pPr>
        <w:pStyle w:val="5"/>
        <w:spacing w:line="400" w:lineRule="exact"/>
        <w:ind w:firstLine="482" w:firstLineChars="200"/>
        <w:rPr>
          <w:rFonts w:ascii="宋体" w:hAnsi="宋体"/>
          <w:sz w:val="24"/>
          <w:szCs w:val="24"/>
        </w:rPr>
      </w:pPr>
      <w:bookmarkStart w:id="115" w:name="_Toc308164813"/>
      <w:bookmarkStart w:id="116" w:name="_Toc217446069"/>
      <w:r>
        <w:rPr>
          <w:rFonts w:hint="eastAsia" w:ascii="宋体" w:hAnsi="宋体"/>
          <w:sz w:val="24"/>
          <w:szCs w:val="24"/>
        </w:rPr>
        <w:t>31.合同公告</w:t>
      </w:r>
    </w:p>
    <w:p>
      <w:pPr>
        <w:spacing w:line="400" w:lineRule="exact"/>
        <w:ind w:firstLine="480" w:firstLineChars="200"/>
        <w:rPr>
          <w:rFonts w:ascii="宋体" w:hAnsi="宋体"/>
          <w:sz w:val="24"/>
        </w:rPr>
      </w:pPr>
      <w:r>
        <w:rPr>
          <w:rFonts w:hint="eastAsia" w:ascii="宋体" w:hAnsi="宋体"/>
          <w:sz w:val="24"/>
        </w:rPr>
        <w:t>采购人应当自政府采购合同签订之日起2个工作日内，将政府采购合同在省级以上人民政府财政部门指定的媒体上公告（四川政府采购网），但政府采购合同中涉及国家秘密、商业秘密的内容除外。</w:t>
      </w:r>
    </w:p>
    <w:p>
      <w:pPr>
        <w:pStyle w:val="5"/>
        <w:spacing w:line="400" w:lineRule="exact"/>
        <w:ind w:firstLine="482" w:firstLineChars="200"/>
        <w:rPr>
          <w:rFonts w:ascii="宋体" w:hAnsi="宋体"/>
          <w:sz w:val="24"/>
          <w:szCs w:val="24"/>
        </w:rPr>
      </w:pPr>
      <w:r>
        <w:rPr>
          <w:rFonts w:hint="eastAsia" w:ascii="宋体" w:hAnsi="宋体"/>
          <w:sz w:val="24"/>
          <w:szCs w:val="24"/>
        </w:rPr>
        <w:t>32.合同备案</w:t>
      </w:r>
    </w:p>
    <w:p>
      <w:pPr>
        <w:spacing w:line="400" w:lineRule="exact"/>
        <w:ind w:firstLine="480" w:firstLineChars="200"/>
        <w:rPr>
          <w:rFonts w:ascii="宋体" w:hAnsi="宋体"/>
          <w:sz w:val="24"/>
        </w:rPr>
      </w:pPr>
      <w:r>
        <w:rPr>
          <w:rFonts w:hint="eastAsia" w:ascii="宋体" w:hAnsi="宋体"/>
          <w:sz w:val="24"/>
        </w:rPr>
        <w:t>采购人应当将政府采购合同副本自签订之日起七个工作日内通过四川政府采购网报同级财政部门备案。</w:t>
      </w:r>
    </w:p>
    <w:p>
      <w:pPr>
        <w:pStyle w:val="5"/>
        <w:spacing w:line="400" w:lineRule="exact"/>
        <w:ind w:firstLine="482" w:firstLineChars="200"/>
        <w:rPr>
          <w:rFonts w:ascii="宋体" w:hAnsi="宋体"/>
          <w:b w:val="0"/>
          <w:sz w:val="24"/>
          <w:szCs w:val="24"/>
        </w:rPr>
      </w:pPr>
      <w:r>
        <w:rPr>
          <w:rFonts w:hint="eastAsia" w:ascii="宋体" w:hAnsi="宋体"/>
          <w:sz w:val="24"/>
          <w:szCs w:val="24"/>
        </w:rPr>
        <w:t>33.履行合同</w:t>
      </w:r>
      <w:bookmarkEnd w:id="115"/>
      <w:bookmarkEnd w:id="116"/>
    </w:p>
    <w:p>
      <w:pPr>
        <w:spacing w:line="400" w:lineRule="exact"/>
        <w:ind w:firstLine="480" w:firstLineChars="200"/>
        <w:rPr>
          <w:rFonts w:ascii="宋体" w:hAnsi="宋体"/>
          <w:sz w:val="24"/>
        </w:rPr>
      </w:pPr>
      <w:r>
        <w:rPr>
          <w:rFonts w:hint="eastAsia" w:ascii="宋体" w:hAnsi="宋体"/>
          <w:sz w:val="24"/>
        </w:rPr>
        <w:t>33.1 中标人与采购人签订合同后，合同双方应严格执行合同条款，履行合同规定的义务，保证合同的顺利完成。</w:t>
      </w:r>
    </w:p>
    <w:p>
      <w:pPr>
        <w:spacing w:line="400" w:lineRule="exact"/>
        <w:ind w:firstLine="480" w:firstLineChars="200"/>
        <w:rPr>
          <w:rFonts w:ascii="宋体" w:hAnsi="宋体"/>
          <w:sz w:val="24"/>
        </w:rPr>
      </w:pPr>
      <w:r>
        <w:rPr>
          <w:rFonts w:hint="eastAsia" w:ascii="宋体" w:hAnsi="宋体"/>
          <w:sz w:val="24"/>
        </w:rPr>
        <w:t>33.2 在合同履行过程中，如发生合同纠纷，合同双方应按照《中华人民共和国民法典》的有关规定进行处理。</w:t>
      </w:r>
    </w:p>
    <w:p>
      <w:pPr>
        <w:pStyle w:val="5"/>
        <w:spacing w:line="400" w:lineRule="exact"/>
        <w:ind w:firstLine="482" w:firstLineChars="200"/>
        <w:rPr>
          <w:rFonts w:ascii="宋体" w:hAnsi="宋体"/>
          <w:b w:val="0"/>
          <w:sz w:val="24"/>
          <w:szCs w:val="24"/>
        </w:rPr>
      </w:pPr>
      <w:bookmarkStart w:id="117" w:name="_Toc217446070"/>
      <w:bookmarkStart w:id="118" w:name="_Toc308164814"/>
      <w:r>
        <w:rPr>
          <w:rFonts w:hint="eastAsia" w:ascii="宋体" w:hAnsi="宋体"/>
          <w:sz w:val="24"/>
          <w:szCs w:val="24"/>
        </w:rPr>
        <w:t>34.验收</w:t>
      </w:r>
      <w:bookmarkEnd w:id="117"/>
      <w:bookmarkEnd w:id="118"/>
    </w:p>
    <w:p>
      <w:pPr>
        <w:spacing w:line="400" w:lineRule="exact"/>
        <w:ind w:firstLine="480" w:firstLineChars="200"/>
        <w:rPr>
          <w:rFonts w:ascii="宋体" w:hAnsi="宋体"/>
          <w:sz w:val="24"/>
        </w:rPr>
      </w:pPr>
      <w:r>
        <w:rPr>
          <w:rFonts w:hint="eastAsia" w:ascii="宋体" w:hAnsi="宋体"/>
          <w:sz w:val="24"/>
        </w:rPr>
        <w:t>34.1本项目采购人及其委托的采购代理机构将严格按照《财政部关于进一步加强政府采购需求和履约验收管理的指导意见》（财库〔2016〕205号）等政府采购相关法律法规的要求进行验收。</w:t>
      </w:r>
    </w:p>
    <w:p>
      <w:pPr>
        <w:spacing w:line="400" w:lineRule="exact"/>
        <w:ind w:firstLine="480" w:firstLineChars="200"/>
        <w:rPr>
          <w:rFonts w:ascii="宋体" w:hAnsi="宋体"/>
          <w:sz w:val="24"/>
        </w:rPr>
      </w:pPr>
      <w:r>
        <w:rPr>
          <w:rFonts w:hint="eastAsia" w:ascii="宋体" w:hAnsi="宋体"/>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bookmarkStart w:id="119" w:name="_Toc217446071"/>
    </w:p>
    <w:p>
      <w:pPr>
        <w:pStyle w:val="5"/>
        <w:spacing w:line="400" w:lineRule="exact"/>
        <w:ind w:firstLine="482" w:firstLineChars="200"/>
        <w:rPr>
          <w:rFonts w:ascii="宋体" w:hAnsi="宋体"/>
          <w:sz w:val="24"/>
          <w:szCs w:val="24"/>
        </w:rPr>
      </w:pPr>
      <w:bookmarkStart w:id="120" w:name="_Toc217446077"/>
      <w:bookmarkStart w:id="121" w:name="_Toc308164818"/>
      <w:r>
        <w:rPr>
          <w:rFonts w:hint="eastAsia" w:ascii="宋体" w:hAnsi="宋体"/>
          <w:sz w:val="24"/>
          <w:szCs w:val="24"/>
        </w:rPr>
        <w:t>35.资金支付</w:t>
      </w:r>
      <w:bookmarkEnd w:id="120"/>
      <w:bookmarkEnd w:id="121"/>
    </w:p>
    <w:p>
      <w:pPr>
        <w:spacing w:line="400" w:lineRule="exact"/>
        <w:ind w:firstLine="480" w:firstLineChars="200"/>
        <w:rPr>
          <w:rFonts w:ascii="宋体" w:hAnsi="宋体"/>
          <w:sz w:val="24"/>
        </w:rPr>
      </w:pPr>
      <w:r>
        <w:rPr>
          <w:rFonts w:hint="eastAsia" w:ascii="宋体" w:hAnsi="宋体"/>
          <w:sz w:val="24"/>
        </w:rPr>
        <w:t>采购人将按照政府采购合同规定，及时向中标供应商支付采购资金。本项目采购资金付款详见第六章商务要求中付款方式。</w:t>
      </w:r>
    </w:p>
    <w:bookmarkEnd w:id="108"/>
    <w:bookmarkEnd w:id="109"/>
    <w:bookmarkEnd w:id="119"/>
    <w:p>
      <w:pPr>
        <w:pStyle w:val="4"/>
        <w:spacing w:line="400" w:lineRule="exact"/>
        <w:jc w:val="center"/>
        <w:rPr>
          <w:rFonts w:ascii="宋体" w:hAnsi="宋体" w:eastAsia="宋体"/>
          <w:szCs w:val="28"/>
        </w:rPr>
      </w:pPr>
      <w:bookmarkStart w:id="122" w:name="_Toc308164815"/>
      <w:bookmarkStart w:id="123" w:name="_Toc217446074"/>
      <w:bookmarkStart w:id="124" w:name="_Toc183582243"/>
      <w:bookmarkStart w:id="125" w:name="_Toc183682380"/>
      <w:r>
        <w:rPr>
          <w:rFonts w:hint="eastAsia" w:ascii="宋体" w:hAnsi="宋体" w:eastAsia="宋体"/>
          <w:szCs w:val="28"/>
        </w:rPr>
        <w:t>七、投标纪律要求</w:t>
      </w:r>
      <w:bookmarkEnd w:id="122"/>
      <w:bookmarkEnd w:id="123"/>
    </w:p>
    <w:p>
      <w:pPr>
        <w:pStyle w:val="5"/>
        <w:spacing w:line="400" w:lineRule="exact"/>
        <w:ind w:firstLine="241" w:firstLineChars="100"/>
        <w:rPr>
          <w:rFonts w:ascii="宋体" w:hAnsi="宋体"/>
          <w:bCs w:val="0"/>
          <w:sz w:val="24"/>
          <w:szCs w:val="24"/>
        </w:rPr>
      </w:pPr>
      <w:bookmarkStart w:id="126" w:name="_Toc217446075"/>
      <w:bookmarkStart w:id="127" w:name="_Toc308164816"/>
      <w:r>
        <w:rPr>
          <w:rFonts w:hint="eastAsia" w:ascii="宋体" w:hAnsi="宋体"/>
          <w:sz w:val="24"/>
        </w:rPr>
        <w:t xml:space="preserve">36. </w:t>
      </w:r>
      <w:r>
        <w:rPr>
          <w:rFonts w:hint="eastAsia" w:ascii="宋体" w:hAnsi="宋体"/>
          <w:bCs w:val="0"/>
          <w:sz w:val="24"/>
          <w:szCs w:val="24"/>
        </w:rPr>
        <w:t>投标人</w:t>
      </w:r>
      <w:bookmarkEnd w:id="126"/>
      <w:bookmarkEnd w:id="127"/>
      <w:r>
        <w:rPr>
          <w:rFonts w:hint="eastAsia" w:ascii="宋体" w:hAnsi="宋体"/>
          <w:bCs w:val="0"/>
          <w:sz w:val="24"/>
          <w:szCs w:val="24"/>
        </w:rPr>
        <w:t>纪律要求</w:t>
      </w:r>
    </w:p>
    <w:p>
      <w:pPr>
        <w:pStyle w:val="7"/>
        <w:spacing w:line="400" w:lineRule="exact"/>
        <w:ind w:firstLine="480"/>
        <w:rPr>
          <w:rFonts w:ascii="宋体" w:hAnsi="宋体"/>
          <w:sz w:val="24"/>
        </w:rPr>
      </w:pPr>
      <w:r>
        <w:rPr>
          <w:rFonts w:hint="eastAsia" w:ascii="宋体" w:hAnsi="宋体"/>
          <w:sz w:val="24"/>
        </w:rPr>
        <w:t>投标人应当遵循公平竞争的原则，不得恶意串通，不得妨碍其他投标人的竞争行为，不得损害采购人或者其他投标人的合法权益。</w:t>
      </w:r>
    </w:p>
    <w:p>
      <w:pPr>
        <w:pStyle w:val="7"/>
        <w:spacing w:line="400" w:lineRule="exact"/>
        <w:ind w:firstLine="480"/>
        <w:rPr>
          <w:rFonts w:ascii="宋体" w:hAnsi="宋体"/>
          <w:sz w:val="24"/>
        </w:rPr>
      </w:pPr>
      <w:r>
        <w:rPr>
          <w:rFonts w:hint="eastAsia" w:ascii="宋体" w:hAnsi="宋体"/>
          <w:sz w:val="24"/>
        </w:rPr>
        <w:t>在评标过程中发现投标人有上述情形的，评标委员会应当认定其投标无效，并书面报告本级财政部门。</w:t>
      </w:r>
    </w:p>
    <w:p>
      <w:pPr>
        <w:pStyle w:val="5"/>
        <w:spacing w:line="240" w:lineRule="auto"/>
        <w:ind w:firstLine="241" w:firstLineChars="100"/>
        <w:rPr>
          <w:rFonts w:ascii="宋体" w:hAnsi="宋体"/>
        </w:rPr>
      </w:pPr>
      <w:r>
        <w:rPr>
          <w:rFonts w:hint="eastAsia" w:ascii="宋体" w:hAnsi="宋体"/>
          <w:sz w:val="24"/>
          <w:szCs w:val="24"/>
        </w:rPr>
        <w:t>37. 投标人参加本项目投标不得有下列情形</w:t>
      </w:r>
      <w:r>
        <w:rPr>
          <w:rFonts w:hint="eastAsia" w:ascii="宋体" w:hAnsi="宋体"/>
        </w:rPr>
        <w:t>：</w:t>
      </w:r>
    </w:p>
    <w:p>
      <w:pPr>
        <w:spacing w:line="400" w:lineRule="exact"/>
        <w:ind w:firstLine="480" w:firstLineChars="200"/>
        <w:rPr>
          <w:rFonts w:ascii="宋体" w:hAnsi="宋体"/>
          <w:sz w:val="24"/>
        </w:rPr>
      </w:pPr>
      <w:r>
        <w:rPr>
          <w:rFonts w:hint="eastAsia" w:ascii="宋体" w:hAnsi="宋体"/>
          <w:sz w:val="24"/>
        </w:rPr>
        <w:t>（1）提供虚假材料谋取中标；</w:t>
      </w:r>
    </w:p>
    <w:p>
      <w:pPr>
        <w:spacing w:line="400" w:lineRule="exact"/>
        <w:ind w:firstLine="480" w:firstLineChars="200"/>
        <w:rPr>
          <w:rFonts w:ascii="宋体" w:hAnsi="宋体"/>
          <w:sz w:val="24"/>
        </w:rPr>
      </w:pPr>
      <w:r>
        <w:rPr>
          <w:rFonts w:hint="eastAsia" w:ascii="宋体" w:hAnsi="宋体"/>
          <w:sz w:val="24"/>
        </w:rPr>
        <w:t>（2）采取不正当手段诋毁、排挤其他投标人；</w:t>
      </w:r>
    </w:p>
    <w:p>
      <w:pPr>
        <w:spacing w:line="400" w:lineRule="exact"/>
        <w:ind w:firstLine="480" w:firstLineChars="200"/>
        <w:rPr>
          <w:rFonts w:ascii="宋体" w:hAnsi="宋体"/>
          <w:sz w:val="24"/>
        </w:rPr>
      </w:pPr>
      <w:r>
        <w:rPr>
          <w:rFonts w:hint="eastAsia" w:ascii="宋体" w:hAnsi="宋体"/>
          <w:sz w:val="24"/>
        </w:rPr>
        <w:t>（3）与招标采购单位、其他投标人恶意串通；</w:t>
      </w:r>
    </w:p>
    <w:p>
      <w:pPr>
        <w:spacing w:line="400" w:lineRule="exact"/>
        <w:ind w:firstLine="480" w:firstLineChars="200"/>
        <w:rPr>
          <w:rFonts w:ascii="宋体" w:hAnsi="宋体"/>
          <w:sz w:val="24"/>
        </w:rPr>
      </w:pPr>
      <w:r>
        <w:rPr>
          <w:rFonts w:hint="eastAsia" w:ascii="宋体" w:hAnsi="宋体"/>
          <w:sz w:val="24"/>
        </w:rPr>
        <w:t>（4）向招标采购单位、评标委员会成员行贿或者提供其他不正当利益；</w:t>
      </w:r>
    </w:p>
    <w:p>
      <w:pPr>
        <w:spacing w:line="400" w:lineRule="exact"/>
        <w:ind w:firstLine="480" w:firstLineChars="200"/>
        <w:rPr>
          <w:rFonts w:ascii="宋体" w:hAnsi="宋体"/>
          <w:sz w:val="24"/>
        </w:rPr>
      </w:pPr>
      <w:r>
        <w:rPr>
          <w:rFonts w:hint="eastAsia" w:ascii="宋体" w:hAnsi="宋体"/>
          <w:sz w:val="24"/>
        </w:rPr>
        <w:t>（5）在招标过程中与招标采购单位进行协商谈判；</w:t>
      </w:r>
    </w:p>
    <w:p>
      <w:pPr>
        <w:spacing w:line="400" w:lineRule="exact"/>
        <w:ind w:firstLine="480" w:firstLineChars="200"/>
        <w:rPr>
          <w:rFonts w:ascii="宋体" w:hAnsi="宋体"/>
          <w:sz w:val="24"/>
        </w:rPr>
      </w:pPr>
      <w:r>
        <w:rPr>
          <w:rFonts w:hint="eastAsia" w:ascii="宋体" w:hAnsi="宋体"/>
          <w:sz w:val="24"/>
        </w:rPr>
        <w:t>（6）中标或者成交后无正当理由拒不与采购人签订政府采购合同；</w:t>
      </w:r>
    </w:p>
    <w:p>
      <w:pPr>
        <w:spacing w:line="400" w:lineRule="exact"/>
        <w:ind w:firstLine="480" w:firstLineChars="200"/>
        <w:rPr>
          <w:rFonts w:ascii="宋体" w:hAnsi="宋体"/>
          <w:sz w:val="24"/>
        </w:rPr>
      </w:pPr>
      <w:r>
        <w:rPr>
          <w:rFonts w:hint="eastAsia" w:ascii="宋体" w:hAnsi="宋体"/>
          <w:sz w:val="24"/>
        </w:rPr>
        <w:t>（7）未按照采购文件确定的事项签订政府采购合同；</w:t>
      </w:r>
    </w:p>
    <w:p>
      <w:pPr>
        <w:spacing w:line="400" w:lineRule="exact"/>
        <w:ind w:firstLine="480" w:firstLineChars="200"/>
        <w:rPr>
          <w:rFonts w:ascii="宋体" w:hAnsi="宋体"/>
          <w:sz w:val="24"/>
        </w:rPr>
      </w:pPr>
      <w:r>
        <w:rPr>
          <w:rFonts w:hint="eastAsia" w:ascii="宋体" w:hAnsi="宋体"/>
          <w:sz w:val="24"/>
        </w:rPr>
        <w:t>（8）将政府采购合同转包或者违规分包；</w:t>
      </w:r>
    </w:p>
    <w:p>
      <w:pPr>
        <w:spacing w:line="400" w:lineRule="exact"/>
        <w:ind w:firstLine="480" w:firstLineChars="200"/>
        <w:rPr>
          <w:rFonts w:ascii="宋体" w:hAnsi="宋体"/>
          <w:sz w:val="24"/>
        </w:rPr>
      </w:pPr>
      <w:r>
        <w:rPr>
          <w:rFonts w:hint="eastAsia" w:ascii="宋体" w:hAnsi="宋体"/>
          <w:sz w:val="24"/>
        </w:rPr>
        <w:t>（9）提供假冒伪劣产品；</w:t>
      </w:r>
    </w:p>
    <w:p>
      <w:pPr>
        <w:spacing w:line="400" w:lineRule="exact"/>
        <w:ind w:firstLine="480" w:firstLineChars="200"/>
        <w:rPr>
          <w:rFonts w:ascii="宋体" w:hAnsi="宋体"/>
          <w:sz w:val="24"/>
        </w:rPr>
      </w:pPr>
      <w:r>
        <w:rPr>
          <w:rFonts w:hint="eastAsia" w:ascii="宋体" w:hAnsi="宋体"/>
          <w:sz w:val="24"/>
        </w:rPr>
        <w:t>（10）擅自变更、中止或者终止政府采购合同；</w:t>
      </w:r>
    </w:p>
    <w:p>
      <w:pPr>
        <w:spacing w:line="400" w:lineRule="exact"/>
        <w:ind w:firstLine="480" w:firstLineChars="200"/>
        <w:rPr>
          <w:rFonts w:ascii="宋体" w:hAnsi="宋体"/>
          <w:sz w:val="24"/>
        </w:rPr>
      </w:pPr>
      <w:r>
        <w:rPr>
          <w:rFonts w:hint="eastAsia" w:ascii="宋体" w:hAnsi="宋体"/>
          <w:sz w:val="24"/>
        </w:rPr>
        <w:t>（11）拒绝有关部门的监督检查或者向监督检查部门提供虚假情况；</w:t>
      </w:r>
    </w:p>
    <w:p>
      <w:pPr>
        <w:spacing w:line="400" w:lineRule="exact"/>
        <w:ind w:firstLine="480" w:firstLineChars="200"/>
        <w:rPr>
          <w:rFonts w:ascii="宋体" w:hAnsi="宋体"/>
          <w:sz w:val="24"/>
        </w:rPr>
      </w:pPr>
      <w:r>
        <w:rPr>
          <w:rFonts w:hint="eastAsia" w:ascii="宋体" w:hAnsi="宋体"/>
          <w:sz w:val="24"/>
        </w:rPr>
        <w:t>（12）法律法规规定的其他情形。</w:t>
      </w:r>
    </w:p>
    <w:p>
      <w:pPr>
        <w:spacing w:line="400" w:lineRule="exact"/>
        <w:ind w:firstLine="480" w:firstLineChars="200"/>
        <w:rPr>
          <w:rFonts w:ascii="宋体" w:hAnsi="宋体"/>
          <w:sz w:val="24"/>
        </w:rPr>
      </w:pPr>
      <w:r>
        <w:rPr>
          <w:rFonts w:hint="eastAsia" w:ascii="宋体" w:hAnsi="宋体"/>
          <w:sz w:val="24"/>
        </w:rPr>
        <w:t>投标人有上述情形的，按照规定追究法律责任，具备（1）-（10）条情形之一的，同时将取消中标资格或者认定中标无效。</w:t>
      </w:r>
      <w:bookmarkEnd w:id="51"/>
    </w:p>
    <w:p>
      <w:pPr>
        <w:spacing w:line="400" w:lineRule="exact"/>
        <w:ind w:firstLine="482" w:firstLineChars="200"/>
        <w:outlineLvl w:val="2"/>
        <w:rPr>
          <w:rFonts w:ascii="宋体" w:hAnsi="宋体"/>
          <w:sz w:val="24"/>
        </w:rPr>
      </w:pPr>
      <w:bookmarkStart w:id="128" w:name="PO_默认文件内容_23"/>
      <w:r>
        <w:rPr>
          <w:rFonts w:hint="eastAsia" w:ascii="宋体" w:hAnsi="宋体"/>
          <w:b/>
          <w:bCs/>
          <w:sz w:val="24"/>
        </w:rPr>
        <w:t>38. 投标人有下列情形之一的，视为投标人串通投标，其投标无效</w:t>
      </w:r>
      <w:r>
        <w:rPr>
          <w:rFonts w:hint="eastAsia" w:ascii="宋体" w:hAnsi="宋体"/>
          <w:sz w:val="24"/>
        </w:rPr>
        <w:t>：</w:t>
      </w:r>
    </w:p>
    <w:p>
      <w:pPr>
        <w:spacing w:line="400" w:lineRule="exact"/>
        <w:ind w:firstLine="480" w:firstLineChars="200"/>
        <w:rPr>
          <w:rFonts w:ascii="宋体" w:hAnsi="宋体"/>
          <w:sz w:val="24"/>
        </w:rPr>
      </w:pPr>
      <w:r>
        <w:rPr>
          <w:rFonts w:hint="eastAsia" w:ascii="宋体" w:hAnsi="宋体"/>
          <w:sz w:val="24"/>
        </w:rPr>
        <w:t>（1）不同投标人的投标文件由同一单位或者个人编制；</w:t>
      </w:r>
    </w:p>
    <w:p>
      <w:pPr>
        <w:spacing w:line="400" w:lineRule="exact"/>
        <w:ind w:firstLine="480" w:firstLineChars="200"/>
        <w:rPr>
          <w:rFonts w:ascii="宋体" w:hAnsi="宋体"/>
          <w:sz w:val="24"/>
        </w:rPr>
      </w:pPr>
      <w:r>
        <w:rPr>
          <w:rFonts w:hint="eastAsia" w:ascii="宋体" w:hAnsi="宋体"/>
          <w:sz w:val="24"/>
        </w:rPr>
        <w:t>（2）不同投标人委托同一单位或者个人办理投标事宜；</w:t>
      </w:r>
    </w:p>
    <w:p>
      <w:pPr>
        <w:spacing w:line="400" w:lineRule="exact"/>
        <w:ind w:firstLine="480" w:firstLineChars="200"/>
        <w:rPr>
          <w:rFonts w:ascii="宋体" w:hAnsi="宋体"/>
          <w:sz w:val="24"/>
        </w:rPr>
      </w:pPr>
      <w:r>
        <w:rPr>
          <w:rFonts w:hint="eastAsia" w:ascii="宋体" w:hAnsi="宋体"/>
          <w:sz w:val="24"/>
        </w:rPr>
        <w:t>（3）不同投标人的投标文件载明的项目管理成员或者联系人员为同一人；</w:t>
      </w:r>
    </w:p>
    <w:p>
      <w:pPr>
        <w:spacing w:line="400" w:lineRule="exact"/>
        <w:ind w:firstLine="480" w:firstLineChars="200"/>
        <w:rPr>
          <w:rFonts w:ascii="宋体" w:hAnsi="宋体"/>
          <w:sz w:val="24"/>
        </w:rPr>
      </w:pPr>
      <w:r>
        <w:rPr>
          <w:rFonts w:hint="eastAsia" w:ascii="宋体" w:hAnsi="宋体"/>
          <w:sz w:val="24"/>
        </w:rPr>
        <w:t>（4）不同投标人的投标文件异常一致或者投标报价呈规律性差异；</w:t>
      </w:r>
    </w:p>
    <w:p>
      <w:pPr>
        <w:spacing w:line="400" w:lineRule="exact"/>
        <w:ind w:firstLine="480" w:firstLineChars="200"/>
        <w:rPr>
          <w:rFonts w:ascii="宋体" w:hAnsi="宋体"/>
          <w:sz w:val="24"/>
        </w:rPr>
      </w:pPr>
      <w:r>
        <w:rPr>
          <w:rFonts w:hint="eastAsia" w:ascii="宋体" w:hAnsi="宋体"/>
          <w:sz w:val="24"/>
        </w:rPr>
        <w:t>（5）不同投标人的投标文件相互混装；</w:t>
      </w:r>
    </w:p>
    <w:p>
      <w:pPr>
        <w:spacing w:line="400" w:lineRule="exact"/>
        <w:ind w:firstLine="480" w:firstLineChars="200"/>
        <w:rPr>
          <w:rFonts w:ascii="宋体" w:hAnsi="宋体"/>
          <w:sz w:val="24"/>
        </w:rPr>
      </w:pPr>
      <w:r>
        <w:rPr>
          <w:rFonts w:hint="eastAsia" w:ascii="宋体" w:hAnsi="宋体"/>
          <w:sz w:val="24"/>
        </w:rPr>
        <w:t>（6）不同投标人的投标保证金从同一单位或者个人的账户转出。</w:t>
      </w:r>
    </w:p>
    <w:p>
      <w:pPr>
        <w:pStyle w:val="4"/>
        <w:spacing w:line="400" w:lineRule="exact"/>
        <w:jc w:val="center"/>
        <w:rPr>
          <w:rFonts w:ascii="宋体" w:hAnsi="宋体" w:eastAsia="宋体"/>
          <w:bCs w:val="0"/>
          <w:szCs w:val="28"/>
        </w:rPr>
      </w:pPr>
      <w:bookmarkStart w:id="129" w:name="_Toc308164819"/>
      <w:bookmarkStart w:id="130" w:name="_Toc217446078"/>
      <w:r>
        <w:rPr>
          <w:rFonts w:hint="eastAsia" w:ascii="宋体" w:hAnsi="宋体" w:eastAsia="宋体"/>
          <w:bCs w:val="0"/>
          <w:szCs w:val="28"/>
        </w:rPr>
        <w:t>八、询问、质疑和投诉</w:t>
      </w:r>
      <w:bookmarkEnd w:id="129"/>
      <w:bookmarkEnd w:id="130"/>
      <w:bookmarkStart w:id="131" w:name="_Toc217446079"/>
    </w:p>
    <w:bookmarkEnd w:id="131"/>
    <w:p>
      <w:pPr>
        <w:widowControl/>
        <w:spacing w:line="360" w:lineRule="atLeast"/>
        <w:ind w:firstLine="472" w:firstLineChars="196"/>
        <w:jc w:val="left"/>
        <w:outlineLvl w:val="2"/>
        <w:rPr>
          <w:rFonts w:ascii="宋体" w:hAnsi="宋体"/>
          <w:sz w:val="24"/>
        </w:rPr>
      </w:pPr>
      <w:r>
        <w:rPr>
          <w:rFonts w:hint="eastAsia" w:ascii="宋体" w:hAnsi="宋体"/>
          <w:b/>
          <w:sz w:val="24"/>
        </w:rPr>
        <w:t>3</w:t>
      </w:r>
      <w:bookmarkEnd w:id="124"/>
      <w:bookmarkEnd w:id="125"/>
      <w:r>
        <w:rPr>
          <w:rFonts w:hint="eastAsia" w:ascii="宋体" w:hAnsi="宋体"/>
          <w:b/>
          <w:sz w:val="24"/>
        </w:rPr>
        <w:t>9．</w:t>
      </w:r>
      <w:r>
        <w:rPr>
          <w:rFonts w:hint="eastAsia" w:ascii="宋体" w:hAnsi="宋体"/>
          <w:sz w:val="24"/>
        </w:rPr>
        <w:t>询问、质疑、投诉的接收和处理严格按照《中华人民共和国政府采购法》、《中华人民共和国政府采购法实施条例》、《政府采购货物和服务招标投标管理办法》、《</w:t>
      </w:r>
      <w:r>
        <w:rPr>
          <w:rFonts w:hint="eastAsia" w:ascii="宋体" w:hAnsi="宋体"/>
          <w:bCs/>
          <w:sz w:val="24"/>
        </w:rPr>
        <w:t>政府采购质疑和投诉办法</w:t>
      </w:r>
      <w:r>
        <w:rPr>
          <w:rFonts w:hint="eastAsia" w:ascii="宋体" w:hAnsi="宋体"/>
          <w:sz w:val="24"/>
        </w:rPr>
        <w:t>》、《财政部关于加强政府采购供应商投诉受理审查工作的通知》和《四川省政府采购供应商投诉处理工作规程》的规定办理（详细规定请在四川政府采购网政策法规模块查询）。</w:t>
      </w:r>
    </w:p>
    <w:p>
      <w:pPr>
        <w:pStyle w:val="4"/>
        <w:spacing w:line="400" w:lineRule="exact"/>
        <w:jc w:val="center"/>
        <w:rPr>
          <w:rFonts w:ascii="宋体" w:hAnsi="宋体" w:eastAsia="宋体"/>
          <w:bCs w:val="0"/>
          <w:szCs w:val="28"/>
        </w:rPr>
      </w:pPr>
      <w:r>
        <w:rPr>
          <w:rFonts w:hint="eastAsia" w:ascii="宋体" w:hAnsi="宋体" w:eastAsia="宋体"/>
          <w:bCs w:val="0"/>
          <w:szCs w:val="28"/>
        </w:rPr>
        <w:t>九、其他</w:t>
      </w:r>
    </w:p>
    <w:p>
      <w:pPr>
        <w:widowControl/>
        <w:spacing w:line="360" w:lineRule="atLeast"/>
        <w:ind w:firstLine="482" w:firstLineChars="200"/>
        <w:jc w:val="left"/>
        <w:outlineLvl w:val="2"/>
        <w:rPr>
          <w:rFonts w:ascii="宋体" w:hAnsi="宋体"/>
          <w:sz w:val="24"/>
        </w:rPr>
      </w:pPr>
      <w:r>
        <w:rPr>
          <w:rFonts w:hint="eastAsia" w:ascii="宋体" w:hAnsi="宋体"/>
          <w:b/>
          <w:sz w:val="24"/>
        </w:rPr>
        <w:t>4</w:t>
      </w:r>
      <w:r>
        <w:rPr>
          <w:rFonts w:ascii="宋体" w:hAnsi="宋体"/>
          <w:b/>
          <w:sz w:val="24"/>
        </w:rPr>
        <w:t>0</w:t>
      </w:r>
      <w:r>
        <w:rPr>
          <w:rFonts w:hint="eastAsia" w:ascii="宋体" w:hAnsi="宋体"/>
          <w:b/>
          <w:sz w:val="24"/>
        </w:rPr>
        <w:t xml:space="preserve">. </w:t>
      </w:r>
      <w:r>
        <w:rPr>
          <w:rFonts w:hint="eastAsia" w:ascii="宋体" w:hAnsi="宋体"/>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pPr>
        <w:widowControl/>
        <w:spacing w:line="360" w:lineRule="atLeast"/>
        <w:ind w:firstLine="482" w:firstLineChars="200"/>
        <w:jc w:val="left"/>
        <w:outlineLvl w:val="2"/>
        <w:rPr>
          <w:rFonts w:ascii="宋体" w:hAnsi="宋体"/>
          <w:sz w:val="24"/>
        </w:rPr>
      </w:pPr>
      <w:r>
        <w:rPr>
          <w:rFonts w:hint="eastAsia" w:ascii="宋体" w:hAnsi="宋体"/>
          <w:b/>
          <w:bCs/>
          <w:sz w:val="24"/>
        </w:rPr>
        <w:t>41．</w:t>
      </w:r>
      <w:r>
        <w:rPr>
          <w:rFonts w:hint="eastAsia" w:ascii="宋体" w:hAnsi="宋体"/>
          <w:b/>
          <w:sz w:val="24"/>
        </w:rPr>
        <w:t>（实质性要求）</w:t>
      </w:r>
      <w:r>
        <w:rPr>
          <w:rFonts w:ascii="宋体" w:hAnsi="宋体"/>
          <w:sz w:val="24"/>
        </w:rPr>
        <w:t>国家</w:t>
      </w:r>
      <w:r>
        <w:rPr>
          <w:rFonts w:hint="eastAsia" w:ascii="宋体" w:hAnsi="宋体"/>
          <w:sz w:val="24"/>
        </w:rPr>
        <w:t>或行业主管部门</w:t>
      </w:r>
      <w:r>
        <w:rPr>
          <w:rFonts w:ascii="宋体" w:hAnsi="宋体"/>
          <w:sz w:val="24"/>
        </w:rPr>
        <w:t>对</w:t>
      </w:r>
      <w:r>
        <w:rPr>
          <w:rFonts w:hint="eastAsia" w:ascii="宋体" w:hAnsi="宋体"/>
          <w:sz w:val="24"/>
        </w:rPr>
        <w:t>采购产品的</w:t>
      </w:r>
      <w:r>
        <w:rPr>
          <w:rFonts w:ascii="宋体" w:hAnsi="宋体"/>
          <w:sz w:val="24"/>
        </w:rPr>
        <w:t>技术</w:t>
      </w:r>
      <w:r>
        <w:rPr>
          <w:rFonts w:hint="eastAsia" w:ascii="宋体" w:hAnsi="宋体"/>
          <w:sz w:val="24"/>
        </w:rPr>
        <w:t>标准、</w:t>
      </w:r>
      <w:r>
        <w:rPr>
          <w:rFonts w:ascii="宋体" w:hAnsi="宋体"/>
          <w:sz w:val="24"/>
        </w:rPr>
        <w:t>质量</w:t>
      </w:r>
      <w:r>
        <w:rPr>
          <w:rFonts w:hint="eastAsia" w:ascii="宋体" w:hAnsi="宋体"/>
          <w:sz w:val="24"/>
        </w:rPr>
        <w:t>标准和资格资质条件</w:t>
      </w:r>
      <w:r>
        <w:rPr>
          <w:rFonts w:ascii="宋体" w:hAnsi="宋体"/>
          <w:sz w:val="24"/>
        </w:rPr>
        <w:t>等有</w:t>
      </w:r>
      <w:r>
        <w:rPr>
          <w:rFonts w:hint="eastAsia" w:ascii="宋体" w:hAnsi="宋体"/>
          <w:sz w:val="24"/>
        </w:rPr>
        <w:t>强制性规定</w:t>
      </w:r>
      <w:r>
        <w:rPr>
          <w:rFonts w:ascii="宋体" w:hAnsi="宋体"/>
          <w:sz w:val="24"/>
        </w:rPr>
        <w:t>的</w:t>
      </w:r>
      <w:r>
        <w:rPr>
          <w:rFonts w:hint="eastAsia" w:ascii="宋体" w:hAnsi="宋体"/>
          <w:sz w:val="24"/>
        </w:rPr>
        <w:t>，必须符合其要求。</w:t>
      </w:r>
    </w:p>
    <w:p>
      <w:pPr>
        <w:rPr>
          <w:rFonts w:ascii="宋体" w:hAnsi="宋体"/>
          <w:sz w:val="24"/>
        </w:rPr>
      </w:pPr>
    </w:p>
    <w:p>
      <w:pPr>
        <w:pStyle w:val="3"/>
        <w:jc w:val="center"/>
        <w:rPr>
          <w:rFonts w:ascii="宋体" w:hAnsi="宋体"/>
          <w:sz w:val="36"/>
          <w:szCs w:val="36"/>
        </w:rPr>
      </w:pPr>
      <w:r>
        <w:rPr>
          <w:rFonts w:hint="eastAsia" w:ascii="宋体" w:hAnsi="宋体"/>
          <w:sz w:val="36"/>
          <w:szCs w:val="36"/>
        </w:rPr>
        <w:br w:type="page"/>
      </w:r>
      <w:bookmarkStart w:id="132" w:name="_Toc32379"/>
      <w:r>
        <w:rPr>
          <w:rFonts w:hint="eastAsia" w:ascii="宋体" w:hAnsi="宋体"/>
          <w:sz w:val="36"/>
          <w:szCs w:val="36"/>
        </w:rPr>
        <w:t>第三章  投标文件格式</w:t>
      </w:r>
      <w:bookmarkEnd w:id="132"/>
      <w:bookmarkStart w:id="133" w:name="_Toc217446082"/>
      <w:bookmarkStart w:id="134" w:name="_Toc308164821"/>
    </w:p>
    <w:p>
      <w:pPr>
        <w:widowControl/>
        <w:spacing w:line="360" w:lineRule="atLeast"/>
        <w:jc w:val="center"/>
        <w:rPr>
          <w:rFonts w:ascii="宋体" w:hAnsi="宋体"/>
          <w:b/>
          <w:sz w:val="24"/>
        </w:rPr>
      </w:pPr>
    </w:p>
    <w:p>
      <w:pPr>
        <w:widowControl/>
        <w:spacing w:line="360" w:lineRule="atLeast"/>
        <w:ind w:firstLine="470" w:firstLineChars="196"/>
        <w:rPr>
          <w:rFonts w:ascii="宋体" w:hAnsi="宋体"/>
          <w:sz w:val="24"/>
        </w:rPr>
      </w:pPr>
      <w:r>
        <w:rPr>
          <w:rFonts w:hint="eastAsia" w:ascii="宋体" w:hAnsi="宋体"/>
          <w:sz w:val="24"/>
        </w:rPr>
        <w:t>一、本章所制投标文件格式，除格式中明确将该格式作为实质性要求的，一律不具有强制性。</w:t>
      </w:r>
    </w:p>
    <w:p>
      <w:pPr>
        <w:widowControl/>
        <w:spacing w:line="360" w:lineRule="atLeast"/>
        <w:ind w:firstLine="470" w:firstLineChars="196"/>
        <w:rPr>
          <w:rFonts w:ascii="宋体" w:hAnsi="宋体"/>
          <w:sz w:val="24"/>
        </w:rPr>
      </w:pPr>
      <w:r>
        <w:rPr>
          <w:rFonts w:hint="eastAsia" w:ascii="宋体" w:hAnsi="宋体"/>
          <w:sz w:val="24"/>
        </w:rPr>
        <w:t>二、本章所制投标文件格式有关表格中的备注栏，由投标人根据自身投标情况作解释性说明，不作为必填项。</w:t>
      </w:r>
    </w:p>
    <w:p>
      <w:pPr>
        <w:widowControl/>
        <w:spacing w:line="360" w:lineRule="atLeast"/>
        <w:ind w:firstLine="470" w:firstLineChars="196"/>
        <w:rPr>
          <w:rFonts w:ascii="宋体" w:hAnsi="宋体"/>
          <w:sz w:val="24"/>
        </w:rPr>
      </w:pPr>
      <w:r>
        <w:rPr>
          <w:rFonts w:hint="eastAsia" w:ascii="宋体" w:hAnsi="宋体"/>
          <w:sz w:val="24"/>
        </w:rPr>
        <w:t>三、本章所制投标文件格式中需要填写的相关内容事项，可能会与本采购项目无关，在不改变投标文件原义、不影响本项目采购需求的情况下，投标人可以不予填写，但应当注明。</w:t>
      </w:r>
    </w:p>
    <w:p>
      <w:pPr>
        <w:spacing w:line="400" w:lineRule="exact"/>
        <w:ind w:firstLine="482" w:firstLineChars="200"/>
        <w:rPr>
          <w:rFonts w:ascii="宋体" w:hAnsi="宋体"/>
          <w:b/>
          <w:bCs/>
          <w:sz w:val="24"/>
        </w:rPr>
      </w:pPr>
      <w:r>
        <w:rPr>
          <w:rFonts w:hint="eastAsia" w:ascii="宋体" w:hAnsi="宋体"/>
          <w:b/>
          <w:bCs/>
          <w:sz w:val="24"/>
        </w:rPr>
        <w:t>四、提示本章中格式1-1、2-1封面，盖章为实质性要求，格式内容不作实质性要求。按照招标文件第二章17．2要求，加盖投标人（法定名称）电子印章。</w:t>
      </w:r>
    </w:p>
    <w:p>
      <w:pPr>
        <w:widowControl/>
        <w:spacing w:line="360" w:lineRule="atLeast"/>
        <w:ind w:firstLine="470" w:firstLineChars="196"/>
        <w:rPr>
          <w:rFonts w:ascii="宋体" w:hAnsi="宋体"/>
          <w:sz w:val="24"/>
        </w:rPr>
      </w:pPr>
    </w:p>
    <w:p>
      <w:pPr>
        <w:tabs>
          <w:tab w:val="left" w:pos="900"/>
        </w:tabs>
        <w:spacing w:line="360" w:lineRule="auto"/>
        <w:jc w:val="center"/>
        <w:outlineLvl w:val="1"/>
        <w:rPr>
          <w:rFonts w:ascii="宋体" w:hAnsi="宋体"/>
          <w:b/>
          <w:sz w:val="32"/>
        </w:rPr>
      </w:pPr>
      <w:r>
        <w:rPr>
          <w:rFonts w:hint="eastAsia" w:ascii="宋体" w:hAnsi="宋体"/>
          <w:b/>
          <w:sz w:val="32"/>
          <w:szCs w:val="32"/>
        </w:rPr>
        <w:br w:type="page"/>
      </w:r>
      <w:bookmarkStart w:id="135" w:name="PO_默认文件内容_24"/>
      <w:r>
        <w:rPr>
          <w:rFonts w:ascii="宋体" w:hAnsi="宋体"/>
          <w:b/>
          <w:sz w:val="32"/>
        </w:rPr>
        <w:t xml:space="preserve">第一部分     </w:t>
      </w:r>
      <w:r>
        <w:rPr>
          <w:rFonts w:hint="eastAsia" w:ascii="宋体" w:hAnsi="宋体"/>
          <w:b/>
          <w:sz w:val="32"/>
        </w:rPr>
        <w:t>“</w:t>
      </w:r>
      <w:r>
        <w:rPr>
          <w:rFonts w:ascii="宋体" w:hAnsi="宋体"/>
          <w:b/>
          <w:sz w:val="32"/>
        </w:rPr>
        <w:t>资格性</w:t>
      </w:r>
      <w:r>
        <w:rPr>
          <w:rFonts w:hint="eastAsia" w:ascii="宋体" w:hAnsi="宋体"/>
          <w:b/>
          <w:sz w:val="32"/>
        </w:rPr>
        <w:t>投标</w:t>
      </w:r>
      <w:r>
        <w:rPr>
          <w:rFonts w:ascii="宋体" w:hAnsi="宋体"/>
          <w:b/>
          <w:sz w:val="32"/>
        </w:rPr>
        <w:t>文件</w:t>
      </w:r>
      <w:r>
        <w:rPr>
          <w:rFonts w:hint="eastAsia" w:ascii="宋体" w:hAnsi="宋体"/>
          <w:b/>
          <w:sz w:val="32"/>
        </w:rPr>
        <w:t>”</w:t>
      </w:r>
      <w:r>
        <w:rPr>
          <w:rFonts w:ascii="宋体" w:hAnsi="宋体"/>
          <w:b/>
          <w:sz w:val="32"/>
        </w:rPr>
        <w:t>格式</w:t>
      </w:r>
    </w:p>
    <w:p>
      <w:pPr>
        <w:spacing w:line="360" w:lineRule="auto"/>
        <w:rPr>
          <w:rFonts w:ascii="宋体" w:hAnsi="宋体"/>
          <w:b/>
          <w:sz w:val="32"/>
          <w:szCs w:val="32"/>
        </w:rPr>
      </w:pPr>
      <w:r>
        <w:rPr>
          <w:rFonts w:hint="eastAsia" w:ascii="宋体" w:hAnsi="宋体"/>
          <w:b/>
          <w:sz w:val="32"/>
          <w:szCs w:val="32"/>
        </w:rPr>
        <w:t>格式1-1</w:t>
      </w:r>
    </w:p>
    <w:p>
      <w:pPr>
        <w:spacing w:line="360" w:lineRule="auto"/>
        <w:rPr>
          <w:rFonts w:ascii="宋体" w:hAnsi="宋体"/>
          <w:b/>
          <w:sz w:val="32"/>
          <w:szCs w:val="32"/>
        </w:rPr>
      </w:pPr>
      <w:r>
        <w:rPr>
          <w:rFonts w:hint="eastAsia" w:ascii="宋体" w:hAnsi="宋体"/>
          <w:b/>
          <w:sz w:val="32"/>
          <w:szCs w:val="32"/>
        </w:rPr>
        <w:t>封面：</w:t>
      </w:r>
    </w:p>
    <w:p>
      <w:pPr>
        <w:spacing w:line="360" w:lineRule="auto"/>
        <w:rPr>
          <w:rFonts w:ascii="宋体" w:hAnsi="宋体"/>
          <w:b/>
          <w:sz w:val="32"/>
          <w:szCs w:val="32"/>
        </w:rPr>
      </w:pPr>
    </w:p>
    <w:p>
      <w:pPr>
        <w:spacing w:line="360" w:lineRule="auto"/>
        <w:rPr>
          <w:rFonts w:ascii="宋体" w:hAnsi="宋体"/>
          <w:b/>
          <w:sz w:val="32"/>
          <w:szCs w:val="32"/>
        </w:rPr>
      </w:pPr>
    </w:p>
    <w:p>
      <w:pPr>
        <w:spacing w:line="360" w:lineRule="auto"/>
        <w:jc w:val="center"/>
        <w:rPr>
          <w:rFonts w:ascii="宋体" w:hAnsi="宋体"/>
          <w:b/>
          <w:sz w:val="72"/>
        </w:rPr>
      </w:pPr>
      <w:r>
        <w:rPr>
          <w:rFonts w:ascii="宋体" w:hAnsi="宋体"/>
          <w:b/>
          <w:sz w:val="40"/>
          <w:szCs w:val="48"/>
          <w:u w:val="single"/>
        </w:rPr>
        <w:t>xxxxx</w:t>
      </w:r>
      <w:r>
        <w:rPr>
          <w:rFonts w:hint="eastAsia" w:ascii="宋体" w:hAnsi="宋体"/>
          <w:b/>
          <w:sz w:val="40"/>
          <w:szCs w:val="48"/>
        </w:rPr>
        <w:t>项目</w:t>
      </w:r>
    </w:p>
    <w:p>
      <w:pPr>
        <w:spacing w:line="360" w:lineRule="auto"/>
        <w:rPr>
          <w:rFonts w:ascii="宋体" w:hAnsi="宋体"/>
          <w:b/>
          <w:sz w:val="52"/>
          <w:szCs w:val="52"/>
        </w:rPr>
      </w:pPr>
    </w:p>
    <w:p>
      <w:pPr>
        <w:spacing w:line="360" w:lineRule="auto"/>
        <w:jc w:val="center"/>
        <w:rPr>
          <w:rFonts w:ascii="宋体" w:hAnsi="宋体"/>
          <w:b/>
          <w:sz w:val="32"/>
          <w:szCs w:val="32"/>
        </w:rPr>
      </w:pPr>
      <w:r>
        <w:rPr>
          <w:rFonts w:hint="eastAsia" w:ascii="宋体" w:hAnsi="宋体"/>
          <w:b/>
          <w:sz w:val="52"/>
          <w:szCs w:val="52"/>
        </w:rPr>
        <w:t>资格性投标文件</w:t>
      </w:r>
    </w:p>
    <w:p>
      <w:pPr>
        <w:spacing w:line="360" w:lineRule="auto"/>
        <w:jc w:val="left"/>
        <w:rPr>
          <w:rFonts w:ascii="宋体" w:hAnsi="宋体"/>
          <w:b/>
          <w:sz w:val="32"/>
          <w:u w:val="single"/>
        </w:rPr>
      </w:pPr>
      <w:r>
        <w:rPr>
          <w:rFonts w:hint="eastAsia" w:ascii="宋体" w:hAnsi="宋体"/>
          <w:b/>
          <w:sz w:val="32"/>
        </w:rPr>
        <w:t xml:space="preserve">投 标 人 </w:t>
      </w:r>
      <w:r>
        <w:rPr>
          <w:rFonts w:ascii="宋体" w:hAnsi="宋体"/>
          <w:b/>
          <w:sz w:val="32"/>
        </w:rPr>
        <w:t>名</w:t>
      </w:r>
      <w:r>
        <w:rPr>
          <w:rFonts w:hint="eastAsia" w:ascii="宋体" w:hAnsi="宋体"/>
          <w:b/>
          <w:sz w:val="32"/>
        </w:rPr>
        <w:t xml:space="preserve"> </w:t>
      </w:r>
      <w:r>
        <w:rPr>
          <w:rFonts w:ascii="宋体" w:hAnsi="宋体"/>
          <w:b/>
          <w:sz w:val="32"/>
        </w:rPr>
        <w:t>称</w:t>
      </w:r>
      <w:r>
        <w:rPr>
          <w:rFonts w:hint="eastAsia" w:ascii="宋体" w:hAnsi="宋体"/>
          <w:b/>
          <w:sz w:val="32"/>
        </w:rPr>
        <w:t>（电子印章）</w:t>
      </w:r>
      <w:r>
        <w:rPr>
          <w:rFonts w:ascii="宋体" w:hAnsi="宋体"/>
          <w:b/>
          <w:sz w:val="32"/>
        </w:rPr>
        <w:t>：</w:t>
      </w:r>
    </w:p>
    <w:p>
      <w:pPr>
        <w:spacing w:line="360" w:lineRule="auto"/>
        <w:jc w:val="left"/>
        <w:rPr>
          <w:rFonts w:ascii="宋体" w:hAnsi="宋体"/>
          <w:b/>
          <w:sz w:val="32"/>
          <w:u w:val="single"/>
        </w:rPr>
      </w:pPr>
      <w:r>
        <w:rPr>
          <w:rFonts w:hint="eastAsia" w:ascii="宋体" w:hAnsi="宋体"/>
          <w:b/>
          <w:sz w:val="32"/>
        </w:rPr>
        <w:t>采购项目</w:t>
      </w:r>
      <w:r>
        <w:rPr>
          <w:rFonts w:ascii="宋体" w:hAnsi="宋体"/>
          <w:b/>
          <w:sz w:val="32"/>
        </w:rPr>
        <w:t>编号：</w:t>
      </w:r>
    </w:p>
    <w:p>
      <w:pPr>
        <w:spacing w:line="360" w:lineRule="auto"/>
        <w:ind w:firstLine="790" w:firstLineChars="246"/>
        <w:jc w:val="center"/>
        <w:rPr>
          <w:rFonts w:ascii="宋体" w:hAnsi="宋体"/>
          <w:b/>
          <w:sz w:val="32"/>
        </w:rPr>
      </w:pPr>
    </w:p>
    <w:p>
      <w:pPr>
        <w:pStyle w:val="2"/>
      </w:pPr>
    </w:p>
    <w:p>
      <w:pPr>
        <w:spacing w:line="360" w:lineRule="auto"/>
        <w:ind w:firstLine="790" w:firstLineChars="246"/>
        <w:jc w:val="center"/>
        <w:rPr>
          <w:rFonts w:ascii="宋体" w:hAnsi="宋体"/>
          <w:b/>
          <w:sz w:val="32"/>
        </w:rPr>
      </w:pPr>
      <w:r>
        <w:rPr>
          <w:rFonts w:hint="eastAsia" w:ascii="宋体" w:hAnsi="宋体"/>
          <w:b/>
          <w:sz w:val="32"/>
        </w:rPr>
        <w:t>投标时间</w:t>
      </w:r>
      <w:r>
        <w:rPr>
          <w:rFonts w:ascii="宋体" w:hAnsi="宋体"/>
          <w:b/>
          <w:sz w:val="32"/>
        </w:rPr>
        <w:t>：</w:t>
      </w:r>
      <w:r>
        <w:rPr>
          <w:rFonts w:hint="eastAsia" w:ascii="宋体" w:hAnsi="宋体"/>
          <w:b/>
          <w:sz w:val="32"/>
        </w:rPr>
        <w:t xml:space="preserve">年 </w:t>
      </w:r>
      <w:r>
        <w:rPr>
          <w:rFonts w:ascii="宋体" w:hAnsi="宋体"/>
          <w:b/>
          <w:sz w:val="32"/>
        </w:rPr>
        <w:t>月</w:t>
      </w:r>
      <w:r>
        <w:rPr>
          <w:rFonts w:hint="eastAsia" w:ascii="宋体" w:hAnsi="宋体"/>
          <w:b/>
          <w:sz w:val="32"/>
        </w:rPr>
        <w:t xml:space="preserve"> </w:t>
      </w:r>
      <w:r>
        <w:rPr>
          <w:rFonts w:ascii="宋体" w:hAnsi="宋体"/>
          <w:b/>
          <w:sz w:val="32"/>
        </w:rPr>
        <w:t>日</w:t>
      </w:r>
    </w:p>
    <w:p>
      <w:pPr>
        <w:spacing w:line="360" w:lineRule="auto"/>
        <w:rPr>
          <w:rFonts w:ascii="宋体" w:hAnsi="宋体"/>
          <w:b/>
          <w:sz w:val="32"/>
          <w:szCs w:val="32"/>
        </w:rPr>
      </w:pPr>
      <w:r>
        <w:rPr>
          <w:rFonts w:ascii="宋体" w:hAnsi="宋体"/>
          <w:b/>
          <w:sz w:val="32"/>
        </w:rPr>
        <w:br w:type="page"/>
      </w:r>
      <w:r>
        <w:rPr>
          <w:rFonts w:hint="eastAsia" w:ascii="宋体" w:hAnsi="宋体"/>
          <w:b/>
          <w:sz w:val="32"/>
          <w:szCs w:val="32"/>
        </w:rPr>
        <w:t>格式1-2</w:t>
      </w:r>
    </w:p>
    <w:p>
      <w:pPr>
        <w:widowControl/>
        <w:spacing w:line="360" w:lineRule="atLeast"/>
        <w:jc w:val="center"/>
        <w:outlineLvl w:val="2"/>
        <w:rPr>
          <w:rFonts w:ascii="宋体" w:hAnsi="宋体"/>
          <w:b/>
          <w:sz w:val="32"/>
          <w:szCs w:val="32"/>
        </w:rPr>
      </w:pPr>
      <w:r>
        <w:rPr>
          <w:rFonts w:hint="eastAsia" w:ascii="宋体" w:hAnsi="宋体"/>
          <w:b/>
          <w:sz w:val="32"/>
          <w:szCs w:val="32"/>
        </w:rPr>
        <w:t>一、承诺函</w:t>
      </w:r>
    </w:p>
    <w:p>
      <w:pPr>
        <w:widowControl/>
        <w:spacing w:line="360" w:lineRule="atLeast"/>
        <w:jc w:val="center"/>
        <w:rPr>
          <w:rFonts w:ascii="宋体" w:hAnsi="宋体"/>
          <w:b/>
          <w:sz w:val="24"/>
        </w:rPr>
      </w:pPr>
    </w:p>
    <w:p>
      <w:pPr>
        <w:widowControl/>
        <w:spacing w:line="360" w:lineRule="atLeast"/>
        <w:jc w:val="left"/>
        <w:rPr>
          <w:rFonts w:ascii="宋体" w:hAnsi="宋体"/>
          <w:sz w:val="24"/>
        </w:rPr>
      </w:pPr>
      <w:r>
        <w:rPr>
          <w:rFonts w:hint="eastAsia" w:ascii="宋体" w:hAnsi="宋体"/>
          <w:sz w:val="24"/>
        </w:rPr>
        <w:t>XXXX（采购代理机构名称）：</w:t>
      </w:r>
    </w:p>
    <w:p>
      <w:pPr>
        <w:widowControl/>
        <w:spacing w:line="360" w:lineRule="atLeast"/>
        <w:ind w:firstLine="480" w:firstLineChars="200"/>
        <w:jc w:val="left"/>
        <w:rPr>
          <w:rFonts w:ascii="宋体" w:hAnsi="宋体"/>
          <w:sz w:val="24"/>
        </w:rPr>
      </w:pPr>
      <w:r>
        <w:rPr>
          <w:rFonts w:hint="eastAsia" w:ascii="宋体" w:hAnsi="宋体"/>
          <w:sz w:val="24"/>
        </w:rPr>
        <w:t>我单位作为本次采购项目的投标人，根据招标文件要求，现郑重承诺如下：</w:t>
      </w:r>
    </w:p>
    <w:p>
      <w:pPr>
        <w:widowControl/>
        <w:spacing w:line="360" w:lineRule="atLeast"/>
        <w:ind w:firstLine="480" w:firstLineChars="200"/>
        <w:jc w:val="left"/>
        <w:rPr>
          <w:rFonts w:ascii="宋体" w:hAnsi="宋体"/>
          <w:sz w:val="24"/>
        </w:rPr>
      </w:pPr>
      <w:r>
        <w:rPr>
          <w:rFonts w:hint="eastAsia" w:ascii="宋体" w:hAnsi="宋体"/>
          <w:sz w:val="24"/>
        </w:rPr>
        <w:t>具备《中华人民共和国政府采购法》第二十二条第一款和本项目规定的条件：</w:t>
      </w:r>
    </w:p>
    <w:p>
      <w:pPr>
        <w:widowControl/>
        <w:spacing w:line="360" w:lineRule="atLeast"/>
        <w:ind w:firstLine="480" w:firstLineChars="200"/>
        <w:jc w:val="left"/>
        <w:rPr>
          <w:rFonts w:ascii="宋体" w:hAnsi="宋体"/>
          <w:sz w:val="24"/>
        </w:rPr>
      </w:pPr>
      <w:r>
        <w:rPr>
          <w:rFonts w:hint="eastAsia" w:ascii="宋体" w:hAnsi="宋体"/>
          <w:sz w:val="24"/>
        </w:rPr>
        <w:t>（一）具有独立承担民事责任的能力；</w:t>
      </w:r>
    </w:p>
    <w:p>
      <w:pPr>
        <w:widowControl/>
        <w:spacing w:line="360" w:lineRule="atLeast"/>
        <w:ind w:firstLine="480" w:firstLineChars="200"/>
        <w:jc w:val="left"/>
        <w:rPr>
          <w:rFonts w:ascii="宋体" w:hAnsi="宋体"/>
          <w:sz w:val="24"/>
        </w:rPr>
      </w:pPr>
      <w:r>
        <w:rPr>
          <w:rFonts w:hint="eastAsia" w:ascii="宋体" w:hAnsi="宋体"/>
          <w:sz w:val="24"/>
        </w:rPr>
        <w:t>（二）具有良好的商业信誉和健全的财务会计制度；</w:t>
      </w:r>
    </w:p>
    <w:p>
      <w:pPr>
        <w:widowControl/>
        <w:spacing w:line="360" w:lineRule="atLeast"/>
        <w:ind w:firstLine="480" w:firstLineChars="200"/>
        <w:jc w:val="left"/>
        <w:rPr>
          <w:rFonts w:ascii="宋体" w:hAnsi="宋体"/>
          <w:sz w:val="24"/>
        </w:rPr>
      </w:pPr>
      <w:r>
        <w:rPr>
          <w:rFonts w:hint="eastAsia" w:ascii="宋体" w:hAnsi="宋体"/>
          <w:sz w:val="24"/>
        </w:rPr>
        <w:t>（三）具有履行合同所必需的设备和专业技术能力；</w:t>
      </w:r>
    </w:p>
    <w:p>
      <w:pPr>
        <w:widowControl/>
        <w:spacing w:line="360" w:lineRule="atLeast"/>
        <w:ind w:firstLine="480" w:firstLineChars="200"/>
        <w:jc w:val="left"/>
        <w:rPr>
          <w:rFonts w:ascii="宋体" w:hAnsi="宋体"/>
          <w:sz w:val="24"/>
        </w:rPr>
      </w:pPr>
      <w:r>
        <w:rPr>
          <w:rFonts w:hint="eastAsia" w:ascii="宋体" w:hAnsi="宋体"/>
          <w:sz w:val="24"/>
        </w:rPr>
        <w:t>（四）有依法缴纳税收和社会保障资金的良好记录；</w:t>
      </w:r>
    </w:p>
    <w:p>
      <w:pPr>
        <w:widowControl/>
        <w:spacing w:line="360" w:lineRule="atLeast"/>
        <w:ind w:firstLine="480" w:firstLineChars="200"/>
        <w:jc w:val="left"/>
        <w:rPr>
          <w:rFonts w:ascii="宋体" w:hAnsi="宋体"/>
          <w:sz w:val="24"/>
        </w:rPr>
      </w:pPr>
      <w:r>
        <w:rPr>
          <w:rFonts w:hint="eastAsia" w:ascii="宋体" w:hAnsi="宋体"/>
          <w:sz w:val="24"/>
        </w:rPr>
        <w:t>（五）参加政府采购活动前三年内，在经营活动中没有重大违法记录；</w:t>
      </w:r>
    </w:p>
    <w:p>
      <w:pPr>
        <w:widowControl/>
        <w:spacing w:line="360" w:lineRule="atLeast"/>
        <w:ind w:firstLine="480" w:firstLineChars="200"/>
        <w:jc w:val="left"/>
        <w:rPr>
          <w:rFonts w:ascii="宋体" w:hAnsi="宋体"/>
          <w:sz w:val="24"/>
        </w:rPr>
      </w:pPr>
      <w:r>
        <w:rPr>
          <w:rFonts w:hint="eastAsia" w:ascii="宋体" w:hAnsi="宋体"/>
          <w:sz w:val="24"/>
        </w:rPr>
        <w:t>（六）法律、行政法规规定的其他条件；</w:t>
      </w:r>
    </w:p>
    <w:p>
      <w:pPr>
        <w:widowControl/>
        <w:spacing w:line="360" w:lineRule="atLeast"/>
        <w:ind w:firstLine="480" w:firstLineChars="200"/>
        <w:jc w:val="left"/>
        <w:rPr>
          <w:rFonts w:ascii="宋体" w:hAnsi="宋体"/>
          <w:sz w:val="24"/>
        </w:rPr>
      </w:pPr>
      <w:r>
        <w:rPr>
          <w:rFonts w:hint="eastAsia" w:ascii="宋体" w:hAnsi="宋体"/>
          <w:sz w:val="24"/>
        </w:rPr>
        <w:t>（七）根据采购项目提出的特殊条件</w:t>
      </w:r>
      <w:r>
        <w:rPr>
          <w:rFonts w:ascii="宋体" w:hAnsi="宋体"/>
          <w:sz w:val="24"/>
        </w:rPr>
        <w:t>。</w:t>
      </w:r>
    </w:p>
    <w:p>
      <w:pPr>
        <w:widowControl/>
        <w:spacing w:line="360" w:lineRule="atLeast"/>
        <w:ind w:firstLine="480" w:firstLineChars="200"/>
        <w:jc w:val="left"/>
        <w:rPr>
          <w:rFonts w:ascii="宋体" w:hAnsi="宋体"/>
          <w:sz w:val="24"/>
        </w:rPr>
      </w:pPr>
      <w:r>
        <w:rPr>
          <w:rFonts w:hint="eastAsia" w:ascii="宋体" w:hAnsi="宋体"/>
          <w:sz w:val="24"/>
        </w:rPr>
        <w:t>本单位对上述承诺的内容事项真实性负责。如经查实上述承诺的内容事项存在虚假，我单位愿意接受以提供虚假材料谋取中标追究法律责任。</w:t>
      </w:r>
    </w:p>
    <w:p>
      <w:pPr>
        <w:widowControl/>
        <w:spacing w:line="360" w:lineRule="atLeast"/>
        <w:ind w:firstLine="470" w:firstLineChars="196"/>
        <w:jc w:val="left"/>
        <w:rPr>
          <w:rFonts w:ascii="宋体" w:hAnsi="宋体"/>
          <w:sz w:val="24"/>
        </w:rPr>
      </w:pPr>
    </w:p>
    <w:p>
      <w:pPr>
        <w:widowControl/>
        <w:spacing w:line="360" w:lineRule="atLeast"/>
        <w:ind w:firstLine="470" w:firstLineChars="196"/>
        <w:jc w:val="left"/>
        <w:rPr>
          <w:rFonts w:ascii="宋体" w:hAnsi="宋体"/>
          <w:sz w:val="24"/>
        </w:rPr>
      </w:pPr>
      <w:r>
        <w:rPr>
          <w:rFonts w:hint="eastAsia" w:ascii="宋体" w:hAnsi="宋体"/>
          <w:sz w:val="24"/>
        </w:rPr>
        <w:t>投标人名称：XXXX。</w:t>
      </w:r>
    </w:p>
    <w:p>
      <w:pPr>
        <w:widowControl/>
        <w:spacing w:line="360" w:lineRule="atLeast"/>
        <w:ind w:firstLine="470" w:firstLineChars="196"/>
        <w:jc w:val="left"/>
        <w:rPr>
          <w:rFonts w:ascii="宋体" w:hAnsi="宋体"/>
          <w:sz w:val="24"/>
        </w:rPr>
      </w:pPr>
      <w:r>
        <w:rPr>
          <w:rFonts w:hint="eastAsia" w:ascii="宋体" w:hAnsi="宋体"/>
          <w:sz w:val="24"/>
        </w:rPr>
        <w:t>日    期：XXXX。</w:t>
      </w:r>
    </w:p>
    <w:p>
      <w:pPr>
        <w:spacing w:line="360" w:lineRule="auto"/>
        <w:rPr>
          <w:rFonts w:ascii="宋体" w:hAnsi="宋体"/>
          <w:b/>
          <w:sz w:val="32"/>
          <w:szCs w:val="32"/>
        </w:rPr>
      </w:pPr>
      <w:r>
        <w:rPr>
          <w:rFonts w:hint="eastAsia" w:ascii="宋体" w:hAnsi="宋体"/>
          <w:sz w:val="24"/>
        </w:rPr>
        <w:br w:type="page"/>
      </w:r>
      <w:r>
        <w:rPr>
          <w:rFonts w:hint="eastAsia" w:ascii="宋体" w:hAnsi="宋体"/>
          <w:b/>
          <w:sz w:val="32"/>
          <w:szCs w:val="32"/>
        </w:rPr>
        <w:t>格式1-3</w:t>
      </w:r>
    </w:p>
    <w:p>
      <w:pPr>
        <w:spacing w:line="360" w:lineRule="auto"/>
        <w:ind w:firstLine="790" w:firstLineChars="246"/>
        <w:jc w:val="center"/>
        <w:outlineLvl w:val="2"/>
        <w:rPr>
          <w:rFonts w:ascii="宋体" w:hAnsi="宋体"/>
          <w:b/>
          <w:sz w:val="32"/>
          <w:szCs w:val="32"/>
        </w:rPr>
      </w:pPr>
      <w:r>
        <w:rPr>
          <w:rFonts w:hint="eastAsia" w:ascii="宋体" w:hAnsi="宋体"/>
          <w:b/>
          <w:sz w:val="32"/>
          <w:szCs w:val="32"/>
        </w:rPr>
        <w:t>二、投标人和投标产品其他资格、资质性及其他类似效力要求的相关证明材料</w:t>
      </w:r>
    </w:p>
    <w:p>
      <w:pPr>
        <w:spacing w:line="360" w:lineRule="auto"/>
        <w:rPr>
          <w:rFonts w:ascii="宋体" w:hAnsi="宋体" w:cs="宋体"/>
          <w:bCs/>
          <w:sz w:val="24"/>
        </w:rPr>
      </w:pPr>
      <w:r>
        <w:rPr>
          <w:rFonts w:hint="eastAsia" w:ascii="宋体" w:hAnsi="宋体" w:cs="宋体"/>
          <w:bCs/>
          <w:sz w:val="24"/>
        </w:rPr>
        <w:t>注：投标人应按招标文件第五章相关要求提供佐证材料，有格式要求的从其要求，无格式要求的格式自拟。</w:t>
      </w:r>
    </w:p>
    <w:p>
      <w:pPr>
        <w:spacing w:line="360" w:lineRule="auto"/>
        <w:rPr>
          <w:rFonts w:ascii="宋体" w:hAnsi="宋体" w:cs="宋体"/>
          <w:bCs/>
          <w:sz w:val="24"/>
        </w:rPr>
      </w:pPr>
    </w:p>
    <w:p>
      <w:pPr>
        <w:widowControl/>
        <w:spacing w:after="0" w:line="240" w:lineRule="auto"/>
        <w:jc w:val="left"/>
        <w:rPr>
          <w:rFonts w:ascii="宋体" w:hAnsi="宋体" w:cs="宋体"/>
          <w:bCs/>
          <w:sz w:val="24"/>
        </w:rPr>
      </w:pPr>
      <w:r>
        <w:rPr>
          <w:rFonts w:ascii="宋体" w:hAnsi="宋体" w:cs="宋体"/>
          <w:bCs/>
          <w:sz w:val="24"/>
        </w:rPr>
        <w:br w:type="page"/>
      </w:r>
    </w:p>
    <w:p>
      <w:pPr>
        <w:pStyle w:val="4"/>
        <w:rPr>
          <w:rFonts w:ascii="宋体" w:hAnsi="宋体" w:eastAsia="宋体" w:cs="仿宋"/>
        </w:rPr>
      </w:pPr>
      <w:r>
        <w:rPr>
          <w:rFonts w:hint="eastAsia" w:ascii="宋体" w:hAnsi="宋体" w:eastAsia="宋体" w:cs="仿宋"/>
        </w:rPr>
        <w:t>第二部分     “其他响应性投标文件”格式</w:t>
      </w:r>
    </w:p>
    <w:p>
      <w:pPr>
        <w:spacing w:line="360" w:lineRule="auto"/>
        <w:rPr>
          <w:rFonts w:ascii="宋体" w:hAnsi="宋体"/>
          <w:b/>
          <w:sz w:val="32"/>
          <w:szCs w:val="32"/>
        </w:rPr>
      </w:pPr>
      <w:r>
        <w:rPr>
          <w:rFonts w:hint="eastAsia" w:ascii="宋体" w:hAnsi="宋体"/>
          <w:b/>
          <w:sz w:val="32"/>
          <w:szCs w:val="32"/>
        </w:rPr>
        <w:t>格式2-1</w:t>
      </w:r>
    </w:p>
    <w:p>
      <w:pPr>
        <w:spacing w:line="360" w:lineRule="auto"/>
        <w:rPr>
          <w:rFonts w:ascii="宋体" w:hAnsi="宋体"/>
          <w:b/>
          <w:sz w:val="32"/>
          <w:szCs w:val="32"/>
        </w:rPr>
      </w:pPr>
      <w:r>
        <w:rPr>
          <w:rFonts w:hint="eastAsia" w:ascii="宋体" w:hAnsi="宋体"/>
          <w:b/>
          <w:sz w:val="32"/>
          <w:szCs w:val="32"/>
        </w:rPr>
        <w:t>封面：</w:t>
      </w:r>
    </w:p>
    <w:p>
      <w:pPr>
        <w:spacing w:line="360" w:lineRule="auto"/>
        <w:jc w:val="right"/>
        <w:rPr>
          <w:rFonts w:ascii="宋体" w:hAnsi="宋体"/>
          <w:b/>
          <w:sz w:val="36"/>
        </w:rPr>
      </w:pPr>
    </w:p>
    <w:p>
      <w:pPr>
        <w:spacing w:line="360" w:lineRule="auto"/>
        <w:rPr>
          <w:rFonts w:ascii="宋体" w:hAnsi="宋体"/>
          <w:b/>
          <w:sz w:val="32"/>
          <w:szCs w:val="32"/>
        </w:rPr>
      </w:pPr>
    </w:p>
    <w:p>
      <w:pPr>
        <w:spacing w:line="360" w:lineRule="auto"/>
        <w:rPr>
          <w:rFonts w:ascii="宋体" w:hAnsi="宋体"/>
          <w:b/>
          <w:sz w:val="32"/>
          <w:szCs w:val="32"/>
        </w:rPr>
      </w:pPr>
    </w:p>
    <w:p>
      <w:pPr>
        <w:spacing w:line="360" w:lineRule="auto"/>
        <w:jc w:val="center"/>
        <w:rPr>
          <w:rFonts w:ascii="宋体" w:hAnsi="宋体"/>
          <w:b/>
          <w:sz w:val="72"/>
        </w:rPr>
      </w:pPr>
      <w:r>
        <w:rPr>
          <w:rFonts w:hint="eastAsia" w:ascii="宋体" w:hAnsi="宋体"/>
          <w:b/>
          <w:sz w:val="40"/>
          <w:szCs w:val="48"/>
        </w:rPr>
        <w:t>XXXXXXXXX项目</w:t>
      </w:r>
    </w:p>
    <w:p>
      <w:pPr>
        <w:spacing w:line="360" w:lineRule="auto"/>
        <w:rPr>
          <w:rFonts w:ascii="宋体" w:hAnsi="宋体"/>
          <w:b/>
          <w:sz w:val="52"/>
          <w:szCs w:val="52"/>
        </w:rPr>
      </w:pPr>
    </w:p>
    <w:p>
      <w:pPr>
        <w:spacing w:line="360" w:lineRule="auto"/>
        <w:jc w:val="center"/>
        <w:rPr>
          <w:rFonts w:ascii="宋体" w:hAnsi="宋体"/>
          <w:b/>
          <w:sz w:val="32"/>
          <w:szCs w:val="32"/>
        </w:rPr>
      </w:pPr>
      <w:r>
        <w:rPr>
          <w:rFonts w:hint="eastAsia" w:ascii="宋体" w:hAnsi="宋体"/>
          <w:b/>
          <w:sz w:val="52"/>
          <w:szCs w:val="52"/>
        </w:rPr>
        <w:t>其他响应性投标文件</w:t>
      </w:r>
    </w:p>
    <w:p>
      <w:pPr>
        <w:spacing w:line="360" w:lineRule="auto"/>
        <w:rPr>
          <w:rFonts w:ascii="宋体" w:hAnsi="宋体"/>
          <w:b/>
          <w:sz w:val="36"/>
        </w:rPr>
      </w:pPr>
    </w:p>
    <w:p>
      <w:pPr>
        <w:spacing w:line="360" w:lineRule="auto"/>
        <w:jc w:val="left"/>
        <w:rPr>
          <w:rFonts w:ascii="宋体" w:hAnsi="宋体"/>
          <w:b/>
          <w:sz w:val="32"/>
          <w:u w:val="single"/>
        </w:rPr>
      </w:pPr>
      <w:r>
        <w:rPr>
          <w:rFonts w:hint="eastAsia" w:ascii="宋体" w:hAnsi="宋体"/>
          <w:b/>
          <w:sz w:val="32"/>
        </w:rPr>
        <w:t>投 标 人</w:t>
      </w:r>
      <w:r>
        <w:rPr>
          <w:rFonts w:ascii="宋体" w:hAnsi="宋体"/>
          <w:b/>
          <w:sz w:val="32"/>
        </w:rPr>
        <w:t>名称</w:t>
      </w:r>
      <w:r>
        <w:rPr>
          <w:rFonts w:hint="eastAsia" w:ascii="宋体" w:hAnsi="宋体"/>
          <w:b/>
          <w:sz w:val="32"/>
        </w:rPr>
        <w:t>（电子印章）</w:t>
      </w:r>
      <w:r>
        <w:rPr>
          <w:rFonts w:ascii="宋体" w:hAnsi="宋体"/>
          <w:b/>
          <w:sz w:val="32"/>
        </w:rPr>
        <w:t>：</w:t>
      </w:r>
    </w:p>
    <w:p>
      <w:pPr>
        <w:spacing w:line="360" w:lineRule="auto"/>
        <w:jc w:val="left"/>
        <w:rPr>
          <w:rFonts w:ascii="宋体" w:hAnsi="宋体"/>
          <w:b/>
          <w:sz w:val="32"/>
          <w:u w:val="single"/>
        </w:rPr>
      </w:pPr>
      <w:r>
        <w:rPr>
          <w:rFonts w:hint="eastAsia" w:ascii="宋体" w:hAnsi="宋体"/>
          <w:b/>
          <w:sz w:val="32"/>
        </w:rPr>
        <w:t>采购项目</w:t>
      </w:r>
      <w:r>
        <w:rPr>
          <w:rFonts w:ascii="宋体" w:hAnsi="宋体"/>
          <w:b/>
          <w:sz w:val="32"/>
        </w:rPr>
        <w:t>编号：</w:t>
      </w:r>
    </w:p>
    <w:p>
      <w:pPr>
        <w:spacing w:line="360" w:lineRule="auto"/>
        <w:ind w:firstLine="790" w:firstLineChars="246"/>
        <w:jc w:val="center"/>
        <w:rPr>
          <w:rFonts w:ascii="宋体" w:hAnsi="宋体"/>
          <w:b/>
          <w:sz w:val="32"/>
        </w:rPr>
      </w:pPr>
    </w:p>
    <w:p>
      <w:pPr>
        <w:spacing w:line="360" w:lineRule="auto"/>
        <w:ind w:firstLine="790" w:firstLineChars="246"/>
        <w:jc w:val="left"/>
        <w:rPr>
          <w:rFonts w:ascii="宋体" w:hAnsi="宋体"/>
          <w:b/>
          <w:sz w:val="32"/>
          <w:szCs w:val="32"/>
        </w:rPr>
      </w:pPr>
      <w:r>
        <w:rPr>
          <w:rFonts w:hint="eastAsia" w:ascii="宋体" w:hAnsi="宋体"/>
          <w:b/>
          <w:sz w:val="32"/>
        </w:rPr>
        <w:t xml:space="preserve">        投标时间</w:t>
      </w:r>
      <w:r>
        <w:rPr>
          <w:rFonts w:ascii="宋体" w:hAnsi="宋体"/>
          <w:b/>
          <w:sz w:val="32"/>
        </w:rPr>
        <w:t>：</w:t>
      </w:r>
      <w:r>
        <w:rPr>
          <w:rFonts w:hint="eastAsia" w:ascii="宋体" w:hAnsi="宋体"/>
          <w:b/>
          <w:sz w:val="32"/>
        </w:rPr>
        <w:t xml:space="preserve"> 年  </w:t>
      </w:r>
      <w:r>
        <w:rPr>
          <w:rFonts w:ascii="宋体" w:hAnsi="宋体"/>
          <w:b/>
          <w:sz w:val="32"/>
        </w:rPr>
        <w:t>月</w:t>
      </w:r>
      <w:r>
        <w:rPr>
          <w:rFonts w:hint="eastAsia" w:ascii="宋体" w:hAnsi="宋体"/>
          <w:b/>
          <w:sz w:val="32"/>
        </w:rPr>
        <w:t xml:space="preserve">  </w:t>
      </w:r>
      <w:r>
        <w:rPr>
          <w:rFonts w:ascii="宋体" w:hAnsi="宋体"/>
          <w:b/>
          <w:sz w:val="32"/>
        </w:rPr>
        <w:t>日</w:t>
      </w:r>
      <w:r>
        <w:rPr>
          <w:rFonts w:ascii="宋体" w:hAnsi="宋体"/>
          <w:b/>
          <w:sz w:val="32"/>
        </w:rPr>
        <w:br w:type="page"/>
      </w:r>
      <w:r>
        <w:rPr>
          <w:rFonts w:hint="eastAsia" w:ascii="宋体" w:hAnsi="宋体"/>
          <w:b/>
          <w:sz w:val="32"/>
          <w:szCs w:val="32"/>
        </w:rPr>
        <w:t>格式2-2</w:t>
      </w:r>
    </w:p>
    <w:p>
      <w:pPr>
        <w:widowControl/>
        <w:spacing w:line="360" w:lineRule="atLeast"/>
        <w:jc w:val="center"/>
        <w:outlineLvl w:val="2"/>
        <w:rPr>
          <w:rFonts w:ascii="宋体" w:hAnsi="宋体"/>
          <w:b/>
          <w:sz w:val="32"/>
          <w:szCs w:val="32"/>
        </w:rPr>
      </w:pPr>
      <w:r>
        <w:rPr>
          <w:rFonts w:hint="eastAsia" w:ascii="宋体" w:hAnsi="宋体"/>
          <w:b/>
          <w:sz w:val="32"/>
          <w:szCs w:val="32"/>
        </w:rPr>
        <w:t>一、投 标 函</w:t>
      </w:r>
      <w:bookmarkEnd w:id="133"/>
      <w:bookmarkEnd w:id="134"/>
    </w:p>
    <w:p>
      <w:pPr>
        <w:widowControl/>
        <w:spacing w:line="360" w:lineRule="atLeast"/>
        <w:jc w:val="center"/>
        <w:rPr>
          <w:rFonts w:ascii="宋体" w:hAnsi="宋体"/>
          <w:b/>
          <w:sz w:val="24"/>
        </w:rPr>
      </w:pPr>
    </w:p>
    <w:p>
      <w:pPr>
        <w:widowControl/>
        <w:spacing w:line="360" w:lineRule="atLeast"/>
        <w:jc w:val="left"/>
        <w:rPr>
          <w:rFonts w:ascii="宋体" w:hAnsi="宋体"/>
          <w:sz w:val="24"/>
        </w:rPr>
      </w:pPr>
      <w:r>
        <w:rPr>
          <w:rFonts w:hint="eastAsia" w:ascii="宋体" w:hAnsi="宋体"/>
          <w:sz w:val="24"/>
        </w:rPr>
        <w:t>XXXX（采购代理机构名称）：</w:t>
      </w:r>
    </w:p>
    <w:p>
      <w:pPr>
        <w:widowControl/>
        <w:spacing w:line="360" w:lineRule="atLeast"/>
        <w:ind w:firstLine="470" w:firstLineChars="196"/>
        <w:jc w:val="left"/>
        <w:rPr>
          <w:rFonts w:ascii="宋体" w:hAnsi="宋体"/>
          <w:sz w:val="24"/>
        </w:rPr>
      </w:pPr>
      <w:r>
        <w:rPr>
          <w:rFonts w:hint="eastAsia" w:ascii="宋体" w:hAnsi="宋体"/>
          <w:sz w:val="24"/>
        </w:rPr>
        <w:t>我方全面研究了“</w:t>
      </w:r>
      <w:r>
        <w:rPr>
          <w:rFonts w:hint="eastAsia" w:ascii="宋体" w:hAnsi="宋体"/>
          <w:sz w:val="24"/>
          <w:u w:val="single"/>
        </w:rPr>
        <w:t>XXXXXXXX</w:t>
      </w:r>
      <w:r>
        <w:rPr>
          <w:rFonts w:hint="eastAsia" w:ascii="宋体" w:hAnsi="宋体"/>
          <w:sz w:val="24"/>
        </w:rPr>
        <w:t>”项目（招标编号：</w:t>
      </w:r>
      <w:r>
        <w:rPr>
          <w:rFonts w:hint="eastAsia" w:ascii="宋体" w:hAnsi="宋体"/>
          <w:sz w:val="24"/>
          <w:u w:val="single"/>
        </w:rPr>
        <w:t>XXXX</w:t>
      </w:r>
      <w:r>
        <w:rPr>
          <w:rFonts w:hint="eastAsia" w:ascii="宋体" w:hAnsi="宋体"/>
          <w:sz w:val="24"/>
        </w:rPr>
        <w:t>）招标文件，决定参加贵单位组织的本项目投标。</w:t>
      </w:r>
    </w:p>
    <w:p>
      <w:pPr>
        <w:widowControl/>
        <w:spacing w:line="360" w:lineRule="atLeast"/>
        <w:ind w:firstLine="470" w:firstLineChars="196"/>
        <w:jc w:val="left"/>
        <w:rPr>
          <w:rFonts w:ascii="宋体" w:hAnsi="宋体"/>
          <w:sz w:val="24"/>
        </w:rPr>
      </w:pPr>
      <w:r>
        <w:rPr>
          <w:rFonts w:hint="eastAsia" w:ascii="宋体" w:hAnsi="宋体"/>
          <w:sz w:val="24"/>
        </w:rPr>
        <w:t>一、我方自愿按照招标文件规定的各项要求向采购人提供所需货物及服务。</w:t>
      </w:r>
    </w:p>
    <w:p>
      <w:pPr>
        <w:widowControl/>
        <w:spacing w:line="360" w:lineRule="atLeast"/>
        <w:ind w:firstLine="470" w:firstLineChars="196"/>
        <w:jc w:val="left"/>
        <w:rPr>
          <w:rFonts w:ascii="宋体" w:hAnsi="宋体"/>
          <w:sz w:val="24"/>
        </w:rPr>
      </w:pPr>
      <w:r>
        <w:rPr>
          <w:rFonts w:hint="eastAsia" w:ascii="宋体" w:hAnsi="宋体"/>
          <w:sz w:val="24"/>
        </w:rPr>
        <w:t>二、一旦我方中标，我方将严格履行政府采购合同规定的责任和义务。</w:t>
      </w:r>
    </w:p>
    <w:p>
      <w:pPr>
        <w:widowControl/>
        <w:spacing w:line="360" w:lineRule="atLeast"/>
        <w:ind w:firstLine="470" w:firstLineChars="196"/>
        <w:jc w:val="left"/>
        <w:rPr>
          <w:rFonts w:ascii="宋体" w:hAnsi="宋体"/>
          <w:sz w:val="24"/>
        </w:rPr>
      </w:pPr>
      <w:r>
        <w:rPr>
          <w:rFonts w:hint="eastAsia" w:ascii="宋体" w:hAnsi="宋体"/>
          <w:sz w:val="24"/>
        </w:rPr>
        <w:t>三、我方同意本次招标的投标有效期为投标截止时间届满后</w:t>
      </w:r>
      <w:r>
        <w:rPr>
          <w:rFonts w:hint="eastAsia" w:ascii="宋体" w:hAnsi="宋体"/>
          <w:sz w:val="24"/>
          <w:u w:val="single"/>
        </w:rPr>
        <w:t>XXXX</w:t>
      </w:r>
      <w:r>
        <w:rPr>
          <w:rFonts w:hint="eastAsia" w:ascii="宋体" w:hAnsi="宋体"/>
          <w:sz w:val="24"/>
        </w:rPr>
        <w:t>天，</w:t>
      </w:r>
      <w:r>
        <w:rPr>
          <w:rFonts w:ascii="宋体" w:hAnsi="宋体"/>
          <w:sz w:val="24"/>
        </w:rPr>
        <w:t>并满足招标文件</w:t>
      </w:r>
      <w:r>
        <w:rPr>
          <w:rFonts w:hint="eastAsia" w:ascii="宋体" w:hAnsi="宋体"/>
          <w:sz w:val="24"/>
        </w:rPr>
        <w:t>中其他</w:t>
      </w:r>
      <w:r>
        <w:rPr>
          <w:rFonts w:ascii="宋体" w:hAnsi="宋体"/>
          <w:sz w:val="24"/>
        </w:rPr>
        <w:t>关于</w:t>
      </w:r>
      <w:r>
        <w:rPr>
          <w:rFonts w:hint="eastAsia" w:ascii="宋体" w:hAnsi="宋体"/>
          <w:sz w:val="24"/>
        </w:rPr>
        <w:t>投标有效期的</w:t>
      </w:r>
      <w:r>
        <w:rPr>
          <w:rFonts w:ascii="宋体" w:hAnsi="宋体"/>
          <w:sz w:val="24"/>
        </w:rPr>
        <w:t>实质性要求</w:t>
      </w:r>
      <w:r>
        <w:rPr>
          <w:rFonts w:hint="eastAsia" w:ascii="宋体" w:hAnsi="宋体"/>
          <w:sz w:val="24"/>
        </w:rPr>
        <w:t>。</w:t>
      </w:r>
    </w:p>
    <w:p>
      <w:pPr>
        <w:widowControl/>
        <w:spacing w:line="360" w:lineRule="atLeast"/>
        <w:ind w:firstLine="470" w:firstLineChars="196"/>
        <w:jc w:val="left"/>
        <w:rPr>
          <w:rFonts w:ascii="宋体" w:hAnsi="宋体"/>
          <w:sz w:val="24"/>
        </w:rPr>
      </w:pPr>
      <w:r>
        <w:rPr>
          <w:rFonts w:hint="eastAsia" w:ascii="宋体" w:hAnsi="宋体"/>
          <w:sz w:val="24"/>
        </w:rPr>
        <w:t>四、我方愿意提供贵单位可能另外要求的，与投标有关的文件资料，并保证我方已提供和将要提供的文件资料是真实、准确的。</w:t>
      </w:r>
    </w:p>
    <w:p>
      <w:pPr>
        <w:widowControl/>
        <w:spacing w:line="360" w:lineRule="atLeast"/>
        <w:ind w:firstLine="470" w:firstLineChars="196"/>
        <w:jc w:val="left"/>
        <w:rPr>
          <w:rFonts w:ascii="宋体" w:hAnsi="宋体"/>
          <w:sz w:val="24"/>
        </w:rPr>
      </w:pPr>
      <w:r>
        <w:rPr>
          <w:rFonts w:hint="eastAsia" w:ascii="宋体" w:hAnsi="宋体"/>
          <w:sz w:val="24"/>
        </w:rPr>
        <w:t>投标人名称：XXXX。</w:t>
      </w:r>
    </w:p>
    <w:p>
      <w:pPr>
        <w:widowControl/>
        <w:spacing w:line="360" w:lineRule="atLeast"/>
        <w:ind w:firstLine="470" w:firstLineChars="196"/>
        <w:jc w:val="left"/>
        <w:rPr>
          <w:rFonts w:ascii="宋体" w:hAnsi="宋体"/>
          <w:sz w:val="24"/>
        </w:rPr>
      </w:pPr>
      <w:r>
        <w:rPr>
          <w:rFonts w:hint="eastAsia" w:ascii="宋体" w:hAnsi="宋体"/>
          <w:sz w:val="24"/>
        </w:rPr>
        <w:t>通讯地址：XXXX。</w:t>
      </w:r>
    </w:p>
    <w:p>
      <w:pPr>
        <w:widowControl/>
        <w:spacing w:line="360" w:lineRule="atLeast"/>
        <w:ind w:firstLine="470" w:firstLineChars="196"/>
        <w:jc w:val="left"/>
        <w:rPr>
          <w:rFonts w:ascii="宋体" w:hAnsi="宋体"/>
          <w:sz w:val="24"/>
        </w:rPr>
      </w:pPr>
      <w:r>
        <w:rPr>
          <w:rFonts w:hint="eastAsia" w:ascii="宋体" w:hAnsi="宋体"/>
          <w:sz w:val="24"/>
        </w:rPr>
        <w:t>邮政编码：XXXX。</w:t>
      </w:r>
    </w:p>
    <w:p>
      <w:pPr>
        <w:widowControl/>
        <w:spacing w:line="360" w:lineRule="atLeast"/>
        <w:ind w:firstLine="470" w:firstLineChars="196"/>
        <w:jc w:val="left"/>
        <w:rPr>
          <w:rFonts w:ascii="宋体" w:hAnsi="宋体"/>
          <w:sz w:val="24"/>
        </w:rPr>
      </w:pPr>
      <w:r>
        <w:rPr>
          <w:rFonts w:hint="eastAsia" w:ascii="宋体" w:hAnsi="宋体"/>
          <w:sz w:val="24"/>
        </w:rPr>
        <w:t>联系电话：XXXX。</w:t>
      </w:r>
    </w:p>
    <w:p>
      <w:pPr>
        <w:widowControl/>
        <w:spacing w:line="360" w:lineRule="atLeast"/>
        <w:ind w:firstLine="470" w:firstLineChars="196"/>
        <w:jc w:val="left"/>
        <w:rPr>
          <w:rFonts w:ascii="宋体" w:hAnsi="宋体"/>
          <w:sz w:val="24"/>
        </w:rPr>
      </w:pPr>
      <w:r>
        <w:rPr>
          <w:rFonts w:hint="eastAsia" w:ascii="宋体" w:hAnsi="宋体"/>
          <w:sz w:val="24"/>
        </w:rPr>
        <w:t>传    真：XXXX。</w:t>
      </w:r>
    </w:p>
    <w:p>
      <w:pPr>
        <w:widowControl/>
        <w:spacing w:line="360" w:lineRule="atLeast"/>
        <w:ind w:firstLine="470" w:firstLineChars="196"/>
        <w:jc w:val="left"/>
        <w:rPr>
          <w:rFonts w:ascii="宋体" w:hAnsi="宋体"/>
          <w:sz w:val="24"/>
        </w:rPr>
      </w:pPr>
      <w:r>
        <w:rPr>
          <w:rFonts w:hint="eastAsia" w:ascii="宋体" w:hAnsi="宋体"/>
          <w:sz w:val="24"/>
        </w:rPr>
        <w:t>日    期：XXXX年XX月XX日。</w:t>
      </w:r>
    </w:p>
    <w:p>
      <w:pPr>
        <w:widowControl/>
        <w:spacing w:after="0" w:line="240" w:lineRule="auto"/>
        <w:jc w:val="left"/>
        <w:rPr>
          <w:rFonts w:ascii="宋体" w:hAnsi="宋体"/>
          <w:b/>
          <w:sz w:val="32"/>
          <w:szCs w:val="32"/>
        </w:rPr>
      </w:pPr>
      <w:bookmarkStart w:id="136" w:name="_Toc308164824"/>
      <w:r>
        <w:rPr>
          <w:rFonts w:hint="eastAsia" w:ascii="宋体" w:hAnsi="宋体"/>
          <w:b/>
          <w:sz w:val="32"/>
          <w:szCs w:val="32"/>
        </w:rPr>
        <w:br w:type="page"/>
      </w:r>
      <w:r>
        <w:rPr>
          <w:rFonts w:hint="eastAsia" w:ascii="宋体" w:hAnsi="宋体"/>
          <w:b/>
          <w:sz w:val="32"/>
          <w:szCs w:val="32"/>
        </w:rPr>
        <w:t>格式2-3</w:t>
      </w:r>
    </w:p>
    <w:p>
      <w:pPr>
        <w:widowControl/>
        <w:spacing w:after="0" w:line="240" w:lineRule="auto"/>
        <w:jc w:val="center"/>
        <w:outlineLvl w:val="2"/>
        <w:rPr>
          <w:rFonts w:ascii="宋体" w:hAnsi="宋体"/>
          <w:b/>
          <w:sz w:val="32"/>
          <w:szCs w:val="32"/>
        </w:rPr>
      </w:pPr>
      <w:r>
        <w:rPr>
          <w:rFonts w:hint="eastAsia" w:ascii="宋体" w:hAnsi="宋体"/>
          <w:b/>
          <w:sz w:val="32"/>
          <w:szCs w:val="32"/>
        </w:rPr>
        <w:t>二、承诺函</w:t>
      </w:r>
    </w:p>
    <w:p>
      <w:pPr>
        <w:widowControl/>
        <w:spacing w:after="0" w:line="240" w:lineRule="auto"/>
        <w:jc w:val="center"/>
        <w:rPr>
          <w:rFonts w:ascii="宋体" w:hAnsi="宋体"/>
          <w:b/>
          <w:sz w:val="24"/>
        </w:rPr>
      </w:pPr>
    </w:p>
    <w:p>
      <w:pPr>
        <w:widowControl/>
        <w:spacing w:after="0" w:line="240" w:lineRule="auto"/>
        <w:jc w:val="left"/>
        <w:rPr>
          <w:rFonts w:ascii="宋体" w:hAnsi="宋体"/>
          <w:sz w:val="24"/>
        </w:rPr>
      </w:pPr>
      <w:r>
        <w:rPr>
          <w:rFonts w:hint="eastAsia" w:ascii="宋体" w:hAnsi="宋体"/>
          <w:sz w:val="24"/>
        </w:rPr>
        <w:t>XXXX（采购代理机构名称）：</w:t>
      </w:r>
    </w:p>
    <w:p>
      <w:pPr>
        <w:widowControl/>
        <w:spacing w:after="0" w:line="240" w:lineRule="auto"/>
        <w:ind w:firstLine="480" w:firstLineChars="200"/>
        <w:jc w:val="left"/>
        <w:rPr>
          <w:rFonts w:ascii="宋体" w:hAnsi="宋体"/>
          <w:sz w:val="24"/>
        </w:rPr>
      </w:pPr>
      <w:r>
        <w:rPr>
          <w:rFonts w:hint="eastAsia" w:ascii="宋体" w:hAnsi="宋体"/>
          <w:sz w:val="24"/>
        </w:rPr>
        <w:t>我方作为本次采购项目的投标人，根据招标文件要求，现郑重承诺如下：</w:t>
      </w:r>
    </w:p>
    <w:p>
      <w:pPr>
        <w:widowControl/>
        <w:spacing w:after="0" w:line="240" w:lineRule="auto"/>
        <w:ind w:firstLine="480" w:firstLineChars="200"/>
        <w:jc w:val="left"/>
        <w:rPr>
          <w:rFonts w:ascii="宋体" w:hAnsi="宋体"/>
          <w:sz w:val="24"/>
        </w:rPr>
      </w:pPr>
      <w:r>
        <w:rPr>
          <w:rFonts w:hint="eastAsia" w:ascii="宋体" w:hAnsi="宋体"/>
          <w:sz w:val="24"/>
        </w:rPr>
        <w:t>一、我方已认真阅读并接受本项目招标文件第二章的全部实质性要求</w:t>
      </w:r>
      <w:r>
        <w:rPr>
          <w:rFonts w:ascii="宋体" w:hAnsi="宋体"/>
          <w:sz w:val="24"/>
        </w:rPr>
        <w:t>，如对招标文件有异议，</w:t>
      </w:r>
      <w:r>
        <w:rPr>
          <w:rFonts w:hint="eastAsia" w:ascii="宋体" w:hAnsi="宋体"/>
          <w:sz w:val="24"/>
        </w:rPr>
        <w:t>已</w:t>
      </w:r>
      <w:r>
        <w:rPr>
          <w:rFonts w:ascii="宋体" w:hAnsi="宋体"/>
          <w:sz w:val="24"/>
        </w:rPr>
        <w:t>依法进行维权救济，不存在对招标文件有异议的同时又参加投标以求侥幸中标或者为实现其他非法目的的行为。</w:t>
      </w:r>
    </w:p>
    <w:p>
      <w:pPr>
        <w:widowControl/>
        <w:spacing w:after="0" w:line="240" w:lineRule="auto"/>
        <w:ind w:firstLine="480" w:firstLineChars="200"/>
        <w:jc w:val="left"/>
        <w:rPr>
          <w:rFonts w:ascii="宋体" w:hAnsi="宋体"/>
          <w:sz w:val="24"/>
        </w:rPr>
      </w:pPr>
      <w:r>
        <w:rPr>
          <w:rFonts w:hint="eastAsia" w:ascii="宋体" w:hAnsi="宋体"/>
          <w:sz w:val="24"/>
        </w:rPr>
        <w:t>二、参加本次招标采购活动，不存在与单位负责人为同一人或者存在直接控股、管理关系的其他供应商参与同一合同项下的政府采购活动的行为。</w:t>
      </w:r>
    </w:p>
    <w:p>
      <w:pPr>
        <w:widowControl/>
        <w:spacing w:after="0" w:line="240" w:lineRule="auto"/>
        <w:ind w:firstLine="480" w:firstLineChars="200"/>
        <w:jc w:val="left"/>
        <w:rPr>
          <w:rFonts w:ascii="宋体" w:hAnsi="宋体"/>
          <w:sz w:val="24"/>
        </w:rPr>
      </w:pPr>
      <w:r>
        <w:rPr>
          <w:rFonts w:hint="eastAsia" w:ascii="宋体" w:hAnsi="宋体"/>
          <w:sz w:val="24"/>
        </w:rPr>
        <w:t>三</w:t>
      </w:r>
      <w:r>
        <w:rPr>
          <w:rFonts w:ascii="宋体" w:hAnsi="宋体"/>
          <w:sz w:val="24"/>
        </w:rPr>
        <w:t>、</w:t>
      </w:r>
      <w:r>
        <w:rPr>
          <w:rFonts w:hint="eastAsia" w:ascii="宋体" w:hAnsi="宋体"/>
          <w:sz w:val="24"/>
        </w:rPr>
        <w:t>为采购项目提供整体设计、规范编制或者项目管理、监理、检测等服务的供应商，不得再参加该采购项目的其他采购活动，我方</w:t>
      </w:r>
      <w:r>
        <w:rPr>
          <w:rFonts w:ascii="宋体" w:hAnsi="宋体"/>
          <w:sz w:val="24"/>
        </w:rPr>
        <w:t>承诺</w:t>
      </w:r>
      <w:r>
        <w:rPr>
          <w:rFonts w:hint="eastAsia" w:ascii="宋体" w:hAnsi="宋体"/>
          <w:sz w:val="24"/>
        </w:rPr>
        <w:t>不属于此类禁止参加本项目的供应商</w:t>
      </w:r>
      <w:r>
        <w:rPr>
          <w:rFonts w:ascii="宋体" w:hAnsi="宋体"/>
          <w:sz w:val="24"/>
        </w:rPr>
        <w:t>。</w:t>
      </w:r>
    </w:p>
    <w:p>
      <w:pPr>
        <w:widowControl/>
        <w:spacing w:after="0" w:line="240" w:lineRule="auto"/>
        <w:ind w:firstLine="480" w:firstLineChars="200"/>
        <w:jc w:val="left"/>
        <w:rPr>
          <w:rFonts w:ascii="宋体" w:hAnsi="宋体"/>
          <w:sz w:val="24"/>
        </w:rPr>
      </w:pPr>
      <w:r>
        <w:rPr>
          <w:rFonts w:hint="eastAsia" w:ascii="宋体" w:hAnsi="宋体"/>
          <w:sz w:val="24"/>
        </w:rPr>
        <w:t>四、参加本次招标采购活动，不存在和其他供应商在同一合同项下的采购项目中，同时委托同一个自然人、同一家庭的人员、同一单位的人员作为代理人的行为。</w:t>
      </w:r>
    </w:p>
    <w:p>
      <w:pPr>
        <w:widowControl/>
        <w:spacing w:after="0" w:line="240" w:lineRule="auto"/>
        <w:ind w:firstLine="480" w:firstLineChars="200"/>
        <w:jc w:val="left"/>
        <w:rPr>
          <w:rFonts w:ascii="宋体" w:hAnsi="宋体"/>
          <w:sz w:val="24"/>
        </w:rPr>
      </w:pPr>
      <w:r>
        <w:rPr>
          <w:rFonts w:hint="eastAsia" w:ascii="宋体" w:hAnsi="宋体"/>
          <w:sz w:val="24"/>
        </w:rPr>
        <w:t>五、投标文件中提供的能够给予我方带来优惠、好处的任何材料资料和技术、服务、商务、响应产品等响应承诺情况都是真实的、有效的、合法的。</w:t>
      </w:r>
    </w:p>
    <w:p>
      <w:pPr>
        <w:widowControl/>
        <w:spacing w:after="0" w:line="240" w:lineRule="auto"/>
        <w:ind w:firstLine="480" w:firstLineChars="200"/>
        <w:jc w:val="left"/>
        <w:rPr>
          <w:rFonts w:ascii="宋体" w:hAnsi="宋体"/>
          <w:sz w:val="24"/>
        </w:rPr>
      </w:pPr>
      <w:r>
        <w:rPr>
          <w:rFonts w:hint="eastAsia" w:ascii="宋体" w:hAnsi="宋体"/>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pPr>
        <w:widowControl/>
        <w:spacing w:after="0" w:line="240" w:lineRule="auto"/>
        <w:ind w:firstLine="480" w:firstLineChars="200"/>
        <w:jc w:val="left"/>
        <w:rPr>
          <w:rFonts w:ascii="宋体" w:hAnsi="宋体"/>
          <w:sz w:val="24"/>
        </w:rPr>
      </w:pPr>
      <w:r>
        <w:rPr>
          <w:rFonts w:hint="eastAsia" w:ascii="宋体" w:hAnsi="宋体"/>
          <w:sz w:val="24"/>
        </w:rPr>
        <w:t>七、国家或行业主管部门对采购产品的技术标准、质量标准和资格资质条件等有强制性规定的，我方</w:t>
      </w:r>
      <w:r>
        <w:rPr>
          <w:rFonts w:ascii="宋体" w:hAnsi="宋体"/>
          <w:sz w:val="24"/>
        </w:rPr>
        <w:t>承诺符合其要求。</w:t>
      </w:r>
    </w:p>
    <w:p>
      <w:pPr>
        <w:widowControl/>
        <w:spacing w:after="0" w:line="240" w:lineRule="auto"/>
        <w:ind w:firstLine="480" w:firstLineChars="200"/>
        <w:jc w:val="left"/>
        <w:rPr>
          <w:rFonts w:ascii="宋体" w:hAnsi="宋体"/>
          <w:sz w:val="24"/>
        </w:rPr>
      </w:pPr>
      <w:r>
        <w:rPr>
          <w:rFonts w:hint="eastAsia" w:ascii="宋体" w:hAnsi="宋体"/>
          <w:sz w:val="24"/>
        </w:rPr>
        <w:t>八、参加本次招标采购活动，</w:t>
      </w:r>
      <w:r>
        <w:rPr>
          <w:rFonts w:ascii="宋体" w:hAnsi="宋体"/>
          <w:sz w:val="24"/>
        </w:rPr>
        <w:t>我方</w:t>
      </w:r>
      <w:r>
        <w:rPr>
          <w:rFonts w:hint="eastAsia" w:ascii="宋体" w:hAnsi="宋体"/>
          <w:sz w:val="24"/>
        </w:rPr>
        <w:t>完全同意</w:t>
      </w:r>
      <w:r>
        <w:rPr>
          <w:rFonts w:ascii="宋体" w:hAnsi="宋体"/>
          <w:sz w:val="24"/>
        </w:rPr>
        <w:t>招标文件第二章关于“</w:t>
      </w:r>
      <w:r>
        <w:rPr>
          <w:rFonts w:hint="eastAsia" w:ascii="宋体" w:hAnsi="宋体"/>
          <w:sz w:val="24"/>
        </w:rPr>
        <w:t>投标</w:t>
      </w:r>
      <w:r>
        <w:rPr>
          <w:rFonts w:ascii="宋体" w:hAnsi="宋体"/>
          <w:sz w:val="24"/>
        </w:rPr>
        <w:t>费用”</w:t>
      </w:r>
      <w:r>
        <w:rPr>
          <w:rFonts w:hint="eastAsia" w:ascii="宋体" w:hAnsi="宋体"/>
          <w:sz w:val="24"/>
        </w:rPr>
        <w:t>、“合同</w:t>
      </w:r>
      <w:r>
        <w:rPr>
          <w:rFonts w:ascii="宋体" w:hAnsi="宋体"/>
          <w:sz w:val="24"/>
        </w:rPr>
        <w:t>分包</w:t>
      </w:r>
      <w:r>
        <w:rPr>
          <w:rFonts w:hint="eastAsia" w:ascii="宋体" w:hAnsi="宋体"/>
          <w:sz w:val="24"/>
        </w:rPr>
        <w:t>”、</w:t>
      </w:r>
      <w:r>
        <w:rPr>
          <w:rFonts w:ascii="宋体" w:hAnsi="宋体"/>
          <w:sz w:val="24"/>
        </w:rPr>
        <w:t>“</w:t>
      </w:r>
      <w:r>
        <w:rPr>
          <w:rFonts w:hint="eastAsia" w:ascii="宋体" w:hAnsi="宋体"/>
          <w:sz w:val="24"/>
        </w:rPr>
        <w:t>合同</w:t>
      </w:r>
      <w:r>
        <w:rPr>
          <w:rFonts w:ascii="宋体" w:hAnsi="宋体"/>
          <w:sz w:val="24"/>
        </w:rPr>
        <w:t>转包”</w:t>
      </w:r>
      <w:r>
        <w:rPr>
          <w:rFonts w:hint="eastAsia" w:ascii="宋体" w:hAnsi="宋体"/>
          <w:sz w:val="24"/>
        </w:rPr>
        <w:t>、</w:t>
      </w:r>
      <w:r>
        <w:rPr>
          <w:rFonts w:ascii="宋体" w:hAnsi="宋体"/>
          <w:sz w:val="24"/>
        </w:rPr>
        <w:t>“</w:t>
      </w:r>
      <w:r>
        <w:rPr>
          <w:rFonts w:hint="eastAsia" w:ascii="宋体" w:hAnsi="宋体"/>
          <w:sz w:val="24"/>
        </w:rPr>
        <w:t>履约</w:t>
      </w:r>
      <w:r>
        <w:rPr>
          <w:rFonts w:ascii="宋体" w:hAnsi="宋体"/>
          <w:sz w:val="24"/>
        </w:rPr>
        <w:t>保证金”</w:t>
      </w:r>
      <w:r>
        <w:rPr>
          <w:rFonts w:hint="eastAsia" w:ascii="宋体" w:hAnsi="宋体"/>
          <w:sz w:val="24"/>
        </w:rPr>
        <w:t>的</w:t>
      </w:r>
      <w:r>
        <w:rPr>
          <w:rFonts w:ascii="宋体" w:hAnsi="宋体"/>
          <w:sz w:val="24"/>
        </w:rPr>
        <w:t>实质性要求</w:t>
      </w:r>
      <w:r>
        <w:rPr>
          <w:rFonts w:hint="eastAsia" w:ascii="宋体" w:hAnsi="宋体"/>
          <w:sz w:val="24"/>
        </w:rPr>
        <w:t>，</w:t>
      </w:r>
      <w:r>
        <w:rPr>
          <w:rFonts w:ascii="宋体" w:hAnsi="宋体"/>
          <w:sz w:val="24"/>
        </w:rPr>
        <w:t>并承诺严格按照招标文件要求</w:t>
      </w:r>
      <w:r>
        <w:rPr>
          <w:rFonts w:hint="eastAsia" w:ascii="宋体" w:hAnsi="宋体"/>
          <w:sz w:val="24"/>
        </w:rPr>
        <w:t>履行</w:t>
      </w:r>
      <w:r>
        <w:rPr>
          <w:rFonts w:ascii="宋体" w:hAnsi="宋体"/>
          <w:sz w:val="24"/>
        </w:rPr>
        <w:t>。</w:t>
      </w:r>
    </w:p>
    <w:p>
      <w:pPr>
        <w:widowControl/>
        <w:spacing w:after="0" w:line="240" w:lineRule="auto"/>
        <w:ind w:firstLine="480" w:firstLineChars="200"/>
        <w:jc w:val="left"/>
        <w:rPr>
          <w:rFonts w:ascii="宋体" w:hAnsi="宋体"/>
          <w:sz w:val="24"/>
        </w:rPr>
      </w:pPr>
      <w:r>
        <w:rPr>
          <w:rFonts w:hint="eastAsia" w:ascii="宋体" w:hAnsi="宋体"/>
          <w:sz w:val="24"/>
        </w:rPr>
        <w:t>九、在本次投标之前一周年内，投标人本次投标中对同一品牌同一型号相同配置的产品报价与其在中国境内其他地方的最低报价比例不得高于20%，</w:t>
      </w:r>
      <w:r>
        <w:rPr>
          <w:rFonts w:ascii="宋体" w:hAnsi="宋体"/>
          <w:sz w:val="24"/>
        </w:rPr>
        <w:t>我方承诺符合</w:t>
      </w:r>
      <w:r>
        <w:rPr>
          <w:rFonts w:hint="eastAsia" w:ascii="宋体" w:hAnsi="宋体"/>
          <w:sz w:val="24"/>
        </w:rPr>
        <w:t>该</w:t>
      </w:r>
      <w:r>
        <w:rPr>
          <w:rFonts w:ascii="宋体" w:hAnsi="宋体"/>
          <w:sz w:val="24"/>
        </w:rPr>
        <w:t>要求。</w:t>
      </w:r>
    </w:p>
    <w:p>
      <w:pPr>
        <w:widowControl/>
        <w:spacing w:after="0" w:line="240" w:lineRule="auto"/>
        <w:ind w:firstLine="480" w:firstLineChars="200"/>
        <w:jc w:val="left"/>
        <w:rPr>
          <w:rFonts w:ascii="宋体" w:hAnsi="宋体"/>
          <w:sz w:val="24"/>
        </w:rPr>
      </w:pPr>
      <w:r>
        <w:rPr>
          <w:rFonts w:hint="eastAsia" w:ascii="宋体" w:hAnsi="宋体"/>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宋体" w:hAnsi="宋体"/>
          <w:sz w:val="24"/>
        </w:rPr>
        <w:t>承诺</w:t>
      </w:r>
      <w:r>
        <w:rPr>
          <w:rFonts w:hint="eastAsia" w:ascii="宋体" w:hAnsi="宋体"/>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pPr>
        <w:widowControl/>
        <w:spacing w:after="0" w:line="240" w:lineRule="auto"/>
        <w:ind w:firstLine="480" w:firstLineChars="200"/>
        <w:jc w:val="left"/>
        <w:rPr>
          <w:rFonts w:ascii="宋体" w:hAnsi="宋体"/>
          <w:sz w:val="24"/>
        </w:rPr>
      </w:pPr>
      <w:r>
        <w:rPr>
          <w:rFonts w:hint="eastAsia" w:ascii="宋体" w:hAnsi="宋体"/>
          <w:sz w:val="24"/>
        </w:rPr>
        <w:t>十一、本次投标报价是响应招标项目要求的全部工作内容的价格体现，包括完成本项目所需的一切费用。</w:t>
      </w:r>
    </w:p>
    <w:p>
      <w:pPr>
        <w:widowControl/>
        <w:spacing w:after="0" w:line="240" w:lineRule="auto"/>
        <w:ind w:firstLine="480" w:firstLineChars="200"/>
        <w:jc w:val="left"/>
        <w:rPr>
          <w:rFonts w:ascii="宋体" w:hAnsi="宋体"/>
          <w:sz w:val="24"/>
        </w:rPr>
      </w:pPr>
      <w:r>
        <w:rPr>
          <w:rFonts w:hint="eastAsia" w:ascii="宋体" w:hAnsi="宋体"/>
          <w:sz w:val="24"/>
        </w:rPr>
        <w:t>十二</w:t>
      </w:r>
      <w:r>
        <w:rPr>
          <w:rFonts w:ascii="宋体" w:hAnsi="宋体"/>
          <w:sz w:val="24"/>
        </w:rPr>
        <w:t>、</w:t>
      </w:r>
      <w:r>
        <w:rPr>
          <w:rFonts w:hint="eastAsia" w:ascii="宋体" w:hAnsi="宋体"/>
          <w:sz w:val="24"/>
        </w:rPr>
        <w:t>与我方存在直接控股关系的单位为：XXX；存在管理关系单位为：XXX</w:t>
      </w:r>
    </w:p>
    <w:p>
      <w:pPr>
        <w:widowControl/>
        <w:spacing w:after="0" w:line="240" w:lineRule="auto"/>
        <w:ind w:firstLine="480" w:firstLineChars="200"/>
        <w:jc w:val="left"/>
        <w:rPr>
          <w:rFonts w:ascii="宋体" w:hAnsi="宋体"/>
          <w:sz w:val="24"/>
        </w:rPr>
      </w:pPr>
      <w:r>
        <w:rPr>
          <w:rFonts w:hint="eastAsia" w:ascii="宋体" w:hAnsi="宋体"/>
          <w:sz w:val="24"/>
        </w:rPr>
        <w:t>我方对上述承诺的内容事项真实性负责。如经查实上述承诺的内容事项存在虚假，我方愿意接受以提供虚假材料谋取中标追究法律责任。</w:t>
      </w:r>
    </w:p>
    <w:p>
      <w:pPr>
        <w:widowControl/>
        <w:spacing w:after="0" w:line="240" w:lineRule="auto"/>
        <w:ind w:firstLine="470" w:firstLineChars="196"/>
        <w:jc w:val="left"/>
        <w:rPr>
          <w:rFonts w:ascii="宋体" w:hAnsi="宋体"/>
          <w:sz w:val="24"/>
        </w:rPr>
      </w:pPr>
    </w:p>
    <w:p>
      <w:pPr>
        <w:widowControl/>
        <w:tabs>
          <w:tab w:val="left" w:pos="8127"/>
        </w:tabs>
        <w:spacing w:after="0" w:line="240" w:lineRule="auto"/>
        <w:ind w:firstLine="470" w:firstLineChars="196"/>
        <w:jc w:val="left"/>
        <w:rPr>
          <w:rFonts w:ascii="宋体" w:hAnsi="宋体"/>
          <w:sz w:val="24"/>
        </w:rPr>
      </w:pPr>
      <w:r>
        <w:rPr>
          <w:rFonts w:hint="eastAsia" w:ascii="宋体" w:hAnsi="宋体"/>
          <w:sz w:val="24"/>
        </w:rPr>
        <w:t>投标人名称：XXXX。</w:t>
      </w:r>
      <w:r>
        <w:rPr>
          <w:rFonts w:ascii="宋体" w:hAnsi="宋体"/>
          <w:sz w:val="24"/>
        </w:rPr>
        <w:tab/>
      </w:r>
    </w:p>
    <w:p>
      <w:pPr>
        <w:widowControl/>
        <w:spacing w:after="0" w:line="240" w:lineRule="auto"/>
        <w:ind w:firstLine="470" w:firstLineChars="196"/>
        <w:jc w:val="left"/>
        <w:rPr>
          <w:rFonts w:ascii="宋体" w:hAnsi="宋体"/>
          <w:sz w:val="24"/>
        </w:rPr>
      </w:pPr>
      <w:r>
        <w:rPr>
          <w:rFonts w:hint="eastAsia" w:ascii="宋体" w:hAnsi="宋体"/>
          <w:sz w:val="24"/>
        </w:rPr>
        <w:t>日    期：XXXX。</w:t>
      </w:r>
    </w:p>
    <w:p>
      <w:pPr>
        <w:spacing w:line="360" w:lineRule="auto"/>
        <w:rPr>
          <w:rFonts w:ascii="宋体" w:hAnsi="宋体"/>
          <w:b/>
          <w:sz w:val="32"/>
          <w:szCs w:val="32"/>
        </w:rPr>
      </w:pPr>
      <w:r>
        <w:rPr>
          <w:rFonts w:hint="eastAsia" w:ascii="宋体" w:hAnsi="宋体"/>
          <w:b/>
          <w:sz w:val="32"/>
          <w:szCs w:val="32"/>
        </w:rPr>
        <w:br w:type="page"/>
      </w:r>
      <w:r>
        <w:rPr>
          <w:rFonts w:hint="eastAsia" w:ascii="宋体" w:hAnsi="宋体"/>
          <w:b/>
          <w:sz w:val="32"/>
          <w:szCs w:val="32"/>
        </w:rPr>
        <w:t>格式2-4</w:t>
      </w:r>
    </w:p>
    <w:bookmarkEnd w:id="136"/>
    <w:p>
      <w:pPr>
        <w:pStyle w:val="5"/>
        <w:jc w:val="center"/>
        <w:rPr>
          <w:rFonts w:ascii="宋体" w:hAnsi="宋体" w:cs="仿宋"/>
        </w:rPr>
      </w:pPr>
      <w:bookmarkStart w:id="137" w:name="_Toc217446085"/>
      <w:r>
        <w:rPr>
          <w:rFonts w:hint="eastAsia" w:ascii="宋体" w:hAnsi="宋体" w:cs="仿宋"/>
        </w:rPr>
        <w:t>三、开标一览表</w:t>
      </w:r>
      <w:bookmarkEnd w:id="137"/>
    </w:p>
    <w:tbl>
      <w:tblPr>
        <w:tblStyle w:val="26"/>
        <w:tblW w:w="91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766"/>
        <w:gridCol w:w="1440"/>
        <w:gridCol w:w="720"/>
        <w:gridCol w:w="1260"/>
        <w:gridCol w:w="1260"/>
        <w:gridCol w:w="900"/>
        <w:gridCol w:w="1260"/>
        <w:gridCol w:w="9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24" w:type="dxa"/>
            <w:vAlign w:val="center"/>
          </w:tcPr>
          <w:p>
            <w:pPr>
              <w:widowControl/>
              <w:spacing w:line="360" w:lineRule="atLeast"/>
              <w:jc w:val="left"/>
              <w:outlineLvl w:val="1"/>
              <w:rPr>
                <w:rFonts w:ascii="宋体" w:hAnsi="宋体"/>
                <w:sz w:val="24"/>
              </w:rPr>
            </w:pPr>
            <w:r>
              <w:rPr>
                <w:rFonts w:hint="eastAsia" w:ascii="宋体" w:hAnsi="宋体"/>
                <w:sz w:val="24"/>
              </w:rPr>
              <w:t>序号</w:t>
            </w:r>
          </w:p>
        </w:tc>
        <w:tc>
          <w:tcPr>
            <w:tcW w:w="766" w:type="dxa"/>
            <w:vAlign w:val="center"/>
          </w:tcPr>
          <w:p>
            <w:pPr>
              <w:widowControl/>
              <w:spacing w:line="360" w:lineRule="atLeast"/>
              <w:jc w:val="left"/>
              <w:outlineLvl w:val="1"/>
              <w:rPr>
                <w:rFonts w:ascii="宋体" w:hAnsi="宋体"/>
                <w:sz w:val="24"/>
              </w:rPr>
            </w:pPr>
            <w:r>
              <w:rPr>
                <w:rFonts w:hint="eastAsia" w:ascii="宋体" w:hAnsi="宋体"/>
                <w:sz w:val="24"/>
              </w:rPr>
              <w:t>货物名称</w:t>
            </w:r>
          </w:p>
        </w:tc>
        <w:tc>
          <w:tcPr>
            <w:tcW w:w="1440" w:type="dxa"/>
            <w:vAlign w:val="center"/>
          </w:tcPr>
          <w:p>
            <w:pPr>
              <w:widowControl/>
              <w:spacing w:line="360" w:lineRule="atLeast"/>
              <w:jc w:val="left"/>
              <w:outlineLvl w:val="1"/>
              <w:rPr>
                <w:rFonts w:ascii="宋体" w:hAnsi="宋体"/>
                <w:sz w:val="24"/>
              </w:rPr>
            </w:pPr>
            <w:r>
              <w:rPr>
                <w:rFonts w:hint="eastAsia" w:ascii="宋体" w:hAnsi="宋体"/>
                <w:sz w:val="24"/>
              </w:rPr>
              <w:t>制造厂家及</w:t>
            </w:r>
          </w:p>
          <w:p>
            <w:pPr>
              <w:widowControl/>
              <w:spacing w:line="360" w:lineRule="atLeast"/>
              <w:jc w:val="left"/>
              <w:outlineLvl w:val="1"/>
              <w:rPr>
                <w:rFonts w:ascii="宋体" w:hAnsi="宋体"/>
                <w:sz w:val="24"/>
              </w:rPr>
            </w:pPr>
            <w:r>
              <w:rPr>
                <w:rFonts w:hint="eastAsia" w:ascii="宋体" w:hAnsi="宋体"/>
                <w:sz w:val="24"/>
              </w:rPr>
              <w:t>规格型号</w:t>
            </w:r>
          </w:p>
        </w:tc>
        <w:tc>
          <w:tcPr>
            <w:tcW w:w="720" w:type="dxa"/>
            <w:vAlign w:val="center"/>
          </w:tcPr>
          <w:p>
            <w:pPr>
              <w:widowControl/>
              <w:spacing w:line="360" w:lineRule="atLeast"/>
              <w:jc w:val="left"/>
              <w:outlineLvl w:val="1"/>
              <w:rPr>
                <w:rFonts w:ascii="宋体" w:hAnsi="宋体"/>
                <w:sz w:val="24"/>
              </w:rPr>
            </w:pPr>
            <w:r>
              <w:rPr>
                <w:rFonts w:hint="eastAsia" w:ascii="宋体" w:hAnsi="宋体"/>
                <w:sz w:val="24"/>
              </w:rPr>
              <w:t>数量</w:t>
            </w:r>
          </w:p>
        </w:tc>
        <w:tc>
          <w:tcPr>
            <w:tcW w:w="1260" w:type="dxa"/>
            <w:vAlign w:val="center"/>
          </w:tcPr>
          <w:p>
            <w:pPr>
              <w:widowControl/>
              <w:spacing w:line="360" w:lineRule="atLeast"/>
              <w:jc w:val="left"/>
              <w:outlineLvl w:val="1"/>
              <w:rPr>
                <w:rFonts w:ascii="宋体" w:hAnsi="宋体"/>
                <w:sz w:val="24"/>
              </w:rPr>
            </w:pPr>
            <w:r>
              <w:rPr>
                <w:rFonts w:hint="eastAsia" w:ascii="宋体" w:hAnsi="宋体"/>
                <w:sz w:val="24"/>
              </w:rPr>
              <w:t>投标单价</w:t>
            </w:r>
          </w:p>
          <w:p>
            <w:pPr>
              <w:widowControl/>
              <w:spacing w:line="360" w:lineRule="atLeast"/>
              <w:jc w:val="left"/>
              <w:outlineLvl w:val="1"/>
              <w:rPr>
                <w:rFonts w:ascii="宋体" w:hAnsi="宋体"/>
                <w:sz w:val="24"/>
              </w:rPr>
            </w:pPr>
            <w:r>
              <w:rPr>
                <w:rFonts w:hint="eastAsia" w:ascii="宋体" w:hAnsi="宋体"/>
                <w:sz w:val="24"/>
              </w:rPr>
              <w:t>（万元）</w:t>
            </w:r>
          </w:p>
        </w:tc>
        <w:tc>
          <w:tcPr>
            <w:tcW w:w="1260" w:type="dxa"/>
            <w:vAlign w:val="center"/>
          </w:tcPr>
          <w:p>
            <w:pPr>
              <w:widowControl/>
              <w:spacing w:line="360" w:lineRule="atLeast"/>
              <w:jc w:val="left"/>
              <w:outlineLvl w:val="1"/>
              <w:rPr>
                <w:rFonts w:ascii="宋体" w:hAnsi="宋体"/>
                <w:sz w:val="24"/>
              </w:rPr>
            </w:pPr>
            <w:r>
              <w:rPr>
                <w:rFonts w:hint="eastAsia" w:ascii="宋体" w:hAnsi="宋体"/>
                <w:sz w:val="24"/>
              </w:rPr>
              <w:t>投标总价</w:t>
            </w:r>
          </w:p>
          <w:p>
            <w:pPr>
              <w:widowControl/>
              <w:spacing w:line="360" w:lineRule="atLeast"/>
              <w:jc w:val="left"/>
              <w:outlineLvl w:val="1"/>
              <w:rPr>
                <w:rFonts w:ascii="宋体" w:hAnsi="宋体"/>
                <w:sz w:val="24"/>
              </w:rPr>
            </w:pPr>
            <w:r>
              <w:rPr>
                <w:rFonts w:hint="eastAsia" w:ascii="宋体" w:hAnsi="宋体"/>
                <w:sz w:val="24"/>
              </w:rPr>
              <w:t>（万元）</w:t>
            </w:r>
          </w:p>
        </w:tc>
        <w:tc>
          <w:tcPr>
            <w:tcW w:w="900" w:type="dxa"/>
            <w:vAlign w:val="center"/>
          </w:tcPr>
          <w:p>
            <w:pPr>
              <w:widowControl/>
              <w:spacing w:line="360" w:lineRule="atLeast"/>
              <w:outlineLvl w:val="1"/>
              <w:rPr>
                <w:rFonts w:ascii="宋体" w:hAnsi="宋体"/>
                <w:b/>
                <w:sz w:val="24"/>
              </w:rPr>
            </w:pPr>
            <w:r>
              <w:rPr>
                <w:rFonts w:hint="eastAsia" w:ascii="宋体" w:hAnsi="宋体"/>
                <w:sz w:val="24"/>
              </w:rPr>
              <w:t>交货</w:t>
            </w:r>
          </w:p>
          <w:p>
            <w:pPr>
              <w:widowControl/>
              <w:spacing w:line="360" w:lineRule="atLeast"/>
              <w:jc w:val="left"/>
              <w:outlineLvl w:val="1"/>
              <w:rPr>
                <w:rFonts w:ascii="宋体" w:hAnsi="宋体"/>
                <w:sz w:val="24"/>
              </w:rPr>
            </w:pPr>
            <w:r>
              <w:rPr>
                <w:rFonts w:hint="eastAsia" w:ascii="宋体" w:hAnsi="宋体"/>
                <w:sz w:val="24"/>
              </w:rPr>
              <w:t>时间</w:t>
            </w:r>
          </w:p>
        </w:tc>
        <w:tc>
          <w:tcPr>
            <w:tcW w:w="1260" w:type="dxa"/>
            <w:vAlign w:val="center"/>
          </w:tcPr>
          <w:p>
            <w:pPr>
              <w:widowControl/>
              <w:spacing w:line="360" w:lineRule="atLeast"/>
              <w:jc w:val="left"/>
              <w:outlineLvl w:val="1"/>
              <w:rPr>
                <w:rFonts w:ascii="宋体" w:hAnsi="宋体"/>
                <w:sz w:val="24"/>
              </w:rPr>
            </w:pPr>
            <w:r>
              <w:rPr>
                <w:rFonts w:hint="eastAsia" w:ascii="宋体" w:hAnsi="宋体"/>
                <w:sz w:val="24"/>
              </w:rPr>
              <w:t>是否属于进口产品</w:t>
            </w:r>
          </w:p>
        </w:tc>
        <w:tc>
          <w:tcPr>
            <w:tcW w:w="902" w:type="dxa"/>
            <w:vAlign w:val="center"/>
          </w:tcPr>
          <w:p>
            <w:pPr>
              <w:widowControl/>
              <w:spacing w:line="360" w:lineRule="atLeast"/>
              <w:ind w:left="-8" w:leftChars="-4" w:firstLine="84" w:firstLineChars="35"/>
              <w:jc w:val="left"/>
              <w:outlineLvl w:val="1"/>
              <w:rPr>
                <w:rFonts w:ascii="宋体" w:hAnsi="宋体"/>
                <w:sz w:val="24"/>
              </w:rPr>
            </w:pPr>
            <w:r>
              <w:rPr>
                <w:rFonts w:hint="eastAsia" w:ascii="宋体" w:hAnsi="宋体"/>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624" w:type="dxa"/>
            <w:vAlign w:val="center"/>
          </w:tcPr>
          <w:p>
            <w:pPr>
              <w:widowControl/>
              <w:spacing w:line="360" w:lineRule="atLeast"/>
              <w:jc w:val="center"/>
              <w:outlineLvl w:val="1"/>
              <w:rPr>
                <w:rFonts w:ascii="宋体" w:hAnsi="宋体"/>
                <w:sz w:val="24"/>
              </w:rPr>
            </w:pPr>
          </w:p>
        </w:tc>
        <w:tc>
          <w:tcPr>
            <w:tcW w:w="766" w:type="dxa"/>
            <w:vAlign w:val="center"/>
          </w:tcPr>
          <w:p>
            <w:pPr>
              <w:widowControl/>
              <w:spacing w:line="360" w:lineRule="atLeast"/>
              <w:ind w:firstLine="470" w:firstLineChars="196"/>
              <w:jc w:val="center"/>
              <w:outlineLvl w:val="1"/>
              <w:rPr>
                <w:rFonts w:ascii="宋体" w:hAnsi="宋体"/>
                <w:sz w:val="24"/>
              </w:rPr>
            </w:pPr>
          </w:p>
        </w:tc>
        <w:tc>
          <w:tcPr>
            <w:tcW w:w="1440" w:type="dxa"/>
            <w:vAlign w:val="center"/>
          </w:tcPr>
          <w:p>
            <w:pPr>
              <w:widowControl/>
              <w:spacing w:line="360" w:lineRule="atLeast"/>
              <w:ind w:firstLine="470" w:firstLineChars="196"/>
              <w:jc w:val="center"/>
              <w:outlineLvl w:val="1"/>
              <w:rPr>
                <w:rFonts w:ascii="宋体" w:hAnsi="宋体"/>
                <w:sz w:val="24"/>
              </w:rPr>
            </w:pPr>
          </w:p>
        </w:tc>
        <w:tc>
          <w:tcPr>
            <w:tcW w:w="720" w:type="dxa"/>
            <w:vAlign w:val="center"/>
          </w:tcPr>
          <w:p>
            <w:pPr>
              <w:widowControl/>
              <w:spacing w:line="360" w:lineRule="atLeast"/>
              <w:ind w:firstLine="470" w:firstLineChars="196"/>
              <w:jc w:val="center"/>
              <w:outlineLvl w:val="1"/>
              <w:rPr>
                <w:rFonts w:ascii="宋体" w:hAnsi="宋体"/>
                <w:sz w:val="24"/>
              </w:rPr>
            </w:pPr>
          </w:p>
        </w:tc>
        <w:tc>
          <w:tcPr>
            <w:tcW w:w="1260" w:type="dxa"/>
            <w:vAlign w:val="center"/>
          </w:tcPr>
          <w:p>
            <w:pPr>
              <w:widowControl/>
              <w:spacing w:line="360" w:lineRule="atLeast"/>
              <w:ind w:firstLine="470" w:firstLineChars="196"/>
              <w:jc w:val="center"/>
              <w:outlineLvl w:val="1"/>
              <w:rPr>
                <w:rFonts w:ascii="宋体" w:hAnsi="宋体"/>
                <w:sz w:val="24"/>
              </w:rPr>
            </w:pPr>
          </w:p>
        </w:tc>
        <w:tc>
          <w:tcPr>
            <w:tcW w:w="1260" w:type="dxa"/>
            <w:vAlign w:val="center"/>
          </w:tcPr>
          <w:p>
            <w:pPr>
              <w:widowControl/>
              <w:spacing w:line="360" w:lineRule="atLeast"/>
              <w:ind w:firstLine="470" w:firstLineChars="196"/>
              <w:jc w:val="center"/>
              <w:outlineLvl w:val="1"/>
              <w:rPr>
                <w:rFonts w:ascii="宋体" w:hAnsi="宋体"/>
                <w:sz w:val="24"/>
              </w:rPr>
            </w:pPr>
          </w:p>
        </w:tc>
        <w:tc>
          <w:tcPr>
            <w:tcW w:w="900" w:type="dxa"/>
            <w:vAlign w:val="center"/>
          </w:tcPr>
          <w:p>
            <w:pPr>
              <w:widowControl/>
              <w:spacing w:line="360" w:lineRule="atLeast"/>
              <w:ind w:firstLine="470" w:firstLineChars="196"/>
              <w:jc w:val="center"/>
              <w:outlineLvl w:val="1"/>
              <w:rPr>
                <w:rFonts w:ascii="宋体" w:hAnsi="宋体"/>
                <w:sz w:val="24"/>
              </w:rPr>
            </w:pPr>
          </w:p>
        </w:tc>
        <w:tc>
          <w:tcPr>
            <w:tcW w:w="1260" w:type="dxa"/>
            <w:vAlign w:val="center"/>
          </w:tcPr>
          <w:p>
            <w:pPr>
              <w:widowControl/>
              <w:spacing w:line="360" w:lineRule="atLeast"/>
              <w:ind w:firstLine="470" w:firstLineChars="196"/>
              <w:jc w:val="center"/>
              <w:outlineLvl w:val="1"/>
              <w:rPr>
                <w:rFonts w:ascii="宋体" w:hAnsi="宋体"/>
                <w:sz w:val="24"/>
              </w:rPr>
            </w:pPr>
          </w:p>
        </w:tc>
        <w:tc>
          <w:tcPr>
            <w:tcW w:w="902" w:type="dxa"/>
            <w:vAlign w:val="center"/>
          </w:tcPr>
          <w:p>
            <w:pPr>
              <w:widowControl/>
              <w:spacing w:line="360" w:lineRule="atLeast"/>
              <w:ind w:firstLine="470" w:firstLineChars="196"/>
              <w:jc w:val="center"/>
              <w:outlineLvl w:val="1"/>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624" w:type="dxa"/>
            <w:vAlign w:val="center"/>
          </w:tcPr>
          <w:p>
            <w:pPr>
              <w:widowControl/>
              <w:spacing w:line="360" w:lineRule="atLeast"/>
              <w:jc w:val="center"/>
              <w:outlineLvl w:val="1"/>
              <w:rPr>
                <w:rFonts w:ascii="宋体" w:hAnsi="宋体"/>
                <w:sz w:val="24"/>
              </w:rPr>
            </w:pPr>
          </w:p>
        </w:tc>
        <w:tc>
          <w:tcPr>
            <w:tcW w:w="766" w:type="dxa"/>
            <w:vAlign w:val="center"/>
          </w:tcPr>
          <w:p>
            <w:pPr>
              <w:widowControl/>
              <w:spacing w:line="360" w:lineRule="atLeast"/>
              <w:ind w:firstLine="470" w:firstLineChars="196"/>
              <w:jc w:val="center"/>
              <w:outlineLvl w:val="1"/>
              <w:rPr>
                <w:rFonts w:ascii="宋体" w:hAnsi="宋体"/>
                <w:sz w:val="24"/>
              </w:rPr>
            </w:pPr>
          </w:p>
        </w:tc>
        <w:tc>
          <w:tcPr>
            <w:tcW w:w="1440" w:type="dxa"/>
            <w:vAlign w:val="center"/>
          </w:tcPr>
          <w:p>
            <w:pPr>
              <w:widowControl/>
              <w:spacing w:line="360" w:lineRule="atLeast"/>
              <w:ind w:firstLine="470" w:firstLineChars="196"/>
              <w:jc w:val="center"/>
              <w:outlineLvl w:val="1"/>
              <w:rPr>
                <w:rFonts w:ascii="宋体" w:hAnsi="宋体"/>
                <w:sz w:val="24"/>
              </w:rPr>
            </w:pPr>
          </w:p>
        </w:tc>
        <w:tc>
          <w:tcPr>
            <w:tcW w:w="720" w:type="dxa"/>
            <w:vAlign w:val="center"/>
          </w:tcPr>
          <w:p>
            <w:pPr>
              <w:widowControl/>
              <w:spacing w:line="360" w:lineRule="atLeast"/>
              <w:ind w:firstLine="470" w:firstLineChars="196"/>
              <w:jc w:val="center"/>
              <w:outlineLvl w:val="1"/>
              <w:rPr>
                <w:rFonts w:ascii="宋体" w:hAnsi="宋体"/>
                <w:sz w:val="24"/>
              </w:rPr>
            </w:pPr>
          </w:p>
        </w:tc>
        <w:tc>
          <w:tcPr>
            <w:tcW w:w="1260" w:type="dxa"/>
            <w:vAlign w:val="center"/>
          </w:tcPr>
          <w:p>
            <w:pPr>
              <w:widowControl/>
              <w:spacing w:line="360" w:lineRule="atLeast"/>
              <w:ind w:firstLine="470" w:firstLineChars="196"/>
              <w:jc w:val="center"/>
              <w:outlineLvl w:val="1"/>
              <w:rPr>
                <w:rFonts w:ascii="宋体" w:hAnsi="宋体"/>
                <w:sz w:val="24"/>
              </w:rPr>
            </w:pPr>
          </w:p>
        </w:tc>
        <w:tc>
          <w:tcPr>
            <w:tcW w:w="1260" w:type="dxa"/>
            <w:vAlign w:val="center"/>
          </w:tcPr>
          <w:p>
            <w:pPr>
              <w:widowControl/>
              <w:spacing w:line="360" w:lineRule="atLeast"/>
              <w:ind w:firstLine="470" w:firstLineChars="196"/>
              <w:jc w:val="center"/>
              <w:outlineLvl w:val="1"/>
              <w:rPr>
                <w:rFonts w:ascii="宋体" w:hAnsi="宋体"/>
                <w:sz w:val="24"/>
              </w:rPr>
            </w:pPr>
          </w:p>
        </w:tc>
        <w:tc>
          <w:tcPr>
            <w:tcW w:w="900" w:type="dxa"/>
            <w:vAlign w:val="center"/>
          </w:tcPr>
          <w:p>
            <w:pPr>
              <w:widowControl/>
              <w:spacing w:line="360" w:lineRule="atLeast"/>
              <w:ind w:firstLine="470" w:firstLineChars="196"/>
              <w:jc w:val="center"/>
              <w:outlineLvl w:val="1"/>
              <w:rPr>
                <w:rFonts w:ascii="宋体" w:hAnsi="宋体"/>
                <w:sz w:val="24"/>
              </w:rPr>
            </w:pPr>
          </w:p>
        </w:tc>
        <w:tc>
          <w:tcPr>
            <w:tcW w:w="1260" w:type="dxa"/>
            <w:vAlign w:val="center"/>
          </w:tcPr>
          <w:p>
            <w:pPr>
              <w:widowControl/>
              <w:spacing w:line="360" w:lineRule="atLeast"/>
              <w:ind w:firstLine="470" w:firstLineChars="196"/>
              <w:jc w:val="center"/>
              <w:outlineLvl w:val="1"/>
              <w:rPr>
                <w:rFonts w:ascii="宋体" w:hAnsi="宋体"/>
                <w:sz w:val="24"/>
              </w:rPr>
            </w:pPr>
          </w:p>
        </w:tc>
        <w:tc>
          <w:tcPr>
            <w:tcW w:w="902" w:type="dxa"/>
            <w:vAlign w:val="center"/>
          </w:tcPr>
          <w:p>
            <w:pPr>
              <w:widowControl/>
              <w:spacing w:line="360" w:lineRule="atLeast"/>
              <w:ind w:firstLine="470" w:firstLineChars="196"/>
              <w:jc w:val="center"/>
              <w:outlineLvl w:val="1"/>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624" w:type="dxa"/>
            <w:tcBorders>
              <w:right w:val="single" w:color="auto" w:sz="4" w:space="0"/>
            </w:tcBorders>
            <w:vAlign w:val="center"/>
          </w:tcPr>
          <w:p>
            <w:pPr>
              <w:widowControl/>
              <w:spacing w:line="360" w:lineRule="atLeast"/>
              <w:jc w:val="center"/>
              <w:outlineLvl w:val="1"/>
              <w:rPr>
                <w:rFonts w:ascii="宋体" w:hAnsi="宋体"/>
                <w:sz w:val="24"/>
              </w:rPr>
            </w:pPr>
          </w:p>
        </w:tc>
        <w:tc>
          <w:tcPr>
            <w:tcW w:w="766" w:type="dxa"/>
            <w:tcBorders>
              <w:left w:val="single" w:color="auto" w:sz="4" w:space="0"/>
            </w:tcBorders>
            <w:vAlign w:val="center"/>
          </w:tcPr>
          <w:p>
            <w:pPr>
              <w:widowControl/>
              <w:spacing w:line="360" w:lineRule="atLeast"/>
              <w:ind w:firstLine="470" w:firstLineChars="196"/>
              <w:jc w:val="center"/>
              <w:outlineLvl w:val="1"/>
              <w:rPr>
                <w:rFonts w:ascii="宋体" w:hAnsi="宋体"/>
                <w:sz w:val="24"/>
              </w:rPr>
            </w:pPr>
          </w:p>
        </w:tc>
        <w:tc>
          <w:tcPr>
            <w:tcW w:w="1440" w:type="dxa"/>
            <w:vAlign w:val="center"/>
          </w:tcPr>
          <w:p>
            <w:pPr>
              <w:widowControl/>
              <w:spacing w:line="360" w:lineRule="atLeast"/>
              <w:ind w:firstLine="470" w:firstLineChars="196"/>
              <w:jc w:val="center"/>
              <w:outlineLvl w:val="1"/>
              <w:rPr>
                <w:rFonts w:ascii="宋体" w:hAnsi="宋体"/>
                <w:sz w:val="24"/>
              </w:rPr>
            </w:pPr>
          </w:p>
        </w:tc>
        <w:tc>
          <w:tcPr>
            <w:tcW w:w="720" w:type="dxa"/>
            <w:vAlign w:val="center"/>
          </w:tcPr>
          <w:p>
            <w:pPr>
              <w:widowControl/>
              <w:spacing w:line="360" w:lineRule="atLeast"/>
              <w:ind w:firstLine="470" w:firstLineChars="196"/>
              <w:jc w:val="center"/>
              <w:outlineLvl w:val="1"/>
              <w:rPr>
                <w:rFonts w:ascii="宋体" w:hAnsi="宋体"/>
                <w:sz w:val="24"/>
              </w:rPr>
            </w:pPr>
          </w:p>
        </w:tc>
        <w:tc>
          <w:tcPr>
            <w:tcW w:w="1260" w:type="dxa"/>
            <w:vAlign w:val="center"/>
          </w:tcPr>
          <w:p>
            <w:pPr>
              <w:widowControl/>
              <w:spacing w:line="360" w:lineRule="atLeast"/>
              <w:ind w:firstLine="470" w:firstLineChars="196"/>
              <w:jc w:val="center"/>
              <w:outlineLvl w:val="1"/>
              <w:rPr>
                <w:rFonts w:ascii="宋体" w:hAnsi="宋体"/>
                <w:sz w:val="24"/>
              </w:rPr>
            </w:pPr>
          </w:p>
        </w:tc>
        <w:tc>
          <w:tcPr>
            <w:tcW w:w="1260" w:type="dxa"/>
            <w:vAlign w:val="center"/>
          </w:tcPr>
          <w:p>
            <w:pPr>
              <w:widowControl/>
              <w:spacing w:line="360" w:lineRule="atLeast"/>
              <w:ind w:firstLine="470" w:firstLineChars="196"/>
              <w:jc w:val="center"/>
              <w:outlineLvl w:val="1"/>
              <w:rPr>
                <w:rFonts w:ascii="宋体" w:hAnsi="宋体"/>
                <w:sz w:val="24"/>
              </w:rPr>
            </w:pPr>
          </w:p>
        </w:tc>
        <w:tc>
          <w:tcPr>
            <w:tcW w:w="900" w:type="dxa"/>
            <w:vAlign w:val="center"/>
          </w:tcPr>
          <w:p>
            <w:pPr>
              <w:widowControl/>
              <w:spacing w:line="360" w:lineRule="atLeast"/>
              <w:ind w:firstLine="470" w:firstLineChars="196"/>
              <w:jc w:val="center"/>
              <w:outlineLvl w:val="1"/>
              <w:rPr>
                <w:rFonts w:ascii="宋体" w:hAnsi="宋体"/>
                <w:sz w:val="24"/>
              </w:rPr>
            </w:pPr>
          </w:p>
        </w:tc>
        <w:tc>
          <w:tcPr>
            <w:tcW w:w="1260" w:type="dxa"/>
            <w:vAlign w:val="center"/>
          </w:tcPr>
          <w:p>
            <w:pPr>
              <w:widowControl/>
              <w:spacing w:line="360" w:lineRule="atLeast"/>
              <w:ind w:firstLine="470" w:firstLineChars="196"/>
              <w:jc w:val="center"/>
              <w:outlineLvl w:val="1"/>
              <w:rPr>
                <w:rFonts w:ascii="宋体" w:hAnsi="宋体"/>
                <w:sz w:val="24"/>
              </w:rPr>
            </w:pPr>
          </w:p>
        </w:tc>
        <w:tc>
          <w:tcPr>
            <w:tcW w:w="902" w:type="dxa"/>
            <w:vAlign w:val="center"/>
          </w:tcPr>
          <w:p>
            <w:pPr>
              <w:widowControl/>
              <w:spacing w:line="360" w:lineRule="atLeast"/>
              <w:ind w:firstLine="470" w:firstLineChars="196"/>
              <w:jc w:val="center"/>
              <w:outlineLvl w:val="1"/>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24" w:type="dxa"/>
            <w:tcBorders>
              <w:bottom w:val="single" w:color="auto" w:sz="4" w:space="0"/>
              <w:right w:val="single" w:color="auto" w:sz="4" w:space="0"/>
            </w:tcBorders>
          </w:tcPr>
          <w:p>
            <w:pPr>
              <w:widowControl/>
              <w:spacing w:line="360" w:lineRule="atLeast"/>
              <w:jc w:val="center"/>
              <w:outlineLvl w:val="1"/>
              <w:rPr>
                <w:rFonts w:ascii="宋体" w:hAnsi="宋体"/>
                <w:sz w:val="24"/>
              </w:rPr>
            </w:pPr>
          </w:p>
        </w:tc>
        <w:tc>
          <w:tcPr>
            <w:tcW w:w="8508" w:type="dxa"/>
            <w:gridSpan w:val="8"/>
            <w:tcBorders>
              <w:left w:val="single" w:color="auto" w:sz="4" w:space="0"/>
              <w:bottom w:val="single" w:color="auto" w:sz="4" w:space="0"/>
            </w:tcBorders>
          </w:tcPr>
          <w:p>
            <w:pPr>
              <w:widowControl/>
              <w:spacing w:line="360" w:lineRule="atLeast"/>
              <w:jc w:val="left"/>
              <w:outlineLvl w:val="1"/>
              <w:rPr>
                <w:rFonts w:ascii="宋体" w:hAnsi="宋体"/>
                <w:sz w:val="24"/>
              </w:rPr>
            </w:pPr>
            <w:r>
              <w:rPr>
                <w:rFonts w:hint="eastAsia" w:ascii="宋体" w:hAnsi="宋体"/>
                <w:sz w:val="24"/>
              </w:rPr>
              <w:t>报价合计（万元）：          大写：</w:t>
            </w:r>
          </w:p>
        </w:tc>
      </w:tr>
    </w:tbl>
    <w:p>
      <w:pPr>
        <w:widowControl/>
        <w:spacing w:line="360" w:lineRule="atLeast"/>
        <w:jc w:val="left"/>
        <w:rPr>
          <w:rFonts w:ascii="宋体" w:hAnsi="宋体"/>
          <w:sz w:val="24"/>
        </w:rPr>
      </w:pPr>
    </w:p>
    <w:p>
      <w:pPr>
        <w:widowControl/>
        <w:spacing w:line="360" w:lineRule="atLeast"/>
        <w:ind w:firstLine="470" w:firstLineChars="196"/>
        <w:jc w:val="left"/>
        <w:rPr>
          <w:rFonts w:ascii="宋体" w:hAnsi="宋体"/>
          <w:sz w:val="24"/>
        </w:rPr>
      </w:pPr>
      <w:r>
        <w:rPr>
          <w:rFonts w:hint="eastAsia" w:ascii="宋体" w:hAnsi="宋体"/>
          <w:sz w:val="24"/>
        </w:rPr>
        <w:t xml:space="preserve">注：1. 报价应是最终用户验收合格后的总价，包括所以设备运输、保险、代理、安装调试、培训、税费和招标文件规定的其它费用。 </w:t>
      </w:r>
    </w:p>
    <w:p>
      <w:pPr>
        <w:widowControl/>
        <w:spacing w:line="360" w:lineRule="atLeast"/>
        <w:ind w:firstLine="470" w:firstLineChars="196"/>
        <w:jc w:val="left"/>
        <w:rPr>
          <w:rFonts w:ascii="宋体" w:hAnsi="宋体"/>
          <w:sz w:val="24"/>
        </w:rPr>
      </w:pPr>
      <w:r>
        <w:rPr>
          <w:rFonts w:hint="eastAsia" w:ascii="宋体" w:hAnsi="宋体"/>
          <w:sz w:val="24"/>
        </w:rPr>
        <w:t>2.“开标一览表”为多页的，每页均须加盖投标人印章。</w:t>
      </w:r>
    </w:p>
    <w:p>
      <w:pPr>
        <w:widowControl/>
        <w:spacing w:line="360" w:lineRule="atLeast"/>
        <w:ind w:firstLine="470" w:firstLineChars="196"/>
        <w:jc w:val="left"/>
        <w:rPr>
          <w:rFonts w:ascii="宋体" w:hAnsi="宋体"/>
          <w:sz w:val="24"/>
        </w:rPr>
      </w:pPr>
      <w:r>
        <w:rPr>
          <w:rFonts w:hint="eastAsia" w:ascii="宋体" w:hAnsi="宋体"/>
          <w:sz w:val="24"/>
        </w:rPr>
        <w:t>3．如是进口设备，须在表格中标明“进口”。招标文件未明确“允许进口”的，供应商以进口产品进行投标时，将视为无效投标。</w:t>
      </w:r>
    </w:p>
    <w:p>
      <w:pPr>
        <w:pStyle w:val="2"/>
        <w:ind w:firstLine="480" w:firstLineChars="200"/>
      </w:pPr>
      <w:r>
        <w:rPr>
          <w:rFonts w:hint="eastAsia" w:ascii="宋体" w:hAnsi="宋体"/>
          <w:sz w:val="24"/>
        </w:rPr>
        <w:t>4.</w:t>
      </w:r>
      <w:r>
        <w:rPr>
          <w:rFonts w:hint="eastAsia" w:ascii="宋体" w:hAnsi="宋体" w:cs="宋体"/>
          <w:color w:val="000000"/>
          <w:sz w:val="24"/>
        </w:rPr>
        <w:t>本项目为交钥匙工程，投标总价包含所有辅材、配件等。</w:t>
      </w:r>
    </w:p>
    <w:p>
      <w:pPr>
        <w:widowControl/>
        <w:spacing w:line="360" w:lineRule="atLeast"/>
        <w:ind w:firstLine="470" w:firstLineChars="196"/>
        <w:jc w:val="left"/>
        <w:rPr>
          <w:rFonts w:ascii="宋体" w:hAnsi="宋体"/>
          <w:sz w:val="24"/>
        </w:rPr>
      </w:pPr>
    </w:p>
    <w:p>
      <w:pPr>
        <w:widowControl/>
        <w:spacing w:line="360" w:lineRule="atLeast"/>
        <w:ind w:firstLine="470" w:firstLineChars="196"/>
        <w:jc w:val="left"/>
        <w:rPr>
          <w:rFonts w:ascii="宋体" w:hAnsi="宋体"/>
          <w:sz w:val="24"/>
        </w:rPr>
      </w:pPr>
    </w:p>
    <w:p>
      <w:pPr>
        <w:widowControl/>
        <w:spacing w:line="360" w:lineRule="atLeast"/>
        <w:ind w:firstLine="470" w:firstLineChars="196"/>
        <w:jc w:val="left"/>
        <w:rPr>
          <w:rFonts w:ascii="宋体" w:hAnsi="宋体"/>
          <w:sz w:val="24"/>
        </w:rPr>
      </w:pPr>
      <w:r>
        <w:rPr>
          <w:rFonts w:hint="eastAsia" w:ascii="宋体" w:hAnsi="宋体"/>
          <w:sz w:val="24"/>
        </w:rPr>
        <w:t>投标人名称：XXXX。</w:t>
      </w:r>
    </w:p>
    <w:p>
      <w:pPr>
        <w:widowControl/>
        <w:spacing w:line="360" w:lineRule="atLeast"/>
        <w:ind w:firstLine="470" w:firstLineChars="196"/>
        <w:jc w:val="left"/>
        <w:rPr>
          <w:rFonts w:ascii="宋体" w:hAnsi="宋体"/>
          <w:b/>
          <w:sz w:val="24"/>
        </w:rPr>
        <w:sectPr>
          <w:pgSz w:w="11907" w:h="16840"/>
          <w:pgMar w:top="1440" w:right="1474" w:bottom="1440" w:left="1474" w:header="851" w:footer="992" w:gutter="0"/>
          <w:cols w:space="720" w:num="1"/>
          <w:docGrid w:linePitch="312" w:charSpace="0"/>
        </w:sectPr>
      </w:pPr>
      <w:r>
        <w:rPr>
          <w:rFonts w:hint="eastAsia" w:ascii="宋体" w:hAnsi="宋体"/>
          <w:sz w:val="24"/>
        </w:rPr>
        <w:t>投标日期：XXXX。</w:t>
      </w:r>
    </w:p>
    <w:p>
      <w:pPr>
        <w:spacing w:line="360" w:lineRule="auto"/>
        <w:rPr>
          <w:rFonts w:ascii="宋体" w:hAnsi="宋体"/>
          <w:b/>
          <w:sz w:val="32"/>
          <w:szCs w:val="32"/>
        </w:rPr>
      </w:pPr>
      <w:bookmarkStart w:id="138" w:name="_Toc217446086"/>
      <w:r>
        <w:rPr>
          <w:rFonts w:hint="eastAsia" w:ascii="宋体" w:hAnsi="宋体"/>
          <w:b/>
          <w:sz w:val="32"/>
          <w:szCs w:val="32"/>
        </w:rPr>
        <w:t>格式2-5</w:t>
      </w:r>
    </w:p>
    <w:p>
      <w:pPr>
        <w:widowControl/>
        <w:spacing w:line="360" w:lineRule="atLeast"/>
        <w:jc w:val="center"/>
        <w:outlineLvl w:val="2"/>
        <w:rPr>
          <w:rFonts w:ascii="宋体" w:hAnsi="宋体"/>
          <w:b/>
          <w:sz w:val="32"/>
          <w:szCs w:val="32"/>
        </w:rPr>
      </w:pPr>
      <w:r>
        <w:rPr>
          <w:rFonts w:hint="eastAsia" w:ascii="宋体" w:hAnsi="宋体"/>
          <w:b/>
          <w:sz w:val="32"/>
          <w:szCs w:val="32"/>
        </w:rPr>
        <w:t>四、分项报价明细表</w:t>
      </w:r>
      <w:bookmarkEnd w:id="138"/>
    </w:p>
    <w:p>
      <w:pPr>
        <w:widowControl/>
        <w:spacing w:line="360" w:lineRule="atLeast"/>
        <w:ind w:firstLine="472" w:firstLineChars="196"/>
        <w:jc w:val="left"/>
        <w:rPr>
          <w:rFonts w:ascii="宋体" w:hAnsi="宋体"/>
          <w:b/>
          <w:sz w:val="24"/>
        </w:rPr>
      </w:pPr>
    </w:p>
    <w:tbl>
      <w:tblPr>
        <w:tblStyle w:val="26"/>
        <w:tblW w:w="90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
        <w:gridCol w:w="1275"/>
        <w:gridCol w:w="1360"/>
        <w:gridCol w:w="888"/>
        <w:gridCol w:w="1212"/>
        <w:gridCol w:w="840"/>
        <w:gridCol w:w="841"/>
        <w:gridCol w:w="876"/>
        <w:gridCol w:w="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877" w:type="dxa"/>
            <w:vAlign w:val="center"/>
          </w:tcPr>
          <w:p>
            <w:pPr>
              <w:widowControl/>
              <w:spacing w:line="360" w:lineRule="atLeast"/>
              <w:jc w:val="center"/>
              <w:rPr>
                <w:rFonts w:ascii="宋体" w:hAnsi="宋体"/>
                <w:sz w:val="24"/>
              </w:rPr>
            </w:pPr>
            <w:r>
              <w:rPr>
                <w:rFonts w:hint="eastAsia" w:ascii="宋体" w:hAnsi="宋体"/>
                <w:sz w:val="24"/>
              </w:rPr>
              <w:t>序号</w:t>
            </w:r>
          </w:p>
        </w:tc>
        <w:tc>
          <w:tcPr>
            <w:tcW w:w="1275" w:type="dxa"/>
            <w:vAlign w:val="center"/>
          </w:tcPr>
          <w:p>
            <w:pPr>
              <w:widowControl/>
              <w:spacing w:line="360" w:lineRule="atLeast"/>
              <w:jc w:val="center"/>
              <w:rPr>
                <w:rFonts w:ascii="宋体" w:hAnsi="宋体"/>
                <w:sz w:val="24"/>
              </w:rPr>
            </w:pPr>
            <w:r>
              <w:rPr>
                <w:rFonts w:hint="eastAsia" w:ascii="宋体" w:hAnsi="宋体"/>
                <w:sz w:val="24"/>
              </w:rPr>
              <w:t>产品名称</w:t>
            </w:r>
          </w:p>
        </w:tc>
        <w:tc>
          <w:tcPr>
            <w:tcW w:w="1360" w:type="dxa"/>
            <w:vAlign w:val="center"/>
          </w:tcPr>
          <w:p>
            <w:pPr>
              <w:widowControl/>
              <w:spacing w:line="360" w:lineRule="atLeast"/>
              <w:jc w:val="center"/>
              <w:rPr>
                <w:rFonts w:ascii="宋体" w:hAnsi="宋体"/>
                <w:sz w:val="24"/>
              </w:rPr>
            </w:pPr>
            <w:r>
              <w:rPr>
                <w:rFonts w:hint="eastAsia" w:ascii="宋体" w:hAnsi="宋体"/>
                <w:sz w:val="24"/>
              </w:rPr>
              <w:t>规格型号</w:t>
            </w:r>
          </w:p>
        </w:tc>
        <w:tc>
          <w:tcPr>
            <w:tcW w:w="888" w:type="dxa"/>
            <w:vAlign w:val="center"/>
          </w:tcPr>
          <w:p>
            <w:pPr>
              <w:widowControl/>
              <w:spacing w:line="360" w:lineRule="atLeast"/>
              <w:jc w:val="center"/>
              <w:rPr>
                <w:rFonts w:ascii="宋体" w:hAnsi="宋体"/>
                <w:sz w:val="24"/>
              </w:rPr>
            </w:pPr>
            <w:r>
              <w:rPr>
                <w:rFonts w:hint="eastAsia" w:ascii="宋体" w:hAnsi="宋体"/>
                <w:sz w:val="24"/>
              </w:rPr>
              <w:t>品牌</w:t>
            </w:r>
          </w:p>
        </w:tc>
        <w:tc>
          <w:tcPr>
            <w:tcW w:w="1212" w:type="dxa"/>
            <w:vAlign w:val="center"/>
          </w:tcPr>
          <w:p>
            <w:pPr>
              <w:widowControl/>
              <w:spacing w:line="360" w:lineRule="atLeast"/>
              <w:jc w:val="center"/>
              <w:rPr>
                <w:rFonts w:ascii="宋体" w:hAnsi="宋体"/>
                <w:sz w:val="24"/>
              </w:rPr>
            </w:pPr>
            <w:r>
              <w:rPr>
                <w:rFonts w:hint="eastAsia" w:ascii="宋体" w:hAnsi="宋体"/>
                <w:sz w:val="24"/>
              </w:rPr>
              <w:t>单位</w:t>
            </w:r>
          </w:p>
        </w:tc>
        <w:tc>
          <w:tcPr>
            <w:tcW w:w="840" w:type="dxa"/>
            <w:vAlign w:val="center"/>
          </w:tcPr>
          <w:p>
            <w:pPr>
              <w:widowControl/>
              <w:spacing w:line="360" w:lineRule="atLeast"/>
              <w:jc w:val="center"/>
              <w:rPr>
                <w:rFonts w:ascii="宋体" w:hAnsi="宋体"/>
                <w:sz w:val="24"/>
              </w:rPr>
            </w:pPr>
            <w:r>
              <w:rPr>
                <w:rFonts w:hint="eastAsia" w:ascii="宋体" w:hAnsi="宋体"/>
                <w:sz w:val="24"/>
              </w:rPr>
              <w:t>数量</w:t>
            </w:r>
          </w:p>
        </w:tc>
        <w:tc>
          <w:tcPr>
            <w:tcW w:w="841" w:type="dxa"/>
            <w:vAlign w:val="center"/>
          </w:tcPr>
          <w:p>
            <w:pPr>
              <w:widowControl/>
              <w:spacing w:line="360" w:lineRule="atLeast"/>
              <w:jc w:val="center"/>
              <w:rPr>
                <w:rFonts w:ascii="宋体" w:hAnsi="宋体"/>
                <w:sz w:val="24"/>
              </w:rPr>
            </w:pPr>
            <w:r>
              <w:rPr>
                <w:rFonts w:hint="eastAsia" w:ascii="宋体" w:hAnsi="宋体"/>
                <w:sz w:val="24"/>
              </w:rPr>
              <w:t>单价</w:t>
            </w:r>
          </w:p>
        </w:tc>
        <w:tc>
          <w:tcPr>
            <w:tcW w:w="876" w:type="dxa"/>
            <w:vAlign w:val="center"/>
          </w:tcPr>
          <w:p>
            <w:pPr>
              <w:widowControl/>
              <w:spacing w:line="360" w:lineRule="atLeast"/>
              <w:jc w:val="center"/>
              <w:rPr>
                <w:rFonts w:ascii="宋体" w:hAnsi="宋体"/>
                <w:sz w:val="24"/>
              </w:rPr>
            </w:pPr>
            <w:r>
              <w:rPr>
                <w:rFonts w:hint="eastAsia" w:ascii="宋体" w:hAnsi="宋体"/>
                <w:sz w:val="24"/>
              </w:rPr>
              <w:t>金额</w:t>
            </w:r>
          </w:p>
        </w:tc>
        <w:tc>
          <w:tcPr>
            <w:tcW w:w="843" w:type="dxa"/>
            <w:vAlign w:val="center"/>
          </w:tcPr>
          <w:p>
            <w:pPr>
              <w:widowControl/>
              <w:spacing w:line="360" w:lineRule="atLeast"/>
              <w:rPr>
                <w:rFonts w:ascii="宋体" w:hAnsi="宋体"/>
                <w:sz w:val="24"/>
              </w:rPr>
            </w:pPr>
            <w:r>
              <w:rPr>
                <w:rFonts w:hint="eastAsia" w:ascii="宋体" w:hAnsi="宋体"/>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widowControl/>
              <w:spacing w:line="360" w:lineRule="atLeast"/>
              <w:ind w:firstLine="470" w:firstLineChars="196"/>
              <w:jc w:val="left"/>
              <w:rPr>
                <w:rFonts w:ascii="宋体" w:hAnsi="宋体"/>
                <w:sz w:val="24"/>
              </w:rPr>
            </w:pPr>
          </w:p>
        </w:tc>
        <w:tc>
          <w:tcPr>
            <w:tcW w:w="1275" w:type="dxa"/>
            <w:vAlign w:val="center"/>
          </w:tcPr>
          <w:p>
            <w:pPr>
              <w:widowControl/>
              <w:spacing w:line="360" w:lineRule="atLeast"/>
              <w:ind w:firstLine="470" w:firstLineChars="196"/>
              <w:jc w:val="left"/>
              <w:rPr>
                <w:rFonts w:ascii="宋体" w:hAnsi="宋体"/>
                <w:sz w:val="24"/>
              </w:rPr>
            </w:pPr>
          </w:p>
        </w:tc>
        <w:tc>
          <w:tcPr>
            <w:tcW w:w="1360" w:type="dxa"/>
            <w:vAlign w:val="center"/>
          </w:tcPr>
          <w:p>
            <w:pPr>
              <w:widowControl/>
              <w:spacing w:line="360" w:lineRule="atLeast"/>
              <w:ind w:firstLine="470" w:firstLineChars="196"/>
              <w:jc w:val="left"/>
              <w:rPr>
                <w:rFonts w:ascii="宋体" w:hAnsi="宋体"/>
                <w:sz w:val="24"/>
              </w:rPr>
            </w:pPr>
          </w:p>
        </w:tc>
        <w:tc>
          <w:tcPr>
            <w:tcW w:w="888" w:type="dxa"/>
            <w:vAlign w:val="center"/>
          </w:tcPr>
          <w:p>
            <w:pPr>
              <w:widowControl/>
              <w:spacing w:line="360" w:lineRule="atLeast"/>
              <w:ind w:firstLine="470" w:firstLineChars="196"/>
              <w:jc w:val="left"/>
              <w:rPr>
                <w:rFonts w:ascii="宋体" w:hAnsi="宋体"/>
                <w:sz w:val="24"/>
              </w:rPr>
            </w:pPr>
          </w:p>
        </w:tc>
        <w:tc>
          <w:tcPr>
            <w:tcW w:w="1212" w:type="dxa"/>
            <w:vAlign w:val="center"/>
          </w:tcPr>
          <w:p>
            <w:pPr>
              <w:widowControl/>
              <w:spacing w:line="360" w:lineRule="atLeast"/>
              <w:ind w:firstLine="470" w:firstLineChars="196"/>
              <w:jc w:val="left"/>
              <w:rPr>
                <w:rFonts w:ascii="宋体" w:hAnsi="宋体"/>
                <w:sz w:val="24"/>
              </w:rPr>
            </w:pPr>
          </w:p>
        </w:tc>
        <w:tc>
          <w:tcPr>
            <w:tcW w:w="840" w:type="dxa"/>
            <w:vAlign w:val="center"/>
          </w:tcPr>
          <w:p>
            <w:pPr>
              <w:widowControl/>
              <w:spacing w:line="360" w:lineRule="atLeast"/>
              <w:ind w:firstLine="470" w:firstLineChars="196"/>
              <w:jc w:val="left"/>
              <w:rPr>
                <w:rFonts w:ascii="宋体" w:hAnsi="宋体"/>
                <w:sz w:val="24"/>
              </w:rPr>
            </w:pPr>
          </w:p>
        </w:tc>
        <w:tc>
          <w:tcPr>
            <w:tcW w:w="841" w:type="dxa"/>
            <w:vAlign w:val="center"/>
          </w:tcPr>
          <w:p>
            <w:pPr>
              <w:widowControl/>
              <w:spacing w:line="360" w:lineRule="atLeast"/>
              <w:ind w:firstLine="470" w:firstLineChars="196"/>
              <w:jc w:val="left"/>
              <w:rPr>
                <w:rFonts w:ascii="宋体" w:hAnsi="宋体"/>
                <w:sz w:val="24"/>
              </w:rPr>
            </w:pPr>
          </w:p>
        </w:tc>
        <w:tc>
          <w:tcPr>
            <w:tcW w:w="876" w:type="dxa"/>
            <w:vAlign w:val="center"/>
          </w:tcPr>
          <w:p>
            <w:pPr>
              <w:widowControl/>
              <w:spacing w:line="360" w:lineRule="atLeast"/>
              <w:ind w:firstLine="470" w:firstLineChars="196"/>
              <w:jc w:val="left"/>
              <w:rPr>
                <w:rFonts w:ascii="宋体" w:hAnsi="宋体"/>
                <w:sz w:val="24"/>
              </w:rPr>
            </w:pPr>
          </w:p>
        </w:tc>
        <w:tc>
          <w:tcPr>
            <w:tcW w:w="843" w:type="dxa"/>
            <w:vAlign w:val="center"/>
          </w:tcPr>
          <w:p>
            <w:pPr>
              <w:widowControl/>
              <w:spacing w:line="360" w:lineRule="atLeast"/>
              <w:ind w:firstLine="470" w:firstLineChars="196"/>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widowControl/>
              <w:spacing w:line="360" w:lineRule="atLeast"/>
              <w:ind w:firstLine="470" w:firstLineChars="196"/>
              <w:jc w:val="left"/>
              <w:rPr>
                <w:rFonts w:ascii="宋体" w:hAnsi="宋体"/>
                <w:sz w:val="24"/>
              </w:rPr>
            </w:pPr>
          </w:p>
        </w:tc>
        <w:tc>
          <w:tcPr>
            <w:tcW w:w="1275" w:type="dxa"/>
            <w:vAlign w:val="center"/>
          </w:tcPr>
          <w:p>
            <w:pPr>
              <w:widowControl/>
              <w:spacing w:line="360" w:lineRule="atLeast"/>
              <w:ind w:firstLine="470" w:firstLineChars="196"/>
              <w:jc w:val="left"/>
              <w:rPr>
                <w:rFonts w:ascii="宋体" w:hAnsi="宋体"/>
                <w:sz w:val="24"/>
              </w:rPr>
            </w:pPr>
          </w:p>
        </w:tc>
        <w:tc>
          <w:tcPr>
            <w:tcW w:w="1360" w:type="dxa"/>
            <w:vAlign w:val="center"/>
          </w:tcPr>
          <w:p>
            <w:pPr>
              <w:widowControl/>
              <w:spacing w:line="360" w:lineRule="atLeast"/>
              <w:ind w:firstLine="470" w:firstLineChars="196"/>
              <w:jc w:val="left"/>
              <w:rPr>
                <w:rFonts w:ascii="宋体" w:hAnsi="宋体"/>
                <w:sz w:val="24"/>
              </w:rPr>
            </w:pPr>
          </w:p>
        </w:tc>
        <w:tc>
          <w:tcPr>
            <w:tcW w:w="888" w:type="dxa"/>
            <w:vAlign w:val="center"/>
          </w:tcPr>
          <w:p>
            <w:pPr>
              <w:widowControl/>
              <w:spacing w:line="360" w:lineRule="atLeast"/>
              <w:ind w:firstLine="470" w:firstLineChars="196"/>
              <w:jc w:val="left"/>
              <w:rPr>
                <w:rFonts w:ascii="宋体" w:hAnsi="宋体"/>
                <w:sz w:val="24"/>
              </w:rPr>
            </w:pPr>
          </w:p>
        </w:tc>
        <w:tc>
          <w:tcPr>
            <w:tcW w:w="1212" w:type="dxa"/>
            <w:vAlign w:val="center"/>
          </w:tcPr>
          <w:p>
            <w:pPr>
              <w:widowControl/>
              <w:spacing w:line="360" w:lineRule="atLeast"/>
              <w:ind w:firstLine="470" w:firstLineChars="196"/>
              <w:jc w:val="left"/>
              <w:rPr>
                <w:rFonts w:ascii="宋体" w:hAnsi="宋体"/>
                <w:sz w:val="24"/>
              </w:rPr>
            </w:pPr>
          </w:p>
        </w:tc>
        <w:tc>
          <w:tcPr>
            <w:tcW w:w="840" w:type="dxa"/>
            <w:vAlign w:val="center"/>
          </w:tcPr>
          <w:p>
            <w:pPr>
              <w:widowControl/>
              <w:spacing w:line="360" w:lineRule="atLeast"/>
              <w:ind w:firstLine="470" w:firstLineChars="196"/>
              <w:jc w:val="left"/>
              <w:rPr>
                <w:rFonts w:ascii="宋体" w:hAnsi="宋体"/>
                <w:sz w:val="24"/>
              </w:rPr>
            </w:pPr>
          </w:p>
        </w:tc>
        <w:tc>
          <w:tcPr>
            <w:tcW w:w="841" w:type="dxa"/>
            <w:vAlign w:val="center"/>
          </w:tcPr>
          <w:p>
            <w:pPr>
              <w:widowControl/>
              <w:spacing w:line="360" w:lineRule="atLeast"/>
              <w:ind w:firstLine="470" w:firstLineChars="196"/>
              <w:jc w:val="left"/>
              <w:rPr>
                <w:rFonts w:ascii="宋体" w:hAnsi="宋体"/>
                <w:sz w:val="24"/>
              </w:rPr>
            </w:pPr>
          </w:p>
        </w:tc>
        <w:tc>
          <w:tcPr>
            <w:tcW w:w="876" w:type="dxa"/>
            <w:vAlign w:val="center"/>
          </w:tcPr>
          <w:p>
            <w:pPr>
              <w:widowControl/>
              <w:spacing w:line="360" w:lineRule="atLeast"/>
              <w:ind w:firstLine="470" w:firstLineChars="196"/>
              <w:jc w:val="left"/>
              <w:rPr>
                <w:rFonts w:ascii="宋体" w:hAnsi="宋体"/>
                <w:sz w:val="24"/>
              </w:rPr>
            </w:pPr>
          </w:p>
        </w:tc>
        <w:tc>
          <w:tcPr>
            <w:tcW w:w="843" w:type="dxa"/>
            <w:vAlign w:val="center"/>
          </w:tcPr>
          <w:p>
            <w:pPr>
              <w:widowControl/>
              <w:spacing w:line="360" w:lineRule="atLeast"/>
              <w:ind w:firstLine="470" w:firstLineChars="196"/>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widowControl/>
              <w:spacing w:line="360" w:lineRule="atLeast"/>
              <w:ind w:firstLine="470" w:firstLineChars="196"/>
              <w:jc w:val="left"/>
              <w:rPr>
                <w:rFonts w:ascii="宋体" w:hAnsi="宋体"/>
                <w:sz w:val="24"/>
              </w:rPr>
            </w:pPr>
          </w:p>
        </w:tc>
        <w:tc>
          <w:tcPr>
            <w:tcW w:w="1275" w:type="dxa"/>
            <w:vAlign w:val="center"/>
          </w:tcPr>
          <w:p>
            <w:pPr>
              <w:widowControl/>
              <w:spacing w:line="360" w:lineRule="atLeast"/>
              <w:ind w:firstLine="470" w:firstLineChars="196"/>
              <w:jc w:val="left"/>
              <w:rPr>
                <w:rFonts w:ascii="宋体" w:hAnsi="宋体"/>
                <w:sz w:val="24"/>
              </w:rPr>
            </w:pPr>
          </w:p>
        </w:tc>
        <w:tc>
          <w:tcPr>
            <w:tcW w:w="1360" w:type="dxa"/>
            <w:vAlign w:val="center"/>
          </w:tcPr>
          <w:p>
            <w:pPr>
              <w:widowControl/>
              <w:spacing w:line="360" w:lineRule="atLeast"/>
              <w:ind w:firstLine="470" w:firstLineChars="196"/>
              <w:jc w:val="left"/>
              <w:rPr>
                <w:rFonts w:ascii="宋体" w:hAnsi="宋体"/>
                <w:sz w:val="24"/>
              </w:rPr>
            </w:pPr>
          </w:p>
        </w:tc>
        <w:tc>
          <w:tcPr>
            <w:tcW w:w="888" w:type="dxa"/>
            <w:vAlign w:val="center"/>
          </w:tcPr>
          <w:p>
            <w:pPr>
              <w:widowControl/>
              <w:spacing w:line="360" w:lineRule="atLeast"/>
              <w:ind w:firstLine="470" w:firstLineChars="196"/>
              <w:jc w:val="left"/>
              <w:rPr>
                <w:rFonts w:ascii="宋体" w:hAnsi="宋体"/>
                <w:sz w:val="24"/>
              </w:rPr>
            </w:pPr>
          </w:p>
        </w:tc>
        <w:tc>
          <w:tcPr>
            <w:tcW w:w="1212" w:type="dxa"/>
            <w:vAlign w:val="center"/>
          </w:tcPr>
          <w:p>
            <w:pPr>
              <w:widowControl/>
              <w:spacing w:line="360" w:lineRule="atLeast"/>
              <w:ind w:firstLine="470" w:firstLineChars="196"/>
              <w:jc w:val="left"/>
              <w:rPr>
                <w:rFonts w:ascii="宋体" w:hAnsi="宋体"/>
                <w:sz w:val="24"/>
              </w:rPr>
            </w:pPr>
          </w:p>
        </w:tc>
        <w:tc>
          <w:tcPr>
            <w:tcW w:w="840" w:type="dxa"/>
            <w:vAlign w:val="center"/>
          </w:tcPr>
          <w:p>
            <w:pPr>
              <w:widowControl/>
              <w:spacing w:line="360" w:lineRule="atLeast"/>
              <w:ind w:firstLine="470" w:firstLineChars="196"/>
              <w:jc w:val="left"/>
              <w:rPr>
                <w:rFonts w:ascii="宋体" w:hAnsi="宋体"/>
                <w:sz w:val="24"/>
              </w:rPr>
            </w:pPr>
          </w:p>
        </w:tc>
        <w:tc>
          <w:tcPr>
            <w:tcW w:w="841" w:type="dxa"/>
            <w:vAlign w:val="center"/>
          </w:tcPr>
          <w:p>
            <w:pPr>
              <w:widowControl/>
              <w:spacing w:line="360" w:lineRule="atLeast"/>
              <w:ind w:firstLine="470" w:firstLineChars="196"/>
              <w:jc w:val="left"/>
              <w:rPr>
                <w:rFonts w:ascii="宋体" w:hAnsi="宋体"/>
                <w:sz w:val="24"/>
              </w:rPr>
            </w:pPr>
          </w:p>
        </w:tc>
        <w:tc>
          <w:tcPr>
            <w:tcW w:w="876" w:type="dxa"/>
            <w:vAlign w:val="center"/>
          </w:tcPr>
          <w:p>
            <w:pPr>
              <w:widowControl/>
              <w:spacing w:line="360" w:lineRule="atLeast"/>
              <w:ind w:firstLine="470" w:firstLineChars="196"/>
              <w:jc w:val="left"/>
              <w:rPr>
                <w:rFonts w:ascii="宋体" w:hAnsi="宋体"/>
                <w:sz w:val="24"/>
              </w:rPr>
            </w:pPr>
          </w:p>
        </w:tc>
        <w:tc>
          <w:tcPr>
            <w:tcW w:w="843" w:type="dxa"/>
            <w:vAlign w:val="center"/>
          </w:tcPr>
          <w:p>
            <w:pPr>
              <w:widowControl/>
              <w:spacing w:line="360" w:lineRule="atLeast"/>
              <w:ind w:firstLine="470" w:firstLineChars="196"/>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tcBorders>
              <w:left w:val="single" w:color="auto" w:sz="4" w:space="0"/>
            </w:tcBorders>
            <w:vAlign w:val="center"/>
          </w:tcPr>
          <w:p>
            <w:pPr>
              <w:widowControl/>
              <w:spacing w:line="360" w:lineRule="atLeast"/>
              <w:ind w:firstLine="470" w:firstLineChars="196"/>
              <w:jc w:val="left"/>
              <w:rPr>
                <w:rFonts w:ascii="宋体" w:hAnsi="宋体"/>
                <w:sz w:val="24"/>
              </w:rPr>
            </w:pPr>
          </w:p>
        </w:tc>
        <w:tc>
          <w:tcPr>
            <w:tcW w:w="1275" w:type="dxa"/>
            <w:vAlign w:val="center"/>
          </w:tcPr>
          <w:p>
            <w:pPr>
              <w:widowControl/>
              <w:spacing w:line="360" w:lineRule="atLeast"/>
              <w:ind w:firstLine="470" w:firstLineChars="196"/>
              <w:jc w:val="left"/>
              <w:rPr>
                <w:rFonts w:ascii="宋体" w:hAnsi="宋体"/>
                <w:sz w:val="24"/>
              </w:rPr>
            </w:pPr>
          </w:p>
        </w:tc>
        <w:tc>
          <w:tcPr>
            <w:tcW w:w="1360" w:type="dxa"/>
            <w:vAlign w:val="center"/>
          </w:tcPr>
          <w:p>
            <w:pPr>
              <w:widowControl/>
              <w:spacing w:line="360" w:lineRule="atLeast"/>
              <w:ind w:firstLine="470" w:firstLineChars="196"/>
              <w:jc w:val="left"/>
              <w:rPr>
                <w:rFonts w:ascii="宋体" w:hAnsi="宋体"/>
                <w:sz w:val="24"/>
              </w:rPr>
            </w:pPr>
          </w:p>
        </w:tc>
        <w:tc>
          <w:tcPr>
            <w:tcW w:w="888" w:type="dxa"/>
            <w:vAlign w:val="center"/>
          </w:tcPr>
          <w:p>
            <w:pPr>
              <w:widowControl/>
              <w:spacing w:line="360" w:lineRule="atLeast"/>
              <w:ind w:firstLine="470" w:firstLineChars="196"/>
              <w:jc w:val="left"/>
              <w:rPr>
                <w:rFonts w:ascii="宋体" w:hAnsi="宋体"/>
                <w:sz w:val="24"/>
              </w:rPr>
            </w:pPr>
          </w:p>
        </w:tc>
        <w:tc>
          <w:tcPr>
            <w:tcW w:w="1212" w:type="dxa"/>
            <w:vAlign w:val="center"/>
          </w:tcPr>
          <w:p>
            <w:pPr>
              <w:widowControl/>
              <w:spacing w:line="360" w:lineRule="atLeast"/>
              <w:ind w:firstLine="470" w:firstLineChars="196"/>
              <w:jc w:val="left"/>
              <w:rPr>
                <w:rFonts w:ascii="宋体" w:hAnsi="宋体"/>
                <w:sz w:val="24"/>
              </w:rPr>
            </w:pPr>
          </w:p>
        </w:tc>
        <w:tc>
          <w:tcPr>
            <w:tcW w:w="840" w:type="dxa"/>
            <w:vAlign w:val="center"/>
          </w:tcPr>
          <w:p>
            <w:pPr>
              <w:widowControl/>
              <w:spacing w:line="360" w:lineRule="atLeast"/>
              <w:ind w:firstLine="470" w:firstLineChars="196"/>
              <w:jc w:val="left"/>
              <w:rPr>
                <w:rFonts w:ascii="宋体" w:hAnsi="宋体"/>
                <w:sz w:val="24"/>
              </w:rPr>
            </w:pPr>
          </w:p>
        </w:tc>
        <w:tc>
          <w:tcPr>
            <w:tcW w:w="841" w:type="dxa"/>
            <w:vAlign w:val="center"/>
          </w:tcPr>
          <w:p>
            <w:pPr>
              <w:widowControl/>
              <w:spacing w:line="360" w:lineRule="atLeast"/>
              <w:ind w:firstLine="470" w:firstLineChars="196"/>
              <w:jc w:val="left"/>
              <w:rPr>
                <w:rFonts w:ascii="宋体" w:hAnsi="宋体"/>
                <w:sz w:val="24"/>
              </w:rPr>
            </w:pPr>
          </w:p>
        </w:tc>
        <w:tc>
          <w:tcPr>
            <w:tcW w:w="876" w:type="dxa"/>
            <w:vAlign w:val="center"/>
          </w:tcPr>
          <w:p>
            <w:pPr>
              <w:widowControl/>
              <w:spacing w:line="360" w:lineRule="atLeast"/>
              <w:ind w:firstLine="470" w:firstLineChars="196"/>
              <w:jc w:val="left"/>
              <w:rPr>
                <w:rFonts w:ascii="宋体" w:hAnsi="宋体"/>
                <w:sz w:val="24"/>
              </w:rPr>
            </w:pPr>
          </w:p>
        </w:tc>
        <w:tc>
          <w:tcPr>
            <w:tcW w:w="843" w:type="dxa"/>
            <w:vAlign w:val="center"/>
          </w:tcPr>
          <w:p>
            <w:pPr>
              <w:widowControl/>
              <w:spacing w:line="360" w:lineRule="atLeast"/>
              <w:ind w:firstLine="470" w:firstLineChars="196"/>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widowControl/>
              <w:spacing w:line="360" w:lineRule="atLeast"/>
              <w:ind w:firstLine="470" w:firstLineChars="196"/>
              <w:jc w:val="left"/>
              <w:rPr>
                <w:rFonts w:ascii="宋体" w:hAnsi="宋体"/>
                <w:sz w:val="24"/>
              </w:rPr>
            </w:pPr>
          </w:p>
        </w:tc>
        <w:tc>
          <w:tcPr>
            <w:tcW w:w="1275" w:type="dxa"/>
            <w:vAlign w:val="center"/>
          </w:tcPr>
          <w:p>
            <w:pPr>
              <w:widowControl/>
              <w:spacing w:line="360" w:lineRule="atLeast"/>
              <w:ind w:firstLine="470" w:firstLineChars="196"/>
              <w:jc w:val="left"/>
              <w:rPr>
                <w:rFonts w:ascii="宋体" w:hAnsi="宋体"/>
                <w:sz w:val="24"/>
              </w:rPr>
            </w:pPr>
          </w:p>
        </w:tc>
        <w:tc>
          <w:tcPr>
            <w:tcW w:w="1360" w:type="dxa"/>
            <w:vAlign w:val="center"/>
          </w:tcPr>
          <w:p>
            <w:pPr>
              <w:widowControl/>
              <w:spacing w:line="360" w:lineRule="atLeast"/>
              <w:ind w:firstLine="470" w:firstLineChars="196"/>
              <w:jc w:val="left"/>
              <w:rPr>
                <w:rFonts w:ascii="宋体" w:hAnsi="宋体"/>
                <w:sz w:val="24"/>
              </w:rPr>
            </w:pPr>
          </w:p>
        </w:tc>
        <w:tc>
          <w:tcPr>
            <w:tcW w:w="888" w:type="dxa"/>
            <w:vAlign w:val="center"/>
          </w:tcPr>
          <w:p>
            <w:pPr>
              <w:widowControl/>
              <w:spacing w:line="360" w:lineRule="atLeast"/>
              <w:ind w:firstLine="470" w:firstLineChars="196"/>
              <w:jc w:val="left"/>
              <w:rPr>
                <w:rFonts w:ascii="宋体" w:hAnsi="宋体"/>
                <w:sz w:val="24"/>
              </w:rPr>
            </w:pPr>
          </w:p>
        </w:tc>
        <w:tc>
          <w:tcPr>
            <w:tcW w:w="1212" w:type="dxa"/>
            <w:vAlign w:val="center"/>
          </w:tcPr>
          <w:p>
            <w:pPr>
              <w:widowControl/>
              <w:spacing w:line="360" w:lineRule="atLeast"/>
              <w:ind w:firstLine="470" w:firstLineChars="196"/>
              <w:jc w:val="left"/>
              <w:rPr>
                <w:rFonts w:ascii="宋体" w:hAnsi="宋体"/>
                <w:sz w:val="24"/>
              </w:rPr>
            </w:pPr>
          </w:p>
        </w:tc>
        <w:tc>
          <w:tcPr>
            <w:tcW w:w="840" w:type="dxa"/>
            <w:vAlign w:val="center"/>
          </w:tcPr>
          <w:p>
            <w:pPr>
              <w:widowControl/>
              <w:spacing w:line="360" w:lineRule="atLeast"/>
              <w:ind w:firstLine="470" w:firstLineChars="196"/>
              <w:jc w:val="left"/>
              <w:rPr>
                <w:rFonts w:ascii="宋体" w:hAnsi="宋体"/>
                <w:sz w:val="24"/>
              </w:rPr>
            </w:pPr>
          </w:p>
        </w:tc>
        <w:tc>
          <w:tcPr>
            <w:tcW w:w="841" w:type="dxa"/>
            <w:vAlign w:val="center"/>
          </w:tcPr>
          <w:p>
            <w:pPr>
              <w:widowControl/>
              <w:spacing w:line="360" w:lineRule="atLeast"/>
              <w:ind w:firstLine="470" w:firstLineChars="196"/>
              <w:jc w:val="left"/>
              <w:rPr>
                <w:rFonts w:ascii="宋体" w:hAnsi="宋体"/>
                <w:sz w:val="24"/>
              </w:rPr>
            </w:pPr>
          </w:p>
        </w:tc>
        <w:tc>
          <w:tcPr>
            <w:tcW w:w="876" w:type="dxa"/>
            <w:vAlign w:val="center"/>
          </w:tcPr>
          <w:p>
            <w:pPr>
              <w:widowControl/>
              <w:spacing w:line="360" w:lineRule="atLeast"/>
              <w:ind w:firstLine="470" w:firstLineChars="196"/>
              <w:jc w:val="left"/>
              <w:rPr>
                <w:rFonts w:ascii="宋体" w:hAnsi="宋体"/>
                <w:sz w:val="24"/>
              </w:rPr>
            </w:pPr>
          </w:p>
        </w:tc>
        <w:tc>
          <w:tcPr>
            <w:tcW w:w="843" w:type="dxa"/>
            <w:vAlign w:val="center"/>
          </w:tcPr>
          <w:p>
            <w:pPr>
              <w:widowControl/>
              <w:spacing w:line="360" w:lineRule="atLeast"/>
              <w:ind w:firstLine="470" w:firstLineChars="196"/>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widowControl/>
              <w:spacing w:line="360" w:lineRule="atLeast"/>
              <w:ind w:firstLine="470" w:firstLineChars="196"/>
              <w:jc w:val="left"/>
              <w:outlineLvl w:val="1"/>
              <w:rPr>
                <w:rFonts w:ascii="宋体" w:hAnsi="宋体"/>
                <w:sz w:val="24"/>
              </w:rPr>
            </w:pPr>
          </w:p>
        </w:tc>
        <w:tc>
          <w:tcPr>
            <w:tcW w:w="1275" w:type="dxa"/>
            <w:vAlign w:val="center"/>
          </w:tcPr>
          <w:p>
            <w:pPr>
              <w:widowControl/>
              <w:spacing w:line="360" w:lineRule="atLeast"/>
              <w:ind w:firstLine="470" w:firstLineChars="196"/>
              <w:jc w:val="left"/>
              <w:outlineLvl w:val="1"/>
              <w:rPr>
                <w:rFonts w:ascii="宋体" w:hAnsi="宋体"/>
                <w:sz w:val="24"/>
              </w:rPr>
            </w:pPr>
          </w:p>
        </w:tc>
        <w:tc>
          <w:tcPr>
            <w:tcW w:w="1360" w:type="dxa"/>
            <w:vAlign w:val="center"/>
          </w:tcPr>
          <w:p>
            <w:pPr>
              <w:widowControl/>
              <w:spacing w:line="360" w:lineRule="atLeast"/>
              <w:ind w:firstLine="470" w:firstLineChars="196"/>
              <w:jc w:val="left"/>
              <w:outlineLvl w:val="1"/>
              <w:rPr>
                <w:rFonts w:ascii="宋体" w:hAnsi="宋体"/>
                <w:sz w:val="24"/>
              </w:rPr>
            </w:pPr>
          </w:p>
        </w:tc>
        <w:tc>
          <w:tcPr>
            <w:tcW w:w="888" w:type="dxa"/>
            <w:vAlign w:val="center"/>
          </w:tcPr>
          <w:p>
            <w:pPr>
              <w:widowControl/>
              <w:spacing w:line="360" w:lineRule="atLeast"/>
              <w:ind w:firstLine="470" w:firstLineChars="196"/>
              <w:jc w:val="left"/>
              <w:outlineLvl w:val="1"/>
              <w:rPr>
                <w:rFonts w:ascii="宋体" w:hAnsi="宋体"/>
                <w:sz w:val="24"/>
              </w:rPr>
            </w:pPr>
          </w:p>
        </w:tc>
        <w:tc>
          <w:tcPr>
            <w:tcW w:w="1212" w:type="dxa"/>
            <w:vAlign w:val="center"/>
          </w:tcPr>
          <w:p>
            <w:pPr>
              <w:widowControl/>
              <w:spacing w:line="360" w:lineRule="atLeast"/>
              <w:ind w:firstLine="470" w:firstLineChars="196"/>
              <w:jc w:val="left"/>
              <w:outlineLvl w:val="1"/>
              <w:rPr>
                <w:rFonts w:ascii="宋体" w:hAnsi="宋体"/>
                <w:sz w:val="24"/>
              </w:rPr>
            </w:pPr>
          </w:p>
        </w:tc>
        <w:tc>
          <w:tcPr>
            <w:tcW w:w="840" w:type="dxa"/>
            <w:vAlign w:val="center"/>
          </w:tcPr>
          <w:p>
            <w:pPr>
              <w:widowControl/>
              <w:spacing w:line="360" w:lineRule="atLeast"/>
              <w:ind w:firstLine="470" w:firstLineChars="196"/>
              <w:jc w:val="left"/>
              <w:outlineLvl w:val="1"/>
              <w:rPr>
                <w:rFonts w:ascii="宋体" w:hAnsi="宋体"/>
                <w:sz w:val="24"/>
              </w:rPr>
            </w:pPr>
          </w:p>
        </w:tc>
        <w:tc>
          <w:tcPr>
            <w:tcW w:w="841" w:type="dxa"/>
            <w:vAlign w:val="center"/>
          </w:tcPr>
          <w:p>
            <w:pPr>
              <w:widowControl/>
              <w:spacing w:line="360" w:lineRule="atLeast"/>
              <w:ind w:firstLine="470" w:firstLineChars="196"/>
              <w:jc w:val="left"/>
              <w:outlineLvl w:val="1"/>
              <w:rPr>
                <w:rFonts w:ascii="宋体" w:hAnsi="宋体"/>
                <w:sz w:val="24"/>
              </w:rPr>
            </w:pPr>
          </w:p>
        </w:tc>
        <w:tc>
          <w:tcPr>
            <w:tcW w:w="876" w:type="dxa"/>
            <w:vAlign w:val="center"/>
          </w:tcPr>
          <w:p>
            <w:pPr>
              <w:widowControl/>
              <w:spacing w:line="360" w:lineRule="atLeast"/>
              <w:ind w:firstLine="470" w:firstLineChars="196"/>
              <w:jc w:val="left"/>
              <w:outlineLvl w:val="1"/>
              <w:rPr>
                <w:rFonts w:ascii="宋体" w:hAnsi="宋体"/>
                <w:sz w:val="24"/>
              </w:rPr>
            </w:pPr>
          </w:p>
        </w:tc>
        <w:tc>
          <w:tcPr>
            <w:tcW w:w="843" w:type="dxa"/>
            <w:vAlign w:val="center"/>
          </w:tcPr>
          <w:p>
            <w:pPr>
              <w:widowControl/>
              <w:spacing w:line="360" w:lineRule="atLeast"/>
              <w:ind w:firstLine="470" w:firstLineChars="196"/>
              <w:jc w:val="left"/>
              <w:outlineLvl w:val="1"/>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77"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宋体" w:hAnsi="宋体"/>
                <w:sz w:val="24"/>
              </w:rPr>
            </w:pPr>
          </w:p>
        </w:tc>
        <w:tc>
          <w:tcPr>
            <w:tcW w:w="6416" w:type="dxa"/>
            <w:gridSpan w:val="6"/>
            <w:tcBorders>
              <w:top w:val="single" w:color="auto" w:sz="4" w:space="0"/>
              <w:bottom w:val="single" w:color="auto" w:sz="4" w:space="0"/>
            </w:tcBorders>
            <w:vAlign w:val="center"/>
          </w:tcPr>
          <w:p>
            <w:pPr>
              <w:widowControl/>
              <w:spacing w:line="360" w:lineRule="atLeast"/>
              <w:ind w:firstLine="470" w:firstLineChars="196"/>
              <w:jc w:val="left"/>
              <w:outlineLvl w:val="1"/>
              <w:rPr>
                <w:rFonts w:ascii="宋体" w:hAnsi="宋体"/>
                <w:sz w:val="24"/>
              </w:rPr>
            </w:pPr>
            <w:r>
              <w:rPr>
                <w:rFonts w:hint="eastAsia" w:ascii="宋体" w:hAnsi="宋体"/>
                <w:sz w:val="24"/>
              </w:rPr>
              <w:t>分项报价合计（万元）：   大写：</w:t>
            </w:r>
          </w:p>
        </w:tc>
        <w:tc>
          <w:tcPr>
            <w:tcW w:w="876"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宋体" w:hAnsi="宋体"/>
                <w:sz w:val="24"/>
              </w:rPr>
            </w:pPr>
          </w:p>
        </w:tc>
        <w:tc>
          <w:tcPr>
            <w:tcW w:w="843"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宋体" w:hAnsi="宋体"/>
                <w:sz w:val="24"/>
              </w:rPr>
            </w:pPr>
          </w:p>
        </w:tc>
      </w:tr>
    </w:tbl>
    <w:p>
      <w:pPr>
        <w:widowControl/>
        <w:spacing w:line="360" w:lineRule="atLeast"/>
        <w:jc w:val="left"/>
        <w:rPr>
          <w:rFonts w:ascii="宋体" w:hAnsi="宋体"/>
          <w:sz w:val="24"/>
        </w:rPr>
      </w:pPr>
    </w:p>
    <w:p>
      <w:pPr>
        <w:widowControl/>
        <w:spacing w:line="360" w:lineRule="atLeast"/>
        <w:ind w:firstLine="470" w:firstLineChars="196"/>
        <w:jc w:val="left"/>
        <w:rPr>
          <w:rFonts w:ascii="宋体" w:hAnsi="宋体"/>
          <w:sz w:val="24"/>
        </w:rPr>
      </w:pPr>
      <w:r>
        <w:rPr>
          <w:rFonts w:hint="eastAsia" w:ascii="宋体" w:hAnsi="宋体"/>
          <w:sz w:val="24"/>
        </w:rPr>
        <w:t>注：1、投标人按“分项报价明细表”的格式详细报出投标总价的各个组成部分的报价；</w:t>
      </w:r>
    </w:p>
    <w:p>
      <w:pPr>
        <w:widowControl/>
        <w:spacing w:line="360" w:lineRule="atLeast"/>
        <w:ind w:firstLine="470" w:firstLineChars="196"/>
        <w:jc w:val="left"/>
        <w:rPr>
          <w:rFonts w:ascii="宋体" w:hAnsi="宋体"/>
          <w:sz w:val="24"/>
        </w:rPr>
      </w:pPr>
      <w:r>
        <w:rPr>
          <w:rFonts w:hint="eastAsia" w:ascii="宋体" w:hAnsi="宋体"/>
          <w:sz w:val="24"/>
        </w:rPr>
        <w:t>若各品目有配置清单的，应报出配置清单中每项配置的分项单价，并列出其小计金额作为该品目产品对应的整体单价。（若未对有配置清单的品目报出每项配置分项单价的，则视为完全满足招标文件的要求并已在报价中包含了招标文件要求的全部配置。）</w:t>
      </w:r>
    </w:p>
    <w:p>
      <w:pPr>
        <w:widowControl/>
        <w:spacing w:line="360" w:lineRule="atLeast"/>
        <w:ind w:firstLine="470" w:firstLineChars="196"/>
        <w:jc w:val="left"/>
        <w:rPr>
          <w:rFonts w:ascii="宋体" w:hAnsi="宋体"/>
          <w:b/>
          <w:sz w:val="24"/>
        </w:rPr>
      </w:pPr>
      <w:r>
        <w:rPr>
          <w:rFonts w:hint="eastAsia" w:ascii="宋体" w:hAnsi="宋体"/>
          <w:sz w:val="24"/>
        </w:rPr>
        <w:t>2、“分项报价明细表”各分项报价合计应当与“开标一览表”报价合计相等。</w:t>
      </w:r>
    </w:p>
    <w:p>
      <w:pPr>
        <w:widowControl/>
        <w:spacing w:line="360" w:lineRule="atLeast"/>
        <w:ind w:firstLine="472" w:firstLineChars="196"/>
        <w:jc w:val="left"/>
        <w:rPr>
          <w:rFonts w:ascii="宋体" w:hAnsi="宋体"/>
          <w:b/>
          <w:sz w:val="24"/>
        </w:rPr>
      </w:pPr>
    </w:p>
    <w:p>
      <w:pPr>
        <w:widowControl/>
        <w:spacing w:line="360" w:lineRule="atLeast"/>
        <w:ind w:firstLine="470" w:firstLineChars="196"/>
        <w:jc w:val="left"/>
        <w:rPr>
          <w:rFonts w:ascii="宋体" w:hAnsi="宋体"/>
          <w:sz w:val="24"/>
        </w:rPr>
      </w:pPr>
      <w:r>
        <w:rPr>
          <w:rFonts w:hint="eastAsia" w:ascii="宋体" w:hAnsi="宋体"/>
          <w:sz w:val="24"/>
        </w:rPr>
        <w:t>投标人名称：XXXX。</w:t>
      </w:r>
    </w:p>
    <w:p>
      <w:pPr>
        <w:widowControl/>
        <w:spacing w:line="360" w:lineRule="atLeast"/>
        <w:ind w:firstLine="470" w:firstLineChars="196"/>
        <w:jc w:val="left"/>
        <w:rPr>
          <w:rFonts w:ascii="宋体" w:hAnsi="宋体"/>
          <w:sz w:val="24"/>
        </w:rPr>
      </w:pPr>
      <w:r>
        <w:rPr>
          <w:rFonts w:hint="eastAsia" w:ascii="宋体" w:hAnsi="宋体"/>
          <w:sz w:val="24"/>
        </w:rPr>
        <w:t>投标日期：XXXX</w:t>
      </w:r>
      <w:bookmarkEnd w:id="135"/>
      <w:r>
        <w:rPr>
          <w:rFonts w:hint="eastAsia" w:ascii="宋体" w:hAnsi="宋体"/>
          <w:sz w:val="24"/>
        </w:rPr>
        <w:t>。</w:t>
      </w:r>
      <w:bookmarkStart w:id="139" w:name="_Toc217446087"/>
    </w:p>
    <w:p>
      <w:pPr>
        <w:widowControl/>
        <w:spacing w:line="360" w:lineRule="atLeast"/>
        <w:ind w:firstLine="470" w:firstLineChars="196"/>
        <w:jc w:val="left"/>
        <w:rPr>
          <w:rFonts w:ascii="宋体" w:hAnsi="宋体"/>
          <w:b/>
          <w:sz w:val="32"/>
          <w:szCs w:val="32"/>
        </w:rPr>
      </w:pPr>
      <w:r>
        <w:rPr>
          <w:rFonts w:hint="eastAsia" w:ascii="宋体" w:hAnsi="宋体"/>
          <w:sz w:val="24"/>
        </w:rPr>
        <w:br w:type="page"/>
      </w:r>
      <w:r>
        <w:rPr>
          <w:rFonts w:hint="eastAsia" w:ascii="宋体" w:hAnsi="宋体"/>
          <w:b/>
          <w:sz w:val="32"/>
          <w:szCs w:val="32"/>
        </w:rPr>
        <w:t>格式2-6</w:t>
      </w:r>
    </w:p>
    <w:p>
      <w:pPr>
        <w:widowControl/>
        <w:spacing w:line="360" w:lineRule="atLeast"/>
        <w:jc w:val="center"/>
        <w:outlineLvl w:val="2"/>
        <w:rPr>
          <w:rFonts w:ascii="宋体" w:hAnsi="宋体"/>
          <w:b/>
          <w:sz w:val="32"/>
          <w:szCs w:val="32"/>
        </w:rPr>
      </w:pPr>
      <w:r>
        <w:rPr>
          <w:rFonts w:hint="eastAsia" w:ascii="宋体" w:hAnsi="宋体"/>
          <w:b/>
          <w:sz w:val="32"/>
          <w:szCs w:val="32"/>
        </w:rPr>
        <w:t>五、商务应答表</w:t>
      </w:r>
      <w:bookmarkEnd w:id="139"/>
    </w:p>
    <w:p>
      <w:pPr>
        <w:widowControl/>
        <w:spacing w:line="360" w:lineRule="atLeast"/>
        <w:ind w:firstLine="472" w:firstLineChars="196"/>
        <w:jc w:val="left"/>
        <w:rPr>
          <w:rFonts w:ascii="宋体" w:hAnsi="宋体"/>
          <w:b/>
          <w:sz w:val="24"/>
        </w:rPr>
      </w:pPr>
    </w:p>
    <w:p>
      <w:pPr>
        <w:widowControl/>
        <w:spacing w:line="360" w:lineRule="atLeast"/>
        <w:ind w:firstLine="470" w:firstLineChars="196"/>
        <w:jc w:val="left"/>
        <w:rPr>
          <w:rFonts w:ascii="宋体" w:hAnsi="宋体"/>
          <w:sz w:val="24"/>
        </w:rPr>
      </w:pPr>
      <w:r>
        <w:rPr>
          <w:rFonts w:hint="eastAsia" w:ascii="宋体" w:hAnsi="宋体"/>
          <w:sz w:val="24"/>
        </w:rPr>
        <w:t>招标编号：</w:t>
      </w:r>
    </w:p>
    <w:tbl>
      <w:tblPr>
        <w:tblStyle w:val="26"/>
        <w:tblW w:w="827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1713"/>
        <w:gridCol w:w="5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080" w:type="dxa"/>
            <w:vAlign w:val="center"/>
          </w:tcPr>
          <w:p>
            <w:pPr>
              <w:widowControl/>
              <w:spacing w:after="0" w:line="360" w:lineRule="atLeast"/>
              <w:jc w:val="center"/>
              <w:rPr>
                <w:rFonts w:ascii="宋体" w:hAnsi="宋体"/>
                <w:sz w:val="24"/>
              </w:rPr>
            </w:pPr>
            <w:r>
              <w:rPr>
                <w:rFonts w:hint="eastAsia" w:ascii="宋体" w:hAnsi="宋体"/>
                <w:sz w:val="24"/>
              </w:rPr>
              <w:t>序号</w:t>
            </w:r>
          </w:p>
        </w:tc>
        <w:tc>
          <w:tcPr>
            <w:tcW w:w="1713" w:type="dxa"/>
            <w:vAlign w:val="center"/>
          </w:tcPr>
          <w:p>
            <w:pPr>
              <w:widowControl/>
              <w:spacing w:after="0" w:line="360" w:lineRule="atLeast"/>
              <w:jc w:val="center"/>
              <w:rPr>
                <w:rFonts w:ascii="宋体" w:hAnsi="宋体"/>
                <w:sz w:val="24"/>
              </w:rPr>
            </w:pPr>
            <w:r>
              <w:rPr>
                <w:rFonts w:hint="eastAsia" w:ascii="宋体" w:hAnsi="宋体"/>
                <w:sz w:val="24"/>
              </w:rPr>
              <w:t>招标要求</w:t>
            </w:r>
          </w:p>
        </w:tc>
        <w:tc>
          <w:tcPr>
            <w:tcW w:w="5485" w:type="dxa"/>
            <w:vAlign w:val="center"/>
          </w:tcPr>
          <w:p>
            <w:pPr>
              <w:widowControl/>
              <w:spacing w:after="0" w:line="360" w:lineRule="atLeast"/>
              <w:ind w:firstLine="470" w:firstLineChars="196"/>
              <w:jc w:val="center"/>
              <w:rPr>
                <w:rFonts w:ascii="宋体" w:hAnsi="宋体"/>
                <w:sz w:val="24"/>
              </w:rPr>
            </w:pPr>
            <w:r>
              <w:rPr>
                <w:rFonts w:hint="eastAsia" w:ascii="宋体" w:hAnsi="宋体"/>
                <w:sz w:val="24"/>
              </w:rPr>
              <w:t>投标应答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 w:hRule="atLeast"/>
        </w:trPr>
        <w:tc>
          <w:tcPr>
            <w:tcW w:w="1080" w:type="dxa"/>
            <w:vAlign w:val="center"/>
          </w:tcPr>
          <w:p>
            <w:pPr>
              <w:widowControl/>
              <w:spacing w:after="0" w:line="360" w:lineRule="atLeast"/>
              <w:ind w:firstLine="470" w:firstLineChars="196"/>
              <w:jc w:val="center"/>
              <w:rPr>
                <w:rFonts w:ascii="宋体" w:hAnsi="宋体"/>
                <w:sz w:val="24"/>
              </w:rPr>
            </w:pPr>
          </w:p>
        </w:tc>
        <w:tc>
          <w:tcPr>
            <w:tcW w:w="1713" w:type="dxa"/>
            <w:vAlign w:val="center"/>
          </w:tcPr>
          <w:p>
            <w:pPr>
              <w:widowControl/>
              <w:spacing w:after="0" w:line="360" w:lineRule="atLeast"/>
              <w:ind w:firstLine="470" w:firstLineChars="196"/>
              <w:jc w:val="center"/>
              <w:rPr>
                <w:rFonts w:ascii="宋体" w:hAnsi="宋体"/>
                <w:sz w:val="24"/>
              </w:rPr>
            </w:pPr>
          </w:p>
        </w:tc>
        <w:tc>
          <w:tcPr>
            <w:tcW w:w="5485" w:type="dxa"/>
            <w:vAlign w:val="center"/>
          </w:tcPr>
          <w:p>
            <w:pPr>
              <w:widowControl/>
              <w:spacing w:after="0" w:line="360" w:lineRule="atLeast"/>
              <w:ind w:firstLine="470" w:firstLineChars="196"/>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 w:hRule="atLeast"/>
        </w:trPr>
        <w:tc>
          <w:tcPr>
            <w:tcW w:w="1080" w:type="dxa"/>
            <w:vAlign w:val="center"/>
          </w:tcPr>
          <w:p>
            <w:pPr>
              <w:widowControl/>
              <w:spacing w:after="0" w:line="360" w:lineRule="atLeast"/>
              <w:ind w:firstLine="470" w:firstLineChars="196"/>
              <w:jc w:val="center"/>
              <w:rPr>
                <w:rFonts w:ascii="宋体" w:hAnsi="宋体"/>
                <w:sz w:val="24"/>
              </w:rPr>
            </w:pPr>
          </w:p>
        </w:tc>
        <w:tc>
          <w:tcPr>
            <w:tcW w:w="1713" w:type="dxa"/>
            <w:vAlign w:val="center"/>
          </w:tcPr>
          <w:p>
            <w:pPr>
              <w:widowControl/>
              <w:spacing w:after="0" w:line="360" w:lineRule="atLeast"/>
              <w:ind w:firstLine="470" w:firstLineChars="196"/>
              <w:jc w:val="center"/>
              <w:rPr>
                <w:rFonts w:ascii="宋体" w:hAnsi="宋体"/>
                <w:sz w:val="24"/>
              </w:rPr>
            </w:pPr>
          </w:p>
        </w:tc>
        <w:tc>
          <w:tcPr>
            <w:tcW w:w="5485" w:type="dxa"/>
            <w:vAlign w:val="center"/>
          </w:tcPr>
          <w:p>
            <w:pPr>
              <w:widowControl/>
              <w:spacing w:after="0" w:line="360" w:lineRule="atLeast"/>
              <w:ind w:firstLine="470" w:firstLineChars="196"/>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 w:hRule="atLeast"/>
        </w:trPr>
        <w:tc>
          <w:tcPr>
            <w:tcW w:w="1080" w:type="dxa"/>
            <w:vAlign w:val="center"/>
          </w:tcPr>
          <w:p>
            <w:pPr>
              <w:widowControl/>
              <w:spacing w:after="0" w:line="360" w:lineRule="atLeast"/>
              <w:ind w:firstLine="470" w:firstLineChars="196"/>
              <w:jc w:val="center"/>
              <w:rPr>
                <w:rFonts w:ascii="宋体" w:hAnsi="宋体"/>
                <w:sz w:val="24"/>
              </w:rPr>
            </w:pPr>
          </w:p>
        </w:tc>
        <w:tc>
          <w:tcPr>
            <w:tcW w:w="1713" w:type="dxa"/>
            <w:vAlign w:val="center"/>
          </w:tcPr>
          <w:p>
            <w:pPr>
              <w:widowControl/>
              <w:spacing w:after="0" w:line="360" w:lineRule="atLeast"/>
              <w:ind w:firstLine="470" w:firstLineChars="196"/>
              <w:jc w:val="center"/>
              <w:rPr>
                <w:rFonts w:ascii="宋体" w:hAnsi="宋体"/>
                <w:sz w:val="24"/>
              </w:rPr>
            </w:pPr>
          </w:p>
        </w:tc>
        <w:tc>
          <w:tcPr>
            <w:tcW w:w="5485" w:type="dxa"/>
            <w:vAlign w:val="center"/>
          </w:tcPr>
          <w:p>
            <w:pPr>
              <w:widowControl/>
              <w:spacing w:after="0" w:line="360" w:lineRule="atLeast"/>
              <w:ind w:firstLine="470" w:firstLineChars="196"/>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trPr>
        <w:tc>
          <w:tcPr>
            <w:tcW w:w="1080" w:type="dxa"/>
            <w:vAlign w:val="center"/>
          </w:tcPr>
          <w:p>
            <w:pPr>
              <w:widowControl/>
              <w:spacing w:after="0" w:line="360" w:lineRule="atLeast"/>
              <w:ind w:firstLine="470" w:firstLineChars="196"/>
              <w:jc w:val="center"/>
              <w:rPr>
                <w:rFonts w:ascii="宋体" w:hAnsi="宋体"/>
                <w:sz w:val="24"/>
              </w:rPr>
            </w:pPr>
          </w:p>
        </w:tc>
        <w:tc>
          <w:tcPr>
            <w:tcW w:w="1713" w:type="dxa"/>
            <w:vAlign w:val="center"/>
          </w:tcPr>
          <w:p>
            <w:pPr>
              <w:widowControl/>
              <w:spacing w:after="0" w:line="360" w:lineRule="atLeast"/>
              <w:ind w:firstLine="470" w:firstLineChars="196"/>
              <w:jc w:val="center"/>
              <w:rPr>
                <w:rFonts w:ascii="宋体" w:hAnsi="宋体"/>
                <w:sz w:val="24"/>
              </w:rPr>
            </w:pPr>
          </w:p>
        </w:tc>
        <w:tc>
          <w:tcPr>
            <w:tcW w:w="5485" w:type="dxa"/>
            <w:vAlign w:val="center"/>
          </w:tcPr>
          <w:p>
            <w:pPr>
              <w:widowControl/>
              <w:spacing w:after="0" w:line="360" w:lineRule="atLeast"/>
              <w:ind w:firstLine="470" w:firstLineChars="196"/>
              <w:jc w:val="center"/>
              <w:rPr>
                <w:rFonts w:ascii="宋体" w:hAnsi="宋体"/>
                <w:sz w:val="24"/>
              </w:rPr>
            </w:pPr>
          </w:p>
        </w:tc>
      </w:tr>
    </w:tbl>
    <w:p>
      <w:pPr>
        <w:widowControl/>
        <w:spacing w:line="360" w:lineRule="atLeast"/>
        <w:ind w:firstLine="470" w:firstLineChars="196"/>
        <w:jc w:val="left"/>
        <w:rPr>
          <w:rFonts w:ascii="宋体" w:hAnsi="宋体"/>
          <w:sz w:val="24"/>
        </w:rPr>
      </w:pPr>
    </w:p>
    <w:p>
      <w:pPr>
        <w:widowControl/>
        <w:spacing w:line="360" w:lineRule="atLeast"/>
        <w:ind w:firstLine="470" w:firstLineChars="196"/>
        <w:jc w:val="left"/>
        <w:rPr>
          <w:rFonts w:ascii="宋体" w:hAnsi="宋体"/>
          <w:sz w:val="24"/>
        </w:rPr>
      </w:pPr>
      <w:r>
        <w:rPr>
          <w:rFonts w:hint="eastAsia" w:ascii="宋体" w:hAnsi="宋体"/>
          <w:sz w:val="24"/>
        </w:rPr>
        <w:t>注：供应商必须据实填写，不得虚假填写，否则将取消其投标或中标资格。若供应商的项目实施方案、售后服务方案等与商务应答不一致，以最优的为准。商务应答若与招标文件无负偏离的，则无须应答。如有负偏离，请将偏离条款逐条应答。未明确应答的，均视为完全满足招标文件的商务要求。</w:t>
      </w:r>
    </w:p>
    <w:p>
      <w:pPr>
        <w:widowControl/>
        <w:spacing w:line="360" w:lineRule="atLeast"/>
        <w:ind w:firstLine="470" w:firstLineChars="196"/>
        <w:jc w:val="left"/>
        <w:rPr>
          <w:rFonts w:ascii="宋体" w:hAnsi="宋体"/>
          <w:sz w:val="24"/>
        </w:rPr>
      </w:pPr>
    </w:p>
    <w:p>
      <w:pPr>
        <w:widowControl/>
        <w:spacing w:line="360" w:lineRule="atLeast"/>
        <w:ind w:firstLine="470" w:firstLineChars="196"/>
        <w:jc w:val="left"/>
        <w:rPr>
          <w:rFonts w:ascii="宋体" w:hAnsi="宋体"/>
          <w:sz w:val="24"/>
        </w:rPr>
      </w:pPr>
    </w:p>
    <w:p>
      <w:pPr>
        <w:widowControl/>
        <w:spacing w:line="360" w:lineRule="atLeast"/>
        <w:ind w:firstLine="470" w:firstLineChars="196"/>
        <w:jc w:val="left"/>
        <w:rPr>
          <w:rFonts w:ascii="宋体" w:hAnsi="宋体"/>
          <w:sz w:val="24"/>
        </w:rPr>
      </w:pPr>
      <w:r>
        <w:rPr>
          <w:rFonts w:hint="eastAsia" w:ascii="宋体" w:hAnsi="宋体"/>
          <w:sz w:val="24"/>
        </w:rPr>
        <w:t>投标人名称：XXXX。</w:t>
      </w:r>
    </w:p>
    <w:p>
      <w:pPr>
        <w:widowControl/>
        <w:spacing w:line="360" w:lineRule="atLeast"/>
        <w:ind w:firstLine="470" w:firstLineChars="196"/>
        <w:jc w:val="left"/>
        <w:rPr>
          <w:rFonts w:ascii="宋体" w:hAnsi="宋体"/>
          <w:sz w:val="24"/>
        </w:rPr>
      </w:pPr>
      <w:r>
        <w:rPr>
          <w:rFonts w:hint="eastAsia" w:ascii="宋体" w:hAnsi="宋体"/>
          <w:sz w:val="24"/>
        </w:rPr>
        <w:t>投标日期: XXXX。</w:t>
      </w:r>
    </w:p>
    <w:p>
      <w:pPr>
        <w:widowControl/>
        <w:spacing w:after="0" w:line="240" w:lineRule="auto"/>
        <w:jc w:val="left"/>
        <w:rPr>
          <w:rFonts w:ascii="宋体" w:hAnsi="宋体"/>
          <w:sz w:val="24"/>
        </w:rPr>
      </w:pPr>
      <w:r>
        <w:rPr>
          <w:rFonts w:ascii="宋体" w:hAnsi="宋体"/>
          <w:sz w:val="24"/>
        </w:rPr>
        <w:br w:type="page"/>
      </w:r>
    </w:p>
    <w:p>
      <w:pPr>
        <w:widowControl/>
        <w:spacing w:line="360" w:lineRule="atLeast"/>
        <w:ind w:firstLine="630" w:firstLineChars="196"/>
        <w:jc w:val="left"/>
        <w:rPr>
          <w:rFonts w:ascii="宋体" w:hAnsi="宋体"/>
          <w:b/>
          <w:sz w:val="32"/>
          <w:szCs w:val="32"/>
        </w:rPr>
      </w:pPr>
      <w:r>
        <w:rPr>
          <w:rFonts w:hint="eastAsia" w:ascii="宋体" w:hAnsi="宋体"/>
          <w:b/>
          <w:sz w:val="32"/>
          <w:szCs w:val="32"/>
        </w:rPr>
        <w:t>格式2-7</w:t>
      </w:r>
    </w:p>
    <w:p>
      <w:pPr>
        <w:widowControl/>
        <w:spacing w:after="0" w:line="360" w:lineRule="atLeast"/>
        <w:jc w:val="center"/>
        <w:outlineLvl w:val="2"/>
        <w:rPr>
          <w:rFonts w:ascii="宋体" w:hAnsi="宋体"/>
          <w:b/>
          <w:sz w:val="32"/>
          <w:szCs w:val="32"/>
        </w:rPr>
      </w:pPr>
      <w:bookmarkStart w:id="140" w:name="_Toc217446088"/>
      <w:r>
        <w:rPr>
          <w:rFonts w:hint="eastAsia" w:ascii="宋体" w:hAnsi="宋体"/>
          <w:b/>
          <w:sz w:val="32"/>
          <w:szCs w:val="32"/>
        </w:rPr>
        <w:t>六、投标人基本情况表</w:t>
      </w:r>
      <w:bookmarkEnd w:id="140"/>
    </w:p>
    <w:tbl>
      <w:tblPr>
        <w:tblStyle w:val="26"/>
        <w:tblW w:w="8215" w:type="dxa"/>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522"/>
        <w:gridCol w:w="957"/>
        <w:gridCol w:w="1239"/>
        <w:gridCol w:w="1247"/>
        <w:gridCol w:w="1320"/>
        <w:gridCol w:w="158"/>
        <w:gridCol w:w="692"/>
        <w:gridCol w:w="1080"/>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ascii="宋体" w:hAnsi="宋体"/>
                <w:sz w:val="24"/>
              </w:rPr>
            </w:pPr>
            <w:r>
              <w:rPr>
                <w:rFonts w:hint="eastAsia" w:ascii="宋体" w:hAnsi="宋体"/>
                <w:sz w:val="24"/>
              </w:rPr>
              <w:t>投标人名称</w:t>
            </w:r>
          </w:p>
        </w:tc>
        <w:tc>
          <w:tcPr>
            <w:tcW w:w="6693" w:type="dxa"/>
            <w:gridSpan w:val="7"/>
            <w:vAlign w:val="center"/>
          </w:tcPr>
          <w:p>
            <w:pPr>
              <w:widowControl/>
              <w:spacing w:after="0" w:line="360" w:lineRule="atLeast"/>
              <w:ind w:firstLine="470" w:firstLineChars="196"/>
              <w:jc w:val="left"/>
              <w:outlineLvl w:val="1"/>
              <w:rPr>
                <w:rFonts w:ascii="宋体" w:hAnsi="宋体"/>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ascii="宋体" w:hAnsi="宋体"/>
                <w:sz w:val="24"/>
              </w:rPr>
            </w:pPr>
            <w:r>
              <w:rPr>
                <w:rFonts w:hint="eastAsia" w:ascii="宋体" w:hAnsi="宋体"/>
                <w:sz w:val="24"/>
              </w:rPr>
              <w:t>注册地址</w:t>
            </w:r>
          </w:p>
        </w:tc>
        <w:tc>
          <w:tcPr>
            <w:tcW w:w="3443" w:type="dxa"/>
            <w:gridSpan w:val="3"/>
            <w:vAlign w:val="center"/>
          </w:tcPr>
          <w:p>
            <w:pPr>
              <w:widowControl/>
              <w:spacing w:after="0" w:line="360" w:lineRule="atLeast"/>
              <w:ind w:firstLine="470" w:firstLineChars="196"/>
              <w:jc w:val="left"/>
              <w:outlineLvl w:val="1"/>
              <w:rPr>
                <w:rFonts w:ascii="宋体" w:hAnsi="宋体"/>
                <w:sz w:val="24"/>
              </w:rPr>
            </w:pPr>
          </w:p>
        </w:tc>
        <w:tc>
          <w:tcPr>
            <w:tcW w:w="1320" w:type="dxa"/>
            <w:vAlign w:val="center"/>
          </w:tcPr>
          <w:p>
            <w:pPr>
              <w:widowControl/>
              <w:spacing w:after="0" w:line="360" w:lineRule="atLeast"/>
              <w:jc w:val="left"/>
              <w:outlineLvl w:val="1"/>
              <w:rPr>
                <w:rFonts w:ascii="宋体" w:hAnsi="宋体"/>
                <w:sz w:val="24"/>
              </w:rPr>
            </w:pPr>
            <w:r>
              <w:rPr>
                <w:rFonts w:hint="eastAsia" w:ascii="宋体" w:hAnsi="宋体"/>
                <w:sz w:val="24"/>
              </w:rPr>
              <w:t>邮政编码</w:t>
            </w:r>
          </w:p>
        </w:tc>
        <w:tc>
          <w:tcPr>
            <w:tcW w:w="1930" w:type="dxa"/>
            <w:gridSpan w:val="3"/>
            <w:vAlign w:val="center"/>
          </w:tcPr>
          <w:p>
            <w:pPr>
              <w:widowControl/>
              <w:spacing w:after="0" w:line="360" w:lineRule="atLeast"/>
              <w:ind w:firstLine="470" w:firstLineChars="196"/>
              <w:jc w:val="left"/>
              <w:outlineLvl w:val="1"/>
              <w:rPr>
                <w:rFonts w:ascii="宋体" w:hAnsi="宋体"/>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Merge w:val="restart"/>
            <w:vAlign w:val="center"/>
          </w:tcPr>
          <w:p>
            <w:pPr>
              <w:widowControl/>
              <w:spacing w:after="0" w:line="360" w:lineRule="atLeast"/>
              <w:jc w:val="left"/>
              <w:outlineLvl w:val="1"/>
              <w:rPr>
                <w:rFonts w:ascii="宋体" w:hAnsi="宋体"/>
                <w:sz w:val="24"/>
              </w:rPr>
            </w:pPr>
            <w:r>
              <w:rPr>
                <w:rFonts w:hint="eastAsia" w:ascii="宋体" w:hAnsi="宋体"/>
                <w:sz w:val="24"/>
              </w:rPr>
              <w:t>联系方式</w:t>
            </w:r>
          </w:p>
        </w:tc>
        <w:tc>
          <w:tcPr>
            <w:tcW w:w="957" w:type="dxa"/>
            <w:vAlign w:val="center"/>
          </w:tcPr>
          <w:p>
            <w:pPr>
              <w:widowControl/>
              <w:spacing w:after="0" w:line="360" w:lineRule="atLeast"/>
              <w:jc w:val="left"/>
              <w:outlineLvl w:val="1"/>
              <w:rPr>
                <w:rFonts w:ascii="宋体" w:hAnsi="宋体"/>
                <w:sz w:val="24"/>
              </w:rPr>
            </w:pPr>
            <w:r>
              <w:rPr>
                <w:rFonts w:hint="eastAsia" w:ascii="宋体" w:hAnsi="宋体"/>
                <w:sz w:val="24"/>
              </w:rPr>
              <w:t>联系人</w:t>
            </w:r>
          </w:p>
        </w:tc>
        <w:tc>
          <w:tcPr>
            <w:tcW w:w="2486" w:type="dxa"/>
            <w:gridSpan w:val="2"/>
            <w:vAlign w:val="center"/>
          </w:tcPr>
          <w:p>
            <w:pPr>
              <w:widowControl/>
              <w:spacing w:after="0" w:line="360" w:lineRule="atLeast"/>
              <w:ind w:firstLine="470" w:firstLineChars="196"/>
              <w:jc w:val="left"/>
              <w:outlineLvl w:val="1"/>
              <w:rPr>
                <w:rFonts w:ascii="宋体" w:hAnsi="宋体"/>
                <w:sz w:val="24"/>
              </w:rPr>
            </w:pPr>
          </w:p>
        </w:tc>
        <w:tc>
          <w:tcPr>
            <w:tcW w:w="1320" w:type="dxa"/>
            <w:vAlign w:val="center"/>
          </w:tcPr>
          <w:p>
            <w:pPr>
              <w:widowControl/>
              <w:spacing w:after="0" w:line="360" w:lineRule="atLeast"/>
              <w:ind w:firstLine="470" w:firstLineChars="196"/>
              <w:jc w:val="left"/>
              <w:outlineLvl w:val="1"/>
              <w:rPr>
                <w:rFonts w:ascii="宋体" w:hAnsi="宋体"/>
                <w:sz w:val="24"/>
              </w:rPr>
            </w:pPr>
            <w:r>
              <w:rPr>
                <w:rFonts w:hint="eastAsia" w:ascii="宋体" w:hAnsi="宋体"/>
                <w:sz w:val="24"/>
              </w:rPr>
              <w:t>电话</w:t>
            </w:r>
          </w:p>
        </w:tc>
        <w:tc>
          <w:tcPr>
            <w:tcW w:w="1930" w:type="dxa"/>
            <w:gridSpan w:val="3"/>
            <w:vAlign w:val="center"/>
          </w:tcPr>
          <w:p>
            <w:pPr>
              <w:widowControl/>
              <w:spacing w:after="0" w:line="360" w:lineRule="atLeast"/>
              <w:ind w:firstLine="470" w:firstLineChars="196"/>
              <w:jc w:val="left"/>
              <w:outlineLvl w:val="1"/>
              <w:rPr>
                <w:rFonts w:ascii="宋体" w:hAnsi="宋体"/>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522" w:type="dxa"/>
            <w:vMerge w:val="continue"/>
            <w:vAlign w:val="center"/>
          </w:tcPr>
          <w:p>
            <w:pPr>
              <w:spacing w:after="0"/>
              <w:rPr>
                <w:rFonts w:ascii="宋体" w:hAnsi="宋体"/>
              </w:rPr>
            </w:pPr>
          </w:p>
        </w:tc>
        <w:tc>
          <w:tcPr>
            <w:tcW w:w="957" w:type="dxa"/>
            <w:vAlign w:val="center"/>
          </w:tcPr>
          <w:p>
            <w:pPr>
              <w:widowControl/>
              <w:spacing w:after="0" w:line="360" w:lineRule="atLeast"/>
              <w:jc w:val="left"/>
              <w:outlineLvl w:val="1"/>
              <w:rPr>
                <w:rFonts w:ascii="宋体" w:hAnsi="宋体"/>
                <w:sz w:val="24"/>
              </w:rPr>
            </w:pPr>
            <w:r>
              <w:rPr>
                <w:rFonts w:hint="eastAsia" w:ascii="宋体" w:hAnsi="宋体"/>
                <w:sz w:val="24"/>
              </w:rPr>
              <w:t>传真</w:t>
            </w:r>
          </w:p>
        </w:tc>
        <w:tc>
          <w:tcPr>
            <w:tcW w:w="2486" w:type="dxa"/>
            <w:gridSpan w:val="2"/>
            <w:vAlign w:val="center"/>
          </w:tcPr>
          <w:p>
            <w:pPr>
              <w:widowControl/>
              <w:spacing w:after="0" w:line="360" w:lineRule="atLeast"/>
              <w:ind w:firstLine="470" w:firstLineChars="196"/>
              <w:jc w:val="left"/>
              <w:outlineLvl w:val="1"/>
              <w:rPr>
                <w:rFonts w:ascii="宋体" w:hAnsi="宋体"/>
                <w:sz w:val="24"/>
              </w:rPr>
            </w:pPr>
          </w:p>
        </w:tc>
        <w:tc>
          <w:tcPr>
            <w:tcW w:w="1320" w:type="dxa"/>
            <w:vAlign w:val="center"/>
          </w:tcPr>
          <w:p>
            <w:pPr>
              <w:widowControl/>
              <w:spacing w:after="0" w:line="360" w:lineRule="atLeast"/>
              <w:ind w:firstLine="470" w:firstLineChars="196"/>
              <w:jc w:val="left"/>
              <w:outlineLvl w:val="1"/>
              <w:rPr>
                <w:rFonts w:ascii="宋体" w:hAnsi="宋体"/>
                <w:sz w:val="24"/>
              </w:rPr>
            </w:pPr>
            <w:r>
              <w:rPr>
                <w:rFonts w:hint="eastAsia" w:ascii="宋体" w:hAnsi="宋体"/>
                <w:sz w:val="24"/>
              </w:rPr>
              <w:t>网址</w:t>
            </w:r>
          </w:p>
        </w:tc>
        <w:tc>
          <w:tcPr>
            <w:tcW w:w="1930" w:type="dxa"/>
            <w:gridSpan w:val="3"/>
            <w:vAlign w:val="center"/>
          </w:tcPr>
          <w:p>
            <w:pPr>
              <w:widowControl/>
              <w:spacing w:after="0" w:line="360" w:lineRule="atLeast"/>
              <w:ind w:firstLine="470" w:firstLineChars="196"/>
              <w:jc w:val="left"/>
              <w:outlineLvl w:val="1"/>
              <w:rPr>
                <w:rFonts w:ascii="宋体" w:hAnsi="宋体"/>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宋体" w:hAnsi="宋体"/>
                <w:sz w:val="24"/>
              </w:rPr>
            </w:pPr>
            <w:r>
              <w:rPr>
                <w:rFonts w:hint="eastAsia" w:ascii="宋体" w:hAnsi="宋体"/>
                <w:sz w:val="24"/>
              </w:rPr>
              <w:t>组织结构</w:t>
            </w:r>
          </w:p>
        </w:tc>
        <w:tc>
          <w:tcPr>
            <w:tcW w:w="6693" w:type="dxa"/>
            <w:gridSpan w:val="7"/>
            <w:vAlign w:val="center"/>
          </w:tcPr>
          <w:p>
            <w:pPr>
              <w:widowControl/>
              <w:spacing w:after="0" w:line="360" w:lineRule="atLeast"/>
              <w:ind w:firstLine="470" w:firstLineChars="196"/>
              <w:jc w:val="left"/>
              <w:outlineLvl w:val="1"/>
              <w:rPr>
                <w:rFonts w:ascii="宋体" w:hAnsi="宋体"/>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62" w:hRule="atLeast"/>
        </w:trPr>
        <w:tc>
          <w:tcPr>
            <w:tcW w:w="1522" w:type="dxa"/>
            <w:vAlign w:val="center"/>
          </w:tcPr>
          <w:p>
            <w:pPr>
              <w:widowControl/>
              <w:spacing w:after="0" w:line="360" w:lineRule="atLeast"/>
              <w:jc w:val="left"/>
              <w:outlineLvl w:val="1"/>
              <w:rPr>
                <w:rFonts w:ascii="宋体" w:hAnsi="宋体"/>
                <w:sz w:val="24"/>
              </w:rPr>
            </w:pPr>
            <w:r>
              <w:rPr>
                <w:rFonts w:hint="eastAsia" w:ascii="宋体" w:hAnsi="宋体"/>
                <w:sz w:val="24"/>
              </w:rPr>
              <w:t>法定代表人/单位负责人</w:t>
            </w:r>
          </w:p>
        </w:tc>
        <w:tc>
          <w:tcPr>
            <w:tcW w:w="957" w:type="dxa"/>
            <w:vAlign w:val="center"/>
          </w:tcPr>
          <w:p>
            <w:pPr>
              <w:widowControl/>
              <w:spacing w:after="0" w:line="360" w:lineRule="atLeast"/>
              <w:jc w:val="left"/>
              <w:outlineLvl w:val="1"/>
              <w:rPr>
                <w:rFonts w:ascii="宋体" w:hAnsi="宋体"/>
                <w:sz w:val="24"/>
              </w:rPr>
            </w:pPr>
            <w:r>
              <w:rPr>
                <w:rFonts w:hint="eastAsia" w:ascii="宋体" w:hAnsi="宋体"/>
                <w:sz w:val="24"/>
              </w:rPr>
              <w:t>姓名</w:t>
            </w:r>
          </w:p>
        </w:tc>
        <w:tc>
          <w:tcPr>
            <w:tcW w:w="1239" w:type="dxa"/>
            <w:vAlign w:val="center"/>
          </w:tcPr>
          <w:p>
            <w:pPr>
              <w:widowControl/>
              <w:spacing w:after="0" w:line="360" w:lineRule="atLeast"/>
              <w:ind w:firstLine="470" w:firstLineChars="196"/>
              <w:jc w:val="left"/>
              <w:outlineLvl w:val="1"/>
              <w:rPr>
                <w:rFonts w:ascii="宋体" w:hAnsi="宋体"/>
                <w:sz w:val="24"/>
              </w:rPr>
            </w:pPr>
          </w:p>
        </w:tc>
        <w:tc>
          <w:tcPr>
            <w:tcW w:w="1247" w:type="dxa"/>
            <w:vAlign w:val="center"/>
          </w:tcPr>
          <w:p>
            <w:pPr>
              <w:widowControl/>
              <w:spacing w:after="0" w:line="360" w:lineRule="atLeast"/>
              <w:jc w:val="left"/>
              <w:outlineLvl w:val="1"/>
              <w:rPr>
                <w:rFonts w:ascii="宋体" w:hAnsi="宋体"/>
                <w:sz w:val="24"/>
              </w:rPr>
            </w:pPr>
            <w:r>
              <w:rPr>
                <w:rFonts w:hint="eastAsia" w:ascii="宋体" w:hAnsi="宋体"/>
                <w:sz w:val="24"/>
              </w:rPr>
              <w:t>技术职称</w:t>
            </w:r>
          </w:p>
        </w:tc>
        <w:tc>
          <w:tcPr>
            <w:tcW w:w="1320" w:type="dxa"/>
            <w:vAlign w:val="center"/>
          </w:tcPr>
          <w:p>
            <w:pPr>
              <w:widowControl/>
              <w:spacing w:after="0" w:line="360" w:lineRule="atLeast"/>
              <w:ind w:firstLine="470" w:firstLineChars="196"/>
              <w:jc w:val="left"/>
              <w:outlineLvl w:val="1"/>
              <w:rPr>
                <w:rFonts w:ascii="宋体" w:hAnsi="宋体"/>
                <w:sz w:val="24"/>
              </w:rPr>
            </w:pPr>
          </w:p>
        </w:tc>
        <w:tc>
          <w:tcPr>
            <w:tcW w:w="850" w:type="dxa"/>
            <w:gridSpan w:val="2"/>
            <w:vAlign w:val="center"/>
          </w:tcPr>
          <w:p>
            <w:pPr>
              <w:widowControl/>
              <w:spacing w:after="0" w:line="360" w:lineRule="atLeast"/>
              <w:jc w:val="left"/>
              <w:outlineLvl w:val="1"/>
              <w:rPr>
                <w:rFonts w:ascii="宋体" w:hAnsi="宋体"/>
                <w:sz w:val="24"/>
              </w:rPr>
            </w:pPr>
            <w:r>
              <w:rPr>
                <w:rFonts w:hint="eastAsia" w:ascii="宋体" w:hAnsi="宋体"/>
                <w:sz w:val="24"/>
              </w:rPr>
              <w:t>电话</w:t>
            </w:r>
          </w:p>
        </w:tc>
        <w:tc>
          <w:tcPr>
            <w:tcW w:w="1080" w:type="dxa"/>
            <w:vAlign w:val="center"/>
          </w:tcPr>
          <w:p>
            <w:pPr>
              <w:widowControl/>
              <w:spacing w:after="0" w:line="360" w:lineRule="atLeast"/>
              <w:ind w:firstLine="470" w:firstLineChars="196"/>
              <w:jc w:val="left"/>
              <w:outlineLvl w:val="1"/>
              <w:rPr>
                <w:rFonts w:ascii="宋体" w:hAnsi="宋体"/>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1522" w:type="dxa"/>
            <w:vAlign w:val="center"/>
          </w:tcPr>
          <w:p>
            <w:pPr>
              <w:widowControl/>
              <w:spacing w:after="0" w:line="360" w:lineRule="atLeast"/>
              <w:jc w:val="left"/>
              <w:outlineLvl w:val="1"/>
              <w:rPr>
                <w:rFonts w:ascii="宋体" w:hAnsi="宋体"/>
                <w:sz w:val="24"/>
              </w:rPr>
            </w:pPr>
            <w:r>
              <w:rPr>
                <w:rFonts w:hint="eastAsia" w:ascii="宋体" w:hAnsi="宋体"/>
                <w:sz w:val="24"/>
              </w:rPr>
              <w:t>技术负责人</w:t>
            </w:r>
          </w:p>
        </w:tc>
        <w:tc>
          <w:tcPr>
            <w:tcW w:w="957" w:type="dxa"/>
            <w:vAlign w:val="center"/>
          </w:tcPr>
          <w:p>
            <w:pPr>
              <w:widowControl/>
              <w:spacing w:after="0" w:line="360" w:lineRule="atLeast"/>
              <w:jc w:val="left"/>
              <w:outlineLvl w:val="1"/>
              <w:rPr>
                <w:rFonts w:ascii="宋体" w:hAnsi="宋体"/>
                <w:sz w:val="24"/>
              </w:rPr>
            </w:pPr>
            <w:r>
              <w:rPr>
                <w:rFonts w:hint="eastAsia" w:ascii="宋体" w:hAnsi="宋体"/>
                <w:sz w:val="24"/>
              </w:rPr>
              <w:t>姓名</w:t>
            </w:r>
          </w:p>
        </w:tc>
        <w:tc>
          <w:tcPr>
            <w:tcW w:w="1239" w:type="dxa"/>
            <w:vAlign w:val="center"/>
          </w:tcPr>
          <w:p>
            <w:pPr>
              <w:widowControl/>
              <w:spacing w:after="0" w:line="360" w:lineRule="atLeast"/>
              <w:ind w:firstLine="470" w:firstLineChars="196"/>
              <w:jc w:val="left"/>
              <w:outlineLvl w:val="1"/>
              <w:rPr>
                <w:rFonts w:ascii="宋体" w:hAnsi="宋体"/>
                <w:sz w:val="24"/>
              </w:rPr>
            </w:pPr>
          </w:p>
        </w:tc>
        <w:tc>
          <w:tcPr>
            <w:tcW w:w="1247" w:type="dxa"/>
            <w:vAlign w:val="center"/>
          </w:tcPr>
          <w:p>
            <w:pPr>
              <w:widowControl/>
              <w:spacing w:after="0" w:line="360" w:lineRule="atLeast"/>
              <w:jc w:val="left"/>
              <w:outlineLvl w:val="1"/>
              <w:rPr>
                <w:rFonts w:ascii="宋体" w:hAnsi="宋体"/>
                <w:sz w:val="24"/>
              </w:rPr>
            </w:pPr>
            <w:r>
              <w:rPr>
                <w:rFonts w:hint="eastAsia" w:ascii="宋体" w:hAnsi="宋体"/>
                <w:sz w:val="24"/>
              </w:rPr>
              <w:t>技术职称</w:t>
            </w:r>
          </w:p>
        </w:tc>
        <w:tc>
          <w:tcPr>
            <w:tcW w:w="1320" w:type="dxa"/>
            <w:vAlign w:val="center"/>
          </w:tcPr>
          <w:p>
            <w:pPr>
              <w:widowControl/>
              <w:spacing w:after="0" w:line="360" w:lineRule="atLeast"/>
              <w:ind w:firstLine="470" w:firstLineChars="196"/>
              <w:jc w:val="left"/>
              <w:outlineLvl w:val="1"/>
              <w:rPr>
                <w:rFonts w:ascii="宋体" w:hAnsi="宋体"/>
                <w:sz w:val="24"/>
              </w:rPr>
            </w:pPr>
          </w:p>
        </w:tc>
        <w:tc>
          <w:tcPr>
            <w:tcW w:w="850" w:type="dxa"/>
            <w:gridSpan w:val="2"/>
            <w:vAlign w:val="center"/>
          </w:tcPr>
          <w:p>
            <w:pPr>
              <w:widowControl/>
              <w:spacing w:after="0" w:line="360" w:lineRule="atLeast"/>
              <w:jc w:val="left"/>
              <w:outlineLvl w:val="1"/>
              <w:rPr>
                <w:rFonts w:ascii="宋体" w:hAnsi="宋体"/>
                <w:sz w:val="24"/>
              </w:rPr>
            </w:pPr>
            <w:r>
              <w:rPr>
                <w:rFonts w:hint="eastAsia" w:ascii="宋体" w:hAnsi="宋体"/>
                <w:sz w:val="24"/>
              </w:rPr>
              <w:t>电话</w:t>
            </w:r>
          </w:p>
        </w:tc>
        <w:tc>
          <w:tcPr>
            <w:tcW w:w="1080" w:type="dxa"/>
            <w:vAlign w:val="center"/>
          </w:tcPr>
          <w:p>
            <w:pPr>
              <w:widowControl/>
              <w:spacing w:after="0" w:line="360" w:lineRule="atLeast"/>
              <w:ind w:firstLine="470" w:firstLineChars="196"/>
              <w:jc w:val="left"/>
              <w:outlineLvl w:val="1"/>
              <w:rPr>
                <w:rFonts w:ascii="宋体" w:hAnsi="宋体"/>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宋体" w:hAnsi="宋体"/>
                <w:sz w:val="24"/>
              </w:rPr>
            </w:pPr>
            <w:r>
              <w:rPr>
                <w:rFonts w:hint="eastAsia" w:ascii="宋体" w:hAnsi="宋体"/>
                <w:sz w:val="24"/>
              </w:rPr>
              <w:t>成立时间</w:t>
            </w:r>
          </w:p>
        </w:tc>
        <w:tc>
          <w:tcPr>
            <w:tcW w:w="2196" w:type="dxa"/>
            <w:gridSpan w:val="2"/>
            <w:vAlign w:val="center"/>
          </w:tcPr>
          <w:p>
            <w:pPr>
              <w:widowControl/>
              <w:spacing w:after="0" w:line="360" w:lineRule="atLeast"/>
              <w:ind w:firstLine="470" w:firstLineChars="196"/>
              <w:jc w:val="left"/>
              <w:outlineLvl w:val="1"/>
              <w:rPr>
                <w:rFonts w:ascii="宋体" w:hAnsi="宋体"/>
                <w:sz w:val="24"/>
              </w:rPr>
            </w:pPr>
          </w:p>
        </w:tc>
        <w:tc>
          <w:tcPr>
            <w:tcW w:w="4497" w:type="dxa"/>
            <w:gridSpan w:val="5"/>
            <w:vAlign w:val="center"/>
          </w:tcPr>
          <w:p>
            <w:pPr>
              <w:widowControl/>
              <w:spacing w:after="0" w:line="360" w:lineRule="atLeast"/>
              <w:jc w:val="left"/>
              <w:outlineLvl w:val="1"/>
              <w:rPr>
                <w:rFonts w:ascii="宋体" w:hAnsi="宋体"/>
                <w:sz w:val="24"/>
              </w:rPr>
            </w:pPr>
            <w:r>
              <w:rPr>
                <w:rFonts w:hint="eastAsia" w:ascii="宋体" w:hAnsi="宋体"/>
                <w:sz w:val="24"/>
              </w:rPr>
              <w:t>员工总人数：</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ascii="宋体" w:hAnsi="宋体"/>
                <w:sz w:val="24"/>
              </w:rPr>
            </w:pPr>
            <w:r>
              <w:rPr>
                <w:rFonts w:hint="eastAsia" w:ascii="宋体" w:hAnsi="宋体"/>
                <w:sz w:val="24"/>
              </w:rPr>
              <w:t>企业资质等级</w:t>
            </w:r>
          </w:p>
        </w:tc>
        <w:tc>
          <w:tcPr>
            <w:tcW w:w="2196" w:type="dxa"/>
            <w:gridSpan w:val="2"/>
            <w:vAlign w:val="center"/>
          </w:tcPr>
          <w:p>
            <w:pPr>
              <w:widowControl/>
              <w:spacing w:after="0" w:line="360" w:lineRule="atLeast"/>
              <w:ind w:firstLine="470" w:firstLineChars="196"/>
              <w:jc w:val="left"/>
              <w:outlineLvl w:val="1"/>
              <w:rPr>
                <w:rFonts w:ascii="宋体" w:hAnsi="宋体"/>
                <w:sz w:val="24"/>
              </w:rPr>
            </w:pPr>
          </w:p>
        </w:tc>
        <w:tc>
          <w:tcPr>
            <w:tcW w:w="1247" w:type="dxa"/>
            <w:vMerge w:val="restart"/>
            <w:vAlign w:val="center"/>
          </w:tcPr>
          <w:p>
            <w:pPr>
              <w:widowControl/>
              <w:spacing w:after="0" w:line="360" w:lineRule="atLeast"/>
              <w:ind w:firstLine="470" w:firstLineChars="196"/>
              <w:jc w:val="left"/>
              <w:outlineLvl w:val="1"/>
              <w:rPr>
                <w:rFonts w:ascii="宋体" w:hAnsi="宋体"/>
                <w:sz w:val="24"/>
              </w:rPr>
            </w:pPr>
            <w:r>
              <w:rPr>
                <w:rFonts w:hint="eastAsia" w:ascii="宋体" w:hAnsi="宋体"/>
                <w:sz w:val="24"/>
              </w:rPr>
              <w:t>其中</w:t>
            </w:r>
          </w:p>
        </w:tc>
        <w:tc>
          <w:tcPr>
            <w:tcW w:w="1478" w:type="dxa"/>
            <w:gridSpan w:val="2"/>
            <w:vAlign w:val="center"/>
          </w:tcPr>
          <w:p>
            <w:pPr>
              <w:widowControl/>
              <w:spacing w:after="0" w:line="360" w:lineRule="atLeast"/>
              <w:jc w:val="left"/>
              <w:outlineLvl w:val="1"/>
              <w:rPr>
                <w:rFonts w:ascii="宋体" w:hAnsi="宋体"/>
                <w:sz w:val="24"/>
              </w:rPr>
            </w:pPr>
            <w:r>
              <w:rPr>
                <w:rFonts w:hint="eastAsia" w:ascii="宋体" w:hAnsi="宋体"/>
                <w:sz w:val="24"/>
              </w:rPr>
              <w:t>项目经理</w:t>
            </w:r>
          </w:p>
        </w:tc>
        <w:tc>
          <w:tcPr>
            <w:tcW w:w="1772" w:type="dxa"/>
            <w:gridSpan w:val="2"/>
            <w:vAlign w:val="center"/>
          </w:tcPr>
          <w:p>
            <w:pPr>
              <w:widowControl/>
              <w:spacing w:after="0" w:line="360" w:lineRule="atLeast"/>
              <w:ind w:firstLine="470" w:firstLineChars="196"/>
              <w:jc w:val="left"/>
              <w:outlineLvl w:val="1"/>
              <w:rPr>
                <w:rFonts w:ascii="宋体" w:hAnsi="宋体"/>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宋体" w:hAnsi="宋体"/>
                <w:sz w:val="24"/>
              </w:rPr>
            </w:pPr>
            <w:r>
              <w:rPr>
                <w:rFonts w:hint="eastAsia" w:ascii="宋体" w:hAnsi="宋体"/>
                <w:sz w:val="24"/>
              </w:rPr>
              <w:t>营业执照号</w:t>
            </w:r>
          </w:p>
        </w:tc>
        <w:tc>
          <w:tcPr>
            <w:tcW w:w="2196" w:type="dxa"/>
            <w:gridSpan w:val="2"/>
            <w:vAlign w:val="center"/>
          </w:tcPr>
          <w:p>
            <w:pPr>
              <w:widowControl/>
              <w:spacing w:after="0" w:line="360" w:lineRule="atLeast"/>
              <w:ind w:firstLine="470" w:firstLineChars="196"/>
              <w:jc w:val="left"/>
              <w:outlineLvl w:val="1"/>
              <w:rPr>
                <w:rFonts w:ascii="宋体" w:hAnsi="宋体"/>
                <w:sz w:val="24"/>
              </w:rPr>
            </w:pPr>
          </w:p>
        </w:tc>
        <w:tc>
          <w:tcPr>
            <w:tcW w:w="1247" w:type="dxa"/>
            <w:vMerge w:val="continue"/>
            <w:vAlign w:val="center"/>
          </w:tcPr>
          <w:p>
            <w:pPr>
              <w:spacing w:after="0"/>
              <w:rPr>
                <w:rFonts w:ascii="宋体" w:hAnsi="宋体"/>
              </w:rPr>
            </w:pPr>
          </w:p>
        </w:tc>
        <w:tc>
          <w:tcPr>
            <w:tcW w:w="1478" w:type="dxa"/>
            <w:gridSpan w:val="2"/>
            <w:vAlign w:val="center"/>
          </w:tcPr>
          <w:p>
            <w:pPr>
              <w:widowControl/>
              <w:spacing w:after="0" w:line="360" w:lineRule="atLeast"/>
              <w:jc w:val="left"/>
              <w:outlineLvl w:val="1"/>
              <w:rPr>
                <w:rFonts w:ascii="宋体" w:hAnsi="宋体"/>
                <w:sz w:val="24"/>
              </w:rPr>
            </w:pPr>
            <w:r>
              <w:rPr>
                <w:rFonts w:hint="eastAsia" w:ascii="宋体" w:hAnsi="宋体"/>
                <w:sz w:val="24"/>
              </w:rPr>
              <w:t>高级职称人员</w:t>
            </w:r>
          </w:p>
        </w:tc>
        <w:tc>
          <w:tcPr>
            <w:tcW w:w="1772" w:type="dxa"/>
            <w:gridSpan w:val="2"/>
            <w:vAlign w:val="center"/>
          </w:tcPr>
          <w:p>
            <w:pPr>
              <w:widowControl/>
              <w:spacing w:after="0" w:line="360" w:lineRule="atLeast"/>
              <w:ind w:firstLine="470" w:firstLineChars="196"/>
              <w:jc w:val="left"/>
              <w:outlineLvl w:val="1"/>
              <w:rPr>
                <w:rFonts w:ascii="宋体" w:hAnsi="宋体"/>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宋体" w:hAnsi="宋体"/>
                <w:sz w:val="24"/>
              </w:rPr>
            </w:pPr>
            <w:r>
              <w:rPr>
                <w:rFonts w:hint="eastAsia" w:ascii="宋体" w:hAnsi="宋体"/>
                <w:sz w:val="24"/>
              </w:rPr>
              <w:t>注册资金</w:t>
            </w:r>
          </w:p>
        </w:tc>
        <w:tc>
          <w:tcPr>
            <w:tcW w:w="2196" w:type="dxa"/>
            <w:gridSpan w:val="2"/>
            <w:vAlign w:val="center"/>
          </w:tcPr>
          <w:p>
            <w:pPr>
              <w:widowControl/>
              <w:spacing w:after="0" w:line="360" w:lineRule="atLeast"/>
              <w:ind w:firstLine="470" w:firstLineChars="196"/>
              <w:jc w:val="left"/>
              <w:outlineLvl w:val="1"/>
              <w:rPr>
                <w:rFonts w:ascii="宋体" w:hAnsi="宋体"/>
                <w:sz w:val="24"/>
              </w:rPr>
            </w:pPr>
          </w:p>
        </w:tc>
        <w:tc>
          <w:tcPr>
            <w:tcW w:w="1247" w:type="dxa"/>
            <w:vMerge w:val="continue"/>
            <w:vAlign w:val="center"/>
          </w:tcPr>
          <w:p>
            <w:pPr>
              <w:spacing w:after="0"/>
              <w:rPr>
                <w:rFonts w:ascii="宋体" w:hAnsi="宋体"/>
              </w:rPr>
            </w:pPr>
          </w:p>
        </w:tc>
        <w:tc>
          <w:tcPr>
            <w:tcW w:w="1478" w:type="dxa"/>
            <w:gridSpan w:val="2"/>
            <w:vAlign w:val="center"/>
          </w:tcPr>
          <w:p>
            <w:pPr>
              <w:widowControl/>
              <w:spacing w:after="0" w:line="360" w:lineRule="atLeast"/>
              <w:jc w:val="left"/>
              <w:outlineLvl w:val="1"/>
              <w:rPr>
                <w:rFonts w:ascii="宋体" w:hAnsi="宋体"/>
                <w:sz w:val="24"/>
              </w:rPr>
            </w:pPr>
            <w:r>
              <w:rPr>
                <w:rFonts w:hint="eastAsia" w:ascii="宋体" w:hAnsi="宋体"/>
                <w:sz w:val="24"/>
              </w:rPr>
              <w:t>中级职称人员</w:t>
            </w:r>
          </w:p>
        </w:tc>
        <w:tc>
          <w:tcPr>
            <w:tcW w:w="1772" w:type="dxa"/>
            <w:gridSpan w:val="2"/>
            <w:vAlign w:val="center"/>
          </w:tcPr>
          <w:p>
            <w:pPr>
              <w:widowControl/>
              <w:spacing w:after="0" w:line="360" w:lineRule="atLeast"/>
              <w:ind w:firstLine="470" w:firstLineChars="196"/>
              <w:jc w:val="left"/>
              <w:outlineLvl w:val="1"/>
              <w:rPr>
                <w:rFonts w:ascii="宋体" w:hAnsi="宋体"/>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ascii="宋体" w:hAnsi="宋体"/>
                <w:sz w:val="24"/>
              </w:rPr>
            </w:pPr>
            <w:r>
              <w:rPr>
                <w:rFonts w:hint="eastAsia" w:ascii="宋体" w:hAnsi="宋体"/>
                <w:sz w:val="24"/>
              </w:rPr>
              <w:t>开户银行</w:t>
            </w:r>
          </w:p>
        </w:tc>
        <w:tc>
          <w:tcPr>
            <w:tcW w:w="2196" w:type="dxa"/>
            <w:gridSpan w:val="2"/>
            <w:vAlign w:val="center"/>
          </w:tcPr>
          <w:p>
            <w:pPr>
              <w:widowControl/>
              <w:spacing w:after="0" w:line="360" w:lineRule="atLeast"/>
              <w:ind w:firstLine="470" w:firstLineChars="196"/>
              <w:jc w:val="left"/>
              <w:outlineLvl w:val="1"/>
              <w:rPr>
                <w:rFonts w:ascii="宋体" w:hAnsi="宋体"/>
                <w:sz w:val="24"/>
              </w:rPr>
            </w:pPr>
          </w:p>
        </w:tc>
        <w:tc>
          <w:tcPr>
            <w:tcW w:w="1247" w:type="dxa"/>
            <w:vMerge w:val="continue"/>
            <w:vAlign w:val="center"/>
          </w:tcPr>
          <w:p>
            <w:pPr>
              <w:spacing w:after="0"/>
              <w:rPr>
                <w:rFonts w:ascii="宋体" w:hAnsi="宋体"/>
              </w:rPr>
            </w:pPr>
          </w:p>
        </w:tc>
        <w:tc>
          <w:tcPr>
            <w:tcW w:w="1478" w:type="dxa"/>
            <w:gridSpan w:val="2"/>
            <w:vAlign w:val="center"/>
          </w:tcPr>
          <w:p>
            <w:pPr>
              <w:widowControl/>
              <w:spacing w:after="0" w:line="360" w:lineRule="atLeast"/>
              <w:jc w:val="left"/>
              <w:outlineLvl w:val="1"/>
              <w:rPr>
                <w:rFonts w:ascii="宋体" w:hAnsi="宋体"/>
                <w:sz w:val="24"/>
              </w:rPr>
            </w:pPr>
            <w:r>
              <w:rPr>
                <w:rFonts w:hint="eastAsia" w:ascii="宋体" w:hAnsi="宋体"/>
                <w:sz w:val="24"/>
              </w:rPr>
              <w:t>初级职称人员</w:t>
            </w:r>
          </w:p>
        </w:tc>
        <w:tc>
          <w:tcPr>
            <w:tcW w:w="1772" w:type="dxa"/>
            <w:gridSpan w:val="2"/>
            <w:vAlign w:val="center"/>
          </w:tcPr>
          <w:p>
            <w:pPr>
              <w:widowControl/>
              <w:spacing w:after="0" w:line="360" w:lineRule="atLeast"/>
              <w:ind w:firstLine="470" w:firstLineChars="196"/>
              <w:jc w:val="left"/>
              <w:outlineLvl w:val="1"/>
              <w:rPr>
                <w:rFonts w:ascii="宋体" w:hAnsi="宋体"/>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ind w:firstLine="470" w:firstLineChars="196"/>
              <w:jc w:val="left"/>
              <w:outlineLvl w:val="1"/>
              <w:rPr>
                <w:rFonts w:ascii="宋体" w:hAnsi="宋体"/>
                <w:sz w:val="24"/>
              </w:rPr>
            </w:pPr>
            <w:r>
              <w:rPr>
                <w:rFonts w:hint="eastAsia" w:ascii="宋体" w:hAnsi="宋体"/>
                <w:sz w:val="24"/>
              </w:rPr>
              <w:t>账号</w:t>
            </w:r>
          </w:p>
        </w:tc>
        <w:tc>
          <w:tcPr>
            <w:tcW w:w="2196" w:type="dxa"/>
            <w:gridSpan w:val="2"/>
            <w:vAlign w:val="center"/>
          </w:tcPr>
          <w:p>
            <w:pPr>
              <w:widowControl/>
              <w:spacing w:after="0" w:line="360" w:lineRule="atLeast"/>
              <w:ind w:firstLine="470" w:firstLineChars="196"/>
              <w:jc w:val="left"/>
              <w:outlineLvl w:val="1"/>
              <w:rPr>
                <w:rFonts w:ascii="宋体" w:hAnsi="宋体"/>
                <w:sz w:val="24"/>
              </w:rPr>
            </w:pPr>
          </w:p>
        </w:tc>
        <w:tc>
          <w:tcPr>
            <w:tcW w:w="1247" w:type="dxa"/>
            <w:vMerge w:val="continue"/>
            <w:vAlign w:val="center"/>
          </w:tcPr>
          <w:p>
            <w:pPr>
              <w:spacing w:after="0"/>
              <w:rPr>
                <w:rFonts w:ascii="宋体" w:hAnsi="宋体"/>
              </w:rPr>
            </w:pPr>
          </w:p>
        </w:tc>
        <w:tc>
          <w:tcPr>
            <w:tcW w:w="1478" w:type="dxa"/>
            <w:gridSpan w:val="2"/>
            <w:vAlign w:val="center"/>
          </w:tcPr>
          <w:p>
            <w:pPr>
              <w:widowControl/>
              <w:spacing w:after="0" w:line="360" w:lineRule="atLeast"/>
              <w:ind w:firstLine="470" w:firstLineChars="196"/>
              <w:jc w:val="left"/>
              <w:outlineLvl w:val="1"/>
              <w:rPr>
                <w:rFonts w:ascii="宋体" w:hAnsi="宋体"/>
                <w:sz w:val="24"/>
              </w:rPr>
            </w:pPr>
            <w:r>
              <w:rPr>
                <w:rFonts w:hint="eastAsia" w:ascii="宋体" w:hAnsi="宋体"/>
                <w:sz w:val="24"/>
              </w:rPr>
              <w:t>技工</w:t>
            </w:r>
          </w:p>
        </w:tc>
        <w:tc>
          <w:tcPr>
            <w:tcW w:w="1772" w:type="dxa"/>
            <w:gridSpan w:val="2"/>
            <w:vAlign w:val="center"/>
          </w:tcPr>
          <w:p>
            <w:pPr>
              <w:widowControl/>
              <w:spacing w:after="0" w:line="360" w:lineRule="atLeast"/>
              <w:ind w:firstLine="470" w:firstLineChars="196"/>
              <w:jc w:val="left"/>
              <w:outlineLvl w:val="1"/>
              <w:rPr>
                <w:rFonts w:ascii="宋体" w:hAnsi="宋体"/>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2442" w:hRule="atLeast"/>
        </w:trPr>
        <w:tc>
          <w:tcPr>
            <w:tcW w:w="1522" w:type="dxa"/>
            <w:vAlign w:val="center"/>
          </w:tcPr>
          <w:p>
            <w:pPr>
              <w:widowControl/>
              <w:spacing w:after="0" w:line="360" w:lineRule="atLeast"/>
              <w:jc w:val="left"/>
              <w:outlineLvl w:val="1"/>
              <w:rPr>
                <w:rFonts w:ascii="宋体" w:hAnsi="宋体"/>
                <w:sz w:val="24"/>
              </w:rPr>
            </w:pPr>
            <w:r>
              <w:rPr>
                <w:rFonts w:hint="eastAsia" w:ascii="宋体" w:hAnsi="宋体"/>
                <w:sz w:val="24"/>
              </w:rPr>
              <w:t>经营范围</w:t>
            </w:r>
          </w:p>
        </w:tc>
        <w:tc>
          <w:tcPr>
            <w:tcW w:w="6693" w:type="dxa"/>
            <w:gridSpan w:val="7"/>
            <w:vAlign w:val="center"/>
          </w:tcPr>
          <w:p>
            <w:pPr>
              <w:widowControl/>
              <w:spacing w:after="0" w:line="360" w:lineRule="atLeast"/>
              <w:ind w:firstLine="470" w:firstLineChars="196"/>
              <w:jc w:val="left"/>
              <w:outlineLvl w:val="1"/>
              <w:rPr>
                <w:rFonts w:ascii="宋体" w:hAnsi="宋体"/>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072" w:hRule="atLeast"/>
        </w:trPr>
        <w:tc>
          <w:tcPr>
            <w:tcW w:w="1522" w:type="dxa"/>
          </w:tcPr>
          <w:p>
            <w:pPr>
              <w:widowControl/>
              <w:spacing w:after="0" w:line="360" w:lineRule="atLeast"/>
              <w:ind w:firstLine="470" w:firstLineChars="196"/>
              <w:jc w:val="left"/>
              <w:outlineLvl w:val="1"/>
              <w:rPr>
                <w:rFonts w:ascii="宋体" w:hAnsi="宋体"/>
                <w:sz w:val="24"/>
              </w:rPr>
            </w:pPr>
            <w:r>
              <w:rPr>
                <w:rFonts w:hint="eastAsia" w:ascii="宋体" w:hAnsi="宋体"/>
                <w:sz w:val="24"/>
              </w:rPr>
              <w:t>备注</w:t>
            </w:r>
          </w:p>
        </w:tc>
        <w:tc>
          <w:tcPr>
            <w:tcW w:w="6693" w:type="dxa"/>
            <w:gridSpan w:val="7"/>
          </w:tcPr>
          <w:p>
            <w:pPr>
              <w:widowControl/>
              <w:spacing w:after="0" w:line="360" w:lineRule="atLeast"/>
              <w:ind w:firstLine="470" w:firstLineChars="196"/>
              <w:jc w:val="left"/>
              <w:outlineLvl w:val="1"/>
              <w:rPr>
                <w:rFonts w:ascii="宋体" w:hAnsi="宋体"/>
                <w:sz w:val="24"/>
              </w:rPr>
            </w:pPr>
          </w:p>
        </w:tc>
      </w:tr>
    </w:tbl>
    <w:p>
      <w:pPr>
        <w:widowControl/>
        <w:spacing w:after="0" w:line="360" w:lineRule="atLeast"/>
        <w:ind w:firstLine="470" w:firstLineChars="196"/>
        <w:jc w:val="left"/>
        <w:rPr>
          <w:rFonts w:ascii="宋体" w:hAnsi="宋体"/>
          <w:sz w:val="24"/>
        </w:rPr>
      </w:pPr>
      <w:r>
        <w:rPr>
          <w:rFonts w:hint="eastAsia" w:ascii="宋体" w:hAnsi="宋体"/>
          <w:sz w:val="24"/>
        </w:rPr>
        <w:t>投标人名称：XXXX。</w:t>
      </w:r>
    </w:p>
    <w:p>
      <w:pPr>
        <w:widowControl/>
        <w:spacing w:after="0" w:line="360" w:lineRule="atLeast"/>
        <w:ind w:firstLine="470" w:firstLineChars="196"/>
        <w:jc w:val="left"/>
        <w:rPr>
          <w:rFonts w:ascii="宋体" w:hAnsi="宋体"/>
          <w:sz w:val="24"/>
        </w:rPr>
      </w:pPr>
      <w:r>
        <w:rPr>
          <w:rFonts w:hint="eastAsia" w:ascii="宋体" w:hAnsi="宋体"/>
          <w:sz w:val="24"/>
        </w:rPr>
        <w:t>投标日期: XXXX。</w:t>
      </w:r>
    </w:p>
    <w:p>
      <w:pPr>
        <w:spacing w:line="360" w:lineRule="auto"/>
        <w:rPr>
          <w:rFonts w:ascii="宋体" w:hAnsi="宋体"/>
          <w:b/>
          <w:sz w:val="32"/>
          <w:szCs w:val="32"/>
        </w:rPr>
      </w:pPr>
      <w:bookmarkStart w:id="141" w:name="_Toc217446089"/>
      <w:r>
        <w:rPr>
          <w:rFonts w:hint="eastAsia" w:ascii="宋体" w:hAnsi="宋体"/>
          <w:b/>
          <w:sz w:val="36"/>
          <w:szCs w:val="36"/>
        </w:rPr>
        <w:br w:type="page"/>
      </w:r>
      <w:r>
        <w:rPr>
          <w:rFonts w:hint="eastAsia" w:ascii="宋体" w:hAnsi="宋体"/>
          <w:b/>
          <w:sz w:val="32"/>
          <w:szCs w:val="32"/>
        </w:rPr>
        <w:t>格式2-8</w:t>
      </w:r>
    </w:p>
    <w:p>
      <w:pPr>
        <w:widowControl/>
        <w:spacing w:line="360" w:lineRule="atLeast"/>
        <w:jc w:val="center"/>
        <w:outlineLvl w:val="2"/>
        <w:rPr>
          <w:rFonts w:ascii="宋体" w:hAnsi="宋体"/>
          <w:b/>
          <w:sz w:val="36"/>
          <w:szCs w:val="36"/>
        </w:rPr>
      </w:pPr>
      <w:r>
        <w:rPr>
          <w:rFonts w:hint="eastAsia" w:ascii="宋体" w:hAnsi="宋体"/>
          <w:b/>
          <w:sz w:val="36"/>
          <w:szCs w:val="36"/>
        </w:rPr>
        <w:t>七、类似项目业绩一览表</w:t>
      </w:r>
      <w:bookmarkEnd w:id="141"/>
    </w:p>
    <w:p>
      <w:pPr>
        <w:widowControl/>
        <w:spacing w:line="360" w:lineRule="atLeast"/>
        <w:ind w:firstLine="472" w:firstLineChars="196"/>
        <w:jc w:val="left"/>
        <w:rPr>
          <w:rFonts w:ascii="宋体" w:hAnsi="宋体"/>
          <w:b/>
          <w:sz w:val="24"/>
        </w:rPr>
      </w:pPr>
    </w:p>
    <w:tbl>
      <w:tblPr>
        <w:tblStyle w:val="26"/>
        <w:tblW w:w="8523"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20"/>
        <w:gridCol w:w="1440"/>
        <w:gridCol w:w="1320"/>
        <w:gridCol w:w="1161"/>
        <w:gridCol w:w="1260"/>
        <w:gridCol w:w="9"/>
        <w:gridCol w:w="1621"/>
        <w:gridCol w:w="99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tcBorders>
              <w:top w:val="single" w:color="auto" w:sz="4" w:space="0"/>
            </w:tcBorders>
            <w:vAlign w:val="center"/>
          </w:tcPr>
          <w:p>
            <w:pPr>
              <w:widowControl/>
              <w:spacing w:line="360" w:lineRule="atLeast"/>
              <w:jc w:val="left"/>
              <w:rPr>
                <w:rFonts w:ascii="宋体" w:hAnsi="宋体"/>
                <w:sz w:val="24"/>
              </w:rPr>
            </w:pPr>
            <w:r>
              <w:rPr>
                <w:rFonts w:hint="eastAsia" w:ascii="宋体" w:hAnsi="宋体"/>
                <w:sz w:val="24"/>
              </w:rPr>
              <w:t>年份</w:t>
            </w:r>
          </w:p>
        </w:tc>
        <w:tc>
          <w:tcPr>
            <w:tcW w:w="1440" w:type="dxa"/>
            <w:vAlign w:val="center"/>
          </w:tcPr>
          <w:p>
            <w:pPr>
              <w:widowControl/>
              <w:spacing w:line="360" w:lineRule="atLeast"/>
              <w:jc w:val="left"/>
              <w:rPr>
                <w:rFonts w:ascii="宋体" w:hAnsi="宋体"/>
                <w:sz w:val="24"/>
              </w:rPr>
            </w:pPr>
            <w:r>
              <w:rPr>
                <w:rFonts w:hint="eastAsia" w:ascii="宋体" w:hAnsi="宋体"/>
                <w:sz w:val="24"/>
              </w:rPr>
              <w:t>用户名称</w:t>
            </w:r>
          </w:p>
        </w:tc>
        <w:tc>
          <w:tcPr>
            <w:tcW w:w="1320" w:type="dxa"/>
            <w:vAlign w:val="center"/>
          </w:tcPr>
          <w:p>
            <w:pPr>
              <w:widowControl/>
              <w:spacing w:line="360" w:lineRule="atLeast"/>
              <w:jc w:val="left"/>
              <w:rPr>
                <w:rFonts w:ascii="宋体" w:hAnsi="宋体"/>
                <w:sz w:val="24"/>
              </w:rPr>
            </w:pPr>
            <w:r>
              <w:rPr>
                <w:rFonts w:hint="eastAsia" w:ascii="宋体" w:hAnsi="宋体"/>
                <w:sz w:val="24"/>
              </w:rPr>
              <w:t>项目名称</w:t>
            </w:r>
          </w:p>
        </w:tc>
        <w:tc>
          <w:tcPr>
            <w:tcW w:w="1161" w:type="dxa"/>
            <w:vAlign w:val="center"/>
          </w:tcPr>
          <w:p>
            <w:pPr>
              <w:widowControl/>
              <w:spacing w:line="360" w:lineRule="atLeast"/>
              <w:jc w:val="left"/>
              <w:rPr>
                <w:rFonts w:ascii="宋体" w:hAnsi="宋体"/>
                <w:sz w:val="24"/>
              </w:rPr>
            </w:pPr>
            <w:r>
              <w:rPr>
                <w:rFonts w:hint="eastAsia" w:ascii="宋体" w:hAnsi="宋体"/>
                <w:sz w:val="24"/>
              </w:rPr>
              <w:t>完成时间</w:t>
            </w:r>
          </w:p>
        </w:tc>
        <w:tc>
          <w:tcPr>
            <w:tcW w:w="1260" w:type="dxa"/>
            <w:vAlign w:val="center"/>
          </w:tcPr>
          <w:p>
            <w:pPr>
              <w:widowControl/>
              <w:spacing w:line="360" w:lineRule="atLeast"/>
              <w:jc w:val="left"/>
              <w:rPr>
                <w:rFonts w:ascii="宋体" w:hAnsi="宋体"/>
                <w:sz w:val="24"/>
              </w:rPr>
            </w:pPr>
            <w:r>
              <w:rPr>
                <w:rFonts w:hint="eastAsia" w:ascii="宋体" w:hAnsi="宋体"/>
                <w:sz w:val="24"/>
              </w:rPr>
              <w:t>合同金额</w:t>
            </w:r>
          </w:p>
        </w:tc>
        <w:tc>
          <w:tcPr>
            <w:tcW w:w="1630" w:type="dxa"/>
            <w:gridSpan w:val="2"/>
            <w:tcBorders>
              <w:right w:val="single" w:color="auto" w:sz="4" w:space="0"/>
            </w:tcBorders>
            <w:vAlign w:val="center"/>
          </w:tcPr>
          <w:p>
            <w:pPr>
              <w:widowControl/>
              <w:spacing w:line="360" w:lineRule="atLeast"/>
              <w:jc w:val="left"/>
              <w:rPr>
                <w:rFonts w:ascii="宋体" w:hAnsi="宋体"/>
                <w:sz w:val="24"/>
              </w:rPr>
            </w:pPr>
            <w:r>
              <w:rPr>
                <w:rFonts w:hint="eastAsia" w:ascii="宋体" w:hAnsi="宋体"/>
                <w:sz w:val="24"/>
              </w:rPr>
              <w:t>是否通过验收</w:t>
            </w:r>
          </w:p>
        </w:tc>
        <w:tc>
          <w:tcPr>
            <w:tcW w:w="992" w:type="dxa"/>
            <w:tcBorders>
              <w:left w:val="single" w:color="auto" w:sz="4" w:space="0"/>
            </w:tcBorders>
            <w:vAlign w:val="center"/>
          </w:tcPr>
          <w:p>
            <w:pPr>
              <w:widowControl/>
              <w:spacing w:line="360" w:lineRule="atLeast"/>
              <w:jc w:val="left"/>
              <w:rPr>
                <w:rFonts w:ascii="宋体" w:hAnsi="宋体"/>
                <w:sz w:val="24"/>
              </w:rPr>
            </w:pPr>
            <w:r>
              <w:rPr>
                <w:rFonts w:hint="eastAsia" w:ascii="宋体" w:hAnsi="宋体"/>
                <w:sz w:val="24"/>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宋体" w:hAnsi="宋体"/>
                <w:sz w:val="24"/>
              </w:rPr>
            </w:pPr>
          </w:p>
        </w:tc>
        <w:tc>
          <w:tcPr>
            <w:tcW w:w="1440" w:type="dxa"/>
            <w:vAlign w:val="center"/>
          </w:tcPr>
          <w:p>
            <w:pPr>
              <w:widowControl/>
              <w:spacing w:line="360" w:lineRule="atLeast"/>
              <w:ind w:firstLine="470" w:firstLineChars="196"/>
              <w:jc w:val="left"/>
              <w:rPr>
                <w:rFonts w:ascii="宋体" w:hAnsi="宋体"/>
                <w:sz w:val="24"/>
              </w:rPr>
            </w:pPr>
          </w:p>
        </w:tc>
        <w:tc>
          <w:tcPr>
            <w:tcW w:w="1320" w:type="dxa"/>
            <w:vAlign w:val="center"/>
          </w:tcPr>
          <w:p>
            <w:pPr>
              <w:widowControl/>
              <w:spacing w:line="360" w:lineRule="atLeast"/>
              <w:ind w:firstLine="470" w:firstLineChars="196"/>
              <w:jc w:val="left"/>
              <w:rPr>
                <w:rFonts w:ascii="宋体" w:hAnsi="宋体"/>
                <w:sz w:val="24"/>
              </w:rPr>
            </w:pPr>
          </w:p>
        </w:tc>
        <w:tc>
          <w:tcPr>
            <w:tcW w:w="1161" w:type="dxa"/>
            <w:vAlign w:val="center"/>
          </w:tcPr>
          <w:p>
            <w:pPr>
              <w:widowControl/>
              <w:spacing w:line="360" w:lineRule="atLeast"/>
              <w:ind w:firstLine="470" w:firstLineChars="196"/>
              <w:jc w:val="left"/>
              <w:rPr>
                <w:rFonts w:ascii="宋体" w:hAnsi="宋体"/>
                <w:sz w:val="24"/>
              </w:rPr>
            </w:pPr>
          </w:p>
        </w:tc>
        <w:tc>
          <w:tcPr>
            <w:tcW w:w="1260" w:type="dxa"/>
            <w:vAlign w:val="center"/>
          </w:tcPr>
          <w:p>
            <w:pPr>
              <w:widowControl/>
              <w:spacing w:line="360" w:lineRule="atLeast"/>
              <w:ind w:firstLine="470" w:firstLineChars="196"/>
              <w:jc w:val="left"/>
              <w:rPr>
                <w:rFonts w:ascii="宋体" w:hAnsi="宋体"/>
                <w:sz w:val="24"/>
              </w:rPr>
            </w:pPr>
          </w:p>
        </w:tc>
        <w:tc>
          <w:tcPr>
            <w:tcW w:w="1630" w:type="dxa"/>
            <w:gridSpan w:val="2"/>
            <w:tcBorders>
              <w:right w:val="single" w:color="auto" w:sz="4" w:space="0"/>
            </w:tcBorders>
            <w:vAlign w:val="center"/>
          </w:tcPr>
          <w:p>
            <w:pPr>
              <w:widowControl/>
              <w:spacing w:line="360" w:lineRule="atLeast"/>
              <w:ind w:firstLine="470" w:firstLineChars="196"/>
              <w:jc w:val="left"/>
              <w:rPr>
                <w:rFonts w:ascii="宋体" w:hAnsi="宋体"/>
                <w:sz w:val="24"/>
              </w:rPr>
            </w:pPr>
          </w:p>
        </w:tc>
        <w:tc>
          <w:tcPr>
            <w:tcW w:w="992" w:type="dxa"/>
            <w:tcBorders>
              <w:left w:val="single" w:color="auto" w:sz="4" w:space="0"/>
            </w:tcBorders>
            <w:vAlign w:val="center"/>
          </w:tcPr>
          <w:p>
            <w:pPr>
              <w:widowControl/>
              <w:spacing w:line="360" w:lineRule="atLeast"/>
              <w:ind w:firstLine="470" w:firstLineChars="196"/>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宋体" w:hAnsi="宋体"/>
                <w:sz w:val="24"/>
              </w:rPr>
            </w:pPr>
          </w:p>
        </w:tc>
        <w:tc>
          <w:tcPr>
            <w:tcW w:w="1440" w:type="dxa"/>
            <w:vAlign w:val="center"/>
          </w:tcPr>
          <w:p>
            <w:pPr>
              <w:widowControl/>
              <w:spacing w:line="360" w:lineRule="atLeast"/>
              <w:ind w:firstLine="470" w:firstLineChars="196"/>
              <w:jc w:val="left"/>
              <w:rPr>
                <w:rFonts w:ascii="宋体" w:hAnsi="宋体"/>
                <w:sz w:val="24"/>
              </w:rPr>
            </w:pPr>
          </w:p>
        </w:tc>
        <w:tc>
          <w:tcPr>
            <w:tcW w:w="1320" w:type="dxa"/>
            <w:vAlign w:val="center"/>
          </w:tcPr>
          <w:p>
            <w:pPr>
              <w:widowControl/>
              <w:spacing w:line="360" w:lineRule="atLeast"/>
              <w:ind w:firstLine="470" w:firstLineChars="196"/>
              <w:jc w:val="left"/>
              <w:rPr>
                <w:rFonts w:ascii="宋体" w:hAnsi="宋体"/>
                <w:sz w:val="24"/>
              </w:rPr>
            </w:pPr>
          </w:p>
        </w:tc>
        <w:tc>
          <w:tcPr>
            <w:tcW w:w="1161" w:type="dxa"/>
            <w:vAlign w:val="center"/>
          </w:tcPr>
          <w:p>
            <w:pPr>
              <w:widowControl/>
              <w:spacing w:line="360" w:lineRule="atLeast"/>
              <w:ind w:firstLine="470" w:firstLineChars="196"/>
              <w:jc w:val="left"/>
              <w:rPr>
                <w:rFonts w:ascii="宋体" w:hAnsi="宋体"/>
                <w:sz w:val="24"/>
              </w:rPr>
            </w:pPr>
          </w:p>
        </w:tc>
        <w:tc>
          <w:tcPr>
            <w:tcW w:w="1260" w:type="dxa"/>
            <w:vAlign w:val="center"/>
          </w:tcPr>
          <w:p>
            <w:pPr>
              <w:widowControl/>
              <w:spacing w:line="360" w:lineRule="atLeast"/>
              <w:ind w:firstLine="470" w:firstLineChars="196"/>
              <w:jc w:val="left"/>
              <w:rPr>
                <w:rFonts w:ascii="宋体" w:hAnsi="宋体"/>
                <w:sz w:val="24"/>
              </w:rPr>
            </w:pPr>
          </w:p>
        </w:tc>
        <w:tc>
          <w:tcPr>
            <w:tcW w:w="1630" w:type="dxa"/>
            <w:gridSpan w:val="2"/>
            <w:tcBorders>
              <w:right w:val="single" w:color="auto" w:sz="4" w:space="0"/>
            </w:tcBorders>
            <w:vAlign w:val="center"/>
          </w:tcPr>
          <w:p>
            <w:pPr>
              <w:widowControl/>
              <w:spacing w:line="360" w:lineRule="atLeast"/>
              <w:ind w:firstLine="470" w:firstLineChars="196"/>
              <w:jc w:val="left"/>
              <w:rPr>
                <w:rFonts w:ascii="宋体" w:hAnsi="宋体"/>
                <w:sz w:val="24"/>
              </w:rPr>
            </w:pPr>
          </w:p>
        </w:tc>
        <w:tc>
          <w:tcPr>
            <w:tcW w:w="992" w:type="dxa"/>
            <w:tcBorders>
              <w:left w:val="single" w:color="auto" w:sz="4" w:space="0"/>
            </w:tcBorders>
            <w:vAlign w:val="center"/>
          </w:tcPr>
          <w:p>
            <w:pPr>
              <w:widowControl/>
              <w:spacing w:line="360" w:lineRule="atLeast"/>
              <w:ind w:firstLine="470" w:firstLineChars="196"/>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宋体" w:hAnsi="宋体"/>
                <w:sz w:val="24"/>
              </w:rPr>
            </w:pPr>
          </w:p>
        </w:tc>
        <w:tc>
          <w:tcPr>
            <w:tcW w:w="1440" w:type="dxa"/>
            <w:vAlign w:val="center"/>
          </w:tcPr>
          <w:p>
            <w:pPr>
              <w:widowControl/>
              <w:spacing w:line="360" w:lineRule="atLeast"/>
              <w:ind w:firstLine="470" w:firstLineChars="196"/>
              <w:jc w:val="left"/>
              <w:rPr>
                <w:rFonts w:ascii="宋体" w:hAnsi="宋体"/>
                <w:sz w:val="24"/>
              </w:rPr>
            </w:pPr>
          </w:p>
        </w:tc>
        <w:tc>
          <w:tcPr>
            <w:tcW w:w="1320" w:type="dxa"/>
            <w:vAlign w:val="center"/>
          </w:tcPr>
          <w:p>
            <w:pPr>
              <w:widowControl/>
              <w:spacing w:line="360" w:lineRule="atLeast"/>
              <w:ind w:firstLine="470" w:firstLineChars="196"/>
              <w:jc w:val="left"/>
              <w:rPr>
                <w:rFonts w:ascii="宋体" w:hAnsi="宋体"/>
                <w:sz w:val="24"/>
              </w:rPr>
            </w:pPr>
          </w:p>
        </w:tc>
        <w:tc>
          <w:tcPr>
            <w:tcW w:w="1161" w:type="dxa"/>
            <w:vAlign w:val="center"/>
          </w:tcPr>
          <w:p>
            <w:pPr>
              <w:widowControl/>
              <w:spacing w:line="360" w:lineRule="atLeast"/>
              <w:ind w:firstLine="470" w:firstLineChars="196"/>
              <w:jc w:val="left"/>
              <w:rPr>
                <w:rFonts w:ascii="宋体" w:hAnsi="宋体"/>
                <w:sz w:val="24"/>
              </w:rPr>
            </w:pPr>
          </w:p>
        </w:tc>
        <w:tc>
          <w:tcPr>
            <w:tcW w:w="1260" w:type="dxa"/>
            <w:vAlign w:val="center"/>
          </w:tcPr>
          <w:p>
            <w:pPr>
              <w:widowControl/>
              <w:spacing w:line="360" w:lineRule="atLeast"/>
              <w:ind w:firstLine="470" w:firstLineChars="196"/>
              <w:jc w:val="left"/>
              <w:rPr>
                <w:rFonts w:ascii="宋体" w:hAnsi="宋体"/>
                <w:sz w:val="24"/>
              </w:rPr>
            </w:pPr>
          </w:p>
        </w:tc>
        <w:tc>
          <w:tcPr>
            <w:tcW w:w="1630" w:type="dxa"/>
            <w:gridSpan w:val="2"/>
            <w:tcBorders>
              <w:right w:val="single" w:color="auto" w:sz="4" w:space="0"/>
            </w:tcBorders>
            <w:vAlign w:val="center"/>
          </w:tcPr>
          <w:p>
            <w:pPr>
              <w:widowControl/>
              <w:spacing w:line="360" w:lineRule="atLeast"/>
              <w:ind w:firstLine="470" w:firstLineChars="196"/>
              <w:jc w:val="left"/>
              <w:rPr>
                <w:rFonts w:ascii="宋体" w:hAnsi="宋体"/>
                <w:sz w:val="24"/>
              </w:rPr>
            </w:pPr>
          </w:p>
        </w:tc>
        <w:tc>
          <w:tcPr>
            <w:tcW w:w="992" w:type="dxa"/>
            <w:tcBorders>
              <w:left w:val="single" w:color="auto" w:sz="4" w:space="0"/>
            </w:tcBorders>
            <w:vAlign w:val="center"/>
          </w:tcPr>
          <w:p>
            <w:pPr>
              <w:widowControl/>
              <w:spacing w:line="360" w:lineRule="atLeast"/>
              <w:ind w:firstLine="470" w:firstLineChars="196"/>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宋体" w:hAnsi="宋体"/>
                <w:sz w:val="24"/>
              </w:rPr>
            </w:pPr>
          </w:p>
        </w:tc>
        <w:tc>
          <w:tcPr>
            <w:tcW w:w="1440" w:type="dxa"/>
            <w:tcBorders>
              <w:right w:val="single" w:color="auto" w:sz="4" w:space="0"/>
            </w:tcBorders>
            <w:vAlign w:val="center"/>
          </w:tcPr>
          <w:p>
            <w:pPr>
              <w:widowControl/>
              <w:spacing w:line="360" w:lineRule="atLeast"/>
              <w:ind w:firstLine="470" w:firstLineChars="196"/>
              <w:jc w:val="left"/>
              <w:rPr>
                <w:rFonts w:ascii="宋体" w:hAnsi="宋体"/>
                <w:sz w:val="24"/>
              </w:rPr>
            </w:pPr>
          </w:p>
        </w:tc>
        <w:tc>
          <w:tcPr>
            <w:tcW w:w="1320" w:type="dxa"/>
            <w:tcBorders>
              <w:left w:val="single" w:color="auto" w:sz="4" w:space="0"/>
            </w:tcBorders>
            <w:vAlign w:val="center"/>
          </w:tcPr>
          <w:p>
            <w:pPr>
              <w:widowControl/>
              <w:spacing w:line="360" w:lineRule="atLeast"/>
              <w:ind w:firstLine="470" w:firstLineChars="196"/>
              <w:jc w:val="left"/>
              <w:rPr>
                <w:rFonts w:ascii="宋体" w:hAnsi="宋体"/>
                <w:sz w:val="24"/>
              </w:rPr>
            </w:pPr>
          </w:p>
        </w:tc>
        <w:tc>
          <w:tcPr>
            <w:tcW w:w="1161" w:type="dxa"/>
            <w:vAlign w:val="center"/>
          </w:tcPr>
          <w:p>
            <w:pPr>
              <w:widowControl/>
              <w:spacing w:line="360" w:lineRule="atLeast"/>
              <w:ind w:firstLine="470" w:firstLineChars="196"/>
              <w:jc w:val="left"/>
              <w:rPr>
                <w:rFonts w:ascii="宋体" w:hAnsi="宋体"/>
                <w:sz w:val="24"/>
              </w:rPr>
            </w:pPr>
          </w:p>
        </w:tc>
        <w:tc>
          <w:tcPr>
            <w:tcW w:w="1260" w:type="dxa"/>
            <w:vAlign w:val="center"/>
          </w:tcPr>
          <w:p>
            <w:pPr>
              <w:widowControl/>
              <w:spacing w:line="360" w:lineRule="atLeast"/>
              <w:ind w:firstLine="470" w:firstLineChars="196"/>
              <w:jc w:val="left"/>
              <w:rPr>
                <w:rFonts w:ascii="宋体" w:hAnsi="宋体"/>
                <w:sz w:val="24"/>
              </w:rPr>
            </w:pPr>
          </w:p>
        </w:tc>
        <w:tc>
          <w:tcPr>
            <w:tcW w:w="1630" w:type="dxa"/>
            <w:gridSpan w:val="2"/>
            <w:tcBorders>
              <w:right w:val="single" w:color="auto" w:sz="4" w:space="0"/>
            </w:tcBorders>
            <w:vAlign w:val="center"/>
          </w:tcPr>
          <w:p>
            <w:pPr>
              <w:widowControl/>
              <w:spacing w:line="360" w:lineRule="atLeast"/>
              <w:ind w:firstLine="470" w:firstLineChars="196"/>
              <w:jc w:val="left"/>
              <w:rPr>
                <w:rFonts w:ascii="宋体" w:hAnsi="宋体"/>
                <w:sz w:val="24"/>
              </w:rPr>
            </w:pPr>
          </w:p>
        </w:tc>
        <w:tc>
          <w:tcPr>
            <w:tcW w:w="992" w:type="dxa"/>
            <w:tcBorders>
              <w:left w:val="single" w:color="auto" w:sz="4" w:space="0"/>
            </w:tcBorders>
            <w:vAlign w:val="center"/>
          </w:tcPr>
          <w:p>
            <w:pPr>
              <w:widowControl/>
              <w:spacing w:line="360" w:lineRule="atLeast"/>
              <w:ind w:firstLine="470" w:firstLineChars="196"/>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tcBorders>
              <w:right w:val="single" w:color="auto" w:sz="4" w:space="0"/>
            </w:tcBorders>
            <w:vAlign w:val="center"/>
          </w:tcPr>
          <w:p>
            <w:pPr>
              <w:widowControl/>
              <w:spacing w:line="360" w:lineRule="atLeast"/>
              <w:ind w:firstLine="470" w:firstLineChars="196"/>
              <w:jc w:val="left"/>
              <w:rPr>
                <w:rFonts w:ascii="宋体" w:hAnsi="宋体"/>
                <w:sz w:val="24"/>
              </w:rPr>
            </w:pPr>
          </w:p>
        </w:tc>
        <w:tc>
          <w:tcPr>
            <w:tcW w:w="1440" w:type="dxa"/>
            <w:tcBorders>
              <w:left w:val="single" w:color="auto" w:sz="4" w:space="0"/>
              <w:right w:val="single" w:color="auto" w:sz="4" w:space="0"/>
            </w:tcBorders>
            <w:vAlign w:val="center"/>
          </w:tcPr>
          <w:p>
            <w:pPr>
              <w:widowControl/>
              <w:spacing w:line="360" w:lineRule="atLeast"/>
              <w:ind w:firstLine="470" w:firstLineChars="196"/>
              <w:jc w:val="left"/>
              <w:rPr>
                <w:rFonts w:ascii="宋体" w:hAnsi="宋体"/>
                <w:sz w:val="24"/>
              </w:rPr>
            </w:pPr>
          </w:p>
        </w:tc>
        <w:tc>
          <w:tcPr>
            <w:tcW w:w="1320" w:type="dxa"/>
            <w:tcBorders>
              <w:left w:val="single" w:color="auto" w:sz="4" w:space="0"/>
              <w:right w:val="single" w:color="auto" w:sz="4" w:space="0"/>
            </w:tcBorders>
            <w:vAlign w:val="center"/>
          </w:tcPr>
          <w:p>
            <w:pPr>
              <w:widowControl/>
              <w:spacing w:line="360" w:lineRule="atLeast"/>
              <w:ind w:firstLine="470" w:firstLineChars="196"/>
              <w:jc w:val="left"/>
              <w:rPr>
                <w:rFonts w:ascii="宋体" w:hAnsi="宋体"/>
                <w:sz w:val="24"/>
              </w:rPr>
            </w:pPr>
          </w:p>
        </w:tc>
        <w:tc>
          <w:tcPr>
            <w:tcW w:w="1161" w:type="dxa"/>
            <w:tcBorders>
              <w:left w:val="single" w:color="auto" w:sz="4" w:space="0"/>
              <w:right w:val="single" w:color="auto" w:sz="4" w:space="0"/>
            </w:tcBorders>
            <w:vAlign w:val="center"/>
          </w:tcPr>
          <w:p>
            <w:pPr>
              <w:widowControl/>
              <w:spacing w:line="360" w:lineRule="atLeast"/>
              <w:ind w:firstLine="470" w:firstLineChars="196"/>
              <w:jc w:val="left"/>
              <w:rPr>
                <w:rFonts w:ascii="宋体" w:hAnsi="宋体"/>
                <w:sz w:val="24"/>
              </w:rPr>
            </w:pPr>
          </w:p>
        </w:tc>
        <w:tc>
          <w:tcPr>
            <w:tcW w:w="1269" w:type="dxa"/>
            <w:gridSpan w:val="2"/>
            <w:tcBorders>
              <w:left w:val="single" w:color="auto" w:sz="4" w:space="0"/>
              <w:right w:val="single" w:color="auto" w:sz="4" w:space="0"/>
            </w:tcBorders>
            <w:vAlign w:val="center"/>
          </w:tcPr>
          <w:p>
            <w:pPr>
              <w:widowControl/>
              <w:spacing w:line="360" w:lineRule="atLeast"/>
              <w:ind w:firstLine="470" w:firstLineChars="196"/>
              <w:jc w:val="left"/>
              <w:rPr>
                <w:rFonts w:ascii="宋体" w:hAnsi="宋体"/>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rPr>
                <w:rFonts w:ascii="宋体" w:hAnsi="宋体"/>
                <w:sz w:val="24"/>
              </w:rPr>
            </w:pPr>
          </w:p>
        </w:tc>
        <w:tc>
          <w:tcPr>
            <w:tcW w:w="992" w:type="dxa"/>
            <w:tcBorders>
              <w:left w:val="single" w:color="auto" w:sz="4" w:space="0"/>
            </w:tcBorders>
            <w:vAlign w:val="center"/>
          </w:tcPr>
          <w:p>
            <w:pPr>
              <w:widowControl/>
              <w:spacing w:line="360" w:lineRule="atLeast"/>
              <w:ind w:firstLine="470" w:firstLineChars="196"/>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宋体" w:hAnsi="宋体"/>
                <w:sz w:val="24"/>
              </w:rPr>
            </w:pPr>
          </w:p>
        </w:tc>
        <w:tc>
          <w:tcPr>
            <w:tcW w:w="1440" w:type="dxa"/>
            <w:vAlign w:val="center"/>
          </w:tcPr>
          <w:p>
            <w:pPr>
              <w:widowControl/>
              <w:spacing w:line="360" w:lineRule="atLeast"/>
              <w:ind w:firstLine="470" w:firstLineChars="196"/>
              <w:jc w:val="left"/>
              <w:rPr>
                <w:rFonts w:ascii="宋体" w:hAnsi="宋体"/>
                <w:sz w:val="24"/>
              </w:rPr>
            </w:pPr>
          </w:p>
        </w:tc>
        <w:tc>
          <w:tcPr>
            <w:tcW w:w="1320" w:type="dxa"/>
            <w:vAlign w:val="center"/>
          </w:tcPr>
          <w:p>
            <w:pPr>
              <w:widowControl/>
              <w:spacing w:line="360" w:lineRule="atLeast"/>
              <w:ind w:firstLine="470" w:firstLineChars="196"/>
              <w:jc w:val="left"/>
              <w:rPr>
                <w:rFonts w:ascii="宋体" w:hAnsi="宋体"/>
                <w:sz w:val="24"/>
              </w:rPr>
            </w:pPr>
          </w:p>
        </w:tc>
        <w:tc>
          <w:tcPr>
            <w:tcW w:w="1161" w:type="dxa"/>
            <w:vAlign w:val="center"/>
          </w:tcPr>
          <w:p>
            <w:pPr>
              <w:widowControl/>
              <w:spacing w:line="360" w:lineRule="atLeast"/>
              <w:ind w:firstLine="470" w:firstLineChars="196"/>
              <w:jc w:val="left"/>
              <w:rPr>
                <w:rFonts w:ascii="宋体" w:hAnsi="宋体"/>
                <w:sz w:val="24"/>
              </w:rPr>
            </w:pPr>
          </w:p>
        </w:tc>
        <w:tc>
          <w:tcPr>
            <w:tcW w:w="1269" w:type="dxa"/>
            <w:gridSpan w:val="2"/>
            <w:tcBorders>
              <w:right w:val="single" w:color="auto" w:sz="4" w:space="0"/>
            </w:tcBorders>
            <w:vAlign w:val="center"/>
          </w:tcPr>
          <w:p>
            <w:pPr>
              <w:widowControl/>
              <w:spacing w:line="360" w:lineRule="atLeast"/>
              <w:ind w:firstLine="470" w:firstLineChars="196"/>
              <w:jc w:val="left"/>
              <w:rPr>
                <w:rFonts w:ascii="宋体" w:hAnsi="宋体"/>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rPr>
                <w:rFonts w:ascii="宋体" w:hAnsi="宋体"/>
                <w:sz w:val="24"/>
              </w:rPr>
            </w:pPr>
          </w:p>
        </w:tc>
        <w:tc>
          <w:tcPr>
            <w:tcW w:w="992" w:type="dxa"/>
            <w:tcBorders>
              <w:left w:val="single" w:color="auto" w:sz="4" w:space="0"/>
            </w:tcBorders>
            <w:vAlign w:val="center"/>
          </w:tcPr>
          <w:p>
            <w:pPr>
              <w:widowControl/>
              <w:spacing w:line="360" w:lineRule="atLeast"/>
              <w:ind w:firstLine="470" w:firstLineChars="196"/>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宋体" w:hAnsi="宋体"/>
                <w:sz w:val="24"/>
              </w:rPr>
            </w:pPr>
          </w:p>
        </w:tc>
        <w:tc>
          <w:tcPr>
            <w:tcW w:w="1440" w:type="dxa"/>
            <w:vAlign w:val="center"/>
          </w:tcPr>
          <w:p>
            <w:pPr>
              <w:widowControl/>
              <w:spacing w:line="360" w:lineRule="atLeast"/>
              <w:ind w:firstLine="470" w:firstLineChars="196"/>
              <w:jc w:val="left"/>
              <w:rPr>
                <w:rFonts w:ascii="宋体" w:hAnsi="宋体"/>
                <w:sz w:val="24"/>
              </w:rPr>
            </w:pPr>
          </w:p>
        </w:tc>
        <w:tc>
          <w:tcPr>
            <w:tcW w:w="1320" w:type="dxa"/>
            <w:vAlign w:val="center"/>
          </w:tcPr>
          <w:p>
            <w:pPr>
              <w:widowControl/>
              <w:spacing w:line="360" w:lineRule="atLeast"/>
              <w:ind w:firstLine="470" w:firstLineChars="196"/>
              <w:jc w:val="left"/>
              <w:rPr>
                <w:rFonts w:ascii="宋体" w:hAnsi="宋体"/>
                <w:sz w:val="24"/>
              </w:rPr>
            </w:pPr>
          </w:p>
        </w:tc>
        <w:tc>
          <w:tcPr>
            <w:tcW w:w="1161" w:type="dxa"/>
            <w:vAlign w:val="center"/>
          </w:tcPr>
          <w:p>
            <w:pPr>
              <w:widowControl/>
              <w:spacing w:line="360" w:lineRule="atLeast"/>
              <w:ind w:firstLine="470" w:firstLineChars="196"/>
              <w:jc w:val="left"/>
              <w:rPr>
                <w:rFonts w:ascii="宋体" w:hAnsi="宋体"/>
                <w:sz w:val="24"/>
              </w:rPr>
            </w:pPr>
          </w:p>
        </w:tc>
        <w:tc>
          <w:tcPr>
            <w:tcW w:w="1269" w:type="dxa"/>
            <w:gridSpan w:val="2"/>
            <w:tcBorders>
              <w:right w:val="single" w:color="auto" w:sz="4" w:space="0"/>
            </w:tcBorders>
            <w:vAlign w:val="center"/>
          </w:tcPr>
          <w:p>
            <w:pPr>
              <w:widowControl/>
              <w:spacing w:line="360" w:lineRule="atLeast"/>
              <w:ind w:firstLine="470" w:firstLineChars="196"/>
              <w:jc w:val="left"/>
              <w:rPr>
                <w:rFonts w:ascii="宋体" w:hAnsi="宋体"/>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rPr>
                <w:rFonts w:ascii="宋体" w:hAnsi="宋体"/>
                <w:sz w:val="24"/>
              </w:rPr>
            </w:pPr>
          </w:p>
        </w:tc>
        <w:tc>
          <w:tcPr>
            <w:tcW w:w="992" w:type="dxa"/>
            <w:tcBorders>
              <w:left w:val="single" w:color="auto" w:sz="4" w:space="0"/>
            </w:tcBorders>
            <w:vAlign w:val="center"/>
          </w:tcPr>
          <w:p>
            <w:pPr>
              <w:widowControl/>
              <w:spacing w:line="360" w:lineRule="atLeast"/>
              <w:ind w:firstLine="470" w:firstLineChars="196"/>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宋体" w:hAnsi="宋体"/>
                <w:sz w:val="24"/>
              </w:rPr>
            </w:pPr>
          </w:p>
        </w:tc>
        <w:tc>
          <w:tcPr>
            <w:tcW w:w="1440" w:type="dxa"/>
            <w:vAlign w:val="center"/>
          </w:tcPr>
          <w:p>
            <w:pPr>
              <w:widowControl/>
              <w:spacing w:line="360" w:lineRule="atLeast"/>
              <w:ind w:firstLine="470" w:firstLineChars="196"/>
              <w:jc w:val="left"/>
              <w:rPr>
                <w:rFonts w:ascii="宋体" w:hAnsi="宋体"/>
                <w:sz w:val="24"/>
              </w:rPr>
            </w:pPr>
          </w:p>
        </w:tc>
        <w:tc>
          <w:tcPr>
            <w:tcW w:w="1320" w:type="dxa"/>
            <w:vAlign w:val="center"/>
          </w:tcPr>
          <w:p>
            <w:pPr>
              <w:widowControl/>
              <w:spacing w:line="360" w:lineRule="atLeast"/>
              <w:ind w:firstLine="470" w:firstLineChars="196"/>
              <w:jc w:val="left"/>
              <w:rPr>
                <w:rFonts w:ascii="宋体" w:hAnsi="宋体"/>
                <w:sz w:val="24"/>
              </w:rPr>
            </w:pPr>
          </w:p>
        </w:tc>
        <w:tc>
          <w:tcPr>
            <w:tcW w:w="1161" w:type="dxa"/>
            <w:vAlign w:val="center"/>
          </w:tcPr>
          <w:p>
            <w:pPr>
              <w:widowControl/>
              <w:spacing w:line="360" w:lineRule="atLeast"/>
              <w:ind w:firstLine="470" w:firstLineChars="196"/>
              <w:jc w:val="left"/>
              <w:rPr>
                <w:rFonts w:ascii="宋体" w:hAnsi="宋体"/>
                <w:sz w:val="24"/>
              </w:rPr>
            </w:pPr>
          </w:p>
        </w:tc>
        <w:tc>
          <w:tcPr>
            <w:tcW w:w="1269" w:type="dxa"/>
            <w:gridSpan w:val="2"/>
            <w:tcBorders>
              <w:right w:val="single" w:color="auto" w:sz="4" w:space="0"/>
            </w:tcBorders>
            <w:vAlign w:val="center"/>
          </w:tcPr>
          <w:p>
            <w:pPr>
              <w:widowControl/>
              <w:spacing w:line="360" w:lineRule="atLeast"/>
              <w:ind w:firstLine="470" w:firstLineChars="196"/>
              <w:jc w:val="left"/>
              <w:rPr>
                <w:rFonts w:ascii="宋体" w:hAnsi="宋体"/>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rPr>
                <w:rFonts w:ascii="宋体" w:hAnsi="宋体"/>
                <w:sz w:val="24"/>
              </w:rPr>
            </w:pPr>
          </w:p>
        </w:tc>
        <w:tc>
          <w:tcPr>
            <w:tcW w:w="992" w:type="dxa"/>
            <w:tcBorders>
              <w:left w:val="single" w:color="auto" w:sz="4" w:space="0"/>
            </w:tcBorders>
            <w:vAlign w:val="center"/>
          </w:tcPr>
          <w:p>
            <w:pPr>
              <w:widowControl/>
              <w:spacing w:line="360" w:lineRule="atLeast"/>
              <w:ind w:firstLine="470" w:firstLineChars="196"/>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720" w:type="dxa"/>
            <w:tcBorders>
              <w:bottom w:val="single" w:color="auto" w:sz="4" w:space="0"/>
            </w:tcBorders>
            <w:vAlign w:val="center"/>
          </w:tcPr>
          <w:p>
            <w:pPr>
              <w:widowControl/>
              <w:spacing w:line="360" w:lineRule="atLeast"/>
              <w:ind w:firstLine="470" w:firstLineChars="196"/>
              <w:jc w:val="left"/>
              <w:rPr>
                <w:rFonts w:ascii="宋体" w:hAnsi="宋体"/>
                <w:sz w:val="24"/>
              </w:rPr>
            </w:pPr>
          </w:p>
        </w:tc>
        <w:tc>
          <w:tcPr>
            <w:tcW w:w="1440" w:type="dxa"/>
            <w:tcBorders>
              <w:bottom w:val="single" w:color="auto" w:sz="4" w:space="0"/>
            </w:tcBorders>
            <w:vAlign w:val="center"/>
          </w:tcPr>
          <w:p>
            <w:pPr>
              <w:widowControl/>
              <w:spacing w:line="360" w:lineRule="atLeast"/>
              <w:ind w:firstLine="470" w:firstLineChars="196"/>
              <w:jc w:val="left"/>
              <w:rPr>
                <w:rFonts w:ascii="宋体" w:hAnsi="宋体"/>
                <w:sz w:val="24"/>
              </w:rPr>
            </w:pPr>
          </w:p>
        </w:tc>
        <w:tc>
          <w:tcPr>
            <w:tcW w:w="1320" w:type="dxa"/>
            <w:tcBorders>
              <w:bottom w:val="single" w:color="auto" w:sz="4" w:space="0"/>
            </w:tcBorders>
            <w:vAlign w:val="center"/>
          </w:tcPr>
          <w:p>
            <w:pPr>
              <w:widowControl/>
              <w:spacing w:line="360" w:lineRule="atLeast"/>
              <w:ind w:firstLine="470" w:firstLineChars="196"/>
              <w:jc w:val="left"/>
              <w:rPr>
                <w:rFonts w:ascii="宋体" w:hAnsi="宋体"/>
                <w:sz w:val="24"/>
              </w:rPr>
            </w:pPr>
          </w:p>
        </w:tc>
        <w:tc>
          <w:tcPr>
            <w:tcW w:w="1161" w:type="dxa"/>
            <w:tcBorders>
              <w:bottom w:val="single" w:color="auto" w:sz="4" w:space="0"/>
            </w:tcBorders>
            <w:vAlign w:val="center"/>
          </w:tcPr>
          <w:p>
            <w:pPr>
              <w:widowControl/>
              <w:spacing w:line="360" w:lineRule="atLeast"/>
              <w:ind w:firstLine="470" w:firstLineChars="196"/>
              <w:jc w:val="left"/>
              <w:rPr>
                <w:rFonts w:ascii="宋体" w:hAnsi="宋体"/>
                <w:sz w:val="24"/>
              </w:rPr>
            </w:pPr>
          </w:p>
        </w:tc>
        <w:tc>
          <w:tcPr>
            <w:tcW w:w="1269" w:type="dxa"/>
            <w:gridSpan w:val="2"/>
            <w:tcBorders>
              <w:bottom w:val="single" w:color="auto" w:sz="4" w:space="0"/>
              <w:right w:val="single" w:color="auto" w:sz="4" w:space="0"/>
            </w:tcBorders>
            <w:vAlign w:val="center"/>
          </w:tcPr>
          <w:p>
            <w:pPr>
              <w:widowControl/>
              <w:spacing w:line="360" w:lineRule="atLeast"/>
              <w:ind w:firstLine="470" w:firstLineChars="196"/>
              <w:jc w:val="left"/>
              <w:rPr>
                <w:rFonts w:ascii="宋体" w:hAnsi="宋体"/>
                <w:sz w:val="24"/>
              </w:rPr>
            </w:pPr>
          </w:p>
        </w:tc>
        <w:tc>
          <w:tcPr>
            <w:tcW w:w="1621" w:type="dxa"/>
            <w:tcBorders>
              <w:left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宋体" w:hAnsi="宋体"/>
                <w:sz w:val="24"/>
              </w:rPr>
            </w:pPr>
          </w:p>
        </w:tc>
        <w:tc>
          <w:tcPr>
            <w:tcW w:w="992" w:type="dxa"/>
            <w:tcBorders>
              <w:left w:val="single" w:color="auto" w:sz="4" w:space="0"/>
              <w:bottom w:val="single" w:color="auto" w:sz="4" w:space="0"/>
            </w:tcBorders>
            <w:vAlign w:val="center"/>
          </w:tcPr>
          <w:p>
            <w:pPr>
              <w:widowControl/>
              <w:spacing w:line="360" w:lineRule="atLeast"/>
              <w:ind w:firstLine="470" w:firstLineChars="196"/>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rPr>
                <w:rFonts w:ascii="宋体" w:hAnsi="宋体"/>
                <w:sz w:val="24"/>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rPr>
                <w:rFonts w:ascii="宋体" w:hAnsi="宋体"/>
                <w:sz w:val="24"/>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rPr>
                <w:rFonts w:ascii="宋体" w:hAnsi="宋体"/>
                <w:sz w:val="24"/>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rPr>
                <w:rFonts w:ascii="宋体" w:hAnsi="宋体"/>
                <w:sz w:val="24"/>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宋体" w:hAnsi="宋体"/>
                <w:sz w:val="24"/>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宋体" w:hAnsi="宋体"/>
                <w:sz w:val="24"/>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rPr>
                <w:rFonts w:ascii="宋体" w:hAnsi="宋体"/>
                <w:sz w:val="24"/>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rPr>
                <w:rFonts w:ascii="宋体" w:hAnsi="宋体"/>
                <w:sz w:val="24"/>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rPr>
                <w:rFonts w:ascii="宋体" w:hAnsi="宋体"/>
                <w:sz w:val="24"/>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rPr>
                <w:rFonts w:ascii="宋体" w:hAnsi="宋体"/>
                <w:sz w:val="24"/>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宋体" w:hAnsi="宋体"/>
                <w:sz w:val="24"/>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宋体" w:hAnsi="宋体"/>
                <w:sz w:val="24"/>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rPr>
                <w:rFonts w:ascii="宋体" w:hAnsi="宋体"/>
                <w:sz w:val="24"/>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rPr>
                <w:rFonts w:ascii="宋体" w:hAnsi="宋体"/>
                <w:sz w:val="24"/>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rPr>
                <w:rFonts w:ascii="宋体" w:hAnsi="宋体"/>
                <w:sz w:val="24"/>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rPr>
                <w:rFonts w:ascii="宋体" w:hAnsi="宋体"/>
                <w:sz w:val="24"/>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宋体" w:hAnsi="宋体"/>
                <w:sz w:val="24"/>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宋体" w:hAnsi="宋体"/>
                <w:sz w:val="24"/>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720" w:type="dxa"/>
            <w:tcBorders>
              <w:top w:val="single" w:color="auto" w:sz="4" w:space="0"/>
            </w:tcBorders>
            <w:vAlign w:val="center"/>
          </w:tcPr>
          <w:p>
            <w:pPr>
              <w:widowControl/>
              <w:spacing w:line="360" w:lineRule="atLeast"/>
              <w:ind w:firstLine="470" w:firstLineChars="196"/>
              <w:jc w:val="left"/>
              <w:rPr>
                <w:rFonts w:ascii="宋体" w:hAnsi="宋体"/>
                <w:sz w:val="24"/>
              </w:rPr>
            </w:pPr>
          </w:p>
        </w:tc>
        <w:tc>
          <w:tcPr>
            <w:tcW w:w="1440" w:type="dxa"/>
            <w:tcBorders>
              <w:top w:val="single" w:color="auto" w:sz="4" w:space="0"/>
            </w:tcBorders>
            <w:vAlign w:val="center"/>
          </w:tcPr>
          <w:p>
            <w:pPr>
              <w:widowControl/>
              <w:spacing w:line="360" w:lineRule="atLeast"/>
              <w:ind w:firstLine="470" w:firstLineChars="196"/>
              <w:jc w:val="left"/>
              <w:rPr>
                <w:rFonts w:ascii="宋体" w:hAnsi="宋体"/>
                <w:sz w:val="24"/>
              </w:rPr>
            </w:pPr>
          </w:p>
        </w:tc>
        <w:tc>
          <w:tcPr>
            <w:tcW w:w="1320" w:type="dxa"/>
            <w:tcBorders>
              <w:top w:val="single" w:color="auto" w:sz="4" w:space="0"/>
            </w:tcBorders>
            <w:vAlign w:val="center"/>
          </w:tcPr>
          <w:p>
            <w:pPr>
              <w:widowControl/>
              <w:spacing w:line="360" w:lineRule="atLeast"/>
              <w:ind w:firstLine="470" w:firstLineChars="196"/>
              <w:jc w:val="left"/>
              <w:rPr>
                <w:rFonts w:ascii="宋体" w:hAnsi="宋体"/>
                <w:sz w:val="24"/>
              </w:rPr>
            </w:pPr>
          </w:p>
        </w:tc>
        <w:tc>
          <w:tcPr>
            <w:tcW w:w="1161" w:type="dxa"/>
            <w:tcBorders>
              <w:top w:val="single" w:color="auto" w:sz="4" w:space="0"/>
            </w:tcBorders>
            <w:vAlign w:val="center"/>
          </w:tcPr>
          <w:p>
            <w:pPr>
              <w:widowControl/>
              <w:spacing w:line="360" w:lineRule="atLeast"/>
              <w:ind w:firstLine="470" w:firstLineChars="196"/>
              <w:jc w:val="left"/>
              <w:rPr>
                <w:rFonts w:ascii="宋体" w:hAnsi="宋体"/>
                <w:sz w:val="24"/>
              </w:rPr>
            </w:pPr>
          </w:p>
        </w:tc>
        <w:tc>
          <w:tcPr>
            <w:tcW w:w="1269" w:type="dxa"/>
            <w:gridSpan w:val="2"/>
            <w:tcBorders>
              <w:top w:val="single" w:color="auto" w:sz="4" w:space="0"/>
              <w:right w:val="single" w:color="auto" w:sz="4" w:space="0"/>
            </w:tcBorders>
            <w:vAlign w:val="center"/>
          </w:tcPr>
          <w:p>
            <w:pPr>
              <w:widowControl/>
              <w:spacing w:line="360" w:lineRule="atLeast"/>
              <w:ind w:firstLine="470" w:firstLineChars="196"/>
              <w:jc w:val="left"/>
              <w:rPr>
                <w:rFonts w:ascii="宋体" w:hAnsi="宋体"/>
                <w:sz w:val="24"/>
              </w:rPr>
            </w:pPr>
          </w:p>
        </w:tc>
        <w:tc>
          <w:tcPr>
            <w:tcW w:w="1621" w:type="dxa"/>
            <w:tcBorders>
              <w:top w:val="single" w:color="auto" w:sz="4" w:space="0"/>
              <w:left w:val="single" w:color="auto" w:sz="4" w:space="0"/>
              <w:right w:val="single" w:color="auto" w:sz="4" w:space="0"/>
            </w:tcBorders>
            <w:vAlign w:val="center"/>
          </w:tcPr>
          <w:p>
            <w:pPr>
              <w:widowControl/>
              <w:spacing w:line="360" w:lineRule="atLeast"/>
              <w:ind w:firstLine="470" w:firstLineChars="196"/>
              <w:jc w:val="left"/>
              <w:rPr>
                <w:rFonts w:ascii="宋体" w:hAnsi="宋体"/>
                <w:sz w:val="24"/>
              </w:rPr>
            </w:pPr>
          </w:p>
        </w:tc>
        <w:tc>
          <w:tcPr>
            <w:tcW w:w="992" w:type="dxa"/>
            <w:tcBorders>
              <w:top w:val="single" w:color="auto" w:sz="4" w:space="0"/>
              <w:left w:val="single" w:color="auto" w:sz="4" w:space="0"/>
            </w:tcBorders>
            <w:vAlign w:val="center"/>
          </w:tcPr>
          <w:p>
            <w:pPr>
              <w:widowControl/>
              <w:spacing w:line="360" w:lineRule="atLeast"/>
              <w:ind w:firstLine="470" w:firstLineChars="196"/>
              <w:jc w:val="left"/>
              <w:rPr>
                <w:rFonts w:ascii="宋体" w:hAnsi="宋体"/>
                <w:sz w:val="24"/>
              </w:rPr>
            </w:pPr>
          </w:p>
        </w:tc>
      </w:tr>
    </w:tbl>
    <w:p>
      <w:pPr>
        <w:widowControl/>
        <w:spacing w:line="360" w:lineRule="atLeast"/>
        <w:ind w:firstLine="470" w:firstLineChars="196"/>
        <w:jc w:val="left"/>
        <w:rPr>
          <w:rFonts w:ascii="宋体" w:hAnsi="宋体"/>
          <w:sz w:val="24"/>
        </w:rPr>
      </w:pPr>
    </w:p>
    <w:p>
      <w:pPr>
        <w:widowControl/>
        <w:spacing w:line="360" w:lineRule="atLeast"/>
        <w:ind w:firstLine="470" w:firstLineChars="196"/>
        <w:jc w:val="left"/>
        <w:rPr>
          <w:rFonts w:ascii="宋体" w:hAnsi="宋体"/>
          <w:sz w:val="24"/>
        </w:rPr>
      </w:pPr>
      <w:r>
        <w:rPr>
          <w:rFonts w:hint="eastAsia" w:ascii="宋体" w:hAnsi="宋体"/>
          <w:sz w:val="24"/>
        </w:rPr>
        <w:t>注：以上业绩需提供招标文件要求的有关书面证明材料。</w:t>
      </w:r>
    </w:p>
    <w:p>
      <w:pPr>
        <w:widowControl/>
        <w:spacing w:line="360" w:lineRule="atLeast"/>
        <w:ind w:firstLine="470" w:firstLineChars="196"/>
        <w:jc w:val="left"/>
        <w:rPr>
          <w:rFonts w:ascii="宋体" w:hAnsi="宋体"/>
          <w:sz w:val="24"/>
        </w:rPr>
      </w:pPr>
    </w:p>
    <w:p>
      <w:pPr>
        <w:widowControl/>
        <w:spacing w:line="360" w:lineRule="atLeast"/>
        <w:ind w:firstLine="470" w:firstLineChars="196"/>
        <w:jc w:val="left"/>
        <w:rPr>
          <w:rFonts w:ascii="宋体" w:hAnsi="宋体"/>
          <w:sz w:val="24"/>
        </w:rPr>
      </w:pPr>
      <w:r>
        <w:rPr>
          <w:rFonts w:hint="eastAsia" w:ascii="宋体" w:hAnsi="宋体"/>
          <w:sz w:val="24"/>
        </w:rPr>
        <w:t>投标人名称：XXXX。</w:t>
      </w:r>
    </w:p>
    <w:p>
      <w:pPr>
        <w:widowControl/>
        <w:spacing w:line="360" w:lineRule="atLeast"/>
        <w:ind w:firstLine="470" w:firstLineChars="196"/>
        <w:jc w:val="left"/>
        <w:rPr>
          <w:rFonts w:ascii="宋体" w:hAnsi="宋体"/>
          <w:b/>
          <w:sz w:val="32"/>
          <w:szCs w:val="32"/>
        </w:rPr>
      </w:pPr>
      <w:r>
        <w:rPr>
          <w:rFonts w:hint="eastAsia" w:ascii="宋体" w:hAnsi="宋体"/>
          <w:sz w:val="24"/>
        </w:rPr>
        <w:t>投标日期: XXXX。</w:t>
      </w:r>
      <w:bookmarkStart w:id="142" w:name="_Toc217446090"/>
      <w:r>
        <w:rPr>
          <w:rFonts w:hint="eastAsia" w:ascii="宋体" w:hAnsi="宋体"/>
          <w:b/>
          <w:sz w:val="32"/>
          <w:szCs w:val="32"/>
        </w:rPr>
        <w:br w:type="page"/>
      </w:r>
      <w:r>
        <w:rPr>
          <w:rFonts w:hint="eastAsia" w:ascii="宋体" w:hAnsi="宋体"/>
          <w:b/>
          <w:sz w:val="32"/>
          <w:szCs w:val="32"/>
        </w:rPr>
        <w:t>格式2-9</w:t>
      </w:r>
    </w:p>
    <w:p>
      <w:pPr>
        <w:widowControl/>
        <w:spacing w:line="360" w:lineRule="atLeast"/>
        <w:jc w:val="center"/>
        <w:outlineLvl w:val="2"/>
        <w:rPr>
          <w:rFonts w:ascii="宋体" w:hAnsi="宋体"/>
          <w:b/>
          <w:sz w:val="32"/>
          <w:szCs w:val="32"/>
        </w:rPr>
      </w:pPr>
      <w:r>
        <w:rPr>
          <w:rFonts w:hint="eastAsia" w:ascii="宋体" w:hAnsi="宋体"/>
          <w:b/>
          <w:sz w:val="32"/>
          <w:szCs w:val="32"/>
        </w:rPr>
        <w:t>八、投标产品技术参数表</w:t>
      </w:r>
      <w:bookmarkEnd w:id="142"/>
    </w:p>
    <w:p>
      <w:pPr>
        <w:widowControl/>
        <w:spacing w:line="360" w:lineRule="atLeast"/>
        <w:ind w:firstLine="472" w:firstLineChars="196"/>
        <w:jc w:val="left"/>
        <w:rPr>
          <w:rFonts w:ascii="宋体" w:hAnsi="宋体"/>
          <w:b/>
          <w:sz w:val="24"/>
        </w:rPr>
      </w:pPr>
    </w:p>
    <w:p>
      <w:pPr>
        <w:widowControl/>
        <w:spacing w:line="360" w:lineRule="atLeast"/>
        <w:ind w:firstLine="470" w:firstLineChars="196"/>
        <w:jc w:val="left"/>
        <w:rPr>
          <w:rFonts w:ascii="宋体" w:hAnsi="宋体"/>
          <w:sz w:val="24"/>
        </w:rPr>
      </w:pPr>
      <w:r>
        <w:rPr>
          <w:rFonts w:hint="eastAsia" w:ascii="宋体" w:hAnsi="宋体"/>
          <w:sz w:val="24"/>
        </w:rPr>
        <w:t>招标编号：</w:t>
      </w:r>
    </w:p>
    <w:tbl>
      <w:tblPr>
        <w:tblStyle w:val="26"/>
        <w:tblW w:w="77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6"/>
        <w:gridCol w:w="2277"/>
        <w:gridCol w:w="2056"/>
        <w:gridCol w:w="2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06" w:type="dxa"/>
            <w:vAlign w:val="center"/>
          </w:tcPr>
          <w:p>
            <w:pPr>
              <w:widowControl/>
              <w:spacing w:line="360" w:lineRule="atLeast"/>
              <w:jc w:val="left"/>
              <w:rPr>
                <w:rFonts w:ascii="宋体" w:hAnsi="宋体"/>
                <w:sz w:val="24"/>
              </w:rPr>
            </w:pPr>
            <w:r>
              <w:rPr>
                <w:rFonts w:hint="eastAsia" w:ascii="宋体" w:hAnsi="宋体"/>
                <w:sz w:val="24"/>
              </w:rPr>
              <w:t>序号</w:t>
            </w:r>
          </w:p>
        </w:tc>
        <w:tc>
          <w:tcPr>
            <w:tcW w:w="2277" w:type="dxa"/>
            <w:vAlign w:val="center"/>
          </w:tcPr>
          <w:p>
            <w:pPr>
              <w:widowControl/>
              <w:spacing w:line="360" w:lineRule="atLeast"/>
              <w:jc w:val="left"/>
              <w:rPr>
                <w:rFonts w:ascii="宋体" w:hAnsi="宋体"/>
                <w:sz w:val="24"/>
              </w:rPr>
            </w:pPr>
            <w:r>
              <w:rPr>
                <w:rFonts w:hint="eastAsia" w:ascii="宋体" w:hAnsi="宋体"/>
                <w:sz w:val="24"/>
              </w:rPr>
              <w:t>货物（设备）名称</w:t>
            </w:r>
          </w:p>
        </w:tc>
        <w:tc>
          <w:tcPr>
            <w:tcW w:w="2056" w:type="dxa"/>
            <w:vAlign w:val="center"/>
          </w:tcPr>
          <w:p>
            <w:pPr>
              <w:widowControl/>
              <w:spacing w:line="360" w:lineRule="atLeast"/>
              <w:jc w:val="left"/>
              <w:rPr>
                <w:rFonts w:ascii="宋体" w:hAnsi="宋体"/>
                <w:sz w:val="24"/>
              </w:rPr>
            </w:pPr>
            <w:r>
              <w:rPr>
                <w:rFonts w:hint="eastAsia" w:ascii="宋体" w:hAnsi="宋体"/>
                <w:sz w:val="24"/>
              </w:rPr>
              <w:t>招标文件要求</w:t>
            </w:r>
          </w:p>
        </w:tc>
        <w:tc>
          <w:tcPr>
            <w:tcW w:w="2599" w:type="dxa"/>
            <w:vAlign w:val="center"/>
          </w:tcPr>
          <w:p>
            <w:pPr>
              <w:widowControl/>
              <w:spacing w:line="360" w:lineRule="atLeast"/>
              <w:jc w:val="left"/>
              <w:rPr>
                <w:rFonts w:ascii="宋体" w:hAnsi="宋体"/>
                <w:sz w:val="24"/>
              </w:rPr>
            </w:pPr>
            <w:r>
              <w:rPr>
                <w:rFonts w:hint="eastAsia" w:ascii="宋体" w:hAnsi="宋体"/>
                <w:sz w:val="24"/>
              </w:rPr>
              <w:t>投标产品技术参数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06" w:type="dxa"/>
          </w:tcPr>
          <w:p>
            <w:pPr>
              <w:widowControl/>
              <w:spacing w:line="360" w:lineRule="atLeast"/>
              <w:ind w:firstLine="470" w:firstLineChars="196"/>
              <w:jc w:val="left"/>
              <w:rPr>
                <w:rFonts w:ascii="宋体" w:hAnsi="宋体"/>
                <w:sz w:val="24"/>
              </w:rPr>
            </w:pPr>
          </w:p>
        </w:tc>
        <w:tc>
          <w:tcPr>
            <w:tcW w:w="2277" w:type="dxa"/>
          </w:tcPr>
          <w:p>
            <w:pPr>
              <w:widowControl/>
              <w:spacing w:line="360" w:lineRule="atLeast"/>
              <w:ind w:firstLine="470" w:firstLineChars="196"/>
              <w:jc w:val="left"/>
              <w:rPr>
                <w:rFonts w:ascii="宋体" w:hAnsi="宋体"/>
                <w:sz w:val="24"/>
              </w:rPr>
            </w:pPr>
          </w:p>
        </w:tc>
        <w:tc>
          <w:tcPr>
            <w:tcW w:w="2056" w:type="dxa"/>
          </w:tcPr>
          <w:p>
            <w:pPr>
              <w:widowControl/>
              <w:spacing w:line="360" w:lineRule="atLeast"/>
              <w:ind w:firstLine="470" w:firstLineChars="196"/>
              <w:jc w:val="left"/>
              <w:rPr>
                <w:rFonts w:ascii="宋体" w:hAnsi="宋体"/>
                <w:sz w:val="24"/>
              </w:rPr>
            </w:pPr>
          </w:p>
        </w:tc>
        <w:tc>
          <w:tcPr>
            <w:tcW w:w="2599" w:type="dxa"/>
          </w:tcPr>
          <w:p>
            <w:pPr>
              <w:widowControl/>
              <w:spacing w:line="360" w:lineRule="atLeast"/>
              <w:ind w:firstLine="470" w:firstLineChars="196"/>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06" w:type="dxa"/>
          </w:tcPr>
          <w:p>
            <w:pPr>
              <w:widowControl/>
              <w:spacing w:line="360" w:lineRule="atLeast"/>
              <w:ind w:firstLine="470" w:firstLineChars="196"/>
              <w:jc w:val="left"/>
              <w:rPr>
                <w:rFonts w:ascii="宋体" w:hAnsi="宋体"/>
                <w:sz w:val="24"/>
              </w:rPr>
            </w:pPr>
          </w:p>
        </w:tc>
        <w:tc>
          <w:tcPr>
            <w:tcW w:w="2277" w:type="dxa"/>
          </w:tcPr>
          <w:p>
            <w:pPr>
              <w:widowControl/>
              <w:spacing w:line="360" w:lineRule="atLeast"/>
              <w:ind w:firstLine="470" w:firstLineChars="196"/>
              <w:jc w:val="left"/>
              <w:rPr>
                <w:rFonts w:ascii="宋体" w:hAnsi="宋体"/>
                <w:sz w:val="24"/>
              </w:rPr>
            </w:pPr>
          </w:p>
        </w:tc>
        <w:tc>
          <w:tcPr>
            <w:tcW w:w="2056" w:type="dxa"/>
          </w:tcPr>
          <w:p>
            <w:pPr>
              <w:widowControl/>
              <w:spacing w:line="360" w:lineRule="atLeast"/>
              <w:ind w:firstLine="470" w:firstLineChars="196"/>
              <w:jc w:val="left"/>
              <w:rPr>
                <w:rFonts w:ascii="宋体" w:hAnsi="宋体"/>
                <w:sz w:val="24"/>
              </w:rPr>
            </w:pPr>
          </w:p>
        </w:tc>
        <w:tc>
          <w:tcPr>
            <w:tcW w:w="2599" w:type="dxa"/>
          </w:tcPr>
          <w:p>
            <w:pPr>
              <w:widowControl/>
              <w:spacing w:line="360" w:lineRule="atLeast"/>
              <w:ind w:firstLine="470" w:firstLineChars="196"/>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06" w:type="dxa"/>
          </w:tcPr>
          <w:p>
            <w:pPr>
              <w:widowControl/>
              <w:spacing w:line="360" w:lineRule="atLeast"/>
              <w:ind w:firstLine="470" w:firstLineChars="196"/>
              <w:jc w:val="left"/>
              <w:rPr>
                <w:rFonts w:ascii="宋体" w:hAnsi="宋体"/>
                <w:sz w:val="24"/>
              </w:rPr>
            </w:pPr>
          </w:p>
        </w:tc>
        <w:tc>
          <w:tcPr>
            <w:tcW w:w="2277" w:type="dxa"/>
          </w:tcPr>
          <w:p>
            <w:pPr>
              <w:widowControl/>
              <w:spacing w:line="360" w:lineRule="atLeast"/>
              <w:ind w:firstLine="470" w:firstLineChars="196"/>
              <w:jc w:val="left"/>
              <w:rPr>
                <w:rFonts w:ascii="宋体" w:hAnsi="宋体"/>
                <w:sz w:val="24"/>
              </w:rPr>
            </w:pPr>
          </w:p>
        </w:tc>
        <w:tc>
          <w:tcPr>
            <w:tcW w:w="2056" w:type="dxa"/>
          </w:tcPr>
          <w:p>
            <w:pPr>
              <w:widowControl/>
              <w:spacing w:line="360" w:lineRule="atLeast"/>
              <w:ind w:firstLine="470" w:firstLineChars="196"/>
              <w:jc w:val="left"/>
              <w:rPr>
                <w:rFonts w:ascii="宋体" w:hAnsi="宋体"/>
                <w:sz w:val="24"/>
              </w:rPr>
            </w:pPr>
          </w:p>
        </w:tc>
        <w:tc>
          <w:tcPr>
            <w:tcW w:w="2599" w:type="dxa"/>
          </w:tcPr>
          <w:p>
            <w:pPr>
              <w:widowControl/>
              <w:spacing w:line="360" w:lineRule="atLeast"/>
              <w:ind w:firstLine="470" w:firstLineChars="196"/>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06" w:type="dxa"/>
          </w:tcPr>
          <w:p>
            <w:pPr>
              <w:widowControl/>
              <w:spacing w:line="360" w:lineRule="atLeast"/>
              <w:ind w:firstLine="470" w:firstLineChars="196"/>
              <w:jc w:val="left"/>
              <w:rPr>
                <w:rFonts w:ascii="宋体" w:hAnsi="宋体"/>
                <w:sz w:val="24"/>
              </w:rPr>
            </w:pPr>
          </w:p>
        </w:tc>
        <w:tc>
          <w:tcPr>
            <w:tcW w:w="2277" w:type="dxa"/>
          </w:tcPr>
          <w:p>
            <w:pPr>
              <w:widowControl/>
              <w:spacing w:line="360" w:lineRule="atLeast"/>
              <w:ind w:firstLine="470" w:firstLineChars="196"/>
              <w:jc w:val="left"/>
              <w:rPr>
                <w:rFonts w:ascii="宋体" w:hAnsi="宋体"/>
                <w:sz w:val="24"/>
              </w:rPr>
            </w:pPr>
          </w:p>
        </w:tc>
        <w:tc>
          <w:tcPr>
            <w:tcW w:w="2056" w:type="dxa"/>
          </w:tcPr>
          <w:p>
            <w:pPr>
              <w:widowControl/>
              <w:spacing w:line="360" w:lineRule="atLeast"/>
              <w:ind w:firstLine="470" w:firstLineChars="196"/>
              <w:jc w:val="left"/>
              <w:rPr>
                <w:rFonts w:ascii="宋体" w:hAnsi="宋体"/>
                <w:sz w:val="24"/>
              </w:rPr>
            </w:pPr>
          </w:p>
        </w:tc>
        <w:tc>
          <w:tcPr>
            <w:tcW w:w="2599" w:type="dxa"/>
          </w:tcPr>
          <w:p>
            <w:pPr>
              <w:widowControl/>
              <w:spacing w:line="360" w:lineRule="atLeast"/>
              <w:ind w:firstLine="470" w:firstLineChars="196"/>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06" w:type="dxa"/>
          </w:tcPr>
          <w:p>
            <w:pPr>
              <w:widowControl/>
              <w:spacing w:line="360" w:lineRule="atLeast"/>
              <w:ind w:firstLine="470" w:firstLineChars="196"/>
              <w:jc w:val="left"/>
              <w:rPr>
                <w:rFonts w:ascii="宋体" w:hAnsi="宋体"/>
                <w:sz w:val="24"/>
              </w:rPr>
            </w:pPr>
          </w:p>
        </w:tc>
        <w:tc>
          <w:tcPr>
            <w:tcW w:w="2277" w:type="dxa"/>
          </w:tcPr>
          <w:p>
            <w:pPr>
              <w:widowControl/>
              <w:spacing w:line="360" w:lineRule="atLeast"/>
              <w:ind w:firstLine="470" w:firstLineChars="196"/>
              <w:jc w:val="left"/>
              <w:rPr>
                <w:rFonts w:ascii="宋体" w:hAnsi="宋体"/>
                <w:sz w:val="24"/>
              </w:rPr>
            </w:pPr>
          </w:p>
        </w:tc>
        <w:tc>
          <w:tcPr>
            <w:tcW w:w="2056" w:type="dxa"/>
          </w:tcPr>
          <w:p>
            <w:pPr>
              <w:widowControl/>
              <w:spacing w:line="360" w:lineRule="atLeast"/>
              <w:ind w:firstLine="470" w:firstLineChars="196"/>
              <w:jc w:val="left"/>
              <w:rPr>
                <w:rFonts w:ascii="宋体" w:hAnsi="宋体"/>
                <w:sz w:val="24"/>
              </w:rPr>
            </w:pPr>
          </w:p>
        </w:tc>
        <w:tc>
          <w:tcPr>
            <w:tcW w:w="2599" w:type="dxa"/>
          </w:tcPr>
          <w:p>
            <w:pPr>
              <w:widowControl/>
              <w:spacing w:line="360" w:lineRule="atLeast"/>
              <w:ind w:firstLine="470" w:firstLineChars="196"/>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06" w:type="dxa"/>
          </w:tcPr>
          <w:p>
            <w:pPr>
              <w:widowControl/>
              <w:spacing w:line="360" w:lineRule="atLeast"/>
              <w:ind w:firstLine="470" w:firstLineChars="196"/>
              <w:jc w:val="left"/>
              <w:rPr>
                <w:rFonts w:ascii="宋体" w:hAnsi="宋体"/>
                <w:sz w:val="24"/>
              </w:rPr>
            </w:pPr>
          </w:p>
        </w:tc>
        <w:tc>
          <w:tcPr>
            <w:tcW w:w="2277" w:type="dxa"/>
          </w:tcPr>
          <w:p>
            <w:pPr>
              <w:widowControl/>
              <w:spacing w:line="360" w:lineRule="atLeast"/>
              <w:ind w:firstLine="470" w:firstLineChars="196"/>
              <w:jc w:val="left"/>
              <w:rPr>
                <w:rFonts w:ascii="宋体" w:hAnsi="宋体"/>
                <w:sz w:val="24"/>
              </w:rPr>
            </w:pPr>
          </w:p>
        </w:tc>
        <w:tc>
          <w:tcPr>
            <w:tcW w:w="2056" w:type="dxa"/>
          </w:tcPr>
          <w:p>
            <w:pPr>
              <w:widowControl/>
              <w:spacing w:line="360" w:lineRule="atLeast"/>
              <w:ind w:firstLine="470" w:firstLineChars="196"/>
              <w:jc w:val="left"/>
              <w:rPr>
                <w:rFonts w:ascii="宋体" w:hAnsi="宋体"/>
                <w:sz w:val="24"/>
              </w:rPr>
            </w:pPr>
          </w:p>
        </w:tc>
        <w:tc>
          <w:tcPr>
            <w:tcW w:w="2599" w:type="dxa"/>
          </w:tcPr>
          <w:p>
            <w:pPr>
              <w:widowControl/>
              <w:spacing w:line="360" w:lineRule="atLeast"/>
              <w:ind w:firstLine="470" w:firstLineChars="196"/>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806" w:type="dxa"/>
          </w:tcPr>
          <w:p>
            <w:pPr>
              <w:widowControl/>
              <w:spacing w:line="360" w:lineRule="atLeast"/>
              <w:ind w:firstLine="470" w:firstLineChars="196"/>
              <w:jc w:val="left"/>
              <w:rPr>
                <w:rFonts w:ascii="宋体" w:hAnsi="宋体"/>
                <w:sz w:val="24"/>
              </w:rPr>
            </w:pPr>
          </w:p>
        </w:tc>
        <w:tc>
          <w:tcPr>
            <w:tcW w:w="2277" w:type="dxa"/>
          </w:tcPr>
          <w:p>
            <w:pPr>
              <w:widowControl/>
              <w:spacing w:line="360" w:lineRule="atLeast"/>
              <w:ind w:firstLine="470" w:firstLineChars="196"/>
              <w:jc w:val="left"/>
              <w:rPr>
                <w:rFonts w:ascii="宋体" w:hAnsi="宋体"/>
                <w:sz w:val="24"/>
              </w:rPr>
            </w:pPr>
          </w:p>
        </w:tc>
        <w:tc>
          <w:tcPr>
            <w:tcW w:w="2056" w:type="dxa"/>
          </w:tcPr>
          <w:p>
            <w:pPr>
              <w:widowControl/>
              <w:spacing w:line="360" w:lineRule="atLeast"/>
              <w:ind w:firstLine="470" w:firstLineChars="196"/>
              <w:jc w:val="left"/>
              <w:rPr>
                <w:rFonts w:ascii="宋体" w:hAnsi="宋体"/>
                <w:sz w:val="24"/>
              </w:rPr>
            </w:pPr>
          </w:p>
        </w:tc>
        <w:tc>
          <w:tcPr>
            <w:tcW w:w="2599" w:type="dxa"/>
          </w:tcPr>
          <w:p>
            <w:pPr>
              <w:widowControl/>
              <w:spacing w:line="360" w:lineRule="atLeast"/>
              <w:ind w:firstLine="470" w:firstLineChars="196"/>
              <w:jc w:val="left"/>
              <w:rPr>
                <w:rFonts w:ascii="宋体" w:hAnsi="宋体"/>
                <w:sz w:val="24"/>
              </w:rPr>
            </w:pPr>
          </w:p>
        </w:tc>
      </w:tr>
    </w:tbl>
    <w:p>
      <w:pPr>
        <w:widowControl/>
        <w:spacing w:line="360" w:lineRule="atLeast"/>
        <w:ind w:firstLine="470" w:firstLineChars="196"/>
        <w:jc w:val="left"/>
        <w:rPr>
          <w:rFonts w:ascii="宋体" w:hAnsi="宋体"/>
          <w:sz w:val="24"/>
        </w:rPr>
      </w:pPr>
    </w:p>
    <w:p>
      <w:pPr>
        <w:widowControl/>
        <w:spacing w:line="360" w:lineRule="atLeast"/>
        <w:ind w:firstLine="470" w:firstLineChars="196"/>
        <w:jc w:val="left"/>
        <w:rPr>
          <w:rFonts w:ascii="宋体" w:hAnsi="宋体"/>
          <w:sz w:val="24"/>
        </w:rPr>
      </w:pPr>
      <w:r>
        <w:rPr>
          <w:rFonts w:hint="eastAsia" w:ascii="宋体" w:hAnsi="宋体"/>
          <w:sz w:val="24"/>
        </w:rPr>
        <w:t>注：供应商必须据实填写，不得虚假填写，否则将取消其投标或中标资格。</w:t>
      </w:r>
    </w:p>
    <w:p>
      <w:pPr>
        <w:widowControl/>
        <w:spacing w:line="360" w:lineRule="atLeast"/>
        <w:ind w:firstLine="470" w:firstLineChars="196"/>
        <w:jc w:val="left"/>
        <w:rPr>
          <w:rFonts w:ascii="宋体" w:hAnsi="宋体"/>
          <w:sz w:val="24"/>
        </w:rPr>
      </w:pPr>
      <w:r>
        <w:rPr>
          <w:rFonts w:hint="eastAsia" w:ascii="宋体" w:hAnsi="宋体"/>
          <w:sz w:val="24"/>
        </w:rPr>
        <w:t>技术应答若与招标文件无负偏离的，则无须应答。如有负偏离，请将偏离条款逐条应答。未明确应答的，均视为完全满足招标文件的技术要求。</w:t>
      </w:r>
    </w:p>
    <w:p>
      <w:pPr>
        <w:widowControl/>
        <w:spacing w:line="360" w:lineRule="atLeast"/>
        <w:ind w:firstLine="470" w:firstLineChars="196"/>
        <w:jc w:val="left"/>
        <w:rPr>
          <w:rFonts w:ascii="宋体" w:hAnsi="宋体"/>
          <w:sz w:val="24"/>
        </w:rPr>
      </w:pPr>
    </w:p>
    <w:p>
      <w:pPr>
        <w:widowControl/>
        <w:spacing w:line="360" w:lineRule="atLeast"/>
        <w:ind w:firstLine="470" w:firstLineChars="196"/>
        <w:jc w:val="left"/>
        <w:rPr>
          <w:rFonts w:ascii="宋体" w:hAnsi="宋体"/>
          <w:sz w:val="24"/>
        </w:rPr>
      </w:pPr>
      <w:r>
        <w:rPr>
          <w:rFonts w:hint="eastAsia" w:ascii="宋体" w:hAnsi="宋体"/>
          <w:sz w:val="24"/>
        </w:rPr>
        <w:t>投标人名称：XXXX。</w:t>
      </w:r>
    </w:p>
    <w:p>
      <w:pPr>
        <w:widowControl/>
        <w:spacing w:line="360" w:lineRule="atLeast"/>
        <w:ind w:firstLine="470" w:firstLineChars="196"/>
        <w:jc w:val="left"/>
        <w:rPr>
          <w:rFonts w:ascii="宋体" w:hAnsi="宋体"/>
          <w:sz w:val="24"/>
        </w:rPr>
      </w:pPr>
      <w:r>
        <w:rPr>
          <w:rFonts w:hint="eastAsia" w:ascii="宋体" w:hAnsi="宋体"/>
          <w:sz w:val="24"/>
        </w:rPr>
        <w:t>投标日期: XXXX。</w:t>
      </w:r>
    </w:p>
    <w:p>
      <w:pPr>
        <w:widowControl/>
        <w:spacing w:line="360" w:lineRule="atLeast"/>
        <w:ind w:firstLine="470" w:firstLineChars="196"/>
        <w:jc w:val="left"/>
        <w:rPr>
          <w:rFonts w:ascii="宋体" w:hAnsi="宋体"/>
          <w:sz w:val="24"/>
        </w:rPr>
      </w:pPr>
    </w:p>
    <w:p>
      <w:pPr>
        <w:spacing w:line="360" w:lineRule="auto"/>
        <w:rPr>
          <w:rFonts w:ascii="宋体" w:hAnsi="宋体"/>
          <w:b/>
          <w:sz w:val="32"/>
          <w:szCs w:val="32"/>
        </w:rPr>
      </w:pPr>
      <w:bookmarkStart w:id="143" w:name="_Toc217446091"/>
      <w:r>
        <w:rPr>
          <w:rFonts w:hint="eastAsia" w:ascii="宋体" w:hAnsi="宋体"/>
          <w:b/>
          <w:sz w:val="32"/>
          <w:szCs w:val="32"/>
        </w:rPr>
        <w:br w:type="page"/>
      </w:r>
      <w:r>
        <w:rPr>
          <w:rFonts w:hint="eastAsia" w:ascii="宋体" w:hAnsi="宋体"/>
          <w:b/>
          <w:sz w:val="32"/>
          <w:szCs w:val="32"/>
        </w:rPr>
        <w:t>格式2-10</w:t>
      </w:r>
    </w:p>
    <w:p>
      <w:pPr>
        <w:widowControl/>
        <w:spacing w:line="360" w:lineRule="atLeast"/>
        <w:jc w:val="center"/>
        <w:outlineLvl w:val="2"/>
        <w:rPr>
          <w:rFonts w:ascii="宋体" w:hAnsi="宋体"/>
          <w:b/>
          <w:sz w:val="32"/>
          <w:szCs w:val="32"/>
        </w:rPr>
      </w:pPr>
      <w:r>
        <w:rPr>
          <w:rFonts w:hint="eastAsia" w:ascii="宋体" w:hAnsi="宋体"/>
          <w:b/>
          <w:sz w:val="32"/>
          <w:szCs w:val="32"/>
        </w:rPr>
        <w:t>九、投标人本项目管理、技术、服务人员情况表</w:t>
      </w:r>
      <w:bookmarkEnd w:id="143"/>
    </w:p>
    <w:p>
      <w:pPr>
        <w:widowControl/>
        <w:spacing w:line="360" w:lineRule="atLeast"/>
        <w:ind w:firstLine="472" w:firstLineChars="196"/>
        <w:jc w:val="left"/>
        <w:rPr>
          <w:rFonts w:ascii="宋体" w:hAnsi="宋体"/>
          <w:b/>
          <w:sz w:val="24"/>
        </w:rPr>
      </w:pPr>
    </w:p>
    <w:p>
      <w:pPr>
        <w:widowControl/>
        <w:spacing w:line="360" w:lineRule="atLeast"/>
        <w:ind w:firstLine="470" w:firstLineChars="196"/>
        <w:jc w:val="left"/>
        <w:rPr>
          <w:rFonts w:ascii="宋体" w:hAnsi="宋体"/>
          <w:sz w:val="24"/>
        </w:rPr>
      </w:pPr>
      <w:r>
        <w:rPr>
          <w:rFonts w:hint="eastAsia" w:ascii="宋体" w:hAnsi="宋体"/>
          <w:sz w:val="24"/>
        </w:rPr>
        <w:t>招标编号：</w:t>
      </w:r>
    </w:p>
    <w:tbl>
      <w:tblPr>
        <w:tblStyle w:val="26"/>
        <w:tblW w:w="75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
        <w:gridCol w:w="807"/>
        <w:gridCol w:w="807"/>
        <w:gridCol w:w="807"/>
        <w:gridCol w:w="807"/>
        <w:gridCol w:w="851"/>
        <w:gridCol w:w="960"/>
        <w:gridCol w:w="847"/>
        <w:gridCol w:w="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restart"/>
            <w:vAlign w:val="center"/>
          </w:tcPr>
          <w:p>
            <w:pPr>
              <w:widowControl/>
              <w:spacing w:line="360" w:lineRule="atLeast"/>
              <w:jc w:val="left"/>
              <w:rPr>
                <w:rFonts w:ascii="宋体" w:hAnsi="宋体"/>
                <w:sz w:val="24"/>
              </w:rPr>
            </w:pPr>
            <w:r>
              <w:rPr>
                <w:rFonts w:hint="eastAsia" w:ascii="宋体" w:hAnsi="宋体"/>
                <w:sz w:val="24"/>
              </w:rPr>
              <w:t>类别</w:t>
            </w:r>
          </w:p>
        </w:tc>
        <w:tc>
          <w:tcPr>
            <w:tcW w:w="807" w:type="dxa"/>
            <w:vMerge w:val="restart"/>
            <w:vAlign w:val="center"/>
          </w:tcPr>
          <w:p>
            <w:pPr>
              <w:widowControl/>
              <w:spacing w:line="360" w:lineRule="atLeast"/>
              <w:jc w:val="left"/>
              <w:rPr>
                <w:rFonts w:ascii="宋体" w:hAnsi="宋体"/>
                <w:sz w:val="24"/>
              </w:rPr>
            </w:pPr>
            <w:r>
              <w:rPr>
                <w:rFonts w:hint="eastAsia" w:ascii="宋体" w:hAnsi="宋体"/>
                <w:sz w:val="24"/>
              </w:rPr>
              <w:t>职务</w:t>
            </w:r>
          </w:p>
        </w:tc>
        <w:tc>
          <w:tcPr>
            <w:tcW w:w="807" w:type="dxa"/>
            <w:vMerge w:val="restart"/>
            <w:vAlign w:val="center"/>
          </w:tcPr>
          <w:p>
            <w:pPr>
              <w:widowControl/>
              <w:spacing w:line="360" w:lineRule="atLeast"/>
              <w:jc w:val="left"/>
              <w:rPr>
                <w:rFonts w:ascii="宋体" w:hAnsi="宋体"/>
                <w:sz w:val="24"/>
              </w:rPr>
            </w:pPr>
            <w:r>
              <w:rPr>
                <w:rFonts w:hint="eastAsia" w:ascii="宋体" w:hAnsi="宋体"/>
                <w:sz w:val="24"/>
              </w:rPr>
              <w:t>姓名</w:t>
            </w:r>
          </w:p>
        </w:tc>
        <w:tc>
          <w:tcPr>
            <w:tcW w:w="807" w:type="dxa"/>
            <w:vMerge w:val="restart"/>
            <w:vAlign w:val="center"/>
          </w:tcPr>
          <w:p>
            <w:pPr>
              <w:widowControl/>
              <w:spacing w:line="360" w:lineRule="atLeast"/>
              <w:jc w:val="left"/>
              <w:rPr>
                <w:rFonts w:ascii="宋体" w:hAnsi="宋体"/>
                <w:sz w:val="24"/>
              </w:rPr>
            </w:pPr>
            <w:r>
              <w:rPr>
                <w:rFonts w:hint="eastAsia" w:ascii="宋体" w:hAnsi="宋体"/>
                <w:sz w:val="24"/>
              </w:rPr>
              <w:t>职称</w:t>
            </w:r>
          </w:p>
        </w:tc>
        <w:tc>
          <w:tcPr>
            <w:tcW w:w="807" w:type="dxa"/>
            <w:vMerge w:val="restart"/>
            <w:vAlign w:val="center"/>
          </w:tcPr>
          <w:p>
            <w:pPr>
              <w:widowControl/>
              <w:spacing w:line="360" w:lineRule="atLeast"/>
              <w:jc w:val="left"/>
              <w:rPr>
                <w:rFonts w:ascii="宋体" w:hAnsi="宋体"/>
                <w:sz w:val="24"/>
              </w:rPr>
            </w:pPr>
            <w:r>
              <w:rPr>
                <w:rFonts w:hint="eastAsia" w:ascii="宋体" w:hAnsi="宋体"/>
                <w:sz w:val="24"/>
              </w:rPr>
              <w:t>常住地</w:t>
            </w:r>
          </w:p>
        </w:tc>
        <w:tc>
          <w:tcPr>
            <w:tcW w:w="3390" w:type="dxa"/>
            <w:gridSpan w:val="4"/>
            <w:vAlign w:val="center"/>
          </w:tcPr>
          <w:p>
            <w:pPr>
              <w:widowControl/>
              <w:spacing w:line="360" w:lineRule="atLeast"/>
              <w:ind w:firstLine="470" w:firstLineChars="196"/>
              <w:jc w:val="left"/>
              <w:rPr>
                <w:rFonts w:ascii="宋体" w:hAnsi="宋体"/>
                <w:sz w:val="24"/>
              </w:rPr>
            </w:pPr>
            <w:r>
              <w:rPr>
                <w:rFonts w:hint="eastAsia" w:ascii="宋体" w:hAnsi="宋体"/>
                <w:sz w:val="24"/>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vAlign w:val="center"/>
          </w:tcPr>
          <w:p>
            <w:pPr>
              <w:rPr>
                <w:rFonts w:ascii="宋体" w:hAnsi="宋体"/>
              </w:rPr>
            </w:pPr>
          </w:p>
        </w:tc>
        <w:tc>
          <w:tcPr>
            <w:tcW w:w="807" w:type="dxa"/>
            <w:vMerge w:val="continue"/>
            <w:vAlign w:val="center"/>
          </w:tcPr>
          <w:p>
            <w:pPr>
              <w:rPr>
                <w:rFonts w:ascii="宋体" w:hAnsi="宋体"/>
              </w:rPr>
            </w:pPr>
          </w:p>
        </w:tc>
        <w:tc>
          <w:tcPr>
            <w:tcW w:w="807" w:type="dxa"/>
            <w:vMerge w:val="continue"/>
            <w:vAlign w:val="center"/>
          </w:tcPr>
          <w:p>
            <w:pPr>
              <w:rPr>
                <w:rFonts w:ascii="宋体" w:hAnsi="宋体"/>
              </w:rPr>
            </w:pPr>
          </w:p>
        </w:tc>
        <w:tc>
          <w:tcPr>
            <w:tcW w:w="807" w:type="dxa"/>
            <w:vMerge w:val="continue"/>
            <w:vAlign w:val="center"/>
          </w:tcPr>
          <w:p>
            <w:pPr>
              <w:rPr>
                <w:rFonts w:ascii="宋体" w:hAnsi="宋体"/>
              </w:rPr>
            </w:pPr>
          </w:p>
        </w:tc>
        <w:tc>
          <w:tcPr>
            <w:tcW w:w="807" w:type="dxa"/>
            <w:vMerge w:val="continue"/>
            <w:vAlign w:val="center"/>
          </w:tcPr>
          <w:p>
            <w:pPr>
              <w:rPr>
                <w:rFonts w:ascii="宋体" w:hAnsi="宋体"/>
              </w:rPr>
            </w:pPr>
          </w:p>
        </w:tc>
        <w:tc>
          <w:tcPr>
            <w:tcW w:w="851" w:type="dxa"/>
            <w:vAlign w:val="center"/>
          </w:tcPr>
          <w:p>
            <w:pPr>
              <w:widowControl/>
              <w:spacing w:line="360" w:lineRule="atLeast"/>
              <w:jc w:val="left"/>
              <w:rPr>
                <w:rFonts w:ascii="宋体" w:hAnsi="宋体"/>
                <w:sz w:val="24"/>
              </w:rPr>
            </w:pPr>
            <w:r>
              <w:rPr>
                <w:rFonts w:hint="eastAsia" w:ascii="宋体" w:hAnsi="宋体"/>
                <w:sz w:val="24"/>
              </w:rPr>
              <w:t>证书</w:t>
            </w:r>
          </w:p>
          <w:p>
            <w:pPr>
              <w:widowControl/>
              <w:spacing w:line="360" w:lineRule="atLeast"/>
              <w:jc w:val="left"/>
              <w:rPr>
                <w:rFonts w:ascii="宋体" w:hAnsi="宋体"/>
                <w:sz w:val="24"/>
              </w:rPr>
            </w:pPr>
            <w:r>
              <w:rPr>
                <w:rFonts w:hint="eastAsia" w:ascii="宋体" w:hAnsi="宋体"/>
                <w:sz w:val="24"/>
              </w:rPr>
              <w:t>名称</w:t>
            </w:r>
          </w:p>
        </w:tc>
        <w:tc>
          <w:tcPr>
            <w:tcW w:w="960" w:type="dxa"/>
            <w:vAlign w:val="center"/>
          </w:tcPr>
          <w:p>
            <w:pPr>
              <w:widowControl/>
              <w:spacing w:line="360" w:lineRule="atLeast"/>
              <w:jc w:val="left"/>
              <w:rPr>
                <w:rFonts w:ascii="宋体" w:hAnsi="宋体"/>
                <w:sz w:val="24"/>
              </w:rPr>
            </w:pPr>
            <w:r>
              <w:rPr>
                <w:rFonts w:hint="eastAsia" w:ascii="宋体" w:hAnsi="宋体"/>
                <w:sz w:val="24"/>
              </w:rPr>
              <w:t>级别</w:t>
            </w:r>
          </w:p>
        </w:tc>
        <w:tc>
          <w:tcPr>
            <w:tcW w:w="847" w:type="dxa"/>
            <w:vAlign w:val="center"/>
          </w:tcPr>
          <w:p>
            <w:pPr>
              <w:widowControl/>
              <w:spacing w:line="360" w:lineRule="atLeast"/>
              <w:jc w:val="left"/>
              <w:rPr>
                <w:rFonts w:ascii="宋体" w:hAnsi="宋体"/>
                <w:sz w:val="24"/>
              </w:rPr>
            </w:pPr>
            <w:r>
              <w:rPr>
                <w:rFonts w:hint="eastAsia" w:ascii="宋体" w:hAnsi="宋体"/>
                <w:sz w:val="24"/>
              </w:rPr>
              <w:t>证号</w:t>
            </w:r>
          </w:p>
        </w:tc>
        <w:tc>
          <w:tcPr>
            <w:tcW w:w="732" w:type="dxa"/>
            <w:vAlign w:val="center"/>
          </w:tcPr>
          <w:p>
            <w:pPr>
              <w:widowControl/>
              <w:spacing w:line="360" w:lineRule="atLeast"/>
              <w:jc w:val="left"/>
              <w:rPr>
                <w:rFonts w:ascii="宋体" w:hAnsi="宋体"/>
                <w:sz w:val="24"/>
              </w:rPr>
            </w:pPr>
            <w:r>
              <w:rPr>
                <w:rFonts w:hint="eastAsia" w:ascii="宋体" w:hAnsi="宋体"/>
                <w:sz w:val="24"/>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restart"/>
          </w:tcPr>
          <w:p>
            <w:pPr>
              <w:widowControl/>
              <w:spacing w:line="360" w:lineRule="atLeast"/>
              <w:jc w:val="left"/>
              <w:rPr>
                <w:rFonts w:ascii="宋体" w:hAnsi="宋体"/>
                <w:sz w:val="24"/>
              </w:rPr>
            </w:pPr>
            <w:r>
              <w:rPr>
                <w:rFonts w:hint="eastAsia" w:ascii="宋体" w:hAnsi="宋体"/>
                <w:sz w:val="24"/>
              </w:rPr>
              <w:t>管理</w:t>
            </w:r>
          </w:p>
          <w:p>
            <w:pPr>
              <w:widowControl/>
              <w:spacing w:line="360" w:lineRule="atLeast"/>
              <w:jc w:val="left"/>
              <w:rPr>
                <w:rFonts w:ascii="宋体" w:hAnsi="宋体"/>
                <w:sz w:val="24"/>
              </w:rPr>
            </w:pPr>
            <w:r>
              <w:rPr>
                <w:rFonts w:hint="eastAsia" w:ascii="宋体" w:hAnsi="宋体"/>
                <w:sz w:val="24"/>
              </w:rPr>
              <w:t>人员</w:t>
            </w:r>
          </w:p>
        </w:tc>
        <w:tc>
          <w:tcPr>
            <w:tcW w:w="807" w:type="dxa"/>
          </w:tcPr>
          <w:p>
            <w:pPr>
              <w:widowControl/>
              <w:spacing w:line="360" w:lineRule="atLeast"/>
              <w:ind w:firstLine="470" w:firstLineChars="196"/>
              <w:jc w:val="left"/>
              <w:rPr>
                <w:rFonts w:ascii="宋体" w:hAnsi="宋体"/>
                <w:sz w:val="24"/>
              </w:rPr>
            </w:pPr>
          </w:p>
        </w:tc>
        <w:tc>
          <w:tcPr>
            <w:tcW w:w="807" w:type="dxa"/>
          </w:tcPr>
          <w:p>
            <w:pPr>
              <w:widowControl/>
              <w:spacing w:line="360" w:lineRule="atLeast"/>
              <w:ind w:firstLine="470" w:firstLineChars="196"/>
              <w:jc w:val="left"/>
              <w:rPr>
                <w:rFonts w:ascii="宋体" w:hAnsi="宋体"/>
                <w:sz w:val="24"/>
              </w:rPr>
            </w:pPr>
          </w:p>
        </w:tc>
        <w:tc>
          <w:tcPr>
            <w:tcW w:w="807" w:type="dxa"/>
          </w:tcPr>
          <w:p>
            <w:pPr>
              <w:widowControl/>
              <w:spacing w:line="360" w:lineRule="atLeast"/>
              <w:ind w:firstLine="470" w:firstLineChars="196"/>
              <w:jc w:val="left"/>
              <w:rPr>
                <w:rFonts w:ascii="宋体" w:hAnsi="宋体"/>
                <w:sz w:val="24"/>
              </w:rPr>
            </w:pPr>
          </w:p>
        </w:tc>
        <w:tc>
          <w:tcPr>
            <w:tcW w:w="807" w:type="dxa"/>
          </w:tcPr>
          <w:p>
            <w:pPr>
              <w:widowControl/>
              <w:spacing w:line="360" w:lineRule="atLeast"/>
              <w:ind w:firstLine="470" w:firstLineChars="196"/>
              <w:jc w:val="left"/>
              <w:rPr>
                <w:rFonts w:ascii="宋体" w:hAnsi="宋体"/>
                <w:sz w:val="24"/>
              </w:rPr>
            </w:pPr>
          </w:p>
        </w:tc>
        <w:tc>
          <w:tcPr>
            <w:tcW w:w="851" w:type="dxa"/>
          </w:tcPr>
          <w:p>
            <w:pPr>
              <w:widowControl/>
              <w:spacing w:line="360" w:lineRule="atLeast"/>
              <w:ind w:firstLine="470" w:firstLineChars="196"/>
              <w:jc w:val="left"/>
              <w:rPr>
                <w:rFonts w:ascii="宋体" w:hAnsi="宋体"/>
                <w:sz w:val="24"/>
              </w:rPr>
            </w:pPr>
          </w:p>
        </w:tc>
        <w:tc>
          <w:tcPr>
            <w:tcW w:w="960" w:type="dxa"/>
          </w:tcPr>
          <w:p>
            <w:pPr>
              <w:widowControl/>
              <w:spacing w:line="360" w:lineRule="atLeast"/>
              <w:ind w:firstLine="470" w:firstLineChars="196"/>
              <w:jc w:val="left"/>
              <w:rPr>
                <w:rFonts w:ascii="宋体" w:hAnsi="宋体"/>
                <w:sz w:val="24"/>
              </w:rPr>
            </w:pPr>
          </w:p>
        </w:tc>
        <w:tc>
          <w:tcPr>
            <w:tcW w:w="847" w:type="dxa"/>
          </w:tcPr>
          <w:p>
            <w:pPr>
              <w:widowControl/>
              <w:spacing w:line="360" w:lineRule="atLeast"/>
              <w:ind w:firstLine="470" w:firstLineChars="196"/>
              <w:jc w:val="left"/>
              <w:rPr>
                <w:rFonts w:ascii="宋体" w:hAnsi="宋体"/>
                <w:sz w:val="24"/>
              </w:rPr>
            </w:pPr>
          </w:p>
        </w:tc>
        <w:tc>
          <w:tcPr>
            <w:tcW w:w="732" w:type="dxa"/>
          </w:tcPr>
          <w:p>
            <w:pPr>
              <w:widowControl/>
              <w:spacing w:line="360" w:lineRule="atLeast"/>
              <w:ind w:firstLine="470" w:firstLineChars="196"/>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tcPr>
          <w:p>
            <w:pPr>
              <w:rPr>
                <w:rFonts w:ascii="宋体" w:hAnsi="宋体"/>
              </w:rPr>
            </w:pPr>
          </w:p>
        </w:tc>
        <w:tc>
          <w:tcPr>
            <w:tcW w:w="807" w:type="dxa"/>
          </w:tcPr>
          <w:p>
            <w:pPr>
              <w:widowControl/>
              <w:spacing w:line="360" w:lineRule="atLeast"/>
              <w:ind w:firstLine="470" w:firstLineChars="196"/>
              <w:jc w:val="left"/>
              <w:rPr>
                <w:rFonts w:ascii="宋体" w:hAnsi="宋体"/>
                <w:sz w:val="24"/>
              </w:rPr>
            </w:pPr>
          </w:p>
        </w:tc>
        <w:tc>
          <w:tcPr>
            <w:tcW w:w="807" w:type="dxa"/>
          </w:tcPr>
          <w:p>
            <w:pPr>
              <w:widowControl/>
              <w:spacing w:line="360" w:lineRule="atLeast"/>
              <w:ind w:firstLine="470" w:firstLineChars="196"/>
              <w:jc w:val="left"/>
              <w:rPr>
                <w:rFonts w:ascii="宋体" w:hAnsi="宋体"/>
                <w:sz w:val="24"/>
              </w:rPr>
            </w:pPr>
          </w:p>
        </w:tc>
        <w:tc>
          <w:tcPr>
            <w:tcW w:w="807" w:type="dxa"/>
          </w:tcPr>
          <w:p>
            <w:pPr>
              <w:widowControl/>
              <w:spacing w:line="360" w:lineRule="atLeast"/>
              <w:ind w:firstLine="470" w:firstLineChars="196"/>
              <w:jc w:val="left"/>
              <w:rPr>
                <w:rFonts w:ascii="宋体" w:hAnsi="宋体"/>
                <w:sz w:val="24"/>
              </w:rPr>
            </w:pPr>
          </w:p>
        </w:tc>
        <w:tc>
          <w:tcPr>
            <w:tcW w:w="807" w:type="dxa"/>
          </w:tcPr>
          <w:p>
            <w:pPr>
              <w:widowControl/>
              <w:spacing w:line="360" w:lineRule="atLeast"/>
              <w:ind w:firstLine="470" w:firstLineChars="196"/>
              <w:jc w:val="left"/>
              <w:rPr>
                <w:rFonts w:ascii="宋体" w:hAnsi="宋体"/>
                <w:sz w:val="24"/>
              </w:rPr>
            </w:pPr>
          </w:p>
        </w:tc>
        <w:tc>
          <w:tcPr>
            <w:tcW w:w="851" w:type="dxa"/>
          </w:tcPr>
          <w:p>
            <w:pPr>
              <w:widowControl/>
              <w:spacing w:line="360" w:lineRule="atLeast"/>
              <w:ind w:firstLine="470" w:firstLineChars="196"/>
              <w:jc w:val="left"/>
              <w:rPr>
                <w:rFonts w:ascii="宋体" w:hAnsi="宋体"/>
                <w:sz w:val="24"/>
              </w:rPr>
            </w:pPr>
          </w:p>
        </w:tc>
        <w:tc>
          <w:tcPr>
            <w:tcW w:w="960" w:type="dxa"/>
          </w:tcPr>
          <w:p>
            <w:pPr>
              <w:widowControl/>
              <w:spacing w:line="360" w:lineRule="atLeast"/>
              <w:ind w:firstLine="470" w:firstLineChars="196"/>
              <w:jc w:val="left"/>
              <w:rPr>
                <w:rFonts w:ascii="宋体" w:hAnsi="宋体"/>
                <w:sz w:val="24"/>
              </w:rPr>
            </w:pPr>
          </w:p>
        </w:tc>
        <w:tc>
          <w:tcPr>
            <w:tcW w:w="847" w:type="dxa"/>
          </w:tcPr>
          <w:p>
            <w:pPr>
              <w:widowControl/>
              <w:spacing w:line="360" w:lineRule="atLeast"/>
              <w:ind w:firstLine="470" w:firstLineChars="196"/>
              <w:jc w:val="left"/>
              <w:rPr>
                <w:rFonts w:ascii="宋体" w:hAnsi="宋体"/>
                <w:sz w:val="24"/>
              </w:rPr>
            </w:pPr>
          </w:p>
        </w:tc>
        <w:tc>
          <w:tcPr>
            <w:tcW w:w="732" w:type="dxa"/>
          </w:tcPr>
          <w:p>
            <w:pPr>
              <w:widowControl/>
              <w:spacing w:line="360" w:lineRule="atLeast"/>
              <w:ind w:firstLine="470" w:firstLineChars="196"/>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continue"/>
          </w:tcPr>
          <w:p>
            <w:pPr>
              <w:rPr>
                <w:rFonts w:ascii="宋体" w:hAnsi="宋体"/>
              </w:rPr>
            </w:pPr>
          </w:p>
        </w:tc>
        <w:tc>
          <w:tcPr>
            <w:tcW w:w="807" w:type="dxa"/>
          </w:tcPr>
          <w:p>
            <w:pPr>
              <w:widowControl/>
              <w:spacing w:line="360" w:lineRule="atLeast"/>
              <w:ind w:firstLine="470" w:firstLineChars="196"/>
              <w:jc w:val="left"/>
              <w:rPr>
                <w:rFonts w:ascii="宋体" w:hAnsi="宋体"/>
                <w:sz w:val="24"/>
              </w:rPr>
            </w:pPr>
          </w:p>
        </w:tc>
        <w:tc>
          <w:tcPr>
            <w:tcW w:w="807" w:type="dxa"/>
          </w:tcPr>
          <w:p>
            <w:pPr>
              <w:widowControl/>
              <w:spacing w:line="360" w:lineRule="atLeast"/>
              <w:ind w:firstLine="470" w:firstLineChars="196"/>
              <w:jc w:val="left"/>
              <w:rPr>
                <w:rFonts w:ascii="宋体" w:hAnsi="宋体"/>
                <w:sz w:val="24"/>
              </w:rPr>
            </w:pPr>
          </w:p>
        </w:tc>
        <w:tc>
          <w:tcPr>
            <w:tcW w:w="807" w:type="dxa"/>
          </w:tcPr>
          <w:p>
            <w:pPr>
              <w:widowControl/>
              <w:spacing w:line="360" w:lineRule="atLeast"/>
              <w:ind w:firstLine="470" w:firstLineChars="196"/>
              <w:jc w:val="left"/>
              <w:rPr>
                <w:rFonts w:ascii="宋体" w:hAnsi="宋体"/>
                <w:sz w:val="24"/>
              </w:rPr>
            </w:pPr>
          </w:p>
        </w:tc>
        <w:tc>
          <w:tcPr>
            <w:tcW w:w="807" w:type="dxa"/>
          </w:tcPr>
          <w:p>
            <w:pPr>
              <w:widowControl/>
              <w:spacing w:line="360" w:lineRule="atLeast"/>
              <w:ind w:firstLine="470" w:firstLineChars="196"/>
              <w:jc w:val="left"/>
              <w:rPr>
                <w:rFonts w:ascii="宋体" w:hAnsi="宋体"/>
                <w:sz w:val="24"/>
              </w:rPr>
            </w:pPr>
          </w:p>
        </w:tc>
        <w:tc>
          <w:tcPr>
            <w:tcW w:w="851" w:type="dxa"/>
          </w:tcPr>
          <w:p>
            <w:pPr>
              <w:widowControl/>
              <w:spacing w:line="360" w:lineRule="atLeast"/>
              <w:ind w:firstLine="470" w:firstLineChars="196"/>
              <w:jc w:val="left"/>
              <w:rPr>
                <w:rFonts w:ascii="宋体" w:hAnsi="宋体"/>
                <w:sz w:val="24"/>
              </w:rPr>
            </w:pPr>
          </w:p>
        </w:tc>
        <w:tc>
          <w:tcPr>
            <w:tcW w:w="960" w:type="dxa"/>
          </w:tcPr>
          <w:p>
            <w:pPr>
              <w:widowControl/>
              <w:spacing w:line="360" w:lineRule="atLeast"/>
              <w:ind w:firstLine="470" w:firstLineChars="196"/>
              <w:jc w:val="left"/>
              <w:rPr>
                <w:rFonts w:ascii="宋体" w:hAnsi="宋体"/>
                <w:sz w:val="24"/>
              </w:rPr>
            </w:pPr>
          </w:p>
        </w:tc>
        <w:tc>
          <w:tcPr>
            <w:tcW w:w="847" w:type="dxa"/>
          </w:tcPr>
          <w:p>
            <w:pPr>
              <w:widowControl/>
              <w:spacing w:line="360" w:lineRule="atLeast"/>
              <w:ind w:firstLine="470" w:firstLineChars="196"/>
              <w:jc w:val="left"/>
              <w:rPr>
                <w:rFonts w:ascii="宋体" w:hAnsi="宋体"/>
                <w:sz w:val="24"/>
              </w:rPr>
            </w:pPr>
          </w:p>
        </w:tc>
        <w:tc>
          <w:tcPr>
            <w:tcW w:w="732" w:type="dxa"/>
          </w:tcPr>
          <w:p>
            <w:pPr>
              <w:widowControl/>
              <w:spacing w:line="360" w:lineRule="atLeast"/>
              <w:ind w:firstLine="470" w:firstLineChars="196"/>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restart"/>
          </w:tcPr>
          <w:p>
            <w:pPr>
              <w:widowControl/>
              <w:spacing w:line="360" w:lineRule="atLeast"/>
              <w:jc w:val="left"/>
              <w:rPr>
                <w:rFonts w:ascii="宋体" w:hAnsi="宋体"/>
                <w:sz w:val="24"/>
              </w:rPr>
            </w:pPr>
            <w:r>
              <w:rPr>
                <w:rFonts w:hint="eastAsia" w:ascii="宋体" w:hAnsi="宋体"/>
                <w:sz w:val="24"/>
              </w:rPr>
              <w:t>技术</w:t>
            </w:r>
          </w:p>
          <w:p>
            <w:pPr>
              <w:widowControl/>
              <w:spacing w:line="360" w:lineRule="atLeast"/>
              <w:jc w:val="left"/>
              <w:rPr>
                <w:rFonts w:ascii="宋体" w:hAnsi="宋体"/>
                <w:sz w:val="24"/>
              </w:rPr>
            </w:pPr>
            <w:r>
              <w:rPr>
                <w:rFonts w:hint="eastAsia" w:ascii="宋体" w:hAnsi="宋体"/>
                <w:sz w:val="24"/>
              </w:rPr>
              <w:t>人员</w:t>
            </w:r>
          </w:p>
        </w:tc>
        <w:tc>
          <w:tcPr>
            <w:tcW w:w="807" w:type="dxa"/>
          </w:tcPr>
          <w:p>
            <w:pPr>
              <w:widowControl/>
              <w:spacing w:line="360" w:lineRule="atLeast"/>
              <w:ind w:firstLine="470" w:firstLineChars="196"/>
              <w:jc w:val="left"/>
              <w:rPr>
                <w:rFonts w:ascii="宋体" w:hAnsi="宋体"/>
                <w:sz w:val="24"/>
              </w:rPr>
            </w:pPr>
          </w:p>
        </w:tc>
        <w:tc>
          <w:tcPr>
            <w:tcW w:w="807" w:type="dxa"/>
          </w:tcPr>
          <w:p>
            <w:pPr>
              <w:widowControl/>
              <w:spacing w:line="360" w:lineRule="atLeast"/>
              <w:ind w:firstLine="470" w:firstLineChars="196"/>
              <w:jc w:val="left"/>
              <w:rPr>
                <w:rFonts w:ascii="宋体" w:hAnsi="宋体"/>
                <w:sz w:val="24"/>
              </w:rPr>
            </w:pPr>
          </w:p>
        </w:tc>
        <w:tc>
          <w:tcPr>
            <w:tcW w:w="807" w:type="dxa"/>
          </w:tcPr>
          <w:p>
            <w:pPr>
              <w:widowControl/>
              <w:spacing w:line="360" w:lineRule="atLeast"/>
              <w:ind w:firstLine="470" w:firstLineChars="196"/>
              <w:jc w:val="left"/>
              <w:rPr>
                <w:rFonts w:ascii="宋体" w:hAnsi="宋体"/>
                <w:sz w:val="24"/>
              </w:rPr>
            </w:pPr>
          </w:p>
        </w:tc>
        <w:tc>
          <w:tcPr>
            <w:tcW w:w="807" w:type="dxa"/>
          </w:tcPr>
          <w:p>
            <w:pPr>
              <w:widowControl/>
              <w:spacing w:line="360" w:lineRule="atLeast"/>
              <w:ind w:firstLine="470" w:firstLineChars="196"/>
              <w:jc w:val="left"/>
              <w:rPr>
                <w:rFonts w:ascii="宋体" w:hAnsi="宋体"/>
                <w:sz w:val="24"/>
              </w:rPr>
            </w:pPr>
          </w:p>
        </w:tc>
        <w:tc>
          <w:tcPr>
            <w:tcW w:w="851" w:type="dxa"/>
          </w:tcPr>
          <w:p>
            <w:pPr>
              <w:widowControl/>
              <w:spacing w:line="360" w:lineRule="atLeast"/>
              <w:ind w:firstLine="470" w:firstLineChars="196"/>
              <w:jc w:val="left"/>
              <w:rPr>
                <w:rFonts w:ascii="宋体" w:hAnsi="宋体"/>
                <w:sz w:val="24"/>
              </w:rPr>
            </w:pPr>
          </w:p>
        </w:tc>
        <w:tc>
          <w:tcPr>
            <w:tcW w:w="960" w:type="dxa"/>
          </w:tcPr>
          <w:p>
            <w:pPr>
              <w:widowControl/>
              <w:spacing w:line="360" w:lineRule="atLeast"/>
              <w:ind w:firstLine="470" w:firstLineChars="196"/>
              <w:jc w:val="left"/>
              <w:rPr>
                <w:rFonts w:ascii="宋体" w:hAnsi="宋体"/>
                <w:sz w:val="24"/>
              </w:rPr>
            </w:pPr>
          </w:p>
        </w:tc>
        <w:tc>
          <w:tcPr>
            <w:tcW w:w="847" w:type="dxa"/>
          </w:tcPr>
          <w:p>
            <w:pPr>
              <w:widowControl/>
              <w:spacing w:line="360" w:lineRule="atLeast"/>
              <w:ind w:firstLine="470" w:firstLineChars="196"/>
              <w:jc w:val="left"/>
              <w:rPr>
                <w:rFonts w:ascii="宋体" w:hAnsi="宋体"/>
                <w:sz w:val="24"/>
              </w:rPr>
            </w:pPr>
          </w:p>
        </w:tc>
        <w:tc>
          <w:tcPr>
            <w:tcW w:w="732" w:type="dxa"/>
          </w:tcPr>
          <w:p>
            <w:pPr>
              <w:widowControl/>
              <w:spacing w:line="360" w:lineRule="atLeast"/>
              <w:ind w:firstLine="470" w:firstLineChars="196"/>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continue"/>
          </w:tcPr>
          <w:p>
            <w:pPr>
              <w:rPr>
                <w:rFonts w:ascii="宋体" w:hAnsi="宋体"/>
              </w:rPr>
            </w:pPr>
          </w:p>
        </w:tc>
        <w:tc>
          <w:tcPr>
            <w:tcW w:w="807" w:type="dxa"/>
          </w:tcPr>
          <w:p>
            <w:pPr>
              <w:widowControl/>
              <w:spacing w:line="360" w:lineRule="atLeast"/>
              <w:ind w:firstLine="470" w:firstLineChars="196"/>
              <w:jc w:val="left"/>
              <w:rPr>
                <w:rFonts w:ascii="宋体" w:hAnsi="宋体"/>
                <w:sz w:val="24"/>
              </w:rPr>
            </w:pPr>
          </w:p>
        </w:tc>
        <w:tc>
          <w:tcPr>
            <w:tcW w:w="807" w:type="dxa"/>
          </w:tcPr>
          <w:p>
            <w:pPr>
              <w:widowControl/>
              <w:spacing w:line="360" w:lineRule="atLeast"/>
              <w:ind w:firstLine="470" w:firstLineChars="196"/>
              <w:jc w:val="left"/>
              <w:rPr>
                <w:rFonts w:ascii="宋体" w:hAnsi="宋体"/>
                <w:sz w:val="24"/>
              </w:rPr>
            </w:pPr>
          </w:p>
        </w:tc>
        <w:tc>
          <w:tcPr>
            <w:tcW w:w="807" w:type="dxa"/>
          </w:tcPr>
          <w:p>
            <w:pPr>
              <w:widowControl/>
              <w:spacing w:line="360" w:lineRule="atLeast"/>
              <w:ind w:firstLine="470" w:firstLineChars="196"/>
              <w:jc w:val="left"/>
              <w:rPr>
                <w:rFonts w:ascii="宋体" w:hAnsi="宋体"/>
                <w:sz w:val="24"/>
              </w:rPr>
            </w:pPr>
          </w:p>
        </w:tc>
        <w:tc>
          <w:tcPr>
            <w:tcW w:w="807" w:type="dxa"/>
          </w:tcPr>
          <w:p>
            <w:pPr>
              <w:widowControl/>
              <w:spacing w:line="360" w:lineRule="atLeast"/>
              <w:ind w:firstLine="470" w:firstLineChars="196"/>
              <w:jc w:val="left"/>
              <w:rPr>
                <w:rFonts w:ascii="宋体" w:hAnsi="宋体"/>
                <w:sz w:val="24"/>
              </w:rPr>
            </w:pPr>
          </w:p>
        </w:tc>
        <w:tc>
          <w:tcPr>
            <w:tcW w:w="851" w:type="dxa"/>
          </w:tcPr>
          <w:p>
            <w:pPr>
              <w:widowControl/>
              <w:spacing w:line="360" w:lineRule="atLeast"/>
              <w:ind w:firstLine="470" w:firstLineChars="196"/>
              <w:jc w:val="left"/>
              <w:rPr>
                <w:rFonts w:ascii="宋体" w:hAnsi="宋体"/>
                <w:sz w:val="24"/>
              </w:rPr>
            </w:pPr>
          </w:p>
        </w:tc>
        <w:tc>
          <w:tcPr>
            <w:tcW w:w="960" w:type="dxa"/>
          </w:tcPr>
          <w:p>
            <w:pPr>
              <w:widowControl/>
              <w:spacing w:line="360" w:lineRule="atLeast"/>
              <w:ind w:firstLine="470" w:firstLineChars="196"/>
              <w:jc w:val="left"/>
              <w:rPr>
                <w:rFonts w:ascii="宋体" w:hAnsi="宋体"/>
                <w:sz w:val="24"/>
              </w:rPr>
            </w:pPr>
          </w:p>
        </w:tc>
        <w:tc>
          <w:tcPr>
            <w:tcW w:w="847" w:type="dxa"/>
          </w:tcPr>
          <w:p>
            <w:pPr>
              <w:widowControl/>
              <w:spacing w:line="360" w:lineRule="atLeast"/>
              <w:ind w:firstLine="470" w:firstLineChars="196"/>
              <w:jc w:val="left"/>
              <w:rPr>
                <w:rFonts w:ascii="宋体" w:hAnsi="宋体"/>
                <w:sz w:val="24"/>
              </w:rPr>
            </w:pPr>
          </w:p>
        </w:tc>
        <w:tc>
          <w:tcPr>
            <w:tcW w:w="732" w:type="dxa"/>
          </w:tcPr>
          <w:p>
            <w:pPr>
              <w:widowControl/>
              <w:spacing w:line="360" w:lineRule="atLeast"/>
              <w:ind w:firstLine="470" w:firstLineChars="196"/>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tcPr>
          <w:p>
            <w:pPr>
              <w:rPr>
                <w:rFonts w:ascii="宋体" w:hAnsi="宋体"/>
              </w:rPr>
            </w:pPr>
          </w:p>
        </w:tc>
        <w:tc>
          <w:tcPr>
            <w:tcW w:w="807" w:type="dxa"/>
          </w:tcPr>
          <w:p>
            <w:pPr>
              <w:widowControl/>
              <w:spacing w:line="360" w:lineRule="atLeast"/>
              <w:ind w:firstLine="470" w:firstLineChars="196"/>
              <w:jc w:val="left"/>
              <w:rPr>
                <w:rFonts w:ascii="宋体" w:hAnsi="宋体"/>
                <w:sz w:val="24"/>
              </w:rPr>
            </w:pPr>
          </w:p>
        </w:tc>
        <w:tc>
          <w:tcPr>
            <w:tcW w:w="807" w:type="dxa"/>
          </w:tcPr>
          <w:p>
            <w:pPr>
              <w:widowControl/>
              <w:spacing w:line="360" w:lineRule="atLeast"/>
              <w:ind w:firstLine="470" w:firstLineChars="196"/>
              <w:jc w:val="left"/>
              <w:rPr>
                <w:rFonts w:ascii="宋体" w:hAnsi="宋体"/>
                <w:sz w:val="24"/>
              </w:rPr>
            </w:pPr>
          </w:p>
        </w:tc>
        <w:tc>
          <w:tcPr>
            <w:tcW w:w="807" w:type="dxa"/>
          </w:tcPr>
          <w:p>
            <w:pPr>
              <w:widowControl/>
              <w:spacing w:line="360" w:lineRule="atLeast"/>
              <w:ind w:firstLine="470" w:firstLineChars="196"/>
              <w:jc w:val="left"/>
              <w:rPr>
                <w:rFonts w:ascii="宋体" w:hAnsi="宋体"/>
                <w:sz w:val="24"/>
              </w:rPr>
            </w:pPr>
          </w:p>
        </w:tc>
        <w:tc>
          <w:tcPr>
            <w:tcW w:w="807" w:type="dxa"/>
          </w:tcPr>
          <w:p>
            <w:pPr>
              <w:widowControl/>
              <w:spacing w:line="360" w:lineRule="atLeast"/>
              <w:ind w:firstLine="470" w:firstLineChars="196"/>
              <w:jc w:val="left"/>
              <w:rPr>
                <w:rFonts w:ascii="宋体" w:hAnsi="宋体"/>
                <w:sz w:val="24"/>
              </w:rPr>
            </w:pPr>
          </w:p>
        </w:tc>
        <w:tc>
          <w:tcPr>
            <w:tcW w:w="851" w:type="dxa"/>
          </w:tcPr>
          <w:p>
            <w:pPr>
              <w:widowControl/>
              <w:spacing w:line="360" w:lineRule="atLeast"/>
              <w:ind w:firstLine="470" w:firstLineChars="196"/>
              <w:jc w:val="left"/>
              <w:rPr>
                <w:rFonts w:ascii="宋体" w:hAnsi="宋体"/>
                <w:sz w:val="24"/>
              </w:rPr>
            </w:pPr>
          </w:p>
        </w:tc>
        <w:tc>
          <w:tcPr>
            <w:tcW w:w="960" w:type="dxa"/>
          </w:tcPr>
          <w:p>
            <w:pPr>
              <w:widowControl/>
              <w:spacing w:line="360" w:lineRule="atLeast"/>
              <w:ind w:firstLine="470" w:firstLineChars="196"/>
              <w:jc w:val="left"/>
              <w:rPr>
                <w:rFonts w:ascii="宋体" w:hAnsi="宋体"/>
                <w:sz w:val="24"/>
              </w:rPr>
            </w:pPr>
          </w:p>
        </w:tc>
        <w:tc>
          <w:tcPr>
            <w:tcW w:w="847" w:type="dxa"/>
          </w:tcPr>
          <w:p>
            <w:pPr>
              <w:widowControl/>
              <w:spacing w:line="360" w:lineRule="atLeast"/>
              <w:ind w:firstLine="470" w:firstLineChars="196"/>
              <w:jc w:val="left"/>
              <w:rPr>
                <w:rFonts w:ascii="宋体" w:hAnsi="宋体"/>
                <w:sz w:val="24"/>
              </w:rPr>
            </w:pPr>
          </w:p>
        </w:tc>
        <w:tc>
          <w:tcPr>
            <w:tcW w:w="732" w:type="dxa"/>
          </w:tcPr>
          <w:p>
            <w:pPr>
              <w:widowControl/>
              <w:spacing w:line="360" w:lineRule="atLeast"/>
              <w:ind w:firstLine="470" w:firstLineChars="196"/>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restart"/>
          </w:tcPr>
          <w:p>
            <w:pPr>
              <w:widowControl/>
              <w:spacing w:line="360" w:lineRule="atLeast"/>
              <w:jc w:val="left"/>
              <w:rPr>
                <w:rFonts w:ascii="宋体" w:hAnsi="宋体"/>
                <w:sz w:val="24"/>
              </w:rPr>
            </w:pPr>
            <w:r>
              <w:rPr>
                <w:rFonts w:hint="eastAsia" w:ascii="宋体" w:hAnsi="宋体"/>
                <w:sz w:val="24"/>
              </w:rPr>
              <w:t>售后服务人员</w:t>
            </w:r>
          </w:p>
        </w:tc>
        <w:tc>
          <w:tcPr>
            <w:tcW w:w="807" w:type="dxa"/>
          </w:tcPr>
          <w:p>
            <w:pPr>
              <w:widowControl/>
              <w:spacing w:line="360" w:lineRule="atLeast"/>
              <w:ind w:firstLine="470" w:firstLineChars="196"/>
              <w:jc w:val="left"/>
              <w:rPr>
                <w:rFonts w:ascii="宋体" w:hAnsi="宋体"/>
                <w:sz w:val="24"/>
              </w:rPr>
            </w:pPr>
          </w:p>
        </w:tc>
        <w:tc>
          <w:tcPr>
            <w:tcW w:w="807" w:type="dxa"/>
          </w:tcPr>
          <w:p>
            <w:pPr>
              <w:widowControl/>
              <w:spacing w:line="360" w:lineRule="atLeast"/>
              <w:ind w:firstLine="470" w:firstLineChars="196"/>
              <w:jc w:val="left"/>
              <w:rPr>
                <w:rFonts w:ascii="宋体" w:hAnsi="宋体"/>
                <w:sz w:val="24"/>
              </w:rPr>
            </w:pPr>
          </w:p>
        </w:tc>
        <w:tc>
          <w:tcPr>
            <w:tcW w:w="807" w:type="dxa"/>
          </w:tcPr>
          <w:p>
            <w:pPr>
              <w:widowControl/>
              <w:spacing w:line="360" w:lineRule="atLeast"/>
              <w:ind w:firstLine="470" w:firstLineChars="196"/>
              <w:jc w:val="left"/>
              <w:rPr>
                <w:rFonts w:ascii="宋体" w:hAnsi="宋体"/>
                <w:sz w:val="24"/>
              </w:rPr>
            </w:pPr>
          </w:p>
        </w:tc>
        <w:tc>
          <w:tcPr>
            <w:tcW w:w="807" w:type="dxa"/>
          </w:tcPr>
          <w:p>
            <w:pPr>
              <w:widowControl/>
              <w:spacing w:line="360" w:lineRule="atLeast"/>
              <w:ind w:firstLine="470" w:firstLineChars="196"/>
              <w:jc w:val="left"/>
              <w:rPr>
                <w:rFonts w:ascii="宋体" w:hAnsi="宋体"/>
                <w:sz w:val="24"/>
              </w:rPr>
            </w:pPr>
          </w:p>
        </w:tc>
        <w:tc>
          <w:tcPr>
            <w:tcW w:w="851" w:type="dxa"/>
          </w:tcPr>
          <w:p>
            <w:pPr>
              <w:widowControl/>
              <w:spacing w:line="360" w:lineRule="atLeast"/>
              <w:ind w:firstLine="470" w:firstLineChars="196"/>
              <w:jc w:val="left"/>
              <w:rPr>
                <w:rFonts w:ascii="宋体" w:hAnsi="宋体"/>
                <w:sz w:val="24"/>
              </w:rPr>
            </w:pPr>
          </w:p>
        </w:tc>
        <w:tc>
          <w:tcPr>
            <w:tcW w:w="960" w:type="dxa"/>
          </w:tcPr>
          <w:p>
            <w:pPr>
              <w:widowControl/>
              <w:spacing w:line="360" w:lineRule="atLeast"/>
              <w:ind w:firstLine="470" w:firstLineChars="196"/>
              <w:jc w:val="left"/>
              <w:rPr>
                <w:rFonts w:ascii="宋体" w:hAnsi="宋体"/>
                <w:sz w:val="24"/>
              </w:rPr>
            </w:pPr>
          </w:p>
        </w:tc>
        <w:tc>
          <w:tcPr>
            <w:tcW w:w="847" w:type="dxa"/>
          </w:tcPr>
          <w:p>
            <w:pPr>
              <w:widowControl/>
              <w:spacing w:line="360" w:lineRule="atLeast"/>
              <w:ind w:firstLine="470" w:firstLineChars="196"/>
              <w:jc w:val="left"/>
              <w:rPr>
                <w:rFonts w:ascii="宋体" w:hAnsi="宋体"/>
                <w:sz w:val="24"/>
              </w:rPr>
            </w:pPr>
          </w:p>
        </w:tc>
        <w:tc>
          <w:tcPr>
            <w:tcW w:w="732" w:type="dxa"/>
          </w:tcPr>
          <w:p>
            <w:pPr>
              <w:widowControl/>
              <w:spacing w:line="360" w:lineRule="atLeast"/>
              <w:ind w:firstLine="470" w:firstLineChars="196"/>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tcBorders>
              <w:bottom w:val="single" w:color="auto" w:sz="4" w:space="0"/>
            </w:tcBorders>
          </w:tcPr>
          <w:p>
            <w:pPr>
              <w:rPr>
                <w:rFonts w:ascii="宋体" w:hAnsi="宋体"/>
              </w:rPr>
            </w:pPr>
          </w:p>
        </w:tc>
        <w:tc>
          <w:tcPr>
            <w:tcW w:w="807" w:type="dxa"/>
            <w:tcBorders>
              <w:bottom w:val="single" w:color="auto" w:sz="4" w:space="0"/>
            </w:tcBorders>
          </w:tcPr>
          <w:p>
            <w:pPr>
              <w:widowControl/>
              <w:spacing w:line="360" w:lineRule="atLeast"/>
              <w:ind w:firstLine="470" w:firstLineChars="196"/>
              <w:jc w:val="left"/>
              <w:rPr>
                <w:rFonts w:ascii="宋体" w:hAnsi="宋体"/>
                <w:sz w:val="24"/>
              </w:rPr>
            </w:pPr>
          </w:p>
        </w:tc>
        <w:tc>
          <w:tcPr>
            <w:tcW w:w="807" w:type="dxa"/>
          </w:tcPr>
          <w:p>
            <w:pPr>
              <w:widowControl/>
              <w:spacing w:line="360" w:lineRule="atLeast"/>
              <w:ind w:firstLine="470" w:firstLineChars="196"/>
              <w:jc w:val="left"/>
              <w:rPr>
                <w:rFonts w:ascii="宋体" w:hAnsi="宋体"/>
                <w:sz w:val="24"/>
              </w:rPr>
            </w:pPr>
          </w:p>
        </w:tc>
        <w:tc>
          <w:tcPr>
            <w:tcW w:w="807" w:type="dxa"/>
          </w:tcPr>
          <w:p>
            <w:pPr>
              <w:widowControl/>
              <w:spacing w:line="360" w:lineRule="atLeast"/>
              <w:ind w:firstLine="470" w:firstLineChars="196"/>
              <w:jc w:val="left"/>
              <w:rPr>
                <w:rFonts w:ascii="宋体" w:hAnsi="宋体"/>
                <w:sz w:val="24"/>
              </w:rPr>
            </w:pPr>
          </w:p>
        </w:tc>
        <w:tc>
          <w:tcPr>
            <w:tcW w:w="807" w:type="dxa"/>
          </w:tcPr>
          <w:p>
            <w:pPr>
              <w:widowControl/>
              <w:spacing w:line="360" w:lineRule="atLeast"/>
              <w:ind w:firstLine="470" w:firstLineChars="196"/>
              <w:jc w:val="left"/>
              <w:rPr>
                <w:rFonts w:ascii="宋体" w:hAnsi="宋体"/>
                <w:sz w:val="24"/>
              </w:rPr>
            </w:pPr>
          </w:p>
        </w:tc>
        <w:tc>
          <w:tcPr>
            <w:tcW w:w="851" w:type="dxa"/>
          </w:tcPr>
          <w:p>
            <w:pPr>
              <w:widowControl/>
              <w:spacing w:line="360" w:lineRule="atLeast"/>
              <w:ind w:firstLine="470" w:firstLineChars="196"/>
              <w:jc w:val="left"/>
              <w:rPr>
                <w:rFonts w:ascii="宋体" w:hAnsi="宋体"/>
                <w:sz w:val="24"/>
              </w:rPr>
            </w:pPr>
          </w:p>
        </w:tc>
        <w:tc>
          <w:tcPr>
            <w:tcW w:w="960" w:type="dxa"/>
          </w:tcPr>
          <w:p>
            <w:pPr>
              <w:widowControl/>
              <w:spacing w:line="360" w:lineRule="atLeast"/>
              <w:ind w:firstLine="470" w:firstLineChars="196"/>
              <w:jc w:val="left"/>
              <w:rPr>
                <w:rFonts w:ascii="宋体" w:hAnsi="宋体"/>
                <w:sz w:val="24"/>
              </w:rPr>
            </w:pPr>
          </w:p>
        </w:tc>
        <w:tc>
          <w:tcPr>
            <w:tcW w:w="847" w:type="dxa"/>
          </w:tcPr>
          <w:p>
            <w:pPr>
              <w:widowControl/>
              <w:spacing w:line="360" w:lineRule="atLeast"/>
              <w:ind w:firstLine="470" w:firstLineChars="196"/>
              <w:jc w:val="left"/>
              <w:rPr>
                <w:rFonts w:ascii="宋体" w:hAnsi="宋体"/>
                <w:sz w:val="24"/>
              </w:rPr>
            </w:pPr>
          </w:p>
        </w:tc>
        <w:tc>
          <w:tcPr>
            <w:tcW w:w="732" w:type="dxa"/>
          </w:tcPr>
          <w:p>
            <w:pPr>
              <w:widowControl/>
              <w:spacing w:line="360" w:lineRule="atLeast"/>
              <w:ind w:firstLine="470" w:firstLineChars="196"/>
              <w:jc w:val="left"/>
              <w:rPr>
                <w:rFonts w:ascii="宋体" w:hAnsi="宋体"/>
                <w:sz w:val="24"/>
              </w:rPr>
            </w:pPr>
          </w:p>
        </w:tc>
      </w:tr>
    </w:tbl>
    <w:p>
      <w:pPr>
        <w:widowControl/>
        <w:spacing w:line="360" w:lineRule="atLeast"/>
        <w:ind w:firstLine="470" w:firstLineChars="196"/>
        <w:jc w:val="left"/>
        <w:rPr>
          <w:rFonts w:ascii="宋体" w:hAnsi="宋体"/>
          <w:sz w:val="24"/>
        </w:rPr>
      </w:pPr>
    </w:p>
    <w:p>
      <w:pPr>
        <w:widowControl/>
        <w:spacing w:line="360" w:lineRule="atLeast"/>
        <w:ind w:firstLine="470" w:firstLineChars="196"/>
        <w:jc w:val="left"/>
        <w:rPr>
          <w:rFonts w:ascii="宋体" w:hAnsi="宋体"/>
          <w:sz w:val="24"/>
        </w:rPr>
      </w:pPr>
      <w:r>
        <w:rPr>
          <w:rFonts w:hint="eastAsia" w:ascii="宋体" w:hAnsi="宋体"/>
          <w:sz w:val="24"/>
        </w:rPr>
        <w:t>投标人名称：XXXX。</w:t>
      </w:r>
    </w:p>
    <w:p>
      <w:pPr>
        <w:widowControl/>
        <w:spacing w:line="360" w:lineRule="atLeast"/>
        <w:ind w:firstLine="470" w:firstLineChars="196"/>
        <w:jc w:val="left"/>
        <w:rPr>
          <w:rFonts w:ascii="宋体" w:hAnsi="宋体"/>
          <w:sz w:val="24"/>
        </w:rPr>
      </w:pPr>
      <w:r>
        <w:rPr>
          <w:rFonts w:hint="eastAsia" w:ascii="宋体" w:hAnsi="宋体"/>
          <w:sz w:val="24"/>
        </w:rPr>
        <w:t>投标日期: XXXX。</w:t>
      </w:r>
    </w:p>
    <w:p>
      <w:pPr>
        <w:widowControl/>
        <w:spacing w:line="360" w:lineRule="atLeast"/>
        <w:ind w:firstLine="470" w:firstLineChars="196"/>
        <w:jc w:val="left"/>
        <w:rPr>
          <w:rFonts w:ascii="宋体" w:hAnsi="宋体"/>
          <w:sz w:val="24"/>
        </w:rPr>
      </w:pPr>
      <w:r>
        <w:rPr>
          <w:rFonts w:hint="eastAsia" w:ascii="宋体" w:hAnsi="宋体"/>
          <w:sz w:val="24"/>
        </w:rPr>
        <w:t>备注：此表填写的管理人员将作为判定87号令第37条依据。</w:t>
      </w:r>
    </w:p>
    <w:p>
      <w:pPr>
        <w:widowControl/>
        <w:spacing w:line="360" w:lineRule="atLeast"/>
        <w:ind w:firstLine="472" w:firstLineChars="196"/>
        <w:jc w:val="left"/>
        <w:rPr>
          <w:rFonts w:ascii="宋体" w:hAnsi="宋体"/>
          <w:b/>
          <w:sz w:val="24"/>
        </w:rPr>
      </w:pPr>
    </w:p>
    <w:p>
      <w:pPr>
        <w:widowControl/>
        <w:spacing w:line="360" w:lineRule="atLeast"/>
        <w:ind w:firstLine="472" w:firstLineChars="196"/>
        <w:jc w:val="left"/>
        <w:rPr>
          <w:rFonts w:ascii="宋体" w:hAnsi="宋体"/>
          <w:b/>
          <w:sz w:val="24"/>
        </w:rPr>
      </w:pPr>
    </w:p>
    <w:p>
      <w:pPr>
        <w:widowControl/>
        <w:spacing w:line="360" w:lineRule="atLeast"/>
        <w:ind w:firstLine="472" w:firstLineChars="196"/>
        <w:jc w:val="left"/>
        <w:rPr>
          <w:rFonts w:ascii="宋体" w:hAnsi="宋体"/>
          <w:b/>
          <w:sz w:val="24"/>
        </w:rPr>
      </w:pPr>
    </w:p>
    <w:p>
      <w:pPr>
        <w:spacing w:after="0" w:line="360" w:lineRule="auto"/>
        <w:rPr>
          <w:rFonts w:ascii="宋体" w:hAnsi="宋体"/>
          <w:b/>
          <w:sz w:val="32"/>
          <w:szCs w:val="32"/>
        </w:rPr>
      </w:pPr>
      <w:r>
        <w:rPr>
          <w:rFonts w:hint="eastAsia" w:ascii="宋体" w:hAnsi="宋体"/>
          <w:b/>
          <w:sz w:val="24"/>
        </w:rPr>
        <w:br w:type="page"/>
      </w:r>
    </w:p>
    <w:p>
      <w:pPr>
        <w:spacing w:after="0" w:line="360" w:lineRule="auto"/>
        <w:rPr>
          <w:rFonts w:ascii="宋体" w:hAnsi="宋体"/>
          <w:b/>
          <w:sz w:val="32"/>
          <w:szCs w:val="32"/>
        </w:rPr>
      </w:pPr>
      <w:r>
        <w:rPr>
          <w:rFonts w:hint="eastAsia" w:ascii="宋体" w:hAnsi="宋体"/>
          <w:b/>
          <w:sz w:val="32"/>
          <w:szCs w:val="32"/>
        </w:rPr>
        <w:t>格式2-11</w:t>
      </w:r>
    </w:p>
    <w:p>
      <w:pPr>
        <w:widowControl/>
        <w:spacing w:after="0" w:line="360" w:lineRule="atLeast"/>
        <w:jc w:val="center"/>
        <w:outlineLvl w:val="2"/>
        <w:rPr>
          <w:rFonts w:ascii="宋体" w:hAnsi="宋体"/>
          <w:b/>
          <w:sz w:val="32"/>
          <w:szCs w:val="32"/>
        </w:rPr>
      </w:pPr>
      <w:r>
        <w:rPr>
          <w:rFonts w:hint="eastAsia" w:ascii="宋体" w:hAnsi="宋体"/>
          <w:b/>
          <w:sz w:val="32"/>
          <w:szCs w:val="32"/>
        </w:rPr>
        <w:t>十、中小企业声明函(货物)</w:t>
      </w:r>
    </w:p>
    <w:p>
      <w:pPr>
        <w:widowControl/>
        <w:spacing w:after="0" w:line="360" w:lineRule="atLeast"/>
        <w:jc w:val="center"/>
        <w:rPr>
          <w:rFonts w:ascii="宋体" w:hAnsi="宋体"/>
          <w:b/>
          <w:sz w:val="32"/>
          <w:szCs w:val="32"/>
        </w:rPr>
      </w:pPr>
    </w:p>
    <w:p>
      <w:pPr>
        <w:spacing w:after="0" w:line="360" w:lineRule="auto"/>
        <w:ind w:firstLine="480" w:firstLineChars="200"/>
        <w:jc w:val="left"/>
        <w:rPr>
          <w:rFonts w:ascii="宋体" w:hAnsi="宋体"/>
          <w:sz w:val="24"/>
        </w:rPr>
      </w:pPr>
      <w:r>
        <w:rPr>
          <w:rFonts w:hint="eastAsia" w:ascii="宋体" w:hAnsi="宋体"/>
          <w:sz w:val="24"/>
        </w:rPr>
        <w:t>本公司（联合体）郑重声明，根据《政府采购促进中小企业发展管理办法》（财库〔2020</w:t>
      </w:r>
      <w:r>
        <w:rPr>
          <w:rFonts w:ascii="宋体" w:hAnsi="宋体"/>
          <w:sz w:val="24"/>
        </w:rPr>
        <w:t>〕</w:t>
      </w:r>
      <w:r>
        <w:rPr>
          <w:rFonts w:hint="eastAsia" w:ascii="宋体" w:hAnsi="宋体"/>
          <w:sz w:val="24"/>
        </w:rPr>
        <w:t>46 号）</w:t>
      </w:r>
      <w:r>
        <w:rPr>
          <w:rFonts w:ascii="宋体" w:hAnsi="宋体"/>
          <w:sz w:val="24"/>
        </w:rPr>
        <w:t>的规定，</w:t>
      </w:r>
      <w:r>
        <w:rPr>
          <w:rFonts w:hint="eastAsia" w:ascii="宋体" w:hAnsi="宋体"/>
          <w:sz w:val="24"/>
        </w:rPr>
        <w:t xml:space="preserve">本公司（联合体）参加 </w:t>
      </w:r>
      <w:r>
        <w:rPr>
          <w:rFonts w:hint="eastAsia" w:ascii="宋体" w:hAnsi="宋体"/>
          <w:sz w:val="24"/>
          <w:u w:val="single"/>
        </w:rPr>
        <w:t xml:space="preserve">（单位名称） </w:t>
      </w:r>
      <w:r>
        <w:rPr>
          <w:rFonts w:hint="eastAsia" w:ascii="宋体" w:hAnsi="宋体"/>
          <w:sz w:val="24"/>
        </w:rPr>
        <w:t xml:space="preserve">的 </w:t>
      </w:r>
      <w:r>
        <w:rPr>
          <w:rFonts w:hint="eastAsia" w:ascii="宋体" w:hAnsi="宋体"/>
          <w:sz w:val="24"/>
          <w:u w:val="single"/>
        </w:rPr>
        <w:t xml:space="preserve">（项目名称） </w:t>
      </w:r>
      <w:r>
        <w:rPr>
          <w:rFonts w:hint="eastAsia" w:ascii="宋体" w:hAnsi="宋体"/>
          <w:sz w:val="24"/>
        </w:rPr>
        <w:t>采购活动，提供的货物全部由符合政策要求的中小企业制造。相关企业（含联合体中的中小企业、签订分包意向协议的中小企业）的具体情况如下：</w:t>
      </w:r>
      <w:r>
        <w:rPr>
          <w:rFonts w:ascii="宋体" w:hAnsi="宋体"/>
          <w:sz w:val="24"/>
        </w:rPr>
        <w:br w:type="textWrapping"/>
      </w:r>
      <w:r>
        <w:rPr>
          <w:rFonts w:hint="eastAsia" w:ascii="宋体" w:hAnsi="宋体"/>
          <w:sz w:val="24"/>
        </w:rPr>
        <w:t>　　</w:t>
      </w:r>
      <w:bookmarkStart w:id="144" w:name="_Toc413748654"/>
      <w:bookmarkStart w:id="145" w:name="_Toc419811733"/>
      <w:bookmarkStart w:id="146" w:name="_Toc417911732"/>
      <w:bookmarkStart w:id="147" w:name="_Toc387658050"/>
      <w:bookmarkStart w:id="148" w:name="_Toc387147344"/>
      <w:r>
        <w:rPr>
          <w:rFonts w:hint="eastAsia" w:ascii="宋体" w:hAnsi="宋体"/>
          <w:sz w:val="24"/>
        </w:rPr>
        <w:t xml:space="preserve">1. </w:t>
      </w:r>
      <w:r>
        <w:rPr>
          <w:rFonts w:hint="eastAsia" w:ascii="宋体" w:hAnsi="宋体"/>
          <w:sz w:val="24"/>
          <w:u w:val="single"/>
        </w:rPr>
        <w:t xml:space="preserve">（标的名称） </w:t>
      </w:r>
      <w:r>
        <w:rPr>
          <w:rFonts w:hint="eastAsia" w:ascii="宋体" w:hAnsi="宋体"/>
          <w:sz w:val="24"/>
        </w:rPr>
        <w:t>，属于</w:t>
      </w:r>
      <w:r>
        <w:rPr>
          <w:rFonts w:hint="eastAsia" w:ascii="宋体" w:hAnsi="宋体"/>
          <w:sz w:val="24"/>
          <w:u w:val="single"/>
        </w:rPr>
        <w:t xml:space="preserve"> （采购文件中明确的所属行业） </w:t>
      </w:r>
      <w:r>
        <w:rPr>
          <w:rFonts w:hint="eastAsia" w:ascii="宋体" w:hAnsi="宋体"/>
          <w:sz w:val="24"/>
        </w:rPr>
        <w:t>；制造商为</w:t>
      </w:r>
      <w:r>
        <w:rPr>
          <w:rFonts w:hint="eastAsia" w:ascii="宋体" w:hAnsi="宋体"/>
          <w:sz w:val="24"/>
          <w:u w:val="single"/>
        </w:rPr>
        <w:t xml:space="preserve"> （企业名称） </w:t>
      </w:r>
      <w:r>
        <w:rPr>
          <w:rFonts w:hint="eastAsia" w:ascii="宋体" w:hAnsi="宋体"/>
          <w:sz w:val="24"/>
        </w:rPr>
        <w:t>，从业人员</w:t>
      </w:r>
      <w:r>
        <w:rPr>
          <w:rFonts w:ascii="宋体" w:hAnsi="宋体"/>
          <w:sz w:val="24"/>
          <w:u w:val="single"/>
        </w:rPr>
        <w:t xml:space="preserve">   </w:t>
      </w:r>
      <w:r>
        <w:rPr>
          <w:rFonts w:hint="eastAsia" w:ascii="宋体" w:hAnsi="宋体"/>
          <w:sz w:val="24"/>
        </w:rPr>
        <w:t>人，营业收入为</w:t>
      </w:r>
      <w:r>
        <w:rPr>
          <w:rFonts w:ascii="宋体" w:hAnsi="宋体"/>
          <w:sz w:val="24"/>
          <w:u w:val="single"/>
        </w:rPr>
        <w:t xml:space="preserve">    </w:t>
      </w:r>
      <w:r>
        <w:rPr>
          <w:rFonts w:hint="eastAsia" w:ascii="宋体" w:hAnsi="宋体"/>
          <w:sz w:val="24"/>
        </w:rPr>
        <w:t>万元，资产总额为</w:t>
      </w:r>
      <w:r>
        <w:rPr>
          <w:rFonts w:ascii="宋体" w:hAnsi="宋体"/>
          <w:sz w:val="24"/>
          <w:u w:val="single"/>
        </w:rPr>
        <w:t xml:space="preserve">   </w:t>
      </w:r>
      <w:r>
        <w:rPr>
          <w:rFonts w:hint="eastAsia" w:ascii="宋体" w:hAnsi="宋体"/>
          <w:sz w:val="24"/>
        </w:rPr>
        <w:t>万元，属于</w:t>
      </w:r>
      <w:r>
        <w:rPr>
          <w:rFonts w:hint="eastAsia" w:ascii="宋体" w:hAnsi="宋体"/>
          <w:sz w:val="24"/>
          <w:u w:val="single"/>
        </w:rPr>
        <w:t xml:space="preserve"> （中型企业、小型企业、微型企业） </w:t>
      </w:r>
      <w:r>
        <w:rPr>
          <w:rFonts w:hint="eastAsia" w:ascii="宋体" w:hAnsi="宋体"/>
          <w:sz w:val="24"/>
        </w:rPr>
        <w:t>；</w:t>
      </w:r>
    </w:p>
    <w:p>
      <w:pPr>
        <w:spacing w:after="0" w:line="360" w:lineRule="auto"/>
        <w:ind w:firstLine="600" w:firstLineChars="250"/>
        <w:jc w:val="left"/>
        <w:rPr>
          <w:rFonts w:ascii="宋体" w:hAnsi="宋体"/>
          <w:sz w:val="24"/>
        </w:rPr>
      </w:pPr>
      <w:r>
        <w:rPr>
          <w:rFonts w:hint="eastAsia" w:ascii="宋体" w:hAnsi="宋体"/>
          <w:sz w:val="24"/>
        </w:rPr>
        <w:t>2.</w:t>
      </w:r>
      <w:r>
        <w:rPr>
          <w:rFonts w:hint="eastAsia" w:ascii="宋体" w:hAnsi="宋体"/>
          <w:sz w:val="24"/>
          <w:u w:val="single"/>
        </w:rPr>
        <w:t xml:space="preserve"> （标的名称） </w:t>
      </w:r>
      <w:r>
        <w:rPr>
          <w:rFonts w:hint="eastAsia" w:ascii="宋体" w:hAnsi="宋体"/>
          <w:sz w:val="24"/>
        </w:rPr>
        <w:t>，属于</w:t>
      </w:r>
      <w:r>
        <w:rPr>
          <w:rFonts w:hint="eastAsia" w:ascii="宋体" w:hAnsi="宋体"/>
          <w:sz w:val="24"/>
          <w:u w:val="single"/>
        </w:rPr>
        <w:t xml:space="preserve"> （采购文件中明确的所属行业） </w:t>
      </w:r>
      <w:r>
        <w:rPr>
          <w:rFonts w:hint="eastAsia" w:ascii="宋体" w:hAnsi="宋体"/>
          <w:sz w:val="24"/>
        </w:rPr>
        <w:t>；制造商为</w:t>
      </w:r>
      <w:r>
        <w:rPr>
          <w:rFonts w:hint="eastAsia" w:ascii="宋体" w:hAnsi="宋体"/>
          <w:sz w:val="24"/>
          <w:u w:val="single"/>
        </w:rPr>
        <w:t xml:space="preserve"> （企业名称） </w:t>
      </w:r>
      <w:r>
        <w:rPr>
          <w:rFonts w:hint="eastAsia" w:ascii="宋体" w:hAnsi="宋体"/>
          <w:sz w:val="24"/>
        </w:rPr>
        <w:t>，从业人员</w:t>
      </w:r>
      <w:r>
        <w:rPr>
          <w:rFonts w:ascii="宋体" w:hAnsi="宋体"/>
          <w:sz w:val="24"/>
          <w:u w:val="single"/>
        </w:rPr>
        <w:t xml:space="preserve">   </w:t>
      </w:r>
      <w:r>
        <w:rPr>
          <w:rFonts w:hint="eastAsia" w:ascii="宋体" w:hAnsi="宋体"/>
          <w:sz w:val="24"/>
        </w:rPr>
        <w:t>人，营业收入为</w:t>
      </w:r>
      <w:r>
        <w:rPr>
          <w:rFonts w:ascii="宋体" w:hAnsi="宋体"/>
          <w:sz w:val="24"/>
          <w:u w:val="single"/>
        </w:rPr>
        <w:t xml:space="preserve">    </w:t>
      </w:r>
      <w:r>
        <w:rPr>
          <w:rFonts w:hint="eastAsia" w:ascii="宋体" w:hAnsi="宋体"/>
          <w:sz w:val="24"/>
        </w:rPr>
        <w:t>万元，资产总额为</w:t>
      </w:r>
      <w:r>
        <w:rPr>
          <w:rFonts w:ascii="宋体" w:hAnsi="宋体"/>
          <w:sz w:val="24"/>
          <w:u w:val="single"/>
        </w:rPr>
        <w:t xml:space="preserve">   </w:t>
      </w:r>
      <w:r>
        <w:rPr>
          <w:rFonts w:hint="eastAsia" w:ascii="宋体" w:hAnsi="宋体"/>
          <w:sz w:val="24"/>
        </w:rPr>
        <w:t>万元，属于</w:t>
      </w:r>
      <w:r>
        <w:rPr>
          <w:rFonts w:hint="eastAsia" w:ascii="宋体" w:hAnsi="宋体"/>
          <w:sz w:val="24"/>
          <w:u w:val="single"/>
        </w:rPr>
        <w:t xml:space="preserve"> （中型企业、小型企业、微型企业） </w:t>
      </w:r>
      <w:r>
        <w:rPr>
          <w:rFonts w:hint="eastAsia" w:ascii="宋体" w:hAnsi="宋体"/>
          <w:sz w:val="24"/>
        </w:rPr>
        <w:t>；</w:t>
      </w:r>
    </w:p>
    <w:p>
      <w:pPr>
        <w:spacing w:after="0" w:line="360" w:lineRule="auto"/>
        <w:ind w:firstLine="600" w:firstLineChars="250"/>
        <w:jc w:val="left"/>
        <w:rPr>
          <w:rFonts w:ascii="宋体" w:hAnsi="宋体"/>
          <w:sz w:val="24"/>
        </w:rPr>
      </w:pPr>
      <w:r>
        <w:rPr>
          <w:rFonts w:hint="eastAsia" w:ascii="宋体" w:hAnsi="宋体"/>
          <w:sz w:val="24"/>
        </w:rPr>
        <w:t>……</w:t>
      </w:r>
    </w:p>
    <w:p>
      <w:pPr>
        <w:spacing w:after="0" w:line="360" w:lineRule="auto"/>
        <w:ind w:firstLine="600" w:firstLineChars="250"/>
        <w:jc w:val="left"/>
        <w:rPr>
          <w:rFonts w:ascii="宋体" w:hAnsi="宋体"/>
          <w:sz w:val="24"/>
        </w:rPr>
      </w:pPr>
      <w:r>
        <w:rPr>
          <w:rFonts w:hint="eastAsia" w:ascii="宋体" w:hAnsi="宋体"/>
          <w:sz w:val="24"/>
        </w:rPr>
        <w:t>以上企业，不属于大企业的分支机构，不存在控股股东为大企业的情形，也不存在与大企业的负责人为同一人的情形。</w:t>
      </w:r>
    </w:p>
    <w:p>
      <w:pPr>
        <w:spacing w:after="0" w:line="360" w:lineRule="auto"/>
        <w:ind w:firstLine="600" w:firstLineChars="250"/>
        <w:jc w:val="left"/>
        <w:rPr>
          <w:rFonts w:ascii="宋体" w:hAnsi="宋体"/>
          <w:sz w:val="24"/>
        </w:rPr>
      </w:pPr>
      <w:r>
        <w:rPr>
          <w:rFonts w:hint="eastAsia" w:ascii="宋体" w:hAnsi="宋体"/>
          <w:sz w:val="24"/>
        </w:rPr>
        <w:t>本企业对上述声明内容的真实性负责。如有虚假，将依法承担相应责任。</w:t>
      </w:r>
    </w:p>
    <w:p>
      <w:pPr>
        <w:spacing w:after="0" w:line="360" w:lineRule="auto"/>
        <w:jc w:val="center"/>
        <w:rPr>
          <w:rFonts w:ascii="宋体" w:hAnsi="宋体"/>
          <w:sz w:val="24"/>
        </w:rPr>
      </w:pPr>
      <w:r>
        <w:rPr>
          <w:rFonts w:hint="eastAsia" w:ascii="宋体" w:hAnsi="宋体"/>
          <w:sz w:val="24"/>
        </w:rPr>
        <w:t xml:space="preserve">                                 企业名称（盖章）：</w:t>
      </w:r>
    </w:p>
    <w:p>
      <w:pPr>
        <w:spacing w:after="0" w:line="360" w:lineRule="auto"/>
        <w:jc w:val="center"/>
        <w:rPr>
          <w:rFonts w:ascii="宋体" w:hAnsi="宋体"/>
          <w:sz w:val="24"/>
        </w:rPr>
      </w:pPr>
      <w:r>
        <w:rPr>
          <w:rFonts w:hint="eastAsia" w:ascii="宋体" w:hAnsi="宋体"/>
          <w:sz w:val="24"/>
        </w:rPr>
        <w:t xml:space="preserve">                        日 期：</w:t>
      </w:r>
    </w:p>
    <w:p>
      <w:pPr>
        <w:spacing w:after="0" w:line="360" w:lineRule="auto"/>
        <w:jc w:val="left"/>
        <w:rPr>
          <w:rFonts w:ascii="宋体" w:hAnsi="宋体" w:cs="宋体"/>
          <w:sz w:val="24"/>
        </w:rPr>
      </w:pPr>
      <w:r>
        <w:rPr>
          <w:rFonts w:hint="eastAsia" w:ascii="宋体" w:hAnsi="宋体" w:cs="宋体"/>
          <w:sz w:val="24"/>
        </w:rPr>
        <w:t>注：</w:t>
      </w:r>
    </w:p>
    <w:p>
      <w:pPr>
        <w:spacing w:after="0" w:line="360" w:lineRule="auto"/>
        <w:rPr>
          <w:rFonts w:ascii="宋体" w:hAnsi="宋体"/>
          <w:b/>
          <w:sz w:val="32"/>
          <w:szCs w:val="32"/>
        </w:rPr>
      </w:pPr>
      <w:r>
        <w:rPr>
          <w:rFonts w:ascii="宋体" w:hAnsi="宋体" w:cs="宋体"/>
          <w:sz w:val="24"/>
        </w:rPr>
        <w:t>1、</w:t>
      </w:r>
      <w:bookmarkEnd w:id="144"/>
      <w:bookmarkEnd w:id="145"/>
      <w:bookmarkEnd w:id="146"/>
      <w:bookmarkEnd w:id="147"/>
      <w:bookmarkEnd w:id="148"/>
      <w:r>
        <w:rPr>
          <w:rFonts w:hint="eastAsia" w:ascii="宋体" w:hAnsi="宋体" w:cs="宋体"/>
          <w:sz w:val="24"/>
        </w:rPr>
        <w:t>从业人员、营业收入、资产总额填报上一年度数据，无上一年度数据的新成立企业可不填报。</w:t>
      </w:r>
      <w:r>
        <w:rPr>
          <w:rFonts w:hint="eastAsia" w:ascii="宋体" w:hAnsi="宋体" w:cs="宋体"/>
          <w:sz w:val="24"/>
        </w:rPr>
        <w:br w:type="page"/>
      </w:r>
      <w:r>
        <w:rPr>
          <w:rFonts w:hint="eastAsia" w:ascii="宋体" w:hAnsi="宋体"/>
          <w:b/>
          <w:sz w:val="32"/>
          <w:szCs w:val="32"/>
        </w:rPr>
        <w:t>格式2-12</w:t>
      </w:r>
    </w:p>
    <w:p>
      <w:pPr>
        <w:jc w:val="center"/>
        <w:outlineLvl w:val="2"/>
        <w:rPr>
          <w:rFonts w:ascii="宋体" w:hAnsi="宋体"/>
          <w:b/>
          <w:sz w:val="32"/>
          <w:szCs w:val="32"/>
        </w:rPr>
      </w:pPr>
      <w:r>
        <w:rPr>
          <w:rFonts w:hint="eastAsia" w:ascii="宋体" w:hAnsi="宋体"/>
          <w:b/>
          <w:sz w:val="32"/>
          <w:szCs w:val="32"/>
        </w:rPr>
        <w:t>十一、残疾人福利性单位声明函</w:t>
      </w:r>
    </w:p>
    <w:p>
      <w:pPr>
        <w:spacing w:line="588" w:lineRule="exact"/>
        <w:rPr>
          <w:rFonts w:ascii="宋体" w:hAnsi="宋体" w:cs="宋体"/>
          <w:b/>
          <w:spacing w:val="6"/>
          <w:sz w:val="24"/>
        </w:rPr>
      </w:pPr>
    </w:p>
    <w:p>
      <w:pPr>
        <w:spacing w:line="588" w:lineRule="exact"/>
        <w:ind w:firstLine="504" w:firstLineChars="200"/>
        <w:rPr>
          <w:rFonts w:ascii="宋体" w:hAnsi="宋体" w:cs="宋体"/>
          <w:spacing w:val="6"/>
          <w:sz w:val="24"/>
        </w:rPr>
      </w:pPr>
      <w:r>
        <w:rPr>
          <w:rFonts w:hint="eastAsia" w:ascii="宋体" w:hAnsi="宋体" w:cs="宋体"/>
          <w:spacing w:val="6"/>
          <w:sz w:val="24"/>
        </w:rPr>
        <w:t>本单位郑重声明，根据《财政部 民政部 中国残疾人联合会关于促进残疾人就业政府采购政策的通知》（财库</w:t>
      </w:r>
      <w:r>
        <w:rPr>
          <w:rFonts w:hint="eastAsia" w:ascii="宋体" w:hAnsi="宋体" w:cs="宋体"/>
          <w:sz w:val="24"/>
        </w:rPr>
        <w:t>〔2017〕 141</w:t>
      </w:r>
      <w:r>
        <w:rPr>
          <w:rFonts w:hint="eastAsia" w:ascii="宋体" w:hAnsi="宋体" w:cs="宋体"/>
          <w:spacing w:val="6"/>
          <w:sz w:val="24"/>
        </w:rPr>
        <w:t>号）的规定，本单位为符合条件的残疾人福利性单位，且本单位参加</w:t>
      </w:r>
      <w:r>
        <w:rPr>
          <w:rFonts w:hint="eastAsia" w:ascii="宋体" w:hAnsi="宋体"/>
          <w:sz w:val="24"/>
          <w:u w:val="single"/>
        </w:rPr>
        <w:t>XXXX</w:t>
      </w:r>
      <w:r>
        <w:rPr>
          <w:rFonts w:hint="eastAsia" w:ascii="宋体" w:hAnsi="宋体" w:cs="宋体"/>
          <w:spacing w:val="6"/>
          <w:sz w:val="24"/>
        </w:rPr>
        <w:t>单位的</w:t>
      </w:r>
      <w:r>
        <w:rPr>
          <w:rFonts w:hint="eastAsia" w:ascii="宋体" w:hAnsi="宋体"/>
          <w:sz w:val="24"/>
          <w:u w:val="single"/>
        </w:rPr>
        <w:t>XXXX</w:t>
      </w:r>
      <w:r>
        <w:rPr>
          <w:rFonts w:hint="eastAsia" w:ascii="宋体" w:hAnsi="宋体" w:cs="宋体"/>
          <w:spacing w:val="6"/>
          <w:sz w:val="24"/>
        </w:rPr>
        <w:t>项目采购活动提供本单位制造的货物（由本单位承担工程/提供服务），或者提供其他残疾人福利性单位制造的货物（不包括使用非残疾人福利性单位注册商标的货物）。</w:t>
      </w:r>
    </w:p>
    <w:p>
      <w:pPr>
        <w:spacing w:line="588" w:lineRule="exact"/>
        <w:ind w:firstLine="504" w:firstLineChars="200"/>
        <w:rPr>
          <w:rFonts w:ascii="宋体" w:hAnsi="宋体" w:cs="宋体"/>
          <w:spacing w:val="6"/>
          <w:sz w:val="24"/>
        </w:rPr>
      </w:pPr>
      <w:r>
        <w:rPr>
          <w:rFonts w:hint="eastAsia" w:ascii="宋体" w:hAnsi="宋体" w:cs="宋体"/>
          <w:spacing w:val="6"/>
          <w:sz w:val="24"/>
        </w:rPr>
        <w:t>本单位对上述声明的真实性负责。如有虚假，将依法承担相应责任。</w:t>
      </w:r>
    </w:p>
    <w:p>
      <w:pPr>
        <w:spacing w:line="588" w:lineRule="exact"/>
        <w:rPr>
          <w:rFonts w:ascii="宋体" w:hAnsi="宋体" w:cs="宋体"/>
          <w:spacing w:val="6"/>
          <w:sz w:val="24"/>
        </w:rPr>
      </w:pPr>
    </w:p>
    <w:p>
      <w:pPr>
        <w:spacing w:line="588" w:lineRule="exact"/>
        <w:rPr>
          <w:rFonts w:ascii="宋体" w:hAnsi="宋体" w:cs="宋体"/>
          <w:spacing w:val="6"/>
          <w:sz w:val="24"/>
        </w:rPr>
      </w:pPr>
    </w:p>
    <w:p>
      <w:pPr>
        <w:tabs>
          <w:tab w:val="left" w:pos="4860"/>
        </w:tabs>
        <w:spacing w:line="588" w:lineRule="exact"/>
        <w:ind w:right="1560"/>
        <w:rPr>
          <w:rFonts w:ascii="宋体" w:hAnsi="宋体" w:cs="宋体"/>
          <w:spacing w:val="6"/>
          <w:sz w:val="24"/>
        </w:rPr>
      </w:pPr>
      <w:r>
        <w:rPr>
          <w:rFonts w:hint="eastAsia" w:ascii="宋体" w:hAnsi="宋体" w:cs="宋体"/>
          <w:spacing w:val="6"/>
          <w:sz w:val="24"/>
        </w:rPr>
        <w:t>单位名称（盖章）：</w:t>
      </w:r>
    </w:p>
    <w:p>
      <w:pPr>
        <w:rPr>
          <w:rFonts w:ascii="宋体" w:hAnsi="宋体" w:cs="宋体"/>
          <w:spacing w:val="6"/>
          <w:sz w:val="24"/>
        </w:rPr>
      </w:pPr>
      <w:r>
        <w:rPr>
          <w:rFonts w:hint="eastAsia" w:ascii="宋体" w:hAnsi="宋体" w:cs="宋体"/>
          <w:spacing w:val="6"/>
          <w:sz w:val="24"/>
        </w:rPr>
        <w:t>日  期：</w:t>
      </w:r>
    </w:p>
    <w:p>
      <w:pPr>
        <w:spacing w:line="360" w:lineRule="auto"/>
        <w:rPr>
          <w:rFonts w:ascii="宋体" w:hAnsi="宋体" w:cs="宋体"/>
          <w:sz w:val="24"/>
        </w:rPr>
      </w:pPr>
    </w:p>
    <w:p>
      <w:pPr>
        <w:spacing w:line="360" w:lineRule="auto"/>
        <w:rPr>
          <w:rFonts w:ascii="宋体" w:hAnsi="宋体" w:cs="宋体"/>
          <w:sz w:val="24"/>
        </w:rPr>
      </w:pPr>
      <w:r>
        <w:rPr>
          <w:rFonts w:hint="eastAsia" w:ascii="宋体" w:hAnsi="宋体" w:cs="宋体"/>
          <w:sz w:val="24"/>
        </w:rPr>
        <w:t>注：</w:t>
      </w:r>
    </w:p>
    <w:p>
      <w:pPr>
        <w:numPr>
          <w:ilvl w:val="0"/>
          <w:numId w:val="3"/>
        </w:numPr>
        <w:spacing w:line="360" w:lineRule="auto"/>
        <w:rPr>
          <w:rFonts w:ascii="宋体" w:hAnsi="宋体" w:cs="宋体"/>
          <w:sz w:val="24"/>
        </w:rPr>
      </w:pPr>
      <w:r>
        <w:rPr>
          <w:rFonts w:hint="eastAsia" w:ascii="宋体" w:hAnsi="宋体" w:cs="宋体"/>
          <w:sz w:val="24"/>
        </w:rPr>
        <w:t>残疾人福利性单位视同小型、微型企业，享受预留份额、评审中价格扣除等促进中小企业发展的政府采购政策。残疾人福利性单位属于小型、微型企业的，不重复享受政策。</w:t>
      </w:r>
    </w:p>
    <w:p>
      <w:pPr>
        <w:numPr>
          <w:ilvl w:val="0"/>
          <w:numId w:val="3"/>
        </w:numPr>
        <w:spacing w:line="360" w:lineRule="auto"/>
        <w:rPr>
          <w:rFonts w:ascii="宋体" w:hAnsi="宋体" w:cs="宋体"/>
          <w:sz w:val="24"/>
        </w:rPr>
      </w:pPr>
      <w:r>
        <w:rPr>
          <w:rFonts w:hint="eastAsia" w:ascii="宋体" w:hAnsi="宋体" w:cs="宋体"/>
          <w:sz w:val="24"/>
        </w:rPr>
        <w:t>投标人为非残疾人福利性单位的，可不提供此声明。</w:t>
      </w:r>
    </w:p>
    <w:p>
      <w:pPr>
        <w:spacing w:line="300" w:lineRule="exact"/>
        <w:rPr>
          <w:rFonts w:ascii="宋体" w:hAnsi="宋体" w:cs="宋体"/>
          <w:sz w:val="24"/>
        </w:rPr>
      </w:pPr>
    </w:p>
    <w:p>
      <w:pPr>
        <w:widowControl/>
        <w:spacing w:after="0" w:line="240" w:lineRule="auto"/>
        <w:jc w:val="left"/>
        <w:rPr>
          <w:rFonts w:ascii="宋体" w:hAnsi="宋体" w:cs="宋体"/>
          <w:sz w:val="24"/>
        </w:rPr>
      </w:pPr>
      <w:r>
        <w:rPr>
          <w:rFonts w:ascii="宋体" w:hAnsi="宋体" w:cs="宋体"/>
          <w:sz w:val="24"/>
        </w:rPr>
        <w:br w:type="page"/>
      </w:r>
    </w:p>
    <w:p>
      <w:pPr>
        <w:spacing w:after="0" w:line="360" w:lineRule="auto"/>
        <w:rPr>
          <w:rFonts w:ascii="宋体" w:hAnsi="宋体"/>
          <w:b/>
          <w:sz w:val="32"/>
          <w:szCs w:val="32"/>
        </w:rPr>
      </w:pPr>
      <w:r>
        <w:rPr>
          <w:rFonts w:hint="eastAsia" w:ascii="宋体" w:hAnsi="宋体"/>
          <w:b/>
          <w:sz w:val="32"/>
          <w:szCs w:val="32"/>
        </w:rPr>
        <w:t>格式2-13</w:t>
      </w:r>
    </w:p>
    <w:p>
      <w:pPr>
        <w:jc w:val="center"/>
        <w:outlineLvl w:val="2"/>
        <w:rPr>
          <w:rFonts w:ascii="宋体" w:hAnsi="宋体"/>
          <w:b/>
          <w:sz w:val="32"/>
          <w:szCs w:val="32"/>
        </w:rPr>
      </w:pPr>
      <w:r>
        <w:rPr>
          <w:rFonts w:hint="eastAsia" w:ascii="宋体" w:hAnsi="宋体"/>
          <w:b/>
          <w:sz w:val="32"/>
          <w:szCs w:val="32"/>
        </w:rPr>
        <w:t>十二、监狱企业</w:t>
      </w:r>
    </w:p>
    <w:p>
      <w:pPr>
        <w:spacing w:after="0" w:line="360" w:lineRule="auto"/>
        <w:ind w:firstLine="480" w:firstLineChars="200"/>
        <w:jc w:val="left"/>
        <w:rPr>
          <w:rFonts w:ascii="宋体" w:hAnsi="宋体"/>
          <w:sz w:val="24"/>
        </w:rPr>
      </w:pPr>
      <w:r>
        <w:rPr>
          <w:rFonts w:hint="eastAsia" w:ascii="宋体" w:hAnsi="宋体"/>
          <w:sz w:val="24"/>
        </w:rPr>
        <w:t>根据</w:t>
      </w:r>
      <w:r>
        <w:rPr>
          <w:rFonts w:hint="eastAsia" w:ascii="宋体" w:hAnsi="宋体" w:cs="仿宋"/>
          <w:sz w:val="24"/>
        </w:rPr>
        <w:t>《政府采购支持监狱企业发展有关问题的通知》</w:t>
      </w:r>
      <w:r>
        <w:rPr>
          <w:rFonts w:hint="eastAsia" w:ascii="宋体" w:hAnsi="宋体"/>
          <w:sz w:val="24"/>
        </w:rPr>
        <w:t>（财库〔</w:t>
      </w:r>
      <w:r>
        <w:rPr>
          <w:rFonts w:ascii="宋体" w:hAnsi="宋体"/>
          <w:sz w:val="24"/>
        </w:rPr>
        <w:t>2014〕68号）的规定</w:t>
      </w:r>
      <w:r>
        <w:rPr>
          <w:rFonts w:hint="eastAsia" w:ascii="宋体" w:hAnsi="宋体"/>
          <w:sz w:val="24"/>
        </w:rPr>
        <w:t>监狱企业参加采购活动的，应</w:t>
      </w:r>
      <w:r>
        <w:rPr>
          <w:rFonts w:hint="eastAsia" w:ascii="宋体" w:hAnsi="宋体" w:cs="宋体"/>
          <w:sz w:val="24"/>
        </w:rPr>
        <w:t>提供由省级以上监狱管理局、戒毒管理局</w:t>
      </w:r>
      <w:r>
        <w:rPr>
          <w:rFonts w:ascii="宋体" w:hAnsi="宋体" w:cs="宋体"/>
          <w:sz w:val="24"/>
        </w:rPr>
        <w:t>(含新疆生产建设兵团)出具的属于监狱企业的证明文件。</w:t>
      </w:r>
    </w:p>
    <w:p>
      <w:pPr>
        <w:spacing w:after="0" w:line="360" w:lineRule="auto"/>
        <w:jc w:val="left"/>
        <w:rPr>
          <w:rFonts w:ascii="宋体" w:hAnsi="宋体" w:cs="宋体"/>
          <w:sz w:val="24"/>
        </w:rPr>
      </w:pPr>
      <w:r>
        <w:rPr>
          <w:rFonts w:hint="eastAsia" w:ascii="宋体" w:hAnsi="宋体" w:cs="宋体"/>
          <w:sz w:val="24"/>
        </w:rPr>
        <w:t>注：</w:t>
      </w:r>
    </w:p>
    <w:p>
      <w:pPr>
        <w:spacing w:after="0" w:line="360" w:lineRule="auto"/>
        <w:ind w:firstLine="480" w:firstLineChars="200"/>
        <w:jc w:val="left"/>
        <w:rPr>
          <w:rFonts w:ascii="宋体" w:hAnsi="宋体" w:cs="仿宋"/>
          <w:sz w:val="24"/>
        </w:rPr>
      </w:pPr>
      <w:r>
        <w:rPr>
          <w:rFonts w:hint="eastAsia" w:ascii="宋体" w:hAnsi="宋体" w:cs="仿宋"/>
          <w:sz w:val="24"/>
        </w:rPr>
        <w:t>1、投标人符合《政府采购支持监狱企业发展有关问题的通知》（财库〔2014〕68号）规定的划分标准为监狱企业适用。</w:t>
      </w:r>
    </w:p>
    <w:p>
      <w:pPr>
        <w:spacing w:after="0" w:line="360" w:lineRule="auto"/>
        <w:ind w:firstLine="480" w:firstLineChars="200"/>
        <w:jc w:val="left"/>
        <w:rPr>
          <w:rFonts w:ascii="宋体" w:hAnsi="宋体" w:cs="仿宋"/>
          <w:sz w:val="24"/>
        </w:rPr>
      </w:pPr>
      <w:r>
        <w:rPr>
          <w:rFonts w:hint="eastAsia" w:ascii="宋体" w:hAnsi="宋体" w:cs="仿宋"/>
          <w:sz w:val="24"/>
        </w:rPr>
        <w:t>2、在政府采购活动中，监狱企业视同小型、微型企业，享受预留份额、评审中价格扣除等政府采购促进中小企业发展的政府采购政策。</w:t>
      </w:r>
    </w:p>
    <w:p>
      <w:pPr>
        <w:spacing w:after="0" w:line="360" w:lineRule="auto"/>
        <w:jc w:val="left"/>
        <w:rPr>
          <w:rFonts w:ascii="宋体" w:hAnsi="宋体" w:cs="宋体"/>
          <w:sz w:val="24"/>
        </w:rPr>
        <w:sectPr>
          <w:footerReference r:id="rId14" w:type="default"/>
          <w:pgSz w:w="11906" w:h="16838"/>
          <w:pgMar w:top="1440" w:right="1800" w:bottom="1440" w:left="1800" w:header="851" w:footer="992" w:gutter="0"/>
          <w:cols w:space="720" w:num="1"/>
          <w:docGrid w:type="lines" w:linePitch="312" w:charSpace="0"/>
        </w:sectPr>
      </w:pPr>
    </w:p>
    <w:bookmarkEnd w:id="128"/>
    <w:p>
      <w:pPr>
        <w:pStyle w:val="3"/>
        <w:jc w:val="center"/>
        <w:rPr>
          <w:rFonts w:ascii="宋体" w:hAnsi="宋体"/>
          <w:sz w:val="36"/>
          <w:szCs w:val="36"/>
        </w:rPr>
      </w:pPr>
      <w:bookmarkStart w:id="149" w:name="_Toc27647"/>
      <w:bookmarkStart w:id="150" w:name="_Toc28495"/>
      <w:bookmarkStart w:id="151" w:name="PO_默认文件内容_26"/>
      <w:r>
        <w:rPr>
          <w:rFonts w:hint="eastAsia" w:ascii="宋体" w:hAnsi="宋体"/>
          <w:sz w:val="36"/>
          <w:szCs w:val="36"/>
        </w:rPr>
        <w:t>第四章  投标人和投标产品的资格、资质性及其他类似效力要求</w:t>
      </w:r>
      <w:bookmarkEnd w:id="149"/>
      <w:bookmarkEnd w:id="150"/>
    </w:p>
    <w:p>
      <w:pPr>
        <w:pStyle w:val="4"/>
        <w:spacing w:line="360" w:lineRule="exact"/>
        <w:rPr>
          <w:rFonts w:ascii="宋体" w:hAnsi="宋体" w:eastAsia="宋体"/>
          <w:sz w:val="24"/>
          <w:szCs w:val="24"/>
        </w:rPr>
      </w:pPr>
      <w:r>
        <w:rPr>
          <w:rFonts w:hint="eastAsia" w:ascii="宋体" w:hAnsi="宋体" w:eastAsia="宋体"/>
          <w:sz w:val="24"/>
          <w:szCs w:val="24"/>
        </w:rPr>
        <w:t>一、投标人资格、资质性及其他类似效力要求</w:t>
      </w:r>
    </w:p>
    <w:p>
      <w:pPr>
        <w:pStyle w:val="51"/>
        <w:spacing w:line="420" w:lineRule="exact"/>
        <w:ind w:firstLine="0" w:firstLineChars="0"/>
        <w:rPr>
          <w:rFonts w:ascii="宋体" w:hAnsi="宋体"/>
          <w:b/>
          <w:bCs/>
          <w:sz w:val="24"/>
        </w:rPr>
      </w:pPr>
      <w:r>
        <w:rPr>
          <w:rFonts w:ascii="宋体" w:hAnsi="宋体"/>
          <w:b/>
          <w:bCs/>
          <w:sz w:val="24"/>
        </w:rPr>
        <w:t>（一）</w:t>
      </w:r>
      <w:r>
        <w:rPr>
          <w:rFonts w:hint="eastAsia" w:ascii="宋体" w:hAnsi="宋体"/>
          <w:b/>
          <w:bCs/>
          <w:sz w:val="24"/>
        </w:rPr>
        <w:t>资格要求：详见第五章资格性审查要求。</w:t>
      </w:r>
    </w:p>
    <w:p>
      <w:pPr>
        <w:pStyle w:val="51"/>
        <w:spacing w:line="420" w:lineRule="exact"/>
        <w:ind w:firstLine="0" w:firstLineChars="0"/>
        <w:rPr>
          <w:rFonts w:ascii="宋体" w:hAnsi="宋体"/>
          <w:b/>
          <w:bCs/>
          <w:sz w:val="24"/>
        </w:rPr>
      </w:pPr>
      <w:r>
        <w:rPr>
          <w:rFonts w:hint="eastAsia" w:ascii="宋体" w:hAnsi="宋体"/>
          <w:b/>
          <w:bCs/>
          <w:sz w:val="24"/>
        </w:rPr>
        <w:t>（二）资质性要求：详见第五章资格性审查要求。</w:t>
      </w:r>
    </w:p>
    <w:p>
      <w:pPr>
        <w:pStyle w:val="51"/>
        <w:spacing w:line="420" w:lineRule="exact"/>
        <w:ind w:firstLine="0" w:firstLineChars="0"/>
        <w:rPr>
          <w:rFonts w:ascii="宋体" w:hAnsi="宋体"/>
          <w:b/>
          <w:bCs/>
          <w:sz w:val="24"/>
        </w:rPr>
      </w:pPr>
      <w:r>
        <w:rPr>
          <w:rFonts w:hint="eastAsia" w:ascii="宋体" w:hAnsi="宋体"/>
          <w:b/>
          <w:bCs/>
          <w:sz w:val="24"/>
        </w:rPr>
        <w:t>（三）其他类似效力要求：详见第五章资格性审查要求。</w:t>
      </w:r>
    </w:p>
    <w:p>
      <w:pPr>
        <w:pStyle w:val="51"/>
        <w:spacing w:line="420" w:lineRule="exact"/>
        <w:ind w:firstLine="0" w:firstLineChars="0"/>
        <w:outlineLvl w:val="1"/>
        <w:rPr>
          <w:rFonts w:ascii="宋体" w:hAnsi="宋体"/>
          <w:sz w:val="24"/>
        </w:rPr>
      </w:pPr>
      <w:r>
        <w:rPr>
          <w:rFonts w:hint="eastAsia" w:ascii="宋体" w:hAnsi="宋体"/>
          <w:sz w:val="24"/>
        </w:rPr>
        <w:t>二、投标产品的资格、资质性及其他具有类似效力的要求</w:t>
      </w:r>
    </w:p>
    <w:p>
      <w:pPr>
        <w:rPr>
          <w:rFonts w:ascii="宋体" w:hAnsi="宋体"/>
          <w:b/>
          <w:bCs/>
          <w:sz w:val="24"/>
        </w:rPr>
      </w:pPr>
      <w:r>
        <w:rPr>
          <w:rFonts w:hint="eastAsia" w:ascii="宋体" w:hAnsi="宋体"/>
          <w:b/>
          <w:bCs/>
          <w:sz w:val="24"/>
        </w:rPr>
        <w:t>（一）资格要求：详见第五章资格性审查要求。</w:t>
      </w:r>
    </w:p>
    <w:p>
      <w:pPr>
        <w:rPr>
          <w:rFonts w:ascii="宋体" w:hAnsi="宋体"/>
          <w:b/>
          <w:bCs/>
          <w:sz w:val="24"/>
        </w:rPr>
      </w:pPr>
      <w:r>
        <w:rPr>
          <w:rFonts w:hint="eastAsia" w:ascii="宋体" w:hAnsi="宋体"/>
          <w:b/>
          <w:bCs/>
          <w:sz w:val="24"/>
        </w:rPr>
        <w:t>（二）资质性要求：详见第五章资格性审查要求。</w:t>
      </w:r>
    </w:p>
    <w:p>
      <w:pPr>
        <w:rPr>
          <w:rFonts w:ascii="宋体" w:hAnsi="宋体"/>
          <w:b/>
          <w:bCs/>
          <w:sz w:val="24"/>
        </w:rPr>
      </w:pPr>
      <w:r>
        <w:rPr>
          <w:rFonts w:hint="eastAsia" w:ascii="宋体" w:hAnsi="宋体"/>
          <w:b/>
          <w:bCs/>
          <w:sz w:val="24"/>
        </w:rPr>
        <w:t>（三）其他类似效力要求：详见第五章资格性审查要求。</w:t>
      </w:r>
    </w:p>
    <w:p>
      <w:pPr>
        <w:pStyle w:val="51"/>
        <w:spacing w:line="420" w:lineRule="exact"/>
        <w:ind w:firstLine="0" w:firstLineChars="0"/>
        <w:rPr>
          <w:rFonts w:ascii="宋体" w:hAnsi="宋体"/>
          <w:b/>
          <w:sz w:val="24"/>
        </w:rPr>
      </w:pPr>
    </w:p>
    <w:p>
      <w:pPr>
        <w:pStyle w:val="3"/>
        <w:spacing w:line="360" w:lineRule="auto"/>
        <w:jc w:val="center"/>
        <w:rPr>
          <w:rFonts w:ascii="宋体" w:hAnsi="宋体"/>
          <w:sz w:val="36"/>
          <w:szCs w:val="36"/>
        </w:rPr>
      </w:pPr>
      <w:bookmarkStart w:id="152" w:name="_Toc1588"/>
      <w:r>
        <w:rPr>
          <w:rFonts w:hint="eastAsia" w:ascii="宋体" w:hAnsi="宋体"/>
          <w:sz w:val="36"/>
          <w:szCs w:val="36"/>
        </w:rPr>
        <w:br w:type="page"/>
      </w:r>
      <w:bookmarkStart w:id="153" w:name="_Toc30376"/>
      <w:r>
        <w:rPr>
          <w:rFonts w:hint="eastAsia" w:ascii="宋体" w:hAnsi="宋体"/>
          <w:sz w:val="36"/>
          <w:szCs w:val="36"/>
        </w:rPr>
        <w:t xml:space="preserve">第五章  </w:t>
      </w:r>
      <w:bookmarkEnd w:id="152"/>
      <w:r>
        <w:rPr>
          <w:rFonts w:hint="eastAsia" w:ascii="宋体" w:hAnsi="宋体"/>
          <w:sz w:val="36"/>
          <w:szCs w:val="36"/>
        </w:rPr>
        <w:t>资格性审查要求</w:t>
      </w:r>
      <w:bookmarkEnd w:id="153"/>
    </w:p>
    <w:p>
      <w:pPr>
        <w:spacing w:line="360" w:lineRule="auto"/>
        <w:jc w:val="left"/>
        <w:rPr>
          <w:rFonts w:ascii="宋体" w:hAnsi="宋体"/>
          <w:b/>
          <w:bCs/>
          <w:sz w:val="28"/>
          <w:szCs w:val="28"/>
        </w:rPr>
      </w:pPr>
      <w:r>
        <w:rPr>
          <w:rFonts w:hint="eastAsia" w:ascii="宋体" w:hAnsi="宋体"/>
          <w:b/>
          <w:bCs/>
          <w:sz w:val="28"/>
          <w:szCs w:val="28"/>
        </w:rPr>
        <w:t>采购人或者采购代理机构应当依法对投标人的资格进行审查，资格审查内容详见下表。</w:t>
      </w:r>
    </w:p>
    <w:tbl>
      <w:tblPr>
        <w:tblStyle w:val="26"/>
        <w:tblW w:w="94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8"/>
        <w:gridCol w:w="2479"/>
        <w:gridCol w:w="4069"/>
        <w:gridCol w:w="2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9460" w:type="dxa"/>
            <w:gridSpan w:val="4"/>
            <w:vAlign w:val="center"/>
          </w:tcPr>
          <w:p>
            <w:pPr>
              <w:spacing w:line="360" w:lineRule="auto"/>
              <w:jc w:val="center"/>
              <w:rPr>
                <w:rFonts w:ascii="宋体" w:hAnsi="宋体" w:cs="仿宋"/>
                <w:b/>
                <w:sz w:val="24"/>
              </w:rPr>
            </w:pPr>
            <w:r>
              <w:rPr>
                <w:rFonts w:hint="eastAsia" w:ascii="宋体" w:hAnsi="宋体" w:cs="仿宋"/>
                <w:b/>
                <w:sz w:val="24"/>
              </w:rPr>
              <w:t>资格性审查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9" w:hRule="atLeast"/>
          <w:jc w:val="center"/>
        </w:trPr>
        <w:tc>
          <w:tcPr>
            <w:tcW w:w="698" w:type="dxa"/>
            <w:vAlign w:val="center"/>
          </w:tcPr>
          <w:p>
            <w:pPr>
              <w:tabs>
                <w:tab w:val="left" w:pos="851"/>
              </w:tabs>
              <w:spacing w:after="0" w:line="360" w:lineRule="auto"/>
              <w:jc w:val="center"/>
              <w:rPr>
                <w:rFonts w:ascii="宋体" w:hAnsi="宋体" w:cs="仿宋"/>
                <w:bCs/>
                <w:sz w:val="24"/>
              </w:rPr>
            </w:pPr>
            <w:r>
              <w:rPr>
                <w:rFonts w:hint="eastAsia" w:ascii="宋体" w:hAnsi="宋体" w:cs="仿宋"/>
                <w:bCs/>
                <w:sz w:val="24"/>
              </w:rPr>
              <w:t>序号</w:t>
            </w:r>
          </w:p>
        </w:tc>
        <w:tc>
          <w:tcPr>
            <w:tcW w:w="2479" w:type="dxa"/>
            <w:vAlign w:val="center"/>
          </w:tcPr>
          <w:p>
            <w:pPr>
              <w:tabs>
                <w:tab w:val="left" w:pos="851"/>
              </w:tabs>
              <w:spacing w:after="0" w:line="360" w:lineRule="auto"/>
              <w:jc w:val="center"/>
              <w:rPr>
                <w:rFonts w:ascii="宋体" w:hAnsi="宋体" w:cs="仿宋"/>
                <w:bCs/>
                <w:sz w:val="24"/>
              </w:rPr>
            </w:pPr>
            <w:r>
              <w:rPr>
                <w:rFonts w:hint="eastAsia" w:ascii="宋体" w:hAnsi="宋体" w:cs="仿宋"/>
                <w:bCs/>
                <w:sz w:val="24"/>
              </w:rPr>
              <w:t>第四章  投标人和投标产品的资格、资质性及其他类似效力要求</w:t>
            </w:r>
          </w:p>
        </w:tc>
        <w:tc>
          <w:tcPr>
            <w:tcW w:w="4069" w:type="dxa"/>
            <w:vAlign w:val="center"/>
          </w:tcPr>
          <w:p>
            <w:pPr>
              <w:tabs>
                <w:tab w:val="left" w:pos="851"/>
              </w:tabs>
              <w:spacing w:after="0" w:line="360" w:lineRule="auto"/>
              <w:jc w:val="center"/>
              <w:rPr>
                <w:rFonts w:ascii="宋体" w:hAnsi="宋体" w:cs="仿宋"/>
                <w:bCs/>
                <w:sz w:val="24"/>
              </w:rPr>
            </w:pPr>
            <w:r>
              <w:rPr>
                <w:rFonts w:hint="eastAsia" w:ascii="宋体" w:hAnsi="宋体" w:cs="仿宋"/>
                <w:bCs/>
                <w:sz w:val="24"/>
              </w:rPr>
              <w:t>资格审查要求</w:t>
            </w:r>
          </w:p>
        </w:tc>
        <w:tc>
          <w:tcPr>
            <w:tcW w:w="2214" w:type="dxa"/>
            <w:vAlign w:val="center"/>
          </w:tcPr>
          <w:p>
            <w:pPr>
              <w:spacing w:after="0" w:line="360" w:lineRule="auto"/>
              <w:jc w:val="center"/>
              <w:rPr>
                <w:rFonts w:ascii="宋体" w:hAnsi="宋体" w:cs="仿宋"/>
                <w:bCs/>
                <w:sz w:val="24"/>
              </w:rPr>
            </w:pPr>
            <w:r>
              <w:rPr>
                <w:rFonts w:hint="eastAsia" w:ascii="宋体" w:hAnsi="宋体"/>
                <w:sz w:val="24"/>
              </w:rPr>
              <w:t>要求说明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3" w:hRule="atLeast"/>
          <w:jc w:val="center"/>
        </w:trPr>
        <w:tc>
          <w:tcPr>
            <w:tcW w:w="698" w:type="dxa"/>
            <w:vMerge w:val="restart"/>
            <w:vAlign w:val="center"/>
          </w:tcPr>
          <w:p>
            <w:pPr>
              <w:jc w:val="center"/>
              <w:rPr>
                <w:rFonts w:ascii="宋体" w:hAnsi="宋体" w:cs="仿宋"/>
                <w:bCs/>
                <w:sz w:val="24"/>
              </w:rPr>
            </w:pPr>
            <w:r>
              <w:rPr>
                <w:rFonts w:hint="eastAsia" w:ascii="宋体" w:hAnsi="宋体" w:cs="仿宋"/>
                <w:bCs/>
                <w:sz w:val="24"/>
              </w:rPr>
              <w:t>1</w:t>
            </w:r>
          </w:p>
        </w:tc>
        <w:tc>
          <w:tcPr>
            <w:tcW w:w="2479" w:type="dxa"/>
            <w:vMerge w:val="restart"/>
            <w:vAlign w:val="center"/>
          </w:tcPr>
          <w:p>
            <w:pPr>
              <w:rPr>
                <w:rFonts w:ascii="宋体" w:hAnsi="宋体" w:cs="仿宋"/>
                <w:bCs/>
                <w:sz w:val="24"/>
              </w:rPr>
            </w:pPr>
            <w:r>
              <w:rPr>
                <w:rFonts w:hint="eastAsia" w:ascii="宋体" w:hAnsi="宋体" w:cs="仿宋"/>
                <w:bCs/>
                <w:sz w:val="24"/>
              </w:rPr>
              <w:t>1、满足《中华人民共和国政府采购法》第二十二条规定；</w:t>
            </w:r>
          </w:p>
        </w:tc>
        <w:tc>
          <w:tcPr>
            <w:tcW w:w="4069" w:type="dxa"/>
            <w:vAlign w:val="center"/>
          </w:tcPr>
          <w:p>
            <w:pPr>
              <w:pStyle w:val="51"/>
              <w:spacing w:line="420" w:lineRule="exact"/>
              <w:ind w:firstLine="0" w:firstLineChars="0"/>
              <w:rPr>
                <w:rFonts w:ascii="宋体" w:hAnsi="宋体" w:cs="仿宋"/>
                <w:bCs/>
                <w:sz w:val="24"/>
              </w:rPr>
            </w:pPr>
            <w:r>
              <w:rPr>
                <w:rFonts w:hint="eastAsia" w:ascii="宋体" w:hAnsi="宋体"/>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14" w:type="dxa"/>
            <w:vAlign w:val="center"/>
          </w:tcPr>
          <w:p>
            <w:pPr>
              <w:rPr>
                <w:rFonts w:ascii="宋体" w:hAnsi="宋体" w:cs="仿宋"/>
                <w:bCs/>
                <w:sz w:val="24"/>
              </w:rPr>
            </w:pPr>
            <w:r>
              <w:rPr>
                <w:rFonts w:hint="eastAsia" w:ascii="宋体" w:hAnsi="宋体" w:cs="仿宋"/>
                <w:bCs/>
                <w:sz w:val="24"/>
              </w:rPr>
              <w:t>投标人按照要求上传证明材料，</w:t>
            </w:r>
            <w:r>
              <w:rPr>
                <w:rFonts w:hint="eastAsia" w:ascii="宋体" w:hAnsi="宋体"/>
                <w:sz w:val="24"/>
              </w:rPr>
              <w:t>采购人或者采购代理机构</w:t>
            </w:r>
            <w:r>
              <w:rPr>
                <w:rFonts w:hint="eastAsia" w:ascii="宋体" w:hAnsi="宋体" w:cs="仿宋"/>
                <w:bCs/>
                <w:sz w:val="24"/>
              </w:rPr>
              <w:t>根据上传内容</w:t>
            </w:r>
            <w:r>
              <w:rPr>
                <w:rFonts w:hint="eastAsia" w:ascii="宋体" w:hAnsi="宋体"/>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4" w:hRule="atLeast"/>
          <w:jc w:val="center"/>
        </w:trPr>
        <w:tc>
          <w:tcPr>
            <w:tcW w:w="698" w:type="dxa"/>
            <w:vMerge w:val="continue"/>
            <w:vAlign w:val="center"/>
          </w:tcPr>
          <w:p>
            <w:pPr>
              <w:jc w:val="center"/>
              <w:rPr>
                <w:rFonts w:ascii="宋体" w:hAnsi="宋体" w:cs="仿宋"/>
                <w:bCs/>
                <w:sz w:val="24"/>
              </w:rPr>
            </w:pPr>
          </w:p>
        </w:tc>
        <w:tc>
          <w:tcPr>
            <w:tcW w:w="2479" w:type="dxa"/>
            <w:vMerge w:val="continue"/>
            <w:vAlign w:val="center"/>
          </w:tcPr>
          <w:p>
            <w:pPr>
              <w:rPr>
                <w:rFonts w:ascii="宋体" w:hAnsi="宋体" w:cs="仿宋"/>
                <w:bCs/>
                <w:sz w:val="24"/>
              </w:rPr>
            </w:pPr>
          </w:p>
        </w:tc>
        <w:tc>
          <w:tcPr>
            <w:tcW w:w="4069" w:type="dxa"/>
            <w:vAlign w:val="center"/>
          </w:tcPr>
          <w:p>
            <w:pPr>
              <w:rPr>
                <w:rFonts w:ascii="宋体" w:hAnsi="宋体"/>
                <w:sz w:val="24"/>
              </w:rPr>
            </w:pPr>
            <w:r>
              <w:rPr>
                <w:rFonts w:hint="eastAsia" w:ascii="宋体" w:hAnsi="宋体"/>
                <w:sz w:val="24"/>
              </w:rPr>
              <w:t>1.2、具备良好商业信誉的证明材料（可提供承诺函，格式详见第三章）</w:t>
            </w:r>
          </w:p>
        </w:tc>
        <w:tc>
          <w:tcPr>
            <w:tcW w:w="2214" w:type="dxa"/>
            <w:vAlign w:val="center"/>
          </w:tcPr>
          <w:p>
            <w:pPr>
              <w:rPr>
                <w:rFonts w:ascii="宋体" w:hAnsi="宋体" w:cs="仿宋"/>
                <w:bCs/>
                <w:sz w:val="24"/>
              </w:rPr>
            </w:pPr>
            <w:r>
              <w:rPr>
                <w:rFonts w:hint="eastAsia" w:ascii="宋体" w:hAnsi="宋体" w:cs="仿宋"/>
                <w:bCs/>
                <w:sz w:val="24"/>
              </w:rPr>
              <w:t>投标人按照要求上传证明材料，</w:t>
            </w:r>
            <w:r>
              <w:rPr>
                <w:rFonts w:hint="eastAsia" w:ascii="宋体" w:hAnsi="宋体"/>
                <w:sz w:val="24"/>
              </w:rPr>
              <w:t>采购人或者采购代理机构</w:t>
            </w:r>
            <w:r>
              <w:rPr>
                <w:rFonts w:hint="eastAsia" w:ascii="宋体" w:hAnsi="宋体" w:cs="仿宋"/>
                <w:bCs/>
                <w:sz w:val="24"/>
              </w:rPr>
              <w:t>根据上传内容</w:t>
            </w:r>
            <w:r>
              <w:rPr>
                <w:rFonts w:hint="eastAsia" w:ascii="宋体" w:hAnsi="宋体"/>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6" w:hRule="atLeast"/>
          <w:jc w:val="center"/>
        </w:trPr>
        <w:tc>
          <w:tcPr>
            <w:tcW w:w="698" w:type="dxa"/>
            <w:vMerge w:val="continue"/>
          </w:tcPr>
          <w:p>
            <w:pPr>
              <w:jc w:val="center"/>
              <w:rPr>
                <w:rFonts w:ascii="宋体" w:hAnsi="宋体" w:cs="仿宋"/>
                <w:bCs/>
                <w:sz w:val="24"/>
              </w:rPr>
            </w:pPr>
          </w:p>
        </w:tc>
        <w:tc>
          <w:tcPr>
            <w:tcW w:w="2479" w:type="dxa"/>
            <w:vMerge w:val="continue"/>
          </w:tcPr>
          <w:p>
            <w:pPr>
              <w:rPr>
                <w:rFonts w:ascii="宋体" w:hAnsi="宋体" w:cs="仿宋"/>
                <w:bCs/>
                <w:sz w:val="24"/>
              </w:rPr>
            </w:pPr>
          </w:p>
        </w:tc>
        <w:tc>
          <w:tcPr>
            <w:tcW w:w="4069" w:type="dxa"/>
            <w:vAlign w:val="center"/>
          </w:tcPr>
          <w:p>
            <w:pPr>
              <w:pStyle w:val="51"/>
              <w:spacing w:line="420" w:lineRule="exact"/>
              <w:ind w:firstLine="0" w:firstLineChars="0"/>
              <w:rPr>
                <w:rFonts w:ascii="宋体" w:hAnsi="宋体" w:cs="仿宋"/>
                <w:bCs/>
                <w:sz w:val="24"/>
              </w:rPr>
            </w:pPr>
            <w:r>
              <w:rPr>
                <w:rFonts w:hint="eastAsia" w:ascii="宋体" w:hAnsi="宋体"/>
                <w:sz w:val="24"/>
              </w:rPr>
              <w:t>1.3、具备健全的财务会计制度的证明材料；｛注：①可提供20</w:t>
            </w:r>
            <w:r>
              <w:rPr>
                <w:rFonts w:ascii="宋体" w:hAnsi="宋体"/>
                <w:sz w:val="24"/>
              </w:rPr>
              <w:t>20</w:t>
            </w:r>
            <w:r>
              <w:rPr>
                <w:rFonts w:hint="eastAsia" w:ascii="宋体" w:hAnsi="宋体"/>
                <w:sz w:val="24"/>
              </w:rPr>
              <w:t>年度经审计的财务报告复印件（包含审计报告和审计报告中所涉及的财务报表和报表附注），②也可提供20</w:t>
            </w:r>
            <w:r>
              <w:rPr>
                <w:rFonts w:ascii="宋体" w:hAnsi="宋体"/>
                <w:sz w:val="24"/>
              </w:rPr>
              <w:t>20</w:t>
            </w:r>
            <w:r>
              <w:rPr>
                <w:rFonts w:hint="eastAsia" w:ascii="宋体" w:hAnsi="宋体"/>
                <w:sz w:val="24"/>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Pr>
                <w:rFonts w:ascii="宋体" w:hAnsi="宋体"/>
                <w:sz w:val="24"/>
              </w:rPr>
              <w:t>部门印章</w:t>
            </w:r>
            <w:r>
              <w:rPr>
                <w:rFonts w:hint="eastAsia" w:ascii="宋体" w:hAnsi="宋体"/>
                <w:sz w:val="24"/>
              </w:rPr>
              <w:t>的公司章程复印件。｝</w:t>
            </w:r>
          </w:p>
        </w:tc>
        <w:tc>
          <w:tcPr>
            <w:tcW w:w="2214" w:type="dxa"/>
            <w:vAlign w:val="center"/>
          </w:tcPr>
          <w:p>
            <w:pPr>
              <w:rPr>
                <w:rFonts w:ascii="宋体" w:hAnsi="宋体" w:cs="仿宋"/>
                <w:bCs/>
                <w:sz w:val="24"/>
              </w:rPr>
            </w:pPr>
            <w:r>
              <w:rPr>
                <w:rFonts w:hint="eastAsia" w:ascii="宋体" w:hAnsi="宋体" w:cs="仿宋"/>
                <w:bCs/>
                <w:sz w:val="24"/>
              </w:rPr>
              <w:t>投标人按照要求上传证明材料，</w:t>
            </w:r>
            <w:r>
              <w:rPr>
                <w:rFonts w:hint="eastAsia" w:ascii="宋体" w:hAnsi="宋体"/>
                <w:sz w:val="24"/>
              </w:rPr>
              <w:t>采购人或者采购代理机构</w:t>
            </w:r>
            <w:r>
              <w:rPr>
                <w:rFonts w:hint="eastAsia" w:ascii="宋体" w:hAnsi="宋体" w:cs="仿宋"/>
                <w:bCs/>
                <w:sz w:val="24"/>
              </w:rPr>
              <w:t>根据上传内容</w:t>
            </w:r>
            <w:r>
              <w:rPr>
                <w:rFonts w:hint="eastAsia" w:ascii="宋体" w:hAnsi="宋体"/>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5" w:hRule="atLeast"/>
          <w:jc w:val="center"/>
        </w:trPr>
        <w:tc>
          <w:tcPr>
            <w:tcW w:w="698" w:type="dxa"/>
            <w:vMerge w:val="continue"/>
          </w:tcPr>
          <w:p>
            <w:pPr>
              <w:jc w:val="center"/>
              <w:rPr>
                <w:rFonts w:ascii="宋体" w:hAnsi="宋体" w:cs="仿宋"/>
                <w:bCs/>
                <w:sz w:val="24"/>
              </w:rPr>
            </w:pPr>
          </w:p>
        </w:tc>
        <w:tc>
          <w:tcPr>
            <w:tcW w:w="2479" w:type="dxa"/>
            <w:vMerge w:val="continue"/>
          </w:tcPr>
          <w:p>
            <w:pPr>
              <w:rPr>
                <w:rFonts w:ascii="宋体" w:hAnsi="宋体" w:cs="仿宋"/>
                <w:bCs/>
                <w:sz w:val="24"/>
              </w:rPr>
            </w:pPr>
          </w:p>
        </w:tc>
        <w:tc>
          <w:tcPr>
            <w:tcW w:w="4069" w:type="dxa"/>
            <w:vAlign w:val="center"/>
          </w:tcPr>
          <w:p>
            <w:pPr>
              <w:rPr>
                <w:rFonts w:ascii="宋体" w:hAnsi="宋体" w:cs="仿宋"/>
                <w:bCs/>
                <w:sz w:val="24"/>
              </w:rPr>
            </w:pPr>
            <w:r>
              <w:rPr>
                <w:rFonts w:hint="eastAsia" w:ascii="宋体" w:hAnsi="宋体"/>
                <w:sz w:val="24"/>
              </w:rPr>
              <w:t>1.4、具有依法缴纳税收和社会保障资金的良好记录（可提供承诺函，格式详见第三章）；</w:t>
            </w:r>
          </w:p>
        </w:tc>
        <w:tc>
          <w:tcPr>
            <w:tcW w:w="2214" w:type="dxa"/>
            <w:vAlign w:val="center"/>
          </w:tcPr>
          <w:p>
            <w:pPr>
              <w:rPr>
                <w:rFonts w:ascii="宋体" w:hAnsi="宋体" w:cs="仿宋"/>
                <w:bCs/>
                <w:sz w:val="24"/>
              </w:rPr>
            </w:pPr>
            <w:r>
              <w:rPr>
                <w:rFonts w:hint="eastAsia" w:ascii="宋体" w:hAnsi="宋体" w:cs="仿宋"/>
                <w:bCs/>
                <w:sz w:val="24"/>
              </w:rPr>
              <w:t>投标人按照要求上传证明材料，</w:t>
            </w:r>
            <w:r>
              <w:rPr>
                <w:rFonts w:hint="eastAsia" w:ascii="宋体" w:hAnsi="宋体"/>
                <w:sz w:val="24"/>
              </w:rPr>
              <w:t>采购人或者采购代理机构</w:t>
            </w:r>
            <w:r>
              <w:rPr>
                <w:rFonts w:hint="eastAsia" w:ascii="宋体" w:hAnsi="宋体" w:cs="仿宋"/>
                <w:bCs/>
                <w:sz w:val="24"/>
              </w:rPr>
              <w:t>根据上传内容</w:t>
            </w:r>
            <w:r>
              <w:rPr>
                <w:rFonts w:hint="eastAsia" w:ascii="宋体" w:hAnsi="宋体"/>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5" w:hRule="atLeast"/>
          <w:jc w:val="center"/>
        </w:trPr>
        <w:tc>
          <w:tcPr>
            <w:tcW w:w="698" w:type="dxa"/>
            <w:vMerge w:val="continue"/>
          </w:tcPr>
          <w:p>
            <w:pPr>
              <w:jc w:val="center"/>
              <w:rPr>
                <w:rFonts w:ascii="宋体" w:hAnsi="宋体" w:cs="仿宋"/>
                <w:bCs/>
                <w:sz w:val="24"/>
              </w:rPr>
            </w:pPr>
          </w:p>
        </w:tc>
        <w:tc>
          <w:tcPr>
            <w:tcW w:w="2479" w:type="dxa"/>
            <w:vMerge w:val="continue"/>
          </w:tcPr>
          <w:p>
            <w:pPr>
              <w:rPr>
                <w:rFonts w:ascii="宋体" w:hAnsi="宋体" w:cs="仿宋"/>
                <w:bCs/>
                <w:sz w:val="24"/>
              </w:rPr>
            </w:pPr>
          </w:p>
        </w:tc>
        <w:tc>
          <w:tcPr>
            <w:tcW w:w="4069" w:type="dxa"/>
            <w:vAlign w:val="center"/>
          </w:tcPr>
          <w:p>
            <w:pPr>
              <w:pStyle w:val="51"/>
              <w:spacing w:line="420" w:lineRule="exact"/>
              <w:ind w:firstLine="0" w:firstLineChars="0"/>
              <w:rPr>
                <w:rFonts w:ascii="宋体" w:hAnsi="宋体" w:cs="仿宋"/>
                <w:bCs/>
                <w:sz w:val="24"/>
              </w:rPr>
            </w:pPr>
            <w:r>
              <w:rPr>
                <w:rFonts w:hint="eastAsia" w:ascii="宋体" w:hAnsi="宋体"/>
                <w:sz w:val="24"/>
              </w:rPr>
              <w:t>1.5、具备履行合同所必需的设备和专业技术能力的证明材料（可提供承诺函，格式详见第三章）；</w:t>
            </w:r>
          </w:p>
        </w:tc>
        <w:tc>
          <w:tcPr>
            <w:tcW w:w="2214" w:type="dxa"/>
            <w:vAlign w:val="center"/>
          </w:tcPr>
          <w:p>
            <w:pPr>
              <w:rPr>
                <w:rFonts w:ascii="宋体" w:hAnsi="宋体" w:cs="仿宋"/>
                <w:bCs/>
                <w:sz w:val="24"/>
              </w:rPr>
            </w:pPr>
            <w:r>
              <w:rPr>
                <w:rFonts w:hint="eastAsia" w:ascii="宋体" w:hAnsi="宋体" w:cs="仿宋"/>
                <w:bCs/>
                <w:sz w:val="24"/>
              </w:rPr>
              <w:t>投标人按照要求上传证明材料，</w:t>
            </w:r>
            <w:r>
              <w:rPr>
                <w:rFonts w:hint="eastAsia" w:ascii="宋体" w:hAnsi="宋体"/>
                <w:sz w:val="24"/>
              </w:rPr>
              <w:t>采购人或者采购代理机构</w:t>
            </w:r>
            <w:r>
              <w:rPr>
                <w:rFonts w:hint="eastAsia" w:ascii="宋体" w:hAnsi="宋体" w:cs="仿宋"/>
                <w:bCs/>
                <w:sz w:val="24"/>
              </w:rPr>
              <w:t>根据上传内容</w:t>
            </w:r>
            <w:r>
              <w:rPr>
                <w:rFonts w:hint="eastAsia" w:ascii="宋体" w:hAnsi="宋体"/>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9" w:hRule="atLeast"/>
          <w:jc w:val="center"/>
        </w:trPr>
        <w:tc>
          <w:tcPr>
            <w:tcW w:w="698" w:type="dxa"/>
            <w:vMerge w:val="continue"/>
          </w:tcPr>
          <w:p>
            <w:pPr>
              <w:jc w:val="center"/>
              <w:rPr>
                <w:rFonts w:ascii="宋体" w:hAnsi="宋体" w:cs="仿宋"/>
                <w:bCs/>
                <w:sz w:val="24"/>
              </w:rPr>
            </w:pPr>
          </w:p>
        </w:tc>
        <w:tc>
          <w:tcPr>
            <w:tcW w:w="2479" w:type="dxa"/>
            <w:vMerge w:val="continue"/>
          </w:tcPr>
          <w:p>
            <w:pPr>
              <w:rPr>
                <w:rFonts w:ascii="宋体" w:hAnsi="宋体" w:cs="仿宋"/>
                <w:bCs/>
                <w:sz w:val="24"/>
              </w:rPr>
            </w:pPr>
          </w:p>
        </w:tc>
        <w:tc>
          <w:tcPr>
            <w:tcW w:w="4069" w:type="dxa"/>
            <w:vAlign w:val="center"/>
          </w:tcPr>
          <w:p>
            <w:pPr>
              <w:pStyle w:val="51"/>
              <w:spacing w:line="420" w:lineRule="exact"/>
              <w:ind w:firstLine="0" w:firstLineChars="0"/>
              <w:rPr>
                <w:rFonts w:ascii="宋体" w:hAnsi="宋体"/>
                <w:sz w:val="24"/>
              </w:rPr>
            </w:pPr>
            <w:r>
              <w:rPr>
                <w:rFonts w:hint="eastAsia" w:ascii="宋体" w:hAnsi="宋体"/>
                <w:sz w:val="24"/>
              </w:rPr>
              <w:t>1.6、参加政府采购活动前3年内在经营活动中没有重大违法记录的承诺函（格式详见第三章）；</w:t>
            </w:r>
          </w:p>
          <w:p>
            <w:pPr>
              <w:rPr>
                <w:rFonts w:ascii="宋体" w:hAnsi="宋体" w:cs="仿宋"/>
                <w:bCs/>
                <w:sz w:val="24"/>
              </w:rPr>
            </w:pPr>
            <w:r>
              <w:rPr>
                <w:rFonts w:hint="eastAsia" w:ascii="宋体" w:hAnsi="宋体" w:cs="仿宋"/>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14" w:type="dxa"/>
            <w:vAlign w:val="center"/>
          </w:tcPr>
          <w:p>
            <w:pPr>
              <w:rPr>
                <w:rFonts w:ascii="宋体" w:hAnsi="宋体" w:cs="仿宋"/>
                <w:bCs/>
                <w:sz w:val="24"/>
              </w:rPr>
            </w:pPr>
            <w:r>
              <w:rPr>
                <w:rFonts w:hint="eastAsia" w:ascii="宋体" w:hAnsi="宋体" w:cs="仿宋"/>
                <w:bCs/>
                <w:sz w:val="24"/>
              </w:rPr>
              <w:t>投标人按照要求上传证明材料，</w:t>
            </w:r>
            <w:r>
              <w:rPr>
                <w:rFonts w:hint="eastAsia" w:ascii="宋体" w:hAnsi="宋体"/>
                <w:sz w:val="24"/>
              </w:rPr>
              <w:t>采购人或者采购代理机构</w:t>
            </w:r>
            <w:r>
              <w:rPr>
                <w:rFonts w:hint="eastAsia" w:ascii="宋体" w:hAnsi="宋体" w:cs="仿宋"/>
                <w:bCs/>
                <w:sz w:val="24"/>
              </w:rPr>
              <w:t>根据上传内容</w:t>
            </w:r>
            <w:r>
              <w:rPr>
                <w:rFonts w:hint="eastAsia" w:ascii="宋体" w:hAnsi="宋体"/>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5" w:hRule="atLeast"/>
          <w:jc w:val="center"/>
        </w:trPr>
        <w:tc>
          <w:tcPr>
            <w:tcW w:w="698" w:type="dxa"/>
            <w:vMerge w:val="continue"/>
          </w:tcPr>
          <w:p>
            <w:pPr>
              <w:jc w:val="center"/>
              <w:rPr>
                <w:rFonts w:ascii="宋体" w:hAnsi="宋体" w:cs="仿宋"/>
                <w:bCs/>
                <w:sz w:val="24"/>
              </w:rPr>
            </w:pPr>
          </w:p>
        </w:tc>
        <w:tc>
          <w:tcPr>
            <w:tcW w:w="2479" w:type="dxa"/>
            <w:vMerge w:val="continue"/>
          </w:tcPr>
          <w:p>
            <w:pPr>
              <w:rPr>
                <w:rFonts w:ascii="宋体" w:hAnsi="宋体" w:cs="仿宋"/>
                <w:bCs/>
                <w:sz w:val="24"/>
              </w:rPr>
            </w:pPr>
          </w:p>
        </w:tc>
        <w:tc>
          <w:tcPr>
            <w:tcW w:w="4069" w:type="dxa"/>
            <w:vAlign w:val="center"/>
          </w:tcPr>
          <w:p>
            <w:pPr>
              <w:rPr>
                <w:rFonts w:ascii="宋体" w:hAnsi="宋体" w:cs="仿宋"/>
                <w:bCs/>
                <w:sz w:val="24"/>
              </w:rPr>
            </w:pPr>
            <w:r>
              <w:rPr>
                <w:rFonts w:hint="eastAsia" w:ascii="宋体" w:hAnsi="宋体"/>
                <w:sz w:val="24"/>
              </w:rPr>
              <w:t>1.7、具备法律、行政法规规定的其他条件的证明材料（可提供承诺函，格式详见第三章）；</w:t>
            </w:r>
          </w:p>
        </w:tc>
        <w:tc>
          <w:tcPr>
            <w:tcW w:w="2214" w:type="dxa"/>
            <w:vAlign w:val="center"/>
          </w:tcPr>
          <w:p>
            <w:pPr>
              <w:rPr>
                <w:rFonts w:ascii="宋体" w:hAnsi="宋体" w:cs="仿宋"/>
                <w:bCs/>
                <w:sz w:val="24"/>
              </w:rPr>
            </w:pPr>
            <w:r>
              <w:rPr>
                <w:rFonts w:hint="eastAsia" w:ascii="宋体" w:hAnsi="宋体" w:cs="仿宋"/>
                <w:bCs/>
                <w:sz w:val="24"/>
              </w:rPr>
              <w:t>投标人按照要求上传证明材料，</w:t>
            </w:r>
            <w:r>
              <w:rPr>
                <w:rFonts w:hint="eastAsia" w:ascii="宋体" w:hAnsi="宋体"/>
                <w:sz w:val="24"/>
              </w:rPr>
              <w:t>采购人或者采购代理机构</w:t>
            </w:r>
            <w:r>
              <w:rPr>
                <w:rFonts w:hint="eastAsia" w:ascii="宋体" w:hAnsi="宋体" w:cs="仿宋"/>
                <w:bCs/>
                <w:sz w:val="24"/>
              </w:rPr>
              <w:t>根据上传内容</w:t>
            </w:r>
            <w:r>
              <w:rPr>
                <w:rFonts w:hint="eastAsia" w:ascii="宋体" w:hAnsi="宋体"/>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1" w:hRule="atLeast"/>
          <w:jc w:val="center"/>
        </w:trPr>
        <w:tc>
          <w:tcPr>
            <w:tcW w:w="698" w:type="dxa"/>
            <w:vAlign w:val="center"/>
          </w:tcPr>
          <w:p>
            <w:pPr>
              <w:jc w:val="center"/>
              <w:rPr>
                <w:rFonts w:ascii="宋体" w:hAnsi="宋体" w:cs="仿宋"/>
                <w:bCs/>
                <w:sz w:val="24"/>
              </w:rPr>
            </w:pPr>
            <w:r>
              <w:rPr>
                <w:rFonts w:hint="eastAsia" w:ascii="宋体" w:hAnsi="宋体" w:cs="仿宋"/>
                <w:bCs/>
                <w:sz w:val="24"/>
              </w:rPr>
              <w:t>2</w:t>
            </w:r>
          </w:p>
        </w:tc>
        <w:tc>
          <w:tcPr>
            <w:tcW w:w="2479" w:type="dxa"/>
            <w:vAlign w:val="center"/>
          </w:tcPr>
          <w:p>
            <w:pPr>
              <w:tabs>
                <w:tab w:val="left" w:pos="7665"/>
              </w:tabs>
              <w:spacing w:line="400" w:lineRule="exact"/>
              <w:rPr>
                <w:rFonts w:ascii="宋体" w:hAnsi="宋体" w:cs="仿宋"/>
                <w:bCs/>
                <w:sz w:val="24"/>
              </w:rPr>
            </w:pPr>
            <w:r>
              <w:rPr>
                <w:rFonts w:hint="eastAsia" w:ascii="宋体" w:hAnsi="宋体" w:cs="宋体"/>
                <w:sz w:val="24"/>
              </w:rPr>
              <w:t>2、落实政府采购政策需满足的资格要求：</w:t>
            </w:r>
            <w:r>
              <w:rPr>
                <w:rFonts w:hint="eastAsia" w:ascii="宋体" w:hAnsi="宋体"/>
                <w:sz w:val="24"/>
              </w:rPr>
              <w:t>无。</w:t>
            </w:r>
          </w:p>
        </w:tc>
        <w:tc>
          <w:tcPr>
            <w:tcW w:w="4069" w:type="dxa"/>
            <w:vAlign w:val="center"/>
          </w:tcPr>
          <w:p>
            <w:pPr>
              <w:tabs>
                <w:tab w:val="left" w:pos="7665"/>
              </w:tabs>
              <w:spacing w:line="400" w:lineRule="exact"/>
              <w:rPr>
                <w:rFonts w:ascii="宋体" w:hAnsi="宋体" w:cs="仿宋"/>
                <w:bCs/>
                <w:sz w:val="24"/>
              </w:rPr>
            </w:pPr>
            <w:r>
              <w:rPr>
                <w:rFonts w:hint="eastAsia" w:ascii="宋体" w:hAnsi="宋体" w:cs="宋体"/>
                <w:sz w:val="24"/>
              </w:rPr>
              <w:t>2.落实政府采购政策需满足的资格要求：</w:t>
            </w:r>
            <w:r>
              <w:rPr>
                <w:rFonts w:hint="eastAsia" w:ascii="宋体" w:hAnsi="宋体"/>
                <w:sz w:val="24"/>
              </w:rPr>
              <w:t>无。</w:t>
            </w:r>
          </w:p>
        </w:tc>
        <w:tc>
          <w:tcPr>
            <w:tcW w:w="2214" w:type="dxa"/>
            <w:vAlign w:val="center"/>
          </w:tcPr>
          <w:p>
            <w:pPr>
              <w:rPr>
                <w:rFonts w:ascii="宋体" w:hAnsi="宋体" w:cs="仿宋"/>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1" w:hRule="atLeast"/>
          <w:jc w:val="center"/>
        </w:trPr>
        <w:tc>
          <w:tcPr>
            <w:tcW w:w="698" w:type="dxa"/>
            <w:vAlign w:val="center"/>
          </w:tcPr>
          <w:p>
            <w:pPr>
              <w:jc w:val="center"/>
              <w:rPr>
                <w:rFonts w:ascii="宋体" w:hAnsi="宋体" w:cs="仿宋"/>
                <w:bCs/>
                <w:sz w:val="24"/>
              </w:rPr>
            </w:pPr>
            <w:r>
              <w:rPr>
                <w:rFonts w:hint="eastAsia" w:ascii="宋体" w:hAnsi="宋体" w:cs="仿宋"/>
                <w:bCs/>
                <w:sz w:val="24"/>
              </w:rPr>
              <w:t>3</w:t>
            </w:r>
          </w:p>
        </w:tc>
        <w:tc>
          <w:tcPr>
            <w:tcW w:w="2479" w:type="dxa"/>
            <w:vAlign w:val="center"/>
          </w:tcPr>
          <w:p>
            <w:pPr>
              <w:tabs>
                <w:tab w:val="left" w:pos="7665"/>
              </w:tabs>
              <w:spacing w:line="400" w:lineRule="exact"/>
              <w:rPr>
                <w:rFonts w:ascii="宋体" w:hAnsi="宋体" w:cs="宋体"/>
                <w:sz w:val="24"/>
              </w:rPr>
            </w:pPr>
            <w:r>
              <w:rPr>
                <w:rFonts w:ascii="宋体" w:hAnsi="宋体"/>
                <w:sz w:val="24"/>
              </w:rPr>
              <w:t>3</w:t>
            </w:r>
            <w:r>
              <w:rPr>
                <w:rFonts w:hint="eastAsia" w:ascii="宋体" w:hAnsi="宋体"/>
                <w:sz w:val="24"/>
              </w:rPr>
              <w:t>、</w:t>
            </w:r>
            <w:r>
              <w:rPr>
                <w:rFonts w:hint="eastAsia" w:ascii="宋体" w:hAnsi="宋体" w:cs="宋体"/>
                <w:sz w:val="24"/>
              </w:rPr>
              <w:t>本项目的特定资格要求：无</w:t>
            </w:r>
          </w:p>
          <w:p>
            <w:pPr>
              <w:pStyle w:val="51"/>
              <w:spacing w:line="420" w:lineRule="exact"/>
              <w:ind w:firstLine="600" w:firstLineChars="250"/>
              <w:rPr>
                <w:rFonts w:ascii="宋体" w:hAnsi="宋体" w:cs="仿宋"/>
                <w:bCs/>
                <w:sz w:val="24"/>
              </w:rPr>
            </w:pPr>
          </w:p>
        </w:tc>
        <w:tc>
          <w:tcPr>
            <w:tcW w:w="4069" w:type="dxa"/>
            <w:vAlign w:val="center"/>
          </w:tcPr>
          <w:p>
            <w:pPr>
              <w:tabs>
                <w:tab w:val="left" w:pos="7665"/>
              </w:tabs>
              <w:spacing w:line="400" w:lineRule="exact"/>
              <w:rPr>
                <w:rFonts w:ascii="宋体" w:hAnsi="宋体" w:cs="宋体"/>
                <w:sz w:val="24"/>
              </w:rPr>
            </w:pPr>
            <w:r>
              <w:rPr>
                <w:rFonts w:ascii="宋体" w:hAnsi="宋体"/>
                <w:sz w:val="24"/>
              </w:rPr>
              <w:t>3</w:t>
            </w:r>
            <w:r>
              <w:rPr>
                <w:rFonts w:hint="eastAsia" w:ascii="宋体" w:hAnsi="宋体"/>
                <w:sz w:val="24"/>
              </w:rPr>
              <w:t>、</w:t>
            </w:r>
            <w:r>
              <w:rPr>
                <w:rFonts w:hint="eastAsia" w:ascii="宋体" w:hAnsi="宋体" w:cs="宋体"/>
                <w:sz w:val="24"/>
              </w:rPr>
              <w:t>本项目的特定资格要求：无</w:t>
            </w:r>
          </w:p>
          <w:p>
            <w:pPr>
              <w:rPr>
                <w:rFonts w:ascii="宋体" w:hAnsi="宋体" w:cs="仿宋"/>
                <w:bCs/>
                <w:sz w:val="24"/>
              </w:rPr>
            </w:pPr>
          </w:p>
        </w:tc>
        <w:tc>
          <w:tcPr>
            <w:tcW w:w="2214" w:type="dxa"/>
            <w:vAlign w:val="center"/>
          </w:tcPr>
          <w:p>
            <w:pPr>
              <w:rPr>
                <w:rFonts w:ascii="宋体" w:hAnsi="宋体" w:cs="仿宋"/>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6" w:hRule="atLeast"/>
          <w:jc w:val="center"/>
        </w:trPr>
        <w:tc>
          <w:tcPr>
            <w:tcW w:w="698" w:type="dxa"/>
            <w:vAlign w:val="center"/>
          </w:tcPr>
          <w:p>
            <w:pPr>
              <w:jc w:val="center"/>
              <w:rPr>
                <w:rFonts w:ascii="宋体" w:hAnsi="宋体" w:cs="仿宋"/>
                <w:bCs/>
                <w:sz w:val="24"/>
              </w:rPr>
            </w:pPr>
            <w:r>
              <w:rPr>
                <w:rFonts w:hint="eastAsia" w:ascii="宋体" w:hAnsi="宋体" w:cs="仿宋"/>
                <w:bCs/>
                <w:sz w:val="24"/>
              </w:rPr>
              <w:t>4</w:t>
            </w:r>
          </w:p>
        </w:tc>
        <w:tc>
          <w:tcPr>
            <w:tcW w:w="2479" w:type="dxa"/>
            <w:vAlign w:val="center"/>
          </w:tcPr>
          <w:p>
            <w:pPr>
              <w:spacing w:after="0" w:line="340" w:lineRule="exact"/>
              <w:ind w:right="105" w:rightChars="50"/>
              <w:rPr>
                <w:rFonts w:ascii="宋体" w:hAnsi="宋体" w:cs="仿宋"/>
                <w:bCs/>
                <w:sz w:val="24"/>
              </w:rPr>
            </w:pPr>
            <w:r>
              <w:rPr>
                <w:rFonts w:hint="eastAsia" w:ascii="宋体" w:hAnsi="宋体" w:cs="宋体"/>
                <w:sz w:val="24"/>
              </w:rPr>
              <w:t>4、</w:t>
            </w:r>
            <w:r>
              <w:rPr>
                <w:rFonts w:hint="eastAsia" w:ascii="宋体" w:hAnsi="宋体"/>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tc>
        <w:tc>
          <w:tcPr>
            <w:tcW w:w="4069" w:type="dxa"/>
            <w:vAlign w:val="center"/>
          </w:tcPr>
          <w:p>
            <w:pPr>
              <w:rPr>
                <w:rFonts w:ascii="宋体" w:hAnsi="宋体" w:cs="仿宋"/>
                <w:bCs/>
                <w:sz w:val="24"/>
              </w:rPr>
            </w:pPr>
            <w:r>
              <w:rPr>
                <w:rFonts w:hint="eastAsia" w:ascii="宋体" w:hAnsi="宋体" w:cs="宋体"/>
                <w:sz w:val="24"/>
              </w:rPr>
              <w:t>4、采购人/采购代理机构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r>
              <w:rPr>
                <w:rFonts w:hint="eastAsia" w:ascii="宋体" w:hAnsi="宋体" w:cs="宋体"/>
                <w:b/>
                <w:bCs/>
                <w:sz w:val="24"/>
              </w:rPr>
              <w:t>（此项由采购人或采购代理机构查询，投标人不提供证明材料）</w:t>
            </w:r>
          </w:p>
        </w:tc>
        <w:tc>
          <w:tcPr>
            <w:tcW w:w="2214" w:type="dxa"/>
            <w:vAlign w:val="center"/>
          </w:tcPr>
          <w:p>
            <w:pPr>
              <w:rPr>
                <w:rFonts w:ascii="宋体" w:hAnsi="宋体" w:cs="仿宋"/>
                <w:bCs/>
                <w:sz w:val="24"/>
              </w:rPr>
            </w:pPr>
            <w:r>
              <w:rPr>
                <w:rFonts w:hint="eastAsia" w:ascii="宋体" w:hAnsi="宋体" w:cs="仿宋"/>
                <w:bCs/>
                <w:sz w:val="24"/>
              </w:rPr>
              <w:t>投标人可上传空白页，上传内容不作资格审查。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98" w:type="dxa"/>
            <w:vAlign w:val="center"/>
          </w:tcPr>
          <w:p>
            <w:pPr>
              <w:jc w:val="center"/>
              <w:rPr>
                <w:rFonts w:ascii="宋体" w:hAnsi="宋体" w:cs="仿宋"/>
                <w:bCs/>
                <w:sz w:val="24"/>
              </w:rPr>
            </w:pPr>
            <w:r>
              <w:rPr>
                <w:rFonts w:hint="eastAsia" w:ascii="宋体" w:hAnsi="宋体" w:cs="仿宋"/>
                <w:bCs/>
                <w:sz w:val="24"/>
              </w:rPr>
              <w:t>5</w:t>
            </w:r>
          </w:p>
        </w:tc>
        <w:tc>
          <w:tcPr>
            <w:tcW w:w="2479" w:type="dxa"/>
            <w:vAlign w:val="center"/>
          </w:tcPr>
          <w:p>
            <w:pPr>
              <w:pStyle w:val="51"/>
              <w:spacing w:line="420" w:lineRule="exact"/>
              <w:ind w:firstLine="0" w:firstLineChars="0"/>
              <w:rPr>
                <w:rFonts w:ascii="宋体" w:hAnsi="宋体" w:cs="仿宋"/>
                <w:sz w:val="24"/>
              </w:rPr>
            </w:pPr>
            <w:r>
              <w:rPr>
                <w:rFonts w:hint="eastAsia" w:ascii="宋体" w:hAnsi="宋体"/>
                <w:sz w:val="24"/>
              </w:rPr>
              <w:t>资质性要求：无</w:t>
            </w:r>
          </w:p>
        </w:tc>
        <w:tc>
          <w:tcPr>
            <w:tcW w:w="4069" w:type="dxa"/>
            <w:vAlign w:val="center"/>
          </w:tcPr>
          <w:p>
            <w:pPr>
              <w:rPr>
                <w:rFonts w:ascii="宋体" w:hAnsi="宋体" w:cs="仿宋"/>
                <w:sz w:val="24"/>
              </w:rPr>
            </w:pPr>
            <w:r>
              <w:rPr>
                <w:rFonts w:hint="eastAsia" w:ascii="宋体" w:hAnsi="宋体" w:cs="仿宋"/>
                <w:sz w:val="24"/>
              </w:rPr>
              <w:t>资质性要求：无</w:t>
            </w:r>
          </w:p>
        </w:tc>
        <w:tc>
          <w:tcPr>
            <w:tcW w:w="2214" w:type="dxa"/>
            <w:vAlign w:val="center"/>
          </w:tcPr>
          <w:p>
            <w:pPr>
              <w:rPr>
                <w:rFonts w:ascii="宋体" w:hAnsi="宋体" w:cs="仿宋"/>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698" w:type="dxa"/>
            <w:vAlign w:val="center"/>
          </w:tcPr>
          <w:p>
            <w:pPr>
              <w:jc w:val="center"/>
              <w:rPr>
                <w:rFonts w:ascii="宋体" w:hAnsi="宋体" w:cs="仿宋"/>
                <w:bCs/>
                <w:sz w:val="24"/>
              </w:rPr>
            </w:pPr>
            <w:r>
              <w:rPr>
                <w:rFonts w:hint="eastAsia" w:ascii="宋体" w:hAnsi="宋体" w:cs="仿宋"/>
                <w:bCs/>
                <w:sz w:val="24"/>
              </w:rPr>
              <w:t>6</w:t>
            </w:r>
          </w:p>
        </w:tc>
        <w:tc>
          <w:tcPr>
            <w:tcW w:w="2479" w:type="dxa"/>
            <w:vAlign w:val="center"/>
          </w:tcPr>
          <w:p>
            <w:pPr>
              <w:rPr>
                <w:rFonts w:ascii="宋体" w:hAnsi="宋体" w:cs="仿宋"/>
                <w:sz w:val="24"/>
              </w:rPr>
            </w:pPr>
            <w:r>
              <w:rPr>
                <w:rFonts w:hint="eastAsia" w:ascii="宋体" w:hAnsi="宋体"/>
                <w:sz w:val="24"/>
              </w:rPr>
              <w:t>其他类似效力要求：无</w:t>
            </w:r>
          </w:p>
        </w:tc>
        <w:tc>
          <w:tcPr>
            <w:tcW w:w="4069" w:type="dxa"/>
            <w:vAlign w:val="center"/>
          </w:tcPr>
          <w:p>
            <w:pPr>
              <w:rPr>
                <w:rFonts w:ascii="宋体" w:hAnsi="宋体" w:cs="仿宋"/>
                <w:sz w:val="24"/>
              </w:rPr>
            </w:pPr>
            <w:r>
              <w:rPr>
                <w:rFonts w:hint="eastAsia" w:ascii="宋体" w:hAnsi="宋体"/>
                <w:sz w:val="24"/>
              </w:rPr>
              <w:t>其他类似效力要求：无</w:t>
            </w:r>
          </w:p>
        </w:tc>
        <w:tc>
          <w:tcPr>
            <w:tcW w:w="2214" w:type="dxa"/>
            <w:vAlign w:val="center"/>
          </w:tcPr>
          <w:p>
            <w:pPr>
              <w:rPr>
                <w:rFonts w:ascii="宋体" w:hAnsi="宋体" w:cs="仿宋"/>
                <w:bCs/>
                <w:sz w:val="24"/>
              </w:rPr>
            </w:pPr>
          </w:p>
        </w:tc>
      </w:tr>
    </w:tbl>
    <w:p>
      <w:pPr>
        <w:rPr>
          <w:rFonts w:ascii="宋体" w:hAnsi="宋体"/>
        </w:rPr>
      </w:pPr>
    </w:p>
    <w:bookmarkEnd w:id="151"/>
    <w:p>
      <w:pPr>
        <w:rPr>
          <w:rFonts w:ascii="宋体" w:hAnsi="宋体"/>
          <w:sz w:val="36"/>
          <w:szCs w:val="36"/>
        </w:rPr>
        <w:sectPr>
          <w:footerReference r:id="rId15" w:type="default"/>
          <w:pgSz w:w="11906" w:h="16838"/>
          <w:pgMar w:top="1440" w:right="1800" w:bottom="1440" w:left="1800" w:header="851" w:footer="992" w:gutter="0"/>
          <w:cols w:space="720" w:num="1"/>
          <w:docGrid w:type="lines" w:linePitch="312" w:charSpace="0"/>
        </w:sectPr>
      </w:pPr>
      <w:bookmarkStart w:id="154" w:name="_Toc217446093"/>
    </w:p>
    <w:p>
      <w:pPr>
        <w:pStyle w:val="3"/>
        <w:jc w:val="center"/>
        <w:rPr>
          <w:rFonts w:ascii="宋体" w:hAnsi="宋体"/>
          <w:sz w:val="28"/>
          <w:szCs w:val="28"/>
        </w:rPr>
      </w:pPr>
      <w:bookmarkStart w:id="155" w:name="_Toc16251"/>
      <w:bookmarkStart w:id="156" w:name="PO_默认文件内容_32"/>
      <w:r>
        <w:rPr>
          <w:rFonts w:hint="eastAsia" w:ascii="宋体" w:hAnsi="宋体"/>
          <w:sz w:val="36"/>
          <w:szCs w:val="36"/>
        </w:rPr>
        <w:t>第六章  项目技术、服务、政府采购合同内容条款及其他商务要求</w:t>
      </w:r>
      <w:bookmarkEnd w:id="154"/>
      <w:bookmarkEnd w:id="155"/>
      <w:bookmarkStart w:id="157" w:name="_Toc24786"/>
    </w:p>
    <w:p>
      <w:pPr>
        <w:numPr>
          <w:ilvl w:val="0"/>
          <w:numId w:val="4"/>
        </w:numPr>
        <w:spacing w:line="260" w:lineRule="auto"/>
        <w:ind w:left="0"/>
        <w:rPr>
          <w:rFonts w:ascii="宋体" w:hAnsi="宋体"/>
          <w:b/>
          <w:bCs/>
          <w:sz w:val="28"/>
          <w:szCs w:val="28"/>
        </w:rPr>
      </w:pPr>
      <w:r>
        <w:rPr>
          <w:rFonts w:hint="eastAsia" w:ascii="宋体" w:hAnsi="宋体"/>
          <w:b/>
          <w:bCs/>
          <w:sz w:val="28"/>
          <w:szCs w:val="28"/>
        </w:rPr>
        <w:t>建设目标</w:t>
      </w:r>
    </w:p>
    <w:p>
      <w:pPr>
        <w:spacing w:line="260" w:lineRule="auto"/>
        <w:ind w:firstLine="480" w:firstLineChars="200"/>
        <w:rPr>
          <w:rFonts w:ascii="宋体" w:hAnsi="宋体" w:cs="宋体"/>
          <w:sz w:val="24"/>
        </w:rPr>
      </w:pPr>
      <w:r>
        <w:rPr>
          <w:rFonts w:hint="eastAsia" w:ascii="宋体" w:hAnsi="宋体" w:cs="宋体"/>
          <w:sz w:val="24"/>
        </w:rPr>
        <w:t>本次采购设备用于综合教学楼D栋（包含斯特灵学院、国际合作与交流处）建立一套高效、稳定、可靠的基础网络构架平台。建成为承载教学、科研、管理、办公等全方位应用的基础综合性安全网络平台。</w:t>
      </w:r>
    </w:p>
    <w:p>
      <w:pPr>
        <w:spacing w:line="260" w:lineRule="auto"/>
        <w:ind w:firstLine="480" w:firstLineChars="200"/>
        <w:rPr>
          <w:rFonts w:ascii="宋体" w:hAnsi="宋体"/>
          <w:sz w:val="28"/>
          <w:szCs w:val="28"/>
        </w:rPr>
      </w:pPr>
      <w:r>
        <w:rPr>
          <w:rFonts w:hint="eastAsia" w:ascii="宋体" w:hAnsi="宋体" w:cs="宋体"/>
          <w:sz w:val="24"/>
        </w:rPr>
        <w:t>致力于构建提供一个灵活、先进和稳定可靠的网络构架平台，为校园网络进一步承载更多业务，建立自动化全网络业务服务，降低学校运作成本，增强学院竞争力打下良好的基础。</w:t>
      </w:r>
    </w:p>
    <w:p>
      <w:pPr>
        <w:numPr>
          <w:ilvl w:val="0"/>
          <w:numId w:val="4"/>
        </w:numPr>
        <w:spacing w:line="260" w:lineRule="auto"/>
        <w:ind w:left="0"/>
        <w:rPr>
          <w:rFonts w:ascii="宋体" w:hAnsi="宋体"/>
          <w:b/>
          <w:bCs/>
          <w:sz w:val="28"/>
          <w:szCs w:val="28"/>
        </w:rPr>
      </w:pPr>
      <w:r>
        <w:rPr>
          <w:rFonts w:hint="eastAsia" w:ascii="宋体" w:hAnsi="宋体"/>
          <w:b/>
          <w:bCs/>
          <w:sz w:val="28"/>
          <w:szCs w:val="28"/>
        </w:rPr>
        <w:t>技术要求</w:t>
      </w:r>
    </w:p>
    <w:tbl>
      <w:tblPr>
        <w:tblStyle w:val="26"/>
        <w:tblpPr w:leftFromText="180" w:rightFromText="180" w:vertAnchor="text" w:horzAnchor="page" w:tblpX="1414" w:tblpY="391"/>
        <w:tblOverlap w:val="never"/>
        <w:tblW w:w="8763" w:type="dxa"/>
        <w:tblInd w:w="0" w:type="dxa"/>
        <w:tblLayout w:type="fixed"/>
        <w:tblCellMar>
          <w:top w:w="0" w:type="dxa"/>
          <w:left w:w="108" w:type="dxa"/>
          <w:bottom w:w="0" w:type="dxa"/>
          <w:right w:w="108" w:type="dxa"/>
        </w:tblCellMar>
      </w:tblPr>
      <w:tblGrid>
        <w:gridCol w:w="570"/>
        <w:gridCol w:w="1183"/>
        <w:gridCol w:w="5570"/>
        <w:gridCol w:w="620"/>
        <w:gridCol w:w="820"/>
      </w:tblGrid>
      <w:tr>
        <w:tblPrEx>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noWrap/>
            <w:vAlign w:val="center"/>
          </w:tcPr>
          <w:p>
            <w:pPr>
              <w:spacing w:after="0" w:line="320" w:lineRule="exact"/>
              <w:rPr>
                <w:rFonts w:asciiTheme="minorEastAsia" w:hAnsiTheme="minorEastAsia" w:eastAsiaTheme="minorEastAsia"/>
              </w:rPr>
            </w:pPr>
            <w:r>
              <w:rPr>
                <w:rFonts w:hint="eastAsia" w:asciiTheme="minorEastAsia" w:hAnsiTheme="minorEastAsia" w:eastAsiaTheme="minorEastAsia"/>
              </w:rPr>
              <w:t>序号</w:t>
            </w:r>
          </w:p>
        </w:tc>
        <w:tc>
          <w:tcPr>
            <w:tcW w:w="1183"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rPr>
                <w:rFonts w:asciiTheme="minorEastAsia" w:hAnsiTheme="minorEastAsia" w:eastAsiaTheme="minorEastAsia"/>
              </w:rPr>
            </w:pPr>
            <w:r>
              <w:rPr>
                <w:rFonts w:hint="eastAsia" w:asciiTheme="minorEastAsia" w:hAnsiTheme="minorEastAsia" w:eastAsiaTheme="minorEastAsia"/>
              </w:rPr>
              <w:t>货物名称</w:t>
            </w:r>
          </w:p>
        </w:tc>
        <w:tc>
          <w:tcPr>
            <w:tcW w:w="5570" w:type="dxa"/>
            <w:tcBorders>
              <w:top w:val="single" w:color="000000" w:sz="4" w:space="0"/>
              <w:left w:val="single" w:color="000000" w:sz="4" w:space="0"/>
              <w:bottom w:val="single" w:color="000000" w:sz="4" w:space="0"/>
              <w:right w:val="single" w:color="000000" w:sz="4" w:space="0"/>
            </w:tcBorders>
            <w:noWrap/>
            <w:vAlign w:val="center"/>
          </w:tcPr>
          <w:p>
            <w:pPr>
              <w:spacing w:after="0" w:line="320" w:lineRule="exact"/>
              <w:rPr>
                <w:rFonts w:asciiTheme="minorEastAsia" w:hAnsiTheme="minorEastAsia" w:eastAsiaTheme="minorEastAsia"/>
              </w:rPr>
            </w:pPr>
            <w:r>
              <w:rPr>
                <w:rFonts w:hint="eastAsia" w:asciiTheme="minorEastAsia" w:hAnsiTheme="minorEastAsia" w:eastAsiaTheme="minorEastAsia"/>
              </w:rPr>
              <w:t>技术参数</w:t>
            </w:r>
          </w:p>
        </w:tc>
        <w:tc>
          <w:tcPr>
            <w:tcW w:w="620" w:type="dxa"/>
            <w:tcBorders>
              <w:top w:val="single" w:color="000000" w:sz="4" w:space="0"/>
              <w:left w:val="single" w:color="000000" w:sz="4" w:space="0"/>
              <w:bottom w:val="single" w:color="000000" w:sz="4" w:space="0"/>
              <w:right w:val="single" w:color="000000" w:sz="4" w:space="0"/>
            </w:tcBorders>
            <w:noWrap/>
            <w:vAlign w:val="center"/>
          </w:tcPr>
          <w:p>
            <w:pPr>
              <w:spacing w:after="0" w:line="320" w:lineRule="exact"/>
              <w:rPr>
                <w:rFonts w:asciiTheme="minorEastAsia" w:hAnsiTheme="minorEastAsia" w:eastAsiaTheme="minorEastAsia"/>
              </w:rPr>
            </w:pPr>
            <w:r>
              <w:rPr>
                <w:rFonts w:hint="eastAsia" w:asciiTheme="minorEastAsia" w:hAnsiTheme="minorEastAsia" w:eastAsiaTheme="minorEastAsia"/>
              </w:rPr>
              <w:t>单位</w:t>
            </w:r>
          </w:p>
        </w:tc>
        <w:tc>
          <w:tcPr>
            <w:tcW w:w="820" w:type="dxa"/>
            <w:tcBorders>
              <w:top w:val="single" w:color="000000" w:sz="4" w:space="0"/>
              <w:left w:val="single" w:color="000000" w:sz="4" w:space="0"/>
              <w:bottom w:val="single" w:color="000000" w:sz="4" w:space="0"/>
              <w:right w:val="single" w:color="000000" w:sz="4" w:space="0"/>
            </w:tcBorders>
            <w:noWrap/>
            <w:vAlign w:val="center"/>
          </w:tcPr>
          <w:p>
            <w:pPr>
              <w:spacing w:after="0" w:line="320" w:lineRule="exact"/>
              <w:rPr>
                <w:rFonts w:asciiTheme="minorEastAsia" w:hAnsiTheme="minorEastAsia" w:eastAsiaTheme="minorEastAsia"/>
              </w:rPr>
            </w:pPr>
            <w:r>
              <w:rPr>
                <w:rFonts w:hint="eastAsia" w:asciiTheme="minorEastAsia" w:hAnsiTheme="minorEastAsia" w:eastAsiaTheme="minorEastAsia"/>
              </w:rPr>
              <w:t>数量</w:t>
            </w:r>
          </w:p>
        </w:tc>
      </w:tr>
      <w:tr>
        <w:tblPrEx>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noWrap/>
            <w:vAlign w:val="center"/>
          </w:tcPr>
          <w:p>
            <w:pPr>
              <w:spacing w:after="0" w:line="320" w:lineRule="exact"/>
              <w:rPr>
                <w:rFonts w:asciiTheme="minorEastAsia" w:hAnsiTheme="minorEastAsia" w:eastAsiaTheme="minorEastAsia"/>
              </w:rPr>
            </w:pPr>
            <w:r>
              <w:rPr>
                <w:rFonts w:hint="eastAsia" w:asciiTheme="minorEastAsia" w:hAnsiTheme="minorEastAsia" w:eastAsiaTheme="minorEastAsia"/>
              </w:rPr>
              <w:t>1</w:t>
            </w:r>
          </w:p>
        </w:tc>
        <w:tc>
          <w:tcPr>
            <w:tcW w:w="1183"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rPr>
                <w:rFonts w:asciiTheme="minorEastAsia" w:hAnsiTheme="minorEastAsia" w:eastAsiaTheme="minorEastAsia"/>
              </w:rPr>
            </w:pPr>
          </w:p>
          <w:p>
            <w:pPr>
              <w:spacing w:after="0" w:line="320" w:lineRule="exact"/>
              <w:rPr>
                <w:rFonts w:asciiTheme="minorEastAsia" w:hAnsiTheme="minorEastAsia" w:eastAsiaTheme="minorEastAsia"/>
              </w:rPr>
            </w:pPr>
            <w:r>
              <w:rPr>
                <w:rFonts w:hint="eastAsia" w:asciiTheme="minorEastAsia" w:hAnsiTheme="minorEastAsia" w:eastAsiaTheme="minorEastAsia"/>
              </w:rPr>
              <w:t>核心数据处理</w:t>
            </w:r>
          </w:p>
        </w:tc>
        <w:tc>
          <w:tcPr>
            <w:tcW w:w="5570" w:type="dxa"/>
            <w:tcBorders>
              <w:top w:val="single" w:color="000000" w:sz="4" w:space="0"/>
              <w:left w:val="single" w:color="000000" w:sz="4" w:space="0"/>
              <w:bottom w:val="single" w:color="000000" w:sz="4" w:space="0"/>
              <w:right w:val="single" w:color="000000" w:sz="4" w:space="0"/>
            </w:tcBorders>
          </w:tcPr>
          <w:p>
            <w:pPr>
              <w:spacing w:after="0" w:line="320" w:lineRule="exact"/>
              <w:rPr>
                <w:rFonts w:asciiTheme="minorEastAsia" w:hAnsiTheme="minorEastAsia" w:eastAsiaTheme="minorEastAsia"/>
              </w:rPr>
            </w:pPr>
            <w:r>
              <w:rPr>
                <w:rFonts w:hint="eastAsia" w:asciiTheme="minorEastAsia" w:hAnsiTheme="minorEastAsia" w:eastAsiaTheme="minorEastAsia"/>
              </w:rPr>
              <w:t>1. ▲要求设备硬件架构采用转发平面、控制平面完全物理分离设计，设备为机架式设备，为了节省机柜空间，要求高度≤5U，提供设备整机正面清晰图片，并加盖投标人公章。</w:t>
            </w:r>
          </w:p>
          <w:p>
            <w:pPr>
              <w:spacing w:after="0" w:line="320" w:lineRule="exact"/>
              <w:rPr>
                <w:rFonts w:asciiTheme="minorEastAsia" w:hAnsiTheme="minorEastAsia" w:eastAsiaTheme="minorEastAsia"/>
              </w:rPr>
            </w:pPr>
            <w:r>
              <w:rPr>
                <w:rFonts w:hint="eastAsia" w:asciiTheme="minorEastAsia" w:hAnsiTheme="minorEastAsia" w:eastAsiaTheme="minorEastAsia"/>
              </w:rPr>
              <w:t>2.▲业务槽位≥4个，主控槽位≥2个。电源槽位数≥2个，支持1+1冗余电源。模块热插拔，单个模块故障不影响整机运行。提供设备整机正、背面清晰图片，加盖供应商单位公章。</w:t>
            </w:r>
          </w:p>
          <w:p>
            <w:pPr>
              <w:spacing w:after="0" w:line="320" w:lineRule="exact"/>
              <w:rPr>
                <w:rFonts w:asciiTheme="minorEastAsia" w:hAnsiTheme="minorEastAsia" w:eastAsiaTheme="minorEastAsia"/>
              </w:rPr>
            </w:pPr>
            <w:r>
              <w:rPr>
                <w:rFonts w:hint="eastAsia" w:asciiTheme="minorEastAsia" w:hAnsiTheme="minorEastAsia" w:eastAsiaTheme="minorEastAsia"/>
              </w:rPr>
              <w:t>3.要求设备风扇、电源等全部支持热插拔</w:t>
            </w:r>
          </w:p>
          <w:p>
            <w:pPr>
              <w:spacing w:after="0" w:line="320" w:lineRule="exact"/>
              <w:rPr>
                <w:rFonts w:asciiTheme="minorEastAsia" w:hAnsiTheme="minorEastAsia" w:eastAsiaTheme="minorEastAsia"/>
              </w:rPr>
            </w:pPr>
            <w:r>
              <w:rPr>
                <w:rFonts w:hint="eastAsia" w:asciiTheme="minorEastAsia" w:hAnsiTheme="minorEastAsia" w:eastAsiaTheme="minorEastAsia"/>
              </w:rPr>
              <w:t>4.交换容量≥87.2T，包转发率≥16800Mpps</w:t>
            </w:r>
          </w:p>
          <w:p>
            <w:pPr>
              <w:spacing w:after="0" w:line="320" w:lineRule="exact"/>
              <w:rPr>
                <w:rFonts w:asciiTheme="minorEastAsia" w:hAnsiTheme="minorEastAsia" w:eastAsiaTheme="minorEastAsia"/>
              </w:rPr>
            </w:pPr>
            <w:r>
              <w:rPr>
                <w:rFonts w:hint="eastAsia" w:asciiTheme="minorEastAsia" w:hAnsiTheme="minorEastAsia" w:eastAsiaTheme="minorEastAsia"/>
              </w:rPr>
              <w:t>5.支持4K个802.1Q VLAN，Super vlan，支持基于端口、MAC、IP子网、协议的VLAN；支持端口的负载均衡、支持LACP，每个链路聚合组支持16个端口</w:t>
            </w:r>
          </w:p>
          <w:p>
            <w:pPr>
              <w:spacing w:after="0" w:line="320" w:lineRule="exact"/>
              <w:rPr>
                <w:rFonts w:asciiTheme="minorEastAsia" w:hAnsiTheme="minorEastAsia" w:eastAsiaTheme="minorEastAsia"/>
              </w:rPr>
            </w:pPr>
            <w:r>
              <w:rPr>
                <w:rFonts w:hint="eastAsia" w:asciiTheme="minorEastAsia" w:hAnsiTheme="minorEastAsia" w:eastAsiaTheme="minorEastAsia"/>
              </w:rPr>
              <w:t>6.支持静态路由、RIP、OSPF、ISIS、BGP和RIPng、OSPFv3、BGP4+等动态路由协议；支持BFD for VRRP/Static/RIP/OSPF/ISIS等。支持MPLS基本功能MPLS L3 VPN。支持IGMP、IGMP Snooping；支持PIM-SM、PIM-DM等三层组播协议。持手工隧道、支持ISATAP、支持6to4隧道，支持IPV4/IPV6双栈功能。</w:t>
            </w:r>
          </w:p>
          <w:p>
            <w:pPr>
              <w:spacing w:after="0" w:line="320" w:lineRule="exact"/>
              <w:rPr>
                <w:rFonts w:asciiTheme="minorEastAsia" w:hAnsiTheme="minorEastAsia" w:eastAsiaTheme="minorEastAsia"/>
              </w:rPr>
            </w:pPr>
            <w:r>
              <w:rPr>
                <w:rFonts w:hint="eastAsia" w:asciiTheme="minorEastAsia" w:hAnsiTheme="minorEastAsia" w:eastAsiaTheme="minorEastAsia"/>
              </w:rPr>
              <w:t>7.▲支持≥4台横向虚拟化功能，实现多个物理设备虚拟为一个逻辑设备进行管理的虚拟化功能。（提供产品官网功能介绍截图和链接证明），同时支持纵向虚拟化功能，接入交换机作为核心交换机的端口扩展板卡进行配置统一管理,最大支持≥128台设备虚拟成一台设备。（提供技术说明和产品官网网站说明截图和链接），加盖供应商单位公章。</w:t>
            </w:r>
          </w:p>
          <w:p>
            <w:pPr>
              <w:spacing w:after="0" w:line="320" w:lineRule="exact"/>
              <w:rPr>
                <w:rFonts w:asciiTheme="minorEastAsia" w:hAnsiTheme="minorEastAsia" w:eastAsiaTheme="minorEastAsia"/>
              </w:rPr>
            </w:pPr>
            <w:r>
              <w:rPr>
                <w:rFonts w:hint="eastAsia" w:asciiTheme="minorEastAsia" w:hAnsiTheme="minorEastAsia" w:eastAsiaTheme="minorEastAsia"/>
              </w:rPr>
              <w:t>8.支持CPU 保护功能，如ICMP Flood拦截、SYN Flood攻击拦截等，CPU根据不同协议进行限速保护。支持MSTP协议国密算法加密；RIP、OSPF协议支持国密认证算法，，支持配置文件国密算法加密，防护设备配置环境信息泄漏，以上需要原厂提供技术白皮书，加盖投标人单位公章。</w:t>
            </w:r>
          </w:p>
          <w:p>
            <w:pPr>
              <w:spacing w:after="0" w:line="320" w:lineRule="exact"/>
              <w:rPr>
                <w:rFonts w:asciiTheme="minorEastAsia" w:hAnsiTheme="minorEastAsia" w:eastAsiaTheme="minorEastAsia"/>
              </w:rPr>
            </w:pPr>
            <w:r>
              <w:rPr>
                <w:rFonts w:hint="eastAsia" w:asciiTheme="minorEastAsia" w:hAnsiTheme="minorEastAsia" w:eastAsiaTheme="minorEastAsia"/>
              </w:rPr>
              <w:t>9.为了满足网络未来的发展趋势，要求设备支持SDN功能，需要支持Openflow1.3协议标，支持Netconf协议，支持SDN控制器的统一管理</w:t>
            </w:r>
          </w:p>
          <w:p>
            <w:pPr>
              <w:spacing w:after="0" w:line="320" w:lineRule="exact"/>
              <w:rPr>
                <w:rFonts w:asciiTheme="minorEastAsia" w:hAnsiTheme="minorEastAsia" w:eastAsiaTheme="minorEastAsia"/>
              </w:rPr>
            </w:pPr>
            <w:r>
              <w:rPr>
                <w:rFonts w:hint="eastAsia" w:asciiTheme="minorEastAsia" w:hAnsiTheme="minorEastAsia" w:eastAsiaTheme="minorEastAsia"/>
              </w:rPr>
              <w:t>10.▲支持二层TRILL、三层TRILL；VXLAN二层网关、三层网关等相关功能, 原厂提供技术白皮书，并加盖投标人公章。</w:t>
            </w:r>
          </w:p>
          <w:p>
            <w:pPr>
              <w:spacing w:after="0" w:line="320" w:lineRule="exact"/>
              <w:rPr>
                <w:rFonts w:asciiTheme="minorEastAsia" w:hAnsiTheme="minorEastAsia" w:eastAsiaTheme="minorEastAsia"/>
              </w:rPr>
            </w:pPr>
            <w:r>
              <w:rPr>
                <w:rFonts w:hint="eastAsia" w:asciiTheme="minorEastAsia" w:hAnsiTheme="minorEastAsia" w:eastAsiaTheme="minorEastAsia"/>
              </w:rPr>
              <w:t>11.支持SHELL、SNMP V1/V2/V3、Telnet、Rlogin、FTP、TFTP等管理方式</w:t>
            </w:r>
          </w:p>
          <w:p>
            <w:pPr>
              <w:spacing w:after="0" w:line="320" w:lineRule="exact"/>
              <w:rPr>
                <w:rFonts w:asciiTheme="minorEastAsia" w:hAnsiTheme="minorEastAsia" w:eastAsiaTheme="minorEastAsia"/>
              </w:rPr>
            </w:pPr>
          </w:p>
        </w:tc>
        <w:tc>
          <w:tcPr>
            <w:tcW w:w="620" w:type="dxa"/>
            <w:tcBorders>
              <w:top w:val="single" w:color="000000" w:sz="4" w:space="0"/>
              <w:left w:val="single" w:color="000000" w:sz="4" w:space="0"/>
              <w:bottom w:val="single" w:color="000000" w:sz="4" w:space="0"/>
              <w:right w:val="single" w:color="000000" w:sz="4" w:space="0"/>
            </w:tcBorders>
            <w:noWrap/>
            <w:vAlign w:val="center"/>
          </w:tcPr>
          <w:p>
            <w:pPr>
              <w:spacing w:after="0" w:line="320" w:lineRule="exact"/>
              <w:rPr>
                <w:rFonts w:asciiTheme="minorEastAsia" w:hAnsiTheme="minorEastAsia" w:eastAsiaTheme="minorEastAsia"/>
              </w:rPr>
            </w:pPr>
            <w:r>
              <w:rPr>
                <w:rFonts w:hint="eastAsia" w:asciiTheme="minorEastAsia" w:hAnsiTheme="minorEastAsia" w:eastAsiaTheme="minorEastAsia"/>
              </w:rPr>
              <w:t>台</w:t>
            </w:r>
          </w:p>
        </w:tc>
        <w:tc>
          <w:tcPr>
            <w:tcW w:w="820" w:type="dxa"/>
            <w:tcBorders>
              <w:top w:val="single" w:color="000000" w:sz="4" w:space="0"/>
              <w:left w:val="single" w:color="000000" w:sz="4" w:space="0"/>
              <w:bottom w:val="single" w:color="000000" w:sz="4" w:space="0"/>
              <w:right w:val="single" w:color="000000" w:sz="4" w:space="0"/>
            </w:tcBorders>
            <w:noWrap/>
            <w:vAlign w:val="center"/>
          </w:tcPr>
          <w:p>
            <w:pPr>
              <w:spacing w:after="0" w:line="320" w:lineRule="exact"/>
              <w:rPr>
                <w:rFonts w:asciiTheme="minorEastAsia" w:hAnsiTheme="minorEastAsia" w:eastAsiaTheme="minorEastAsia"/>
              </w:rPr>
            </w:pPr>
            <w:r>
              <w:rPr>
                <w:rFonts w:hint="eastAsia" w:asciiTheme="minorEastAsia" w:hAnsiTheme="minorEastAsia" w:eastAsiaTheme="minorEastAsia"/>
              </w:rPr>
              <w:t>1</w:t>
            </w:r>
          </w:p>
        </w:tc>
      </w:tr>
      <w:tr>
        <w:tblPrEx>
          <w:tblCellMar>
            <w:top w:w="0" w:type="dxa"/>
            <w:left w:w="108" w:type="dxa"/>
            <w:bottom w:w="0" w:type="dxa"/>
            <w:right w:w="108" w:type="dxa"/>
          </w:tblCellMar>
        </w:tblPrEx>
        <w:trPr>
          <w:trHeight w:val="90" w:hRule="atLeast"/>
        </w:trPr>
        <w:tc>
          <w:tcPr>
            <w:tcW w:w="570" w:type="dxa"/>
            <w:tcBorders>
              <w:top w:val="single" w:color="000000" w:sz="4" w:space="0"/>
              <w:left w:val="single" w:color="000000" w:sz="4" w:space="0"/>
              <w:bottom w:val="single" w:color="000000" w:sz="4" w:space="0"/>
              <w:right w:val="single" w:color="000000" w:sz="4" w:space="0"/>
            </w:tcBorders>
            <w:noWrap/>
            <w:vAlign w:val="center"/>
          </w:tcPr>
          <w:p>
            <w:pPr>
              <w:spacing w:after="0" w:line="320" w:lineRule="exact"/>
              <w:rPr>
                <w:rFonts w:asciiTheme="minorEastAsia" w:hAnsiTheme="minorEastAsia" w:eastAsiaTheme="minorEastAsia"/>
              </w:rPr>
            </w:pPr>
            <w:r>
              <w:rPr>
                <w:rFonts w:hint="eastAsia" w:asciiTheme="minorEastAsia" w:hAnsiTheme="minorEastAsia" w:eastAsiaTheme="minorEastAsia"/>
              </w:rPr>
              <w:t>2</w:t>
            </w:r>
          </w:p>
        </w:tc>
        <w:tc>
          <w:tcPr>
            <w:tcW w:w="1183"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rPr>
                <w:rFonts w:asciiTheme="minorEastAsia" w:hAnsiTheme="minorEastAsia" w:eastAsiaTheme="minorEastAsia"/>
              </w:rPr>
            </w:pPr>
            <w:r>
              <w:rPr>
                <w:rFonts w:hint="eastAsia" w:asciiTheme="minorEastAsia" w:hAnsiTheme="minorEastAsia" w:eastAsiaTheme="minorEastAsia"/>
              </w:rPr>
              <w:t>核心分析控制卡</w:t>
            </w:r>
          </w:p>
          <w:p>
            <w:pPr>
              <w:spacing w:after="0" w:line="320" w:lineRule="exact"/>
              <w:rPr>
                <w:rFonts w:asciiTheme="minorEastAsia" w:hAnsiTheme="minorEastAsia" w:eastAsiaTheme="minorEastAsia"/>
              </w:rPr>
            </w:pPr>
          </w:p>
        </w:tc>
        <w:tc>
          <w:tcPr>
            <w:tcW w:w="5570" w:type="dxa"/>
            <w:tcBorders>
              <w:top w:val="single" w:color="000000" w:sz="4" w:space="0"/>
              <w:left w:val="single" w:color="000000" w:sz="4" w:space="0"/>
              <w:bottom w:val="single" w:color="000000" w:sz="4" w:space="0"/>
              <w:right w:val="single" w:color="000000" w:sz="4" w:space="0"/>
            </w:tcBorders>
          </w:tcPr>
          <w:p>
            <w:pPr>
              <w:spacing w:after="0" w:line="320" w:lineRule="exact"/>
              <w:rPr>
                <w:rFonts w:asciiTheme="minorEastAsia" w:hAnsiTheme="minorEastAsia" w:eastAsiaTheme="minorEastAsia"/>
              </w:rPr>
            </w:pPr>
            <w:r>
              <w:rPr>
                <w:rFonts w:hint="eastAsia" w:asciiTheme="minorEastAsia" w:hAnsiTheme="minorEastAsia" w:eastAsiaTheme="minorEastAsia"/>
              </w:rPr>
              <w:t>1.▲要求设备主控卡、业务板卡全部支持热插拔</w:t>
            </w:r>
          </w:p>
          <w:p>
            <w:pPr>
              <w:spacing w:after="0" w:line="320" w:lineRule="exact"/>
              <w:rPr>
                <w:rFonts w:asciiTheme="minorEastAsia" w:hAnsiTheme="minorEastAsia" w:eastAsiaTheme="minorEastAsia"/>
              </w:rPr>
            </w:pPr>
            <w:r>
              <w:rPr>
                <w:rFonts w:hint="eastAsia" w:asciiTheme="minorEastAsia" w:hAnsiTheme="minorEastAsia" w:eastAsiaTheme="minorEastAsia"/>
              </w:rPr>
              <w:t>2.▲支持提供52*10G端口形态的万兆接口线卡，具备满足48*10G正常业务端口外，还需要提供具备冗余能力的虚拟化互联10G端口。（提供相应的线卡型号及官网对应的模块选配信息截图并加盖供应商单位公章）</w:t>
            </w:r>
          </w:p>
          <w:p>
            <w:pPr>
              <w:spacing w:after="0" w:line="320" w:lineRule="exact"/>
              <w:rPr>
                <w:rFonts w:asciiTheme="minorEastAsia" w:hAnsiTheme="minorEastAsia" w:eastAsiaTheme="minorEastAsia"/>
              </w:rPr>
            </w:pPr>
            <w:r>
              <w:rPr>
                <w:rFonts w:hint="eastAsia" w:asciiTheme="minorEastAsia" w:hAnsiTheme="minorEastAsia" w:eastAsiaTheme="minorEastAsia"/>
              </w:rPr>
              <w:t>3.▲当设备配置高密度（≥52个）万兆单板和多（≥16个）40GE接口单板时，在256字节至1518字节的环境下，可以实现二层已知单播帧线速转发,提供具备国家认证认可的检测机构出具的带有CNAS/CMA标识的检测报告复印件加盖供应商单位公章；</w:t>
            </w:r>
          </w:p>
          <w:p>
            <w:pPr>
              <w:spacing w:after="0" w:line="320" w:lineRule="exact"/>
              <w:rPr>
                <w:rFonts w:asciiTheme="minorEastAsia" w:hAnsiTheme="minorEastAsia" w:eastAsiaTheme="minorEastAsia"/>
              </w:rPr>
            </w:pPr>
            <w:r>
              <w:rPr>
                <w:rFonts w:hint="eastAsia" w:asciiTheme="minorEastAsia" w:hAnsiTheme="minorEastAsia" w:eastAsiaTheme="minorEastAsia"/>
              </w:rPr>
              <w:t>4. ▲配置千兆电口≥24个，千兆光口≥24个，万兆光口≥52个，双主控，双电源；配置48个SFP+ 10G 单模模块(1310nm,10km,LC)</w:t>
            </w:r>
          </w:p>
          <w:p>
            <w:pPr>
              <w:spacing w:after="0" w:line="320" w:lineRule="exact"/>
              <w:rPr>
                <w:rFonts w:asciiTheme="minorEastAsia" w:hAnsiTheme="minorEastAsia" w:eastAsiaTheme="minorEastAsia"/>
              </w:rPr>
            </w:pPr>
            <w:r>
              <w:rPr>
                <w:rFonts w:hint="eastAsia" w:asciiTheme="minorEastAsia" w:hAnsiTheme="minorEastAsia" w:eastAsiaTheme="minorEastAsia"/>
              </w:rPr>
              <w:t>5.支持安全加密功能，包括OSPF国密SM3算法加密、配置文件SM3算法加密等, 提供具备国家认证认可的检测机构出具的带有CNAS/CMA标识的检测报告复印件加盖供应商单位鲜章；</w:t>
            </w:r>
          </w:p>
          <w:p>
            <w:pPr>
              <w:spacing w:after="0" w:line="320" w:lineRule="exact"/>
              <w:rPr>
                <w:rFonts w:asciiTheme="minorEastAsia" w:hAnsiTheme="minorEastAsia" w:eastAsiaTheme="minorEastAsia"/>
              </w:rPr>
            </w:pPr>
            <w:r>
              <w:rPr>
                <w:rFonts w:hint="eastAsia" w:asciiTheme="minorEastAsia" w:hAnsiTheme="minorEastAsia" w:eastAsiaTheme="minorEastAsia"/>
              </w:rPr>
              <w:t>6.▲支持OPENFLOW, NETCONF功能，二层TRILL、三层TRILL，VXLAN二层网关、三层网关等相关数据中心特性功能，提供具备国家认证认可的检测机构出具的带有CNAS/CMA标识的检测报告复印件加盖供应商单位鲜章；</w:t>
            </w:r>
          </w:p>
          <w:p>
            <w:pPr>
              <w:spacing w:after="0" w:line="320" w:lineRule="exact"/>
              <w:rPr>
                <w:rFonts w:asciiTheme="minorEastAsia" w:hAnsiTheme="minorEastAsia" w:eastAsiaTheme="minorEastAsia"/>
              </w:rPr>
            </w:pPr>
            <w:r>
              <w:rPr>
                <w:rFonts w:hint="eastAsia" w:asciiTheme="minorEastAsia" w:hAnsiTheme="minorEastAsia" w:eastAsiaTheme="minorEastAsia"/>
              </w:rPr>
              <w:t>7.支持VST，MVST和VDT等虚拟化功能，提供具备国家认证认可的检测机构出具的带有CNAS/CMA标识的检测报告复印件加盖供应商单位鲜章；</w:t>
            </w:r>
          </w:p>
          <w:p>
            <w:pPr>
              <w:spacing w:after="0" w:line="320" w:lineRule="exact"/>
              <w:rPr>
                <w:rFonts w:asciiTheme="minorEastAsia" w:hAnsiTheme="minorEastAsia" w:eastAsiaTheme="minorEastAsia"/>
              </w:rPr>
            </w:pPr>
            <w:r>
              <w:rPr>
                <w:rFonts w:hint="eastAsia" w:asciiTheme="minorEastAsia" w:hAnsiTheme="minorEastAsia" w:eastAsiaTheme="minorEastAsia"/>
              </w:rPr>
              <w:t>8.支持ISSU（不中断业务升级）功能，提供具备国家认证认可的检测机构出具的带有CNAS/CMA标识的检测报告复印件加盖供应商单位鲜章；</w:t>
            </w:r>
          </w:p>
        </w:tc>
        <w:tc>
          <w:tcPr>
            <w:tcW w:w="620" w:type="dxa"/>
            <w:tcBorders>
              <w:top w:val="single" w:color="000000" w:sz="4" w:space="0"/>
              <w:left w:val="single" w:color="000000" w:sz="4" w:space="0"/>
              <w:bottom w:val="single" w:color="000000" w:sz="4" w:space="0"/>
              <w:right w:val="single" w:color="000000" w:sz="4" w:space="0"/>
            </w:tcBorders>
            <w:noWrap/>
            <w:vAlign w:val="center"/>
          </w:tcPr>
          <w:p>
            <w:pPr>
              <w:spacing w:after="0" w:line="320" w:lineRule="exact"/>
              <w:rPr>
                <w:rFonts w:asciiTheme="minorEastAsia" w:hAnsiTheme="minorEastAsia" w:eastAsiaTheme="minorEastAsia"/>
              </w:rPr>
            </w:pPr>
            <w:r>
              <w:rPr>
                <w:rFonts w:hint="eastAsia" w:asciiTheme="minorEastAsia" w:hAnsiTheme="minorEastAsia" w:eastAsiaTheme="minorEastAsia"/>
              </w:rPr>
              <w:t>套</w:t>
            </w:r>
          </w:p>
        </w:tc>
        <w:tc>
          <w:tcPr>
            <w:tcW w:w="820" w:type="dxa"/>
            <w:tcBorders>
              <w:top w:val="single" w:color="000000" w:sz="4" w:space="0"/>
              <w:left w:val="single" w:color="000000" w:sz="4" w:space="0"/>
              <w:bottom w:val="single" w:color="000000" w:sz="4" w:space="0"/>
              <w:right w:val="single" w:color="000000" w:sz="4" w:space="0"/>
            </w:tcBorders>
            <w:noWrap/>
            <w:vAlign w:val="center"/>
          </w:tcPr>
          <w:p>
            <w:pPr>
              <w:spacing w:after="0" w:line="320" w:lineRule="exact"/>
              <w:rPr>
                <w:rFonts w:asciiTheme="minorEastAsia" w:hAnsiTheme="minorEastAsia" w:eastAsiaTheme="minorEastAsia"/>
              </w:rPr>
            </w:pPr>
            <w:r>
              <w:rPr>
                <w:rFonts w:hint="eastAsia" w:asciiTheme="minorEastAsia" w:hAnsiTheme="minorEastAsia" w:eastAsiaTheme="minorEastAsia"/>
              </w:rPr>
              <w:t>4</w:t>
            </w:r>
          </w:p>
        </w:tc>
      </w:tr>
      <w:tr>
        <w:tblPrEx>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noWrap/>
            <w:vAlign w:val="center"/>
          </w:tcPr>
          <w:p>
            <w:pPr>
              <w:spacing w:after="0" w:line="320" w:lineRule="exact"/>
              <w:rPr>
                <w:rFonts w:asciiTheme="minorEastAsia" w:hAnsiTheme="minorEastAsia" w:eastAsiaTheme="minorEastAsia"/>
              </w:rPr>
            </w:pPr>
            <w:r>
              <w:rPr>
                <w:rFonts w:hint="eastAsia" w:asciiTheme="minorEastAsia" w:hAnsiTheme="minorEastAsia" w:eastAsiaTheme="minorEastAsia"/>
              </w:rPr>
              <w:t>3</w:t>
            </w:r>
          </w:p>
        </w:tc>
        <w:tc>
          <w:tcPr>
            <w:tcW w:w="1183"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rPr>
                <w:rFonts w:asciiTheme="minorEastAsia" w:hAnsiTheme="minorEastAsia" w:eastAsiaTheme="minorEastAsia"/>
              </w:rPr>
            </w:pPr>
            <w:r>
              <w:rPr>
                <w:rFonts w:hint="eastAsia" w:asciiTheme="minorEastAsia" w:hAnsiTheme="minorEastAsia" w:eastAsiaTheme="minorEastAsia"/>
              </w:rPr>
              <w:t>数据传输器1</w:t>
            </w:r>
          </w:p>
        </w:tc>
        <w:tc>
          <w:tcPr>
            <w:tcW w:w="5570" w:type="dxa"/>
            <w:tcBorders>
              <w:top w:val="single" w:color="000000" w:sz="4" w:space="0"/>
              <w:left w:val="single" w:color="000000" w:sz="4" w:space="0"/>
              <w:bottom w:val="single" w:color="000000" w:sz="4" w:space="0"/>
              <w:right w:val="single" w:color="000000" w:sz="4" w:space="0"/>
            </w:tcBorders>
          </w:tcPr>
          <w:p>
            <w:pPr>
              <w:spacing w:after="0" w:line="320" w:lineRule="exact"/>
              <w:rPr>
                <w:rFonts w:asciiTheme="minorEastAsia" w:hAnsiTheme="minorEastAsia" w:eastAsiaTheme="minorEastAsia"/>
              </w:rPr>
            </w:pPr>
            <w:r>
              <w:rPr>
                <w:rFonts w:hint="eastAsia" w:asciiTheme="minorEastAsia" w:hAnsiTheme="minorEastAsia" w:eastAsiaTheme="minorEastAsia"/>
              </w:rPr>
              <w:t>1.▲要求设备固化24个千兆电口，4个万兆光口，固化双交流电源，配置万兆单模模块。不接受RPS电源方式，USB配置接口≥1，Reset键≥1，提供设备正面清晰图片，并加盖供应商单位鲜章。</w:t>
            </w:r>
          </w:p>
          <w:p>
            <w:pPr>
              <w:spacing w:after="0" w:line="320" w:lineRule="exact"/>
              <w:rPr>
                <w:rFonts w:asciiTheme="minorEastAsia" w:hAnsiTheme="minorEastAsia" w:eastAsiaTheme="minorEastAsia"/>
              </w:rPr>
            </w:pPr>
            <w:r>
              <w:rPr>
                <w:rFonts w:hint="eastAsia" w:asciiTheme="minorEastAsia" w:hAnsiTheme="minorEastAsia" w:eastAsiaTheme="minorEastAsia"/>
              </w:rPr>
              <w:t>2.▲交换容量≥516G，包转发率≥216Mpps</w:t>
            </w:r>
          </w:p>
          <w:p>
            <w:pPr>
              <w:spacing w:after="0" w:line="320" w:lineRule="exact"/>
              <w:rPr>
                <w:rFonts w:asciiTheme="minorEastAsia" w:hAnsiTheme="minorEastAsia" w:eastAsiaTheme="minorEastAsia"/>
              </w:rPr>
            </w:pPr>
            <w:r>
              <w:rPr>
                <w:rFonts w:hint="eastAsia" w:asciiTheme="minorEastAsia" w:hAnsiTheme="minorEastAsia" w:eastAsiaTheme="minorEastAsia"/>
              </w:rPr>
              <w:t>3.支持4K个802.1Q VLAN，Super vlan，支持基于端口、MAC、IP子网、协议的VLAN；支持端口的负载均衡、支持LACP，每个链路聚合组支持8个端口</w:t>
            </w:r>
          </w:p>
          <w:p>
            <w:pPr>
              <w:spacing w:after="0" w:line="320" w:lineRule="exact"/>
              <w:rPr>
                <w:rFonts w:asciiTheme="minorEastAsia" w:hAnsiTheme="minorEastAsia" w:eastAsiaTheme="minorEastAsia"/>
              </w:rPr>
            </w:pPr>
            <w:r>
              <w:rPr>
                <w:rFonts w:hint="eastAsia" w:asciiTheme="minorEastAsia" w:hAnsiTheme="minorEastAsia" w:eastAsiaTheme="minorEastAsia"/>
              </w:rPr>
              <w:t>4.▲支持静态路由、RIP、OSPF、ISIS和RIPng、OSPFv3等动态路由协议；支持BFD for VRRP/Static/RIP/OSPF/ISIS等。支持IGMP、IGMP Snooping；支持PIM-SM、PIM-DM等三层组播协议。持手工隧道、支持ISATAP、支持6to4隧道，支持IPV4/IPV6双栈功能。</w:t>
            </w:r>
          </w:p>
          <w:p>
            <w:pPr>
              <w:spacing w:after="0" w:line="320" w:lineRule="exact"/>
              <w:rPr>
                <w:rFonts w:asciiTheme="minorEastAsia" w:hAnsiTheme="minorEastAsia" w:eastAsiaTheme="minorEastAsia"/>
              </w:rPr>
            </w:pPr>
            <w:r>
              <w:rPr>
                <w:rFonts w:hint="eastAsia" w:asciiTheme="minorEastAsia" w:hAnsiTheme="minorEastAsia" w:eastAsiaTheme="minorEastAsia"/>
              </w:rPr>
              <w:t>5.▲支持≥8台横向虚拟化功能，实现多个物理设备虚拟为一个逻辑设备进行管理的虚拟化功能。（提供产品官网功能介绍截图和链接证明），同时支持纵向虚拟化功能，接入交换机作为核心交换机的端口扩展板卡进行配置统一管理,支持多台设备虚拟成一台设备。（提供技术说明和产品官网网站说明截图和链接），并加盖供应商单位鲜章。</w:t>
            </w:r>
          </w:p>
          <w:p>
            <w:pPr>
              <w:spacing w:after="0" w:line="320" w:lineRule="exact"/>
              <w:rPr>
                <w:rFonts w:asciiTheme="minorEastAsia" w:hAnsiTheme="minorEastAsia" w:eastAsiaTheme="minorEastAsia"/>
              </w:rPr>
            </w:pPr>
            <w:r>
              <w:rPr>
                <w:rFonts w:hint="eastAsia" w:asciiTheme="minorEastAsia" w:hAnsiTheme="minorEastAsia" w:eastAsiaTheme="minorEastAsia"/>
              </w:rPr>
              <w:t>6.▲支持CPU 保护功能，如ICMP Flood拦截、SYN Flood攻击拦截等，CPU根据不同协议进行限速保护。支持MSTP协议国密算法加密；RIP、OSPF协议支持国密认证算法，，支持配置文件国密算法加密，防护设备配置环境信息泄漏，以上需要原厂提供技术白皮书，并加盖投标人公章。</w:t>
            </w:r>
          </w:p>
          <w:p>
            <w:pPr>
              <w:spacing w:after="0" w:line="320" w:lineRule="exact"/>
              <w:rPr>
                <w:rFonts w:asciiTheme="minorEastAsia" w:hAnsiTheme="minorEastAsia" w:eastAsiaTheme="minorEastAsia"/>
              </w:rPr>
            </w:pPr>
            <w:r>
              <w:rPr>
                <w:rFonts w:hint="eastAsia" w:asciiTheme="minorEastAsia" w:hAnsiTheme="minorEastAsia" w:eastAsiaTheme="minorEastAsia"/>
              </w:rPr>
              <w:t>7.▲为了满足网络未来的发展趋势，要求设备支持SDN功能，需要支持Netconf协议，支持SDN控制器的统一管理</w:t>
            </w:r>
          </w:p>
          <w:p>
            <w:pPr>
              <w:spacing w:after="0" w:line="320" w:lineRule="exact"/>
              <w:rPr>
                <w:rFonts w:asciiTheme="minorEastAsia" w:hAnsiTheme="minorEastAsia" w:eastAsiaTheme="minorEastAsia"/>
              </w:rPr>
            </w:pPr>
            <w:r>
              <w:rPr>
                <w:rFonts w:hint="eastAsia" w:asciiTheme="minorEastAsia" w:hAnsiTheme="minorEastAsia" w:eastAsiaTheme="minorEastAsia"/>
              </w:rPr>
              <w:t>8.支持Console口登录管理、HTTP、Telnet（VTY）远程管理、WEB管理、SSH管理、SNMP V1/V2/V3、RMON 1/2/3/9、SYSLOG、DDMI、广播风暴显示。</w:t>
            </w:r>
          </w:p>
        </w:tc>
        <w:tc>
          <w:tcPr>
            <w:tcW w:w="620" w:type="dxa"/>
            <w:tcBorders>
              <w:top w:val="single" w:color="000000" w:sz="4" w:space="0"/>
              <w:left w:val="single" w:color="000000" w:sz="4" w:space="0"/>
              <w:bottom w:val="single" w:color="000000" w:sz="4" w:space="0"/>
              <w:right w:val="single" w:color="000000" w:sz="4" w:space="0"/>
            </w:tcBorders>
            <w:noWrap/>
            <w:vAlign w:val="center"/>
          </w:tcPr>
          <w:p>
            <w:pPr>
              <w:spacing w:after="0" w:line="320" w:lineRule="exact"/>
              <w:rPr>
                <w:rFonts w:asciiTheme="minorEastAsia" w:hAnsiTheme="minorEastAsia" w:eastAsiaTheme="minorEastAsia"/>
              </w:rPr>
            </w:pPr>
            <w:r>
              <w:rPr>
                <w:rFonts w:hint="eastAsia" w:asciiTheme="minorEastAsia" w:hAnsiTheme="minorEastAsia" w:eastAsiaTheme="minorEastAsia"/>
              </w:rPr>
              <w:t>台</w:t>
            </w:r>
          </w:p>
        </w:tc>
        <w:tc>
          <w:tcPr>
            <w:tcW w:w="820" w:type="dxa"/>
            <w:tcBorders>
              <w:top w:val="single" w:color="000000" w:sz="4" w:space="0"/>
              <w:left w:val="single" w:color="000000" w:sz="4" w:space="0"/>
              <w:bottom w:val="single" w:color="000000" w:sz="4" w:space="0"/>
              <w:right w:val="single" w:color="000000" w:sz="4" w:space="0"/>
            </w:tcBorders>
            <w:noWrap/>
            <w:vAlign w:val="center"/>
          </w:tcPr>
          <w:p>
            <w:pPr>
              <w:spacing w:after="0" w:line="320" w:lineRule="exact"/>
              <w:rPr>
                <w:rFonts w:asciiTheme="minorEastAsia" w:hAnsiTheme="minorEastAsia" w:eastAsiaTheme="minorEastAsia"/>
              </w:rPr>
            </w:pPr>
            <w:r>
              <w:rPr>
                <w:rFonts w:hint="eastAsia" w:asciiTheme="minorEastAsia" w:hAnsiTheme="minorEastAsia" w:eastAsiaTheme="minorEastAsia"/>
              </w:rPr>
              <w:t>18</w:t>
            </w:r>
          </w:p>
        </w:tc>
      </w:tr>
      <w:tr>
        <w:tblPrEx>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noWrap/>
            <w:vAlign w:val="center"/>
          </w:tcPr>
          <w:p>
            <w:pPr>
              <w:spacing w:after="0" w:line="320" w:lineRule="exact"/>
              <w:rPr>
                <w:rFonts w:asciiTheme="minorEastAsia" w:hAnsiTheme="minorEastAsia" w:eastAsiaTheme="minorEastAsia"/>
              </w:rPr>
            </w:pPr>
            <w:r>
              <w:rPr>
                <w:rFonts w:hint="eastAsia" w:asciiTheme="minorEastAsia" w:hAnsiTheme="minorEastAsia" w:eastAsiaTheme="minorEastAsia"/>
              </w:rPr>
              <w:t>4</w:t>
            </w:r>
          </w:p>
        </w:tc>
        <w:tc>
          <w:tcPr>
            <w:tcW w:w="1183"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rPr>
                <w:rFonts w:asciiTheme="minorEastAsia" w:hAnsiTheme="minorEastAsia" w:eastAsiaTheme="minorEastAsia"/>
              </w:rPr>
            </w:pPr>
            <w:r>
              <w:rPr>
                <w:rFonts w:hint="eastAsia" w:asciiTheme="minorEastAsia" w:hAnsiTheme="minorEastAsia" w:eastAsiaTheme="minorEastAsia"/>
              </w:rPr>
              <w:t>数据传输器2</w:t>
            </w:r>
          </w:p>
        </w:tc>
        <w:tc>
          <w:tcPr>
            <w:tcW w:w="5570" w:type="dxa"/>
            <w:tcBorders>
              <w:top w:val="single" w:color="000000" w:sz="4" w:space="0"/>
              <w:left w:val="single" w:color="000000" w:sz="4" w:space="0"/>
              <w:bottom w:val="single" w:color="000000" w:sz="4" w:space="0"/>
              <w:right w:val="single" w:color="000000" w:sz="4" w:space="0"/>
            </w:tcBorders>
          </w:tcPr>
          <w:p>
            <w:pPr>
              <w:spacing w:after="0" w:line="320" w:lineRule="exact"/>
              <w:rPr>
                <w:rFonts w:asciiTheme="minorEastAsia" w:hAnsiTheme="minorEastAsia" w:eastAsiaTheme="minorEastAsia"/>
              </w:rPr>
            </w:pPr>
            <w:r>
              <w:rPr>
                <w:rFonts w:hint="eastAsia" w:asciiTheme="minorEastAsia" w:hAnsiTheme="minorEastAsia" w:eastAsiaTheme="minorEastAsia"/>
              </w:rPr>
              <w:t>1.▲要求设备固化48个千兆电口，6个万兆光口，固化双交流电源，配置万兆单模模块。不接受RPS电源方式。USB配置接口≥1，提供设备正面清晰图片，并加盖投标人公章。</w:t>
            </w:r>
          </w:p>
          <w:p>
            <w:pPr>
              <w:spacing w:after="0" w:line="320" w:lineRule="exact"/>
              <w:rPr>
                <w:rFonts w:asciiTheme="minorEastAsia" w:hAnsiTheme="minorEastAsia" w:eastAsiaTheme="minorEastAsia"/>
              </w:rPr>
            </w:pPr>
            <w:r>
              <w:rPr>
                <w:rFonts w:hint="eastAsia" w:asciiTheme="minorEastAsia" w:hAnsiTheme="minorEastAsia" w:eastAsiaTheme="minorEastAsia"/>
              </w:rPr>
              <w:t>2.▲交换容量≥516G，包转发率≥288Mpps</w:t>
            </w:r>
          </w:p>
          <w:p>
            <w:pPr>
              <w:spacing w:after="0" w:line="320" w:lineRule="exact"/>
              <w:rPr>
                <w:rFonts w:asciiTheme="minorEastAsia" w:hAnsiTheme="minorEastAsia" w:eastAsiaTheme="minorEastAsia"/>
              </w:rPr>
            </w:pPr>
            <w:r>
              <w:rPr>
                <w:rFonts w:hint="eastAsia" w:asciiTheme="minorEastAsia" w:hAnsiTheme="minorEastAsia" w:eastAsiaTheme="minorEastAsia"/>
              </w:rPr>
              <w:t>3.支持4K个802.1Q VLAN，Super vlan，支持基于端口、MAC、IP子网、协议的VLAN；支持端口的负载均衡、支持LACP，每个链路聚合组支持8个端口</w:t>
            </w:r>
          </w:p>
          <w:p>
            <w:pPr>
              <w:spacing w:after="0" w:line="320" w:lineRule="exact"/>
              <w:rPr>
                <w:rFonts w:asciiTheme="minorEastAsia" w:hAnsiTheme="minorEastAsia" w:eastAsiaTheme="minorEastAsia"/>
              </w:rPr>
            </w:pPr>
            <w:r>
              <w:rPr>
                <w:rFonts w:hint="eastAsia" w:asciiTheme="minorEastAsia" w:hAnsiTheme="minorEastAsia" w:eastAsiaTheme="minorEastAsia"/>
              </w:rPr>
              <w:t>4.支持静态路由、RIP、OSPF、ISIS和RIPng、OSPFv3等动态路由协议；支持BFD for VRRP/Static/RIP/OSPF/ISIS等。支持IGMP、IGMP Snooping；支持PIM-SM、PIM-DM等三层组播协议。持手工隧道、支持ISATAP、支持6to4隧道，支持IPV4/IPV6双栈功能。</w:t>
            </w:r>
          </w:p>
          <w:p>
            <w:pPr>
              <w:spacing w:after="0" w:line="320" w:lineRule="exact"/>
              <w:rPr>
                <w:rFonts w:asciiTheme="minorEastAsia" w:hAnsiTheme="minorEastAsia" w:eastAsiaTheme="minorEastAsia"/>
              </w:rPr>
            </w:pPr>
            <w:r>
              <w:rPr>
                <w:rFonts w:hint="eastAsia" w:asciiTheme="minorEastAsia" w:hAnsiTheme="minorEastAsia" w:eastAsiaTheme="minorEastAsia"/>
              </w:rPr>
              <w:t>5.▲支持≥8台横向虚拟化功能，实现多个物理设备虚拟为一个逻辑设备进行管理的虚拟化功能。（提供产品官网功能介绍截图和链接证明），同时支持纵向虚拟化功能，接入交换机作为核心交换机的端口扩展板卡进行配置统一管理,支持多台设备虚拟成一台设备。（提供技术说明和产品官网网站说明截图和链接），并加盖供应商单位鲜章。</w:t>
            </w:r>
          </w:p>
          <w:p>
            <w:pPr>
              <w:spacing w:after="0" w:line="320" w:lineRule="exact"/>
              <w:rPr>
                <w:rFonts w:asciiTheme="minorEastAsia" w:hAnsiTheme="minorEastAsia" w:eastAsiaTheme="minorEastAsia"/>
              </w:rPr>
            </w:pPr>
            <w:r>
              <w:rPr>
                <w:rFonts w:hint="eastAsia" w:asciiTheme="minorEastAsia" w:hAnsiTheme="minorEastAsia" w:eastAsiaTheme="minorEastAsia"/>
              </w:rPr>
              <w:t>6.▲支持CPU 保护功能，如ICMP Flood拦截、SYN Flood攻击拦截等，CPU根据不同协议进行限速保护。支持MSTP协议国密算法加密；RIP、OSPF协议支持国密认证算法，，支持配置文件国密算法加密，防护设备配置环境信息泄漏，以上需要原厂提供技术白皮书，并加盖投标人公章。</w:t>
            </w:r>
          </w:p>
          <w:p>
            <w:pPr>
              <w:spacing w:after="0" w:line="320" w:lineRule="exact"/>
              <w:rPr>
                <w:rFonts w:asciiTheme="minorEastAsia" w:hAnsiTheme="minorEastAsia" w:eastAsiaTheme="minorEastAsia"/>
              </w:rPr>
            </w:pPr>
            <w:r>
              <w:rPr>
                <w:rFonts w:hint="eastAsia" w:asciiTheme="minorEastAsia" w:hAnsiTheme="minorEastAsia" w:eastAsiaTheme="minorEastAsia"/>
              </w:rPr>
              <w:t>7.▲为了满足网络未来的发展趋势，要求设备支持SDN功能，支持Netconf协议，支持SDN控制器的统一管理。</w:t>
            </w:r>
          </w:p>
          <w:p>
            <w:pPr>
              <w:spacing w:after="0" w:line="320" w:lineRule="exact"/>
              <w:rPr>
                <w:rFonts w:asciiTheme="minorEastAsia" w:hAnsiTheme="minorEastAsia" w:eastAsiaTheme="minorEastAsia"/>
              </w:rPr>
            </w:pPr>
            <w:r>
              <w:rPr>
                <w:rFonts w:hint="eastAsia" w:asciiTheme="minorEastAsia" w:hAnsiTheme="minorEastAsia" w:eastAsiaTheme="minorEastAsia"/>
              </w:rPr>
              <w:t>8.支持Console口登录管理、HTTP、Telnet（VTY）远程管理、WEB管理、SSH管理、SNMP V1/V2/V3、RMON 1/2/3/9、SYSLOG、DDMI、广播风暴显示。</w:t>
            </w:r>
          </w:p>
        </w:tc>
        <w:tc>
          <w:tcPr>
            <w:tcW w:w="620" w:type="dxa"/>
            <w:tcBorders>
              <w:top w:val="single" w:color="000000" w:sz="4" w:space="0"/>
              <w:left w:val="single" w:color="000000" w:sz="4" w:space="0"/>
              <w:bottom w:val="single" w:color="000000" w:sz="4" w:space="0"/>
              <w:right w:val="single" w:color="000000" w:sz="4" w:space="0"/>
            </w:tcBorders>
            <w:noWrap/>
            <w:vAlign w:val="center"/>
          </w:tcPr>
          <w:p>
            <w:pPr>
              <w:spacing w:after="0" w:line="320" w:lineRule="exact"/>
              <w:rPr>
                <w:rFonts w:asciiTheme="minorEastAsia" w:hAnsiTheme="minorEastAsia" w:eastAsiaTheme="minorEastAsia"/>
              </w:rPr>
            </w:pPr>
            <w:r>
              <w:rPr>
                <w:rFonts w:hint="eastAsia" w:asciiTheme="minorEastAsia" w:hAnsiTheme="minorEastAsia" w:eastAsiaTheme="minorEastAsia"/>
              </w:rPr>
              <w:t>台</w:t>
            </w:r>
          </w:p>
        </w:tc>
        <w:tc>
          <w:tcPr>
            <w:tcW w:w="820" w:type="dxa"/>
            <w:tcBorders>
              <w:top w:val="single" w:color="000000" w:sz="4" w:space="0"/>
              <w:left w:val="single" w:color="000000" w:sz="4" w:space="0"/>
              <w:bottom w:val="single" w:color="000000" w:sz="4" w:space="0"/>
              <w:right w:val="single" w:color="000000" w:sz="4" w:space="0"/>
            </w:tcBorders>
            <w:noWrap/>
            <w:vAlign w:val="center"/>
          </w:tcPr>
          <w:p>
            <w:pPr>
              <w:spacing w:after="0" w:line="320" w:lineRule="exact"/>
              <w:rPr>
                <w:rFonts w:asciiTheme="minorEastAsia" w:hAnsiTheme="minorEastAsia" w:eastAsiaTheme="minorEastAsia"/>
              </w:rPr>
            </w:pPr>
            <w:r>
              <w:rPr>
                <w:rFonts w:hint="eastAsia" w:asciiTheme="minorEastAsia" w:hAnsiTheme="minorEastAsia" w:eastAsiaTheme="minorEastAsia"/>
              </w:rPr>
              <w:t>30</w:t>
            </w:r>
          </w:p>
        </w:tc>
      </w:tr>
      <w:tr>
        <w:tblPrEx>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noWrap/>
            <w:vAlign w:val="center"/>
          </w:tcPr>
          <w:p>
            <w:pPr>
              <w:spacing w:after="0" w:line="320" w:lineRule="exact"/>
              <w:rPr>
                <w:rFonts w:asciiTheme="minorEastAsia" w:hAnsiTheme="minorEastAsia" w:eastAsiaTheme="minorEastAsia"/>
              </w:rPr>
            </w:pPr>
            <w:r>
              <w:rPr>
                <w:rFonts w:hint="eastAsia" w:asciiTheme="minorEastAsia" w:hAnsiTheme="minorEastAsia" w:eastAsiaTheme="minorEastAsia"/>
              </w:rPr>
              <w:t>5</w:t>
            </w:r>
          </w:p>
        </w:tc>
        <w:tc>
          <w:tcPr>
            <w:tcW w:w="1183"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rPr>
                <w:rFonts w:asciiTheme="minorEastAsia" w:hAnsiTheme="minorEastAsia" w:eastAsiaTheme="minorEastAsia"/>
              </w:rPr>
            </w:pPr>
            <w:r>
              <w:rPr>
                <w:rFonts w:hint="eastAsia" w:asciiTheme="minorEastAsia" w:hAnsiTheme="minorEastAsia" w:eastAsiaTheme="minorEastAsia"/>
              </w:rPr>
              <w:t>网络管理平台</w:t>
            </w:r>
          </w:p>
        </w:tc>
        <w:tc>
          <w:tcPr>
            <w:tcW w:w="5570" w:type="dxa"/>
            <w:tcBorders>
              <w:top w:val="single" w:color="000000" w:sz="4" w:space="0"/>
              <w:left w:val="single" w:color="000000" w:sz="4" w:space="0"/>
              <w:bottom w:val="single" w:color="000000" w:sz="4" w:space="0"/>
              <w:right w:val="single" w:color="000000" w:sz="4" w:space="0"/>
            </w:tcBorders>
          </w:tcPr>
          <w:p>
            <w:pPr>
              <w:spacing w:after="0" w:line="320" w:lineRule="exact"/>
              <w:rPr>
                <w:rFonts w:asciiTheme="minorEastAsia" w:hAnsiTheme="minorEastAsia" w:eastAsiaTheme="minorEastAsia"/>
              </w:rPr>
            </w:pPr>
            <w:r>
              <w:rPr>
                <w:rFonts w:hint="eastAsia" w:asciiTheme="minorEastAsia" w:hAnsiTheme="minorEastAsia" w:eastAsiaTheme="minorEastAsia"/>
              </w:rPr>
              <w:t>1.▲≥6个1000M电口，≥2个USB2.0接口；</w:t>
            </w:r>
            <w:r>
              <w:rPr>
                <w:rFonts w:hint="eastAsia" w:asciiTheme="minorEastAsia" w:hAnsiTheme="minorEastAsia" w:eastAsiaTheme="minorEastAsia"/>
              </w:rPr>
              <w:br w:type="textWrapping"/>
            </w:r>
            <w:r>
              <w:rPr>
                <w:rFonts w:hint="eastAsia" w:asciiTheme="minorEastAsia" w:hAnsiTheme="minorEastAsia" w:eastAsiaTheme="minorEastAsia"/>
              </w:rPr>
              <w:t>2.≥1个console口；</w:t>
            </w:r>
            <w:r>
              <w:rPr>
                <w:rFonts w:hint="eastAsia" w:asciiTheme="minorEastAsia" w:hAnsiTheme="minorEastAsia" w:eastAsiaTheme="minorEastAsia"/>
              </w:rPr>
              <w:br w:type="textWrapping"/>
            </w:r>
            <w:r>
              <w:rPr>
                <w:rFonts w:hint="eastAsia" w:asciiTheme="minorEastAsia" w:hAnsiTheme="minorEastAsia" w:eastAsiaTheme="minorEastAsia"/>
              </w:rPr>
              <w:t>3.▲支持管理≥200台交换机，本次授权管理端口≥210；</w:t>
            </w:r>
            <w:r>
              <w:rPr>
                <w:rFonts w:hint="eastAsia" w:asciiTheme="minorEastAsia" w:hAnsiTheme="minorEastAsia" w:eastAsiaTheme="minorEastAsia"/>
              </w:rPr>
              <w:br w:type="textWrapping"/>
            </w:r>
            <w:r>
              <w:rPr>
                <w:rFonts w:hint="eastAsia" w:asciiTheme="minorEastAsia" w:hAnsiTheme="minorEastAsia" w:eastAsiaTheme="minorEastAsia"/>
              </w:rPr>
              <w:t>4.支持在局域网中旁挂部署；</w:t>
            </w:r>
            <w:r>
              <w:rPr>
                <w:rFonts w:hint="eastAsia" w:asciiTheme="minorEastAsia" w:hAnsiTheme="minorEastAsia" w:eastAsiaTheme="minorEastAsia"/>
              </w:rPr>
              <w:br w:type="textWrapping"/>
            </w:r>
            <w:r>
              <w:rPr>
                <w:rFonts w:hint="eastAsia" w:asciiTheme="minorEastAsia" w:hAnsiTheme="minorEastAsia" w:eastAsiaTheme="minorEastAsia"/>
              </w:rPr>
              <w:t>5.▲确保多套物理网络安全隔离的同时，应通过本设备在局域网内实现多套网络的整合管理及运维；</w:t>
            </w:r>
            <w:r>
              <w:rPr>
                <w:rFonts w:hint="eastAsia" w:asciiTheme="minorEastAsia" w:hAnsiTheme="minorEastAsia" w:eastAsiaTheme="minorEastAsia"/>
              </w:rPr>
              <w:br w:type="textWrapping"/>
            </w:r>
            <w:r>
              <w:rPr>
                <w:rFonts w:hint="eastAsia" w:asciiTheme="minorEastAsia" w:hAnsiTheme="minorEastAsia" w:eastAsiaTheme="minorEastAsia"/>
              </w:rPr>
              <w:t>6.▲可依据项目场景，自主选择首页显示内容或自定义选择模块，投屏呈现最佳效果（提供功能截图，加盖投标人单位鲜章）；</w:t>
            </w:r>
            <w:r>
              <w:rPr>
                <w:rFonts w:hint="eastAsia" w:asciiTheme="minorEastAsia" w:hAnsiTheme="minorEastAsia" w:eastAsiaTheme="minorEastAsia"/>
              </w:rPr>
              <w:br w:type="textWrapping"/>
            </w:r>
            <w:r>
              <w:rPr>
                <w:rFonts w:hint="eastAsia" w:asciiTheme="minorEastAsia" w:hAnsiTheme="minorEastAsia" w:eastAsiaTheme="minorEastAsia"/>
              </w:rPr>
              <w:t>7.支持认证黑白名单；</w:t>
            </w:r>
            <w:r>
              <w:rPr>
                <w:rFonts w:hint="eastAsia" w:asciiTheme="minorEastAsia" w:hAnsiTheme="minorEastAsia" w:eastAsiaTheme="minorEastAsia"/>
              </w:rPr>
              <w:br w:type="textWrapping"/>
            </w:r>
            <w:r>
              <w:rPr>
                <w:rFonts w:hint="eastAsia" w:asciiTheme="minorEastAsia" w:hAnsiTheme="minorEastAsia" w:eastAsiaTheme="minorEastAsia"/>
              </w:rPr>
              <w:t>8.支持ARP防护；</w:t>
            </w:r>
            <w:r>
              <w:rPr>
                <w:rFonts w:hint="eastAsia" w:asciiTheme="minorEastAsia" w:hAnsiTheme="minorEastAsia" w:eastAsiaTheme="minorEastAsia"/>
              </w:rPr>
              <w:br w:type="textWrapping"/>
            </w:r>
            <w:r>
              <w:rPr>
                <w:rFonts w:hint="eastAsia" w:asciiTheme="minorEastAsia" w:hAnsiTheme="minorEastAsia" w:eastAsiaTheme="minorEastAsia"/>
              </w:rPr>
              <w:t>9.支持ACL管理，可灵活配置管理阻隔和放行URL、IP、ICMP、TCP、UDP端口等；</w:t>
            </w:r>
            <w:r>
              <w:rPr>
                <w:rFonts w:hint="eastAsia" w:asciiTheme="minorEastAsia" w:hAnsiTheme="minorEastAsia" w:eastAsiaTheme="minorEastAsia"/>
              </w:rPr>
              <w:br w:type="textWrapping"/>
            </w:r>
            <w:r>
              <w:rPr>
                <w:rFonts w:hint="eastAsia" w:asciiTheme="minorEastAsia" w:hAnsiTheme="minorEastAsia" w:eastAsiaTheme="minorEastAsia"/>
              </w:rPr>
              <w:t>10.支持强制用户下线；</w:t>
            </w:r>
            <w:r>
              <w:rPr>
                <w:rFonts w:hint="eastAsia" w:asciiTheme="minorEastAsia" w:hAnsiTheme="minorEastAsia" w:eastAsiaTheme="minorEastAsia"/>
              </w:rPr>
              <w:br w:type="textWrapping"/>
            </w:r>
            <w:r>
              <w:rPr>
                <w:rFonts w:hint="eastAsia" w:asciiTheme="minorEastAsia" w:hAnsiTheme="minorEastAsia" w:eastAsiaTheme="minorEastAsia"/>
              </w:rPr>
              <w:t>11.支持过时登录检测；</w:t>
            </w:r>
            <w:r>
              <w:rPr>
                <w:rFonts w:hint="eastAsia" w:asciiTheme="minorEastAsia" w:hAnsiTheme="minorEastAsia" w:eastAsiaTheme="minorEastAsia"/>
              </w:rPr>
              <w:br w:type="textWrapping"/>
            </w:r>
            <w:r>
              <w:rPr>
                <w:rFonts w:hint="eastAsia" w:asciiTheme="minorEastAsia" w:hAnsiTheme="minorEastAsia" w:eastAsiaTheme="minorEastAsia"/>
              </w:rPr>
              <w:t>12.支持无线安全审计功能；</w:t>
            </w:r>
            <w:r>
              <w:rPr>
                <w:rFonts w:hint="eastAsia" w:asciiTheme="minorEastAsia" w:hAnsiTheme="minorEastAsia" w:eastAsiaTheme="minorEastAsia"/>
              </w:rPr>
              <w:br w:type="textWrapping"/>
            </w:r>
            <w:r>
              <w:rPr>
                <w:rFonts w:hint="eastAsia" w:asciiTheme="minorEastAsia" w:hAnsiTheme="minorEastAsia" w:eastAsiaTheme="minorEastAsia"/>
              </w:rPr>
              <w:t>13.支持无线WPA、WPA2、WPA-PSK、WPA2-PSK等加密方式</w:t>
            </w:r>
            <w:r>
              <w:rPr>
                <w:rFonts w:hint="eastAsia" w:asciiTheme="minorEastAsia" w:hAnsiTheme="minorEastAsia" w:eastAsiaTheme="minorEastAsia"/>
              </w:rPr>
              <w:br w:type="textWrapping"/>
            </w:r>
            <w:r>
              <w:rPr>
                <w:rFonts w:hint="eastAsia" w:asciiTheme="minorEastAsia" w:hAnsiTheme="minorEastAsia" w:eastAsiaTheme="minorEastAsia"/>
              </w:rPr>
              <w:t>14.支持不同类型网络设备数量及占比统计；</w:t>
            </w:r>
            <w:r>
              <w:rPr>
                <w:rFonts w:hint="eastAsia" w:asciiTheme="minorEastAsia" w:hAnsiTheme="minorEastAsia" w:eastAsiaTheme="minorEastAsia"/>
              </w:rPr>
              <w:br w:type="textWrapping"/>
            </w:r>
            <w:r>
              <w:rPr>
                <w:rFonts w:hint="eastAsia" w:asciiTheme="minorEastAsia" w:hAnsiTheme="minorEastAsia" w:eastAsiaTheme="minorEastAsia"/>
              </w:rPr>
              <w:t>15.网络故障应快速发现，可基于网络拓扑图对网络故障进行定位告警，并给出处理预案（提供功能截图，加盖投标人单位鲜章）；</w:t>
            </w:r>
            <w:r>
              <w:rPr>
                <w:rFonts w:hint="eastAsia" w:asciiTheme="minorEastAsia" w:hAnsiTheme="minorEastAsia" w:eastAsiaTheme="minorEastAsia"/>
              </w:rPr>
              <w:br w:type="textWrapping"/>
            </w:r>
            <w:r>
              <w:rPr>
                <w:rFonts w:hint="eastAsia" w:asciiTheme="minorEastAsia" w:hAnsiTheme="minorEastAsia" w:eastAsiaTheme="minorEastAsia"/>
              </w:rPr>
              <w:t>16.支持对交换机批量重启、交换机定时重启、端口定时重启；</w:t>
            </w:r>
            <w:r>
              <w:rPr>
                <w:rFonts w:hint="eastAsia" w:asciiTheme="minorEastAsia" w:hAnsiTheme="minorEastAsia" w:eastAsiaTheme="minorEastAsia"/>
              </w:rPr>
              <w:br w:type="textWrapping"/>
            </w:r>
            <w:r>
              <w:rPr>
                <w:rFonts w:hint="eastAsia" w:asciiTheme="minorEastAsia" w:hAnsiTheme="minorEastAsia" w:eastAsiaTheme="minorEastAsia"/>
              </w:rPr>
              <w:t>17.支持PoE交换机端口的重启、智能重启等；</w:t>
            </w:r>
            <w:r>
              <w:rPr>
                <w:rFonts w:hint="eastAsia" w:asciiTheme="minorEastAsia" w:hAnsiTheme="minorEastAsia" w:eastAsiaTheme="minorEastAsia"/>
              </w:rPr>
              <w:br w:type="textWrapping"/>
            </w:r>
            <w:r>
              <w:rPr>
                <w:rFonts w:hint="eastAsia" w:asciiTheme="minorEastAsia" w:hAnsiTheme="minorEastAsia" w:eastAsiaTheme="minorEastAsia"/>
              </w:rPr>
              <w:t>18.支持查看POE交换机端口电压、电流、功率信息；</w:t>
            </w:r>
            <w:r>
              <w:rPr>
                <w:rFonts w:hint="eastAsia" w:asciiTheme="minorEastAsia" w:hAnsiTheme="minorEastAsia" w:eastAsiaTheme="minorEastAsia"/>
              </w:rPr>
              <w:br w:type="textWrapping"/>
            </w:r>
            <w:r>
              <w:rPr>
                <w:rFonts w:hint="eastAsia" w:asciiTheme="minorEastAsia" w:hAnsiTheme="minorEastAsia" w:eastAsiaTheme="minorEastAsia"/>
              </w:rPr>
              <w:t>19.支持自动生成网络拓扑图；</w:t>
            </w:r>
            <w:r>
              <w:rPr>
                <w:rFonts w:hint="eastAsia" w:asciiTheme="minorEastAsia" w:hAnsiTheme="minorEastAsia" w:eastAsiaTheme="minorEastAsia"/>
              </w:rPr>
              <w:br w:type="textWrapping"/>
            </w:r>
            <w:r>
              <w:rPr>
                <w:rFonts w:hint="eastAsia" w:asciiTheme="minorEastAsia" w:hAnsiTheme="minorEastAsia" w:eastAsiaTheme="minorEastAsia"/>
              </w:rPr>
              <w:t>20.考虑资产利旧和系统的兼容性，应支持管理主流厂商的网管型交换机，并可在拓扑图中呈现出来（提供功能截图，加盖投标人单位鲜章）；</w:t>
            </w:r>
            <w:r>
              <w:rPr>
                <w:rFonts w:hint="eastAsia" w:asciiTheme="minorEastAsia" w:hAnsiTheme="minorEastAsia" w:eastAsiaTheme="minorEastAsia"/>
              </w:rPr>
              <w:br w:type="textWrapping"/>
            </w:r>
            <w:r>
              <w:rPr>
                <w:rFonts w:hint="eastAsia" w:asciiTheme="minorEastAsia" w:hAnsiTheme="minorEastAsia" w:eastAsiaTheme="minorEastAsia"/>
              </w:rPr>
              <w:t>21.支持对交换机端口的图像化显示，并能以图标形式显示端口前端设备类型（AP、PC、IPC、门禁、对讲等终端）；</w:t>
            </w:r>
            <w:r>
              <w:rPr>
                <w:rFonts w:hint="eastAsia" w:asciiTheme="minorEastAsia" w:hAnsiTheme="minorEastAsia" w:eastAsiaTheme="minorEastAsia"/>
              </w:rPr>
              <w:br w:type="textWrapping"/>
            </w:r>
            <w:r>
              <w:rPr>
                <w:rFonts w:hint="eastAsia" w:asciiTheme="minorEastAsia" w:hAnsiTheme="minorEastAsia" w:eastAsiaTheme="minorEastAsia"/>
              </w:rPr>
              <w:t>22.支持云端管理；</w:t>
            </w:r>
            <w:r>
              <w:rPr>
                <w:rFonts w:hint="eastAsia" w:asciiTheme="minorEastAsia" w:hAnsiTheme="minorEastAsia" w:eastAsiaTheme="minorEastAsia"/>
              </w:rPr>
              <w:br w:type="textWrapping"/>
            </w:r>
            <w:r>
              <w:rPr>
                <w:rFonts w:hint="eastAsia" w:asciiTheme="minorEastAsia" w:hAnsiTheme="minorEastAsia" w:eastAsiaTheme="minorEastAsia"/>
              </w:rPr>
              <w:t>23.支持管理≥50种终端类型，包含计算机网络终端、安防网络终端、楼宇自控IP化终端等；</w:t>
            </w:r>
            <w:r>
              <w:rPr>
                <w:rFonts w:hint="eastAsia" w:asciiTheme="minorEastAsia" w:hAnsiTheme="minorEastAsia" w:eastAsiaTheme="minorEastAsia"/>
              </w:rPr>
              <w:br w:type="textWrapping"/>
            </w:r>
            <w:r>
              <w:rPr>
                <w:rFonts w:hint="eastAsia" w:asciiTheme="minorEastAsia" w:hAnsiTheme="minorEastAsia" w:eastAsiaTheme="minorEastAsia"/>
              </w:rPr>
              <w:t>24.支持不同类型前端设备数量及占比统计；</w:t>
            </w:r>
            <w:r>
              <w:rPr>
                <w:rFonts w:hint="eastAsia" w:asciiTheme="minorEastAsia" w:hAnsiTheme="minorEastAsia" w:eastAsiaTheme="minorEastAsia"/>
              </w:rPr>
              <w:br w:type="textWrapping"/>
            </w:r>
            <w:r>
              <w:rPr>
                <w:rFonts w:hint="eastAsia" w:asciiTheme="minorEastAsia" w:hAnsiTheme="minorEastAsia" w:eastAsiaTheme="minorEastAsia"/>
              </w:rPr>
              <w:t>25.网络终端故障应快速发现，支持对设备离线、流量异常进行告警；</w:t>
            </w:r>
            <w:r>
              <w:rPr>
                <w:rFonts w:hint="eastAsia" w:asciiTheme="minorEastAsia" w:hAnsiTheme="minorEastAsia" w:eastAsiaTheme="minorEastAsia"/>
              </w:rPr>
              <w:br w:type="textWrapping"/>
            </w:r>
            <w:r>
              <w:rPr>
                <w:rFonts w:hint="eastAsia" w:asciiTheme="minorEastAsia" w:hAnsiTheme="minorEastAsia" w:eastAsiaTheme="minorEastAsia"/>
              </w:rPr>
              <w:t>26.▲终端设备离线、流量异常时，可基于在拓扑中提示具体告警信息，并精准定位某一台设备（提供功能截图，加盖投标人单位鲜章）；</w:t>
            </w:r>
            <w:r>
              <w:rPr>
                <w:rFonts w:hint="eastAsia" w:asciiTheme="minorEastAsia" w:hAnsiTheme="minorEastAsia" w:eastAsiaTheme="minorEastAsia"/>
              </w:rPr>
              <w:br w:type="textWrapping"/>
            </w:r>
            <w:r>
              <w:rPr>
                <w:rFonts w:hint="eastAsia" w:asciiTheme="minorEastAsia" w:hAnsiTheme="minorEastAsia" w:eastAsiaTheme="minorEastAsia"/>
              </w:rPr>
              <w:t>27.▲支持识别终端设备（摄像头、服务器等），并生成拓扑图；</w:t>
            </w:r>
            <w:r>
              <w:rPr>
                <w:rFonts w:hint="eastAsia" w:asciiTheme="minorEastAsia" w:hAnsiTheme="minorEastAsia" w:eastAsiaTheme="minorEastAsia"/>
              </w:rPr>
              <w:br w:type="textWrapping"/>
            </w:r>
            <w:r>
              <w:rPr>
                <w:rFonts w:hint="eastAsia" w:asciiTheme="minorEastAsia" w:hAnsiTheme="minorEastAsia" w:eastAsiaTheme="minorEastAsia"/>
              </w:rPr>
              <w:t>28.▲为了解整个网络流量状态，实时查看链路利用率，应支持在拓扑中显示所有级联链路的上下行流量（提供功能截图，加盖投标人单位鲜章）；</w:t>
            </w:r>
            <w:r>
              <w:rPr>
                <w:rFonts w:hint="eastAsia" w:asciiTheme="minorEastAsia" w:hAnsiTheme="minorEastAsia" w:eastAsiaTheme="minorEastAsia"/>
              </w:rPr>
              <w:br w:type="textWrapping"/>
            </w:r>
            <w:r>
              <w:rPr>
                <w:rFonts w:hint="eastAsia" w:asciiTheme="minorEastAsia" w:hAnsiTheme="minorEastAsia" w:eastAsiaTheme="minorEastAsia"/>
              </w:rPr>
              <w:t>29.▲支持查看网络中摄像头的基本信息（包括位置、IP地址、设备厂商信息、类型及型号信息）（提供功能截图，加盖投标人单位鲜章）；</w:t>
            </w:r>
            <w:r>
              <w:rPr>
                <w:rFonts w:hint="eastAsia" w:asciiTheme="minorEastAsia" w:hAnsiTheme="minorEastAsia" w:eastAsiaTheme="minorEastAsia"/>
              </w:rPr>
              <w:br w:type="textWrapping"/>
            </w:r>
            <w:r>
              <w:rPr>
                <w:rFonts w:hint="eastAsia" w:asciiTheme="minorEastAsia" w:hAnsiTheme="minorEastAsia" w:eastAsiaTheme="minorEastAsia"/>
              </w:rPr>
              <w:t>30.支持对告警信息统计、分类查询、时间段查询。该产品具有系统安全专用产品销售许可证</w:t>
            </w:r>
          </w:p>
        </w:tc>
        <w:tc>
          <w:tcPr>
            <w:tcW w:w="620" w:type="dxa"/>
            <w:tcBorders>
              <w:top w:val="single" w:color="000000" w:sz="4" w:space="0"/>
              <w:left w:val="single" w:color="000000" w:sz="4" w:space="0"/>
              <w:bottom w:val="single" w:color="000000" w:sz="4" w:space="0"/>
              <w:right w:val="single" w:color="000000" w:sz="4" w:space="0"/>
            </w:tcBorders>
            <w:noWrap/>
            <w:vAlign w:val="center"/>
          </w:tcPr>
          <w:p>
            <w:pPr>
              <w:spacing w:after="0" w:line="320" w:lineRule="exact"/>
              <w:rPr>
                <w:rFonts w:asciiTheme="minorEastAsia" w:hAnsiTheme="minorEastAsia" w:eastAsiaTheme="minorEastAsia"/>
              </w:rPr>
            </w:pPr>
            <w:r>
              <w:rPr>
                <w:rFonts w:hint="eastAsia" w:asciiTheme="minorEastAsia" w:hAnsiTheme="minorEastAsia" w:eastAsiaTheme="minorEastAsia"/>
              </w:rPr>
              <w:t>台</w:t>
            </w:r>
          </w:p>
        </w:tc>
        <w:tc>
          <w:tcPr>
            <w:tcW w:w="820" w:type="dxa"/>
            <w:tcBorders>
              <w:top w:val="single" w:color="000000" w:sz="4" w:space="0"/>
              <w:left w:val="single" w:color="000000" w:sz="4" w:space="0"/>
              <w:bottom w:val="single" w:color="000000" w:sz="4" w:space="0"/>
              <w:right w:val="single" w:color="000000" w:sz="4" w:space="0"/>
            </w:tcBorders>
            <w:noWrap/>
            <w:vAlign w:val="center"/>
          </w:tcPr>
          <w:p>
            <w:pPr>
              <w:spacing w:after="0" w:line="320" w:lineRule="exact"/>
              <w:rPr>
                <w:rFonts w:asciiTheme="minorEastAsia" w:hAnsiTheme="minorEastAsia" w:eastAsiaTheme="minorEastAsia"/>
              </w:rPr>
            </w:pPr>
            <w:r>
              <w:rPr>
                <w:rFonts w:hint="eastAsia" w:asciiTheme="minorEastAsia" w:hAnsiTheme="minorEastAsia" w:eastAsiaTheme="minorEastAsia"/>
              </w:rPr>
              <w:t>1</w:t>
            </w:r>
          </w:p>
        </w:tc>
      </w:tr>
      <w:tr>
        <w:tblPrEx>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noWrap/>
            <w:vAlign w:val="center"/>
          </w:tcPr>
          <w:p>
            <w:pPr>
              <w:spacing w:after="0" w:line="320" w:lineRule="exact"/>
              <w:rPr>
                <w:rFonts w:asciiTheme="minorEastAsia" w:hAnsiTheme="minorEastAsia" w:eastAsiaTheme="minorEastAsia"/>
              </w:rPr>
            </w:pPr>
            <w:r>
              <w:rPr>
                <w:rFonts w:hint="eastAsia" w:asciiTheme="minorEastAsia" w:hAnsiTheme="minorEastAsia" w:eastAsiaTheme="minorEastAsia"/>
              </w:rPr>
              <w:t>6</w:t>
            </w:r>
          </w:p>
        </w:tc>
        <w:tc>
          <w:tcPr>
            <w:tcW w:w="1183"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rPr>
                <w:rFonts w:asciiTheme="minorEastAsia" w:hAnsiTheme="minorEastAsia" w:eastAsiaTheme="minorEastAsia"/>
              </w:rPr>
            </w:pPr>
            <w:r>
              <w:rPr>
                <w:rFonts w:hint="eastAsia" w:asciiTheme="minorEastAsia" w:hAnsiTheme="minorEastAsia" w:eastAsiaTheme="minorEastAsia"/>
              </w:rPr>
              <w:t>42U机柜</w:t>
            </w:r>
          </w:p>
        </w:tc>
        <w:tc>
          <w:tcPr>
            <w:tcW w:w="5570" w:type="dxa"/>
            <w:tcBorders>
              <w:top w:val="single" w:color="000000" w:sz="4" w:space="0"/>
              <w:left w:val="single" w:color="000000" w:sz="4" w:space="0"/>
              <w:bottom w:val="single" w:color="000000" w:sz="4" w:space="0"/>
              <w:right w:val="single" w:color="000000" w:sz="4" w:space="0"/>
            </w:tcBorders>
          </w:tcPr>
          <w:p>
            <w:pPr>
              <w:spacing w:after="0" w:line="320" w:lineRule="exact"/>
              <w:rPr>
                <w:rFonts w:asciiTheme="minorEastAsia" w:hAnsiTheme="minorEastAsia" w:eastAsiaTheme="minorEastAsia"/>
              </w:rPr>
            </w:pPr>
            <w:r>
              <w:rPr>
                <w:rFonts w:hint="eastAsia" w:asciiTheme="minorEastAsia" w:hAnsiTheme="minorEastAsia" w:eastAsiaTheme="minorEastAsia"/>
              </w:rPr>
              <w:t>符合ANSI/EIA RS-310-D、IEC297-2、DIN41494;PART1、DIN41494;PART7、GB/T3047.2-92;兼容ETSI标准;</w:t>
            </w:r>
            <w:r>
              <w:rPr>
                <w:rFonts w:hint="eastAsia" w:asciiTheme="minorEastAsia" w:hAnsiTheme="minorEastAsia" w:eastAsiaTheme="minorEastAsia"/>
              </w:rPr>
              <w:br w:type="textWrapping"/>
            </w:r>
            <w:r>
              <w:rPr>
                <w:rFonts w:hint="eastAsia" w:asciiTheme="minorEastAsia" w:hAnsiTheme="minorEastAsia" w:eastAsiaTheme="minorEastAsia"/>
              </w:rPr>
              <w:t>2.单开白色钢化玻璃前门、单开钣金后门、前后门免焊加强筋结构，美观牢固、前后门配高级典雅锁、可配客户需要的各种锁、前后门可改为双开；</w:t>
            </w:r>
            <w:r>
              <w:rPr>
                <w:rFonts w:hint="eastAsia" w:asciiTheme="minorEastAsia" w:hAnsiTheme="minorEastAsia" w:eastAsiaTheme="minorEastAsia"/>
              </w:rPr>
              <w:br w:type="textWrapping"/>
            </w:r>
            <w:r>
              <w:rPr>
                <w:rFonts w:hint="eastAsia" w:asciiTheme="minorEastAsia" w:hAnsiTheme="minorEastAsia" w:eastAsiaTheme="minorEastAsia"/>
              </w:rPr>
              <w:t>3.承载:静载≥800KG(带支架)；防护等级:≥IP20；</w:t>
            </w:r>
            <w:r>
              <w:rPr>
                <w:rFonts w:hint="eastAsia" w:asciiTheme="minorEastAsia" w:hAnsiTheme="minorEastAsia" w:eastAsiaTheme="minorEastAsia"/>
              </w:rPr>
              <w:br w:type="textWrapping"/>
            </w:r>
            <w:r>
              <w:rPr>
                <w:rFonts w:hint="eastAsia" w:asciiTheme="minorEastAsia" w:hAnsiTheme="minorEastAsia" w:eastAsiaTheme="minorEastAsia"/>
              </w:rPr>
              <w:t>4.材质:方孔条与安装梁耐指纹敷铝锌板、SPCC优质冷轧板;厚度：方孔条 ≥2.0mm;安装梁 ≥1.5mm;其余 ≥1.2mm；</w:t>
            </w:r>
            <w:r>
              <w:rPr>
                <w:rFonts w:hint="eastAsia" w:asciiTheme="minorEastAsia" w:hAnsiTheme="minorEastAsia" w:eastAsiaTheme="minorEastAsia"/>
              </w:rPr>
              <w:br w:type="textWrapping"/>
            </w:r>
            <w:r>
              <w:rPr>
                <w:rFonts w:hint="eastAsia" w:asciiTheme="minorEastAsia" w:hAnsiTheme="minorEastAsia" w:eastAsiaTheme="minorEastAsia"/>
              </w:rPr>
              <w:t>5.表面处理:方孔条、安装横梁：镀铝锌板 ;其余：脱脂、硅烷处理、静电喷塑；尺寸：宽≥800mm，深度≥1000mm，高度≥2000mm；</w:t>
            </w:r>
          </w:p>
          <w:p>
            <w:pPr>
              <w:spacing w:after="0" w:line="320" w:lineRule="exact"/>
              <w:rPr>
                <w:rFonts w:asciiTheme="minorEastAsia" w:hAnsiTheme="minorEastAsia" w:eastAsiaTheme="minorEastAsia"/>
              </w:rPr>
            </w:pPr>
            <w:r>
              <w:rPr>
                <w:rFonts w:hint="eastAsia" w:asciiTheme="minorEastAsia" w:hAnsiTheme="minorEastAsia" w:eastAsiaTheme="minorEastAsia"/>
              </w:rPr>
              <w:t>6.按弱电标准在招标方指定位置配置弱电机柜，并将核心交换机安装到弱电柜中；</w:t>
            </w:r>
            <w:r>
              <w:rPr>
                <w:rFonts w:hint="eastAsia" w:asciiTheme="minorEastAsia" w:hAnsiTheme="minorEastAsia" w:eastAsiaTheme="minorEastAsia"/>
              </w:rPr>
              <w:br w:type="textWrapping"/>
            </w:r>
            <w:r>
              <w:rPr>
                <w:rFonts w:hint="eastAsia" w:asciiTheme="minorEastAsia" w:hAnsiTheme="minorEastAsia" w:eastAsiaTheme="minorEastAsia"/>
              </w:rPr>
              <w:t>7.设置96口ODF光纤配线架一副，满配单模LC法兰并负责安装；</w:t>
            </w:r>
            <w:r>
              <w:rPr>
                <w:rFonts w:hint="eastAsia" w:asciiTheme="minorEastAsia" w:hAnsiTheme="minorEastAsia" w:eastAsiaTheme="minorEastAsia"/>
              </w:rPr>
              <w:br w:type="textWrapping"/>
            </w:r>
            <w:r>
              <w:rPr>
                <w:rFonts w:hint="eastAsia" w:asciiTheme="minorEastAsia" w:hAnsiTheme="minorEastAsia" w:eastAsiaTheme="minorEastAsia"/>
              </w:rPr>
              <w:t>8.从弱电机柜部署2根单模4芯2钢丝皮线光纤至本项目第6项和第7项接入机柜。每个接入端熔4根LC尾纤，管理中心42U机柜熔4根LC尾纤，并接入ODF架上的LC法兰。光纤链路应达到国标GB/T50312-2016 中关于光纤信道和链路测试的相关要求。供应商完工后应提供测试报告。采购人验收时按标准抽验。</w:t>
            </w:r>
          </w:p>
        </w:tc>
        <w:tc>
          <w:tcPr>
            <w:tcW w:w="620" w:type="dxa"/>
            <w:tcBorders>
              <w:top w:val="single" w:color="000000" w:sz="4" w:space="0"/>
              <w:left w:val="single" w:color="000000" w:sz="4" w:space="0"/>
              <w:bottom w:val="single" w:color="000000" w:sz="4" w:space="0"/>
              <w:right w:val="single" w:color="000000" w:sz="4" w:space="0"/>
            </w:tcBorders>
            <w:noWrap/>
            <w:vAlign w:val="center"/>
          </w:tcPr>
          <w:p>
            <w:pPr>
              <w:spacing w:after="0" w:line="320" w:lineRule="exact"/>
              <w:rPr>
                <w:rFonts w:asciiTheme="minorEastAsia" w:hAnsiTheme="minorEastAsia" w:eastAsiaTheme="minorEastAsia"/>
              </w:rPr>
            </w:pPr>
            <w:r>
              <w:rPr>
                <w:rFonts w:hint="eastAsia" w:asciiTheme="minorEastAsia" w:hAnsiTheme="minorEastAsia" w:eastAsiaTheme="minorEastAsia"/>
              </w:rPr>
              <w:t>个</w:t>
            </w:r>
          </w:p>
        </w:tc>
        <w:tc>
          <w:tcPr>
            <w:tcW w:w="820" w:type="dxa"/>
            <w:tcBorders>
              <w:top w:val="single" w:color="000000" w:sz="4" w:space="0"/>
              <w:left w:val="single" w:color="000000" w:sz="4" w:space="0"/>
              <w:bottom w:val="single" w:color="000000" w:sz="4" w:space="0"/>
              <w:right w:val="single" w:color="000000" w:sz="4" w:space="0"/>
            </w:tcBorders>
            <w:noWrap/>
            <w:vAlign w:val="center"/>
          </w:tcPr>
          <w:p>
            <w:pPr>
              <w:spacing w:after="0" w:line="320" w:lineRule="exact"/>
              <w:rPr>
                <w:rFonts w:asciiTheme="minorEastAsia" w:hAnsiTheme="minorEastAsia" w:eastAsiaTheme="minorEastAsia"/>
              </w:rPr>
            </w:pPr>
            <w:r>
              <w:rPr>
                <w:rFonts w:hint="eastAsia" w:asciiTheme="minorEastAsia" w:hAnsiTheme="minorEastAsia" w:eastAsiaTheme="minorEastAsia"/>
              </w:rPr>
              <w:t>2</w:t>
            </w:r>
          </w:p>
        </w:tc>
      </w:tr>
      <w:tr>
        <w:tblPrEx>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noWrap/>
            <w:vAlign w:val="center"/>
          </w:tcPr>
          <w:p>
            <w:pPr>
              <w:spacing w:after="0" w:line="320" w:lineRule="exact"/>
              <w:rPr>
                <w:rFonts w:asciiTheme="minorEastAsia" w:hAnsiTheme="minorEastAsia" w:eastAsiaTheme="minorEastAsia"/>
              </w:rPr>
            </w:pPr>
            <w:r>
              <w:rPr>
                <w:rFonts w:hint="eastAsia" w:asciiTheme="minorEastAsia" w:hAnsiTheme="minorEastAsia" w:eastAsiaTheme="minorEastAsia"/>
              </w:rPr>
              <w:t>7</w:t>
            </w:r>
          </w:p>
        </w:tc>
        <w:tc>
          <w:tcPr>
            <w:tcW w:w="1183"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rPr>
                <w:rFonts w:asciiTheme="minorEastAsia" w:hAnsiTheme="minorEastAsia" w:eastAsiaTheme="minorEastAsia"/>
              </w:rPr>
            </w:pPr>
            <w:r>
              <w:rPr>
                <w:rFonts w:hint="eastAsia" w:asciiTheme="minorEastAsia" w:hAnsiTheme="minorEastAsia" w:eastAsiaTheme="minorEastAsia"/>
              </w:rPr>
              <w:t>办公接入机柜</w:t>
            </w:r>
          </w:p>
        </w:tc>
        <w:tc>
          <w:tcPr>
            <w:tcW w:w="5570" w:type="dxa"/>
            <w:tcBorders>
              <w:top w:val="single" w:color="000000" w:sz="4" w:space="0"/>
              <w:left w:val="single" w:color="000000" w:sz="4" w:space="0"/>
              <w:bottom w:val="single" w:color="000000" w:sz="4" w:space="0"/>
              <w:right w:val="single" w:color="000000" w:sz="4" w:space="0"/>
            </w:tcBorders>
            <w:noWrap/>
          </w:tcPr>
          <w:p>
            <w:pPr>
              <w:spacing w:after="0" w:line="320" w:lineRule="exact"/>
              <w:rPr>
                <w:rFonts w:asciiTheme="minorEastAsia" w:hAnsiTheme="minorEastAsia" w:eastAsiaTheme="minorEastAsia"/>
              </w:rPr>
            </w:pPr>
            <w:r>
              <w:rPr>
                <w:rFonts w:hint="eastAsia" w:asciiTheme="minorEastAsia" w:hAnsiTheme="minorEastAsia" w:eastAsiaTheme="minorEastAsia"/>
              </w:rPr>
              <w:t>1.符合ANSI/EIA RS-310-D、IEC297-2、DIN41494;PART1、DIN41494;PART7、GB/T3047.2-92;兼容ETSI标准;</w:t>
            </w:r>
            <w:r>
              <w:rPr>
                <w:rFonts w:hint="eastAsia" w:asciiTheme="minorEastAsia" w:hAnsiTheme="minorEastAsia" w:eastAsiaTheme="minorEastAsia"/>
              </w:rPr>
              <w:br w:type="textWrapping"/>
            </w:r>
            <w:r>
              <w:rPr>
                <w:rFonts w:hint="eastAsia" w:asciiTheme="minorEastAsia" w:hAnsiTheme="minorEastAsia" w:eastAsiaTheme="minorEastAsia"/>
              </w:rPr>
              <w:t>2.单开白色钢化玻璃前门、单开钣金后门、前后门免焊加强筋结构，美观牢固、前后门配高级典雅锁、可配客户需要的各种锁、前后门可改为双开；</w:t>
            </w:r>
            <w:r>
              <w:rPr>
                <w:rFonts w:hint="eastAsia" w:asciiTheme="minorEastAsia" w:hAnsiTheme="minorEastAsia" w:eastAsiaTheme="minorEastAsia"/>
              </w:rPr>
              <w:br w:type="textWrapping"/>
            </w:r>
            <w:r>
              <w:rPr>
                <w:rFonts w:hint="eastAsia" w:asciiTheme="minorEastAsia" w:hAnsiTheme="minorEastAsia" w:eastAsiaTheme="minorEastAsia"/>
              </w:rPr>
              <w:t>3.材质:方孔条与安装梁耐指纹敷铝锌板、SPCC优质冷轧板；表面处理:方孔条、安装横梁：镀铝锌板 ;其余：脱脂、硅烷处理、静电喷塑；尺寸：宽≥600mm，深度≥450mm，高度≥368mm。</w:t>
            </w:r>
            <w:r>
              <w:rPr>
                <w:rFonts w:hint="eastAsia" w:asciiTheme="minorEastAsia" w:hAnsiTheme="minorEastAsia" w:eastAsiaTheme="minorEastAsia"/>
              </w:rPr>
              <w:br w:type="textWrapping"/>
            </w:r>
            <w:r>
              <w:rPr>
                <w:rFonts w:hint="eastAsia" w:asciiTheme="minorEastAsia" w:hAnsiTheme="minorEastAsia" w:eastAsiaTheme="minorEastAsia"/>
              </w:rPr>
              <w:t>4.按弱电标准在招标方指定位置配置弱电机柜，并将项目第二项数据传输器1安装到弱电机柜中；</w:t>
            </w:r>
            <w:r>
              <w:rPr>
                <w:rFonts w:hint="eastAsia" w:asciiTheme="minorEastAsia" w:hAnsiTheme="minorEastAsia" w:eastAsiaTheme="minorEastAsia"/>
              </w:rPr>
              <w:br w:type="textWrapping"/>
            </w:r>
            <w:r>
              <w:rPr>
                <w:rFonts w:hint="eastAsia" w:asciiTheme="minorEastAsia" w:hAnsiTheme="minorEastAsia" w:eastAsiaTheme="minorEastAsia"/>
              </w:rPr>
              <w:t>5.弱电柜中设置24口CAT6类千兆配线架一个，满配6类模块，并部署六类网线到400个办公及会议等其他信息点位，信息点位处配置并安装CAT6类网络面板。</w:t>
            </w:r>
          </w:p>
        </w:tc>
        <w:tc>
          <w:tcPr>
            <w:tcW w:w="620" w:type="dxa"/>
            <w:tcBorders>
              <w:top w:val="single" w:color="000000" w:sz="4" w:space="0"/>
              <w:left w:val="single" w:color="000000" w:sz="4" w:space="0"/>
              <w:bottom w:val="single" w:color="000000" w:sz="4" w:space="0"/>
              <w:right w:val="single" w:color="000000" w:sz="4" w:space="0"/>
            </w:tcBorders>
            <w:noWrap/>
            <w:vAlign w:val="center"/>
          </w:tcPr>
          <w:p>
            <w:pPr>
              <w:spacing w:after="0" w:line="320" w:lineRule="exact"/>
              <w:rPr>
                <w:rFonts w:asciiTheme="minorEastAsia" w:hAnsiTheme="minorEastAsia" w:eastAsiaTheme="minorEastAsia"/>
              </w:rPr>
            </w:pPr>
            <w:r>
              <w:rPr>
                <w:rFonts w:hint="eastAsia" w:asciiTheme="minorEastAsia" w:hAnsiTheme="minorEastAsia" w:eastAsiaTheme="minorEastAsia"/>
              </w:rPr>
              <w:t>个</w:t>
            </w:r>
          </w:p>
        </w:tc>
        <w:tc>
          <w:tcPr>
            <w:tcW w:w="820" w:type="dxa"/>
            <w:tcBorders>
              <w:top w:val="single" w:color="000000" w:sz="4" w:space="0"/>
              <w:left w:val="single" w:color="000000" w:sz="4" w:space="0"/>
              <w:bottom w:val="single" w:color="000000" w:sz="4" w:space="0"/>
              <w:right w:val="single" w:color="000000" w:sz="4" w:space="0"/>
            </w:tcBorders>
            <w:noWrap/>
            <w:vAlign w:val="center"/>
          </w:tcPr>
          <w:p>
            <w:pPr>
              <w:spacing w:after="0" w:line="320" w:lineRule="exact"/>
              <w:rPr>
                <w:rFonts w:asciiTheme="minorEastAsia" w:hAnsiTheme="minorEastAsia" w:eastAsiaTheme="minorEastAsia"/>
              </w:rPr>
            </w:pPr>
            <w:r>
              <w:rPr>
                <w:rFonts w:hint="eastAsia" w:asciiTheme="minorEastAsia" w:hAnsiTheme="minorEastAsia" w:eastAsiaTheme="minorEastAsia"/>
              </w:rPr>
              <w:t>18</w:t>
            </w:r>
          </w:p>
        </w:tc>
      </w:tr>
      <w:tr>
        <w:tblPrEx>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noWrap/>
            <w:vAlign w:val="center"/>
          </w:tcPr>
          <w:p>
            <w:pPr>
              <w:spacing w:after="0" w:line="320" w:lineRule="exact"/>
              <w:rPr>
                <w:rFonts w:asciiTheme="minorEastAsia" w:hAnsiTheme="minorEastAsia" w:eastAsiaTheme="minorEastAsia"/>
              </w:rPr>
            </w:pPr>
            <w:r>
              <w:rPr>
                <w:rFonts w:hint="eastAsia" w:asciiTheme="minorEastAsia" w:hAnsiTheme="minorEastAsia" w:eastAsiaTheme="minorEastAsia"/>
              </w:rPr>
              <w:t>8</w:t>
            </w:r>
          </w:p>
        </w:tc>
        <w:tc>
          <w:tcPr>
            <w:tcW w:w="1183"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rPr>
                <w:rFonts w:asciiTheme="minorEastAsia" w:hAnsiTheme="minorEastAsia" w:eastAsiaTheme="minorEastAsia"/>
              </w:rPr>
            </w:pPr>
            <w:r>
              <w:rPr>
                <w:rFonts w:hint="eastAsia" w:asciiTheme="minorEastAsia" w:hAnsiTheme="minorEastAsia" w:eastAsiaTheme="minorEastAsia"/>
              </w:rPr>
              <w:t>教室接入机柜</w:t>
            </w:r>
          </w:p>
        </w:tc>
        <w:tc>
          <w:tcPr>
            <w:tcW w:w="5570" w:type="dxa"/>
            <w:tcBorders>
              <w:top w:val="single" w:color="000000" w:sz="4" w:space="0"/>
              <w:left w:val="single" w:color="000000" w:sz="4" w:space="0"/>
              <w:bottom w:val="single" w:color="000000" w:sz="4" w:space="0"/>
              <w:right w:val="single" w:color="000000" w:sz="4" w:space="0"/>
            </w:tcBorders>
          </w:tcPr>
          <w:p>
            <w:pPr>
              <w:spacing w:after="0" w:line="320" w:lineRule="exact"/>
              <w:rPr>
                <w:rFonts w:asciiTheme="minorEastAsia" w:hAnsiTheme="minorEastAsia" w:eastAsiaTheme="minorEastAsia"/>
              </w:rPr>
            </w:pPr>
            <w:r>
              <w:rPr>
                <w:rFonts w:hint="eastAsia" w:asciiTheme="minorEastAsia" w:hAnsiTheme="minorEastAsia" w:eastAsiaTheme="minorEastAsia"/>
              </w:rPr>
              <w:t>1.符合ANSI/EIA RS-310-D、IEC297-2、DIN41494;PART1、DIN41494;PART7、GB/T3047.2-92;兼容ETSI标准;</w:t>
            </w:r>
            <w:r>
              <w:rPr>
                <w:rFonts w:hint="eastAsia" w:asciiTheme="minorEastAsia" w:hAnsiTheme="minorEastAsia" w:eastAsiaTheme="minorEastAsia"/>
              </w:rPr>
              <w:br w:type="textWrapping"/>
            </w:r>
            <w:r>
              <w:rPr>
                <w:rFonts w:hint="eastAsia" w:asciiTheme="minorEastAsia" w:hAnsiTheme="minorEastAsia" w:eastAsiaTheme="minorEastAsia"/>
              </w:rPr>
              <w:t>2.特点:单开白色钢化玻璃前门、单开钣金后门、前后门免焊加强筋结构，美观牢固、前后门配高级典雅锁、可配客户需要的各种锁、前后门可改为双开；</w:t>
            </w:r>
            <w:r>
              <w:rPr>
                <w:rFonts w:hint="eastAsia" w:asciiTheme="minorEastAsia" w:hAnsiTheme="minorEastAsia" w:eastAsiaTheme="minorEastAsia"/>
              </w:rPr>
              <w:br w:type="textWrapping"/>
            </w:r>
            <w:r>
              <w:rPr>
                <w:rFonts w:hint="eastAsia" w:asciiTheme="minorEastAsia" w:hAnsiTheme="minorEastAsia" w:eastAsiaTheme="minorEastAsia"/>
              </w:rPr>
              <w:t>3.防护等级:≥IP20；</w:t>
            </w:r>
            <w:r>
              <w:rPr>
                <w:rFonts w:hint="eastAsia" w:asciiTheme="minorEastAsia" w:hAnsiTheme="minorEastAsia" w:eastAsiaTheme="minorEastAsia"/>
              </w:rPr>
              <w:br w:type="textWrapping"/>
            </w:r>
            <w:r>
              <w:rPr>
                <w:rFonts w:hint="eastAsia" w:asciiTheme="minorEastAsia" w:hAnsiTheme="minorEastAsia" w:eastAsiaTheme="minorEastAsia"/>
              </w:rPr>
              <w:t>4.材质:方孔条与安装梁耐指纹敷铝锌板、SPCC优质冷轧板;</w:t>
            </w:r>
            <w:r>
              <w:rPr>
                <w:rFonts w:hint="eastAsia" w:asciiTheme="minorEastAsia" w:hAnsiTheme="minorEastAsia" w:eastAsiaTheme="minorEastAsia"/>
              </w:rPr>
              <w:br w:type="textWrapping"/>
            </w:r>
            <w:r>
              <w:rPr>
                <w:rFonts w:hint="eastAsia" w:asciiTheme="minorEastAsia" w:hAnsiTheme="minorEastAsia" w:eastAsiaTheme="minorEastAsia"/>
              </w:rPr>
              <w:t>5.厚度：方孔条 ≥2.0mm;安装梁 ≥1.5mm;其余 ≥1.2mm；</w:t>
            </w:r>
            <w:r>
              <w:rPr>
                <w:rFonts w:hint="eastAsia" w:asciiTheme="minorEastAsia" w:hAnsiTheme="minorEastAsia" w:eastAsiaTheme="minorEastAsia"/>
              </w:rPr>
              <w:br w:type="textWrapping"/>
            </w:r>
            <w:r>
              <w:rPr>
                <w:rFonts w:hint="eastAsia" w:asciiTheme="minorEastAsia" w:hAnsiTheme="minorEastAsia" w:eastAsiaTheme="minorEastAsia"/>
              </w:rPr>
              <w:t>6.表面处理:方孔条、安装横梁：镀铝锌板 ;其余：脱脂、硅烷处理、静电喷塑；</w:t>
            </w:r>
            <w:r>
              <w:rPr>
                <w:rFonts w:hint="eastAsia" w:asciiTheme="minorEastAsia" w:hAnsiTheme="minorEastAsia" w:eastAsiaTheme="minorEastAsia"/>
              </w:rPr>
              <w:br w:type="textWrapping"/>
            </w:r>
            <w:r>
              <w:rPr>
                <w:rFonts w:hint="eastAsia" w:asciiTheme="minorEastAsia" w:hAnsiTheme="minorEastAsia" w:eastAsiaTheme="minorEastAsia"/>
              </w:rPr>
              <w:t>7.尺寸：宽≥800mm，深度≥1000mm，高度≥1200mm；</w:t>
            </w:r>
            <w:r>
              <w:rPr>
                <w:rFonts w:hint="eastAsia" w:asciiTheme="minorEastAsia" w:hAnsiTheme="minorEastAsia" w:eastAsiaTheme="minorEastAsia"/>
              </w:rPr>
              <w:br w:type="textWrapping"/>
            </w:r>
            <w:r>
              <w:rPr>
                <w:rFonts w:hint="eastAsia" w:asciiTheme="minorEastAsia" w:hAnsiTheme="minorEastAsia" w:eastAsiaTheme="minorEastAsia"/>
              </w:rPr>
              <w:t>8.按弱电标准在招标方指定教室配置弱电机柜，并将项目第三项数据传输器2安装到弱电机柜中；</w:t>
            </w:r>
            <w:r>
              <w:rPr>
                <w:rFonts w:hint="eastAsia" w:asciiTheme="minorEastAsia" w:hAnsiTheme="minorEastAsia" w:eastAsiaTheme="minorEastAsia"/>
              </w:rPr>
              <w:br w:type="textWrapping"/>
            </w:r>
            <w:r>
              <w:rPr>
                <w:rFonts w:hint="eastAsia" w:asciiTheme="minorEastAsia" w:hAnsiTheme="minorEastAsia" w:eastAsiaTheme="minorEastAsia"/>
              </w:rPr>
              <w:t>9.弱电柜中设置48口CAT6类千兆配线架一个，并满配6类模块；</w:t>
            </w:r>
            <w:r>
              <w:rPr>
                <w:rFonts w:hint="eastAsia" w:asciiTheme="minorEastAsia" w:hAnsiTheme="minorEastAsia" w:eastAsiaTheme="minorEastAsia"/>
              </w:rPr>
              <w:br w:type="textWrapping"/>
            </w:r>
            <w:r>
              <w:rPr>
                <w:rFonts w:hint="eastAsia" w:asciiTheme="minorEastAsia" w:hAnsiTheme="minorEastAsia" w:eastAsiaTheme="minorEastAsia"/>
              </w:rPr>
              <w:t>10.从弱电柜部署2根单模4芯2钢丝皮线光纤至楼栋弱电间。教室端熔4根LC尾纤，弱电间熔4根LC尾纤，并接入ODF架上的LC法兰。光纤链路应达到国标GB/T50312-2016 中关于光纤信道和链路测试的相关要求。供应商完工后应提供测试报告。采购人验收时按标准抽验。</w:t>
            </w:r>
          </w:p>
        </w:tc>
        <w:tc>
          <w:tcPr>
            <w:tcW w:w="620" w:type="dxa"/>
            <w:tcBorders>
              <w:top w:val="single" w:color="000000" w:sz="4" w:space="0"/>
              <w:left w:val="single" w:color="000000" w:sz="4" w:space="0"/>
              <w:bottom w:val="single" w:color="000000" w:sz="4" w:space="0"/>
              <w:right w:val="single" w:color="000000" w:sz="4" w:space="0"/>
            </w:tcBorders>
            <w:noWrap/>
            <w:vAlign w:val="center"/>
          </w:tcPr>
          <w:p>
            <w:pPr>
              <w:spacing w:after="0" w:line="320" w:lineRule="exact"/>
              <w:rPr>
                <w:rFonts w:asciiTheme="minorEastAsia" w:hAnsiTheme="minorEastAsia" w:eastAsiaTheme="minorEastAsia"/>
              </w:rPr>
            </w:pPr>
            <w:r>
              <w:rPr>
                <w:rFonts w:hint="eastAsia" w:asciiTheme="minorEastAsia" w:hAnsiTheme="minorEastAsia" w:eastAsiaTheme="minorEastAsia"/>
              </w:rPr>
              <w:t>个</w:t>
            </w:r>
          </w:p>
        </w:tc>
        <w:tc>
          <w:tcPr>
            <w:tcW w:w="820" w:type="dxa"/>
            <w:tcBorders>
              <w:top w:val="single" w:color="000000" w:sz="4" w:space="0"/>
              <w:left w:val="single" w:color="000000" w:sz="4" w:space="0"/>
              <w:bottom w:val="single" w:color="000000" w:sz="4" w:space="0"/>
              <w:right w:val="single" w:color="000000" w:sz="4" w:space="0"/>
            </w:tcBorders>
            <w:noWrap/>
            <w:vAlign w:val="center"/>
          </w:tcPr>
          <w:p>
            <w:pPr>
              <w:spacing w:after="0" w:line="320" w:lineRule="exact"/>
              <w:rPr>
                <w:rFonts w:asciiTheme="minorEastAsia" w:hAnsiTheme="minorEastAsia" w:eastAsiaTheme="minorEastAsia"/>
              </w:rPr>
            </w:pPr>
            <w:r>
              <w:rPr>
                <w:rFonts w:hint="eastAsia" w:asciiTheme="minorEastAsia" w:hAnsiTheme="minorEastAsia" w:eastAsiaTheme="minorEastAsia"/>
              </w:rPr>
              <w:t>25</w:t>
            </w:r>
          </w:p>
        </w:tc>
      </w:tr>
      <w:tr>
        <w:tblPrEx>
          <w:tblCellMar>
            <w:top w:w="0" w:type="dxa"/>
            <w:left w:w="108" w:type="dxa"/>
            <w:bottom w:w="0" w:type="dxa"/>
            <w:right w:w="108" w:type="dxa"/>
          </w:tblCellMar>
        </w:tblPrEx>
        <w:trPr>
          <w:trHeight w:val="410" w:hRule="atLeast"/>
        </w:trPr>
        <w:tc>
          <w:tcPr>
            <w:tcW w:w="570" w:type="dxa"/>
            <w:tcBorders>
              <w:top w:val="single" w:color="000000" w:sz="4" w:space="0"/>
              <w:left w:val="single" w:color="000000" w:sz="4" w:space="0"/>
              <w:bottom w:val="single" w:color="000000" w:sz="4" w:space="0"/>
              <w:right w:val="single" w:color="000000" w:sz="4" w:space="0"/>
            </w:tcBorders>
            <w:noWrap/>
            <w:vAlign w:val="center"/>
          </w:tcPr>
          <w:p>
            <w:pPr>
              <w:spacing w:after="0" w:line="320" w:lineRule="exact"/>
              <w:rPr>
                <w:rFonts w:asciiTheme="minorEastAsia" w:hAnsiTheme="minorEastAsia" w:eastAsiaTheme="minorEastAsia"/>
              </w:rPr>
            </w:pPr>
            <w:r>
              <w:rPr>
                <w:rFonts w:hint="eastAsia" w:asciiTheme="minorEastAsia" w:hAnsiTheme="minorEastAsia" w:eastAsiaTheme="minorEastAsia"/>
              </w:rPr>
              <w:t>9</w:t>
            </w:r>
          </w:p>
        </w:tc>
        <w:tc>
          <w:tcPr>
            <w:tcW w:w="1183"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rPr>
                <w:rFonts w:asciiTheme="minorEastAsia" w:hAnsiTheme="minorEastAsia" w:eastAsiaTheme="minorEastAsia"/>
              </w:rPr>
            </w:pPr>
            <w:r>
              <w:rPr>
                <w:rFonts w:hint="eastAsia" w:asciiTheme="minorEastAsia" w:hAnsiTheme="minorEastAsia" w:eastAsiaTheme="minorEastAsia"/>
              </w:rPr>
              <w:t>无线控制器</w:t>
            </w:r>
          </w:p>
        </w:tc>
        <w:tc>
          <w:tcPr>
            <w:tcW w:w="5570" w:type="dxa"/>
            <w:tcBorders>
              <w:top w:val="single" w:color="000000" w:sz="4" w:space="0"/>
              <w:left w:val="single" w:color="000000" w:sz="4" w:space="0"/>
              <w:bottom w:val="single" w:color="000000" w:sz="4" w:space="0"/>
              <w:right w:val="single" w:color="000000" w:sz="4" w:space="0"/>
            </w:tcBorders>
          </w:tcPr>
          <w:p>
            <w:pPr>
              <w:spacing w:after="0" w:line="320" w:lineRule="exact"/>
              <w:rPr>
                <w:rFonts w:asciiTheme="minorEastAsia" w:hAnsiTheme="minorEastAsia" w:eastAsiaTheme="minorEastAsia"/>
              </w:rPr>
            </w:pPr>
            <w:r>
              <w:rPr>
                <w:rFonts w:hint="eastAsia" w:asciiTheme="minorEastAsia" w:hAnsiTheme="minorEastAsia" w:eastAsiaTheme="minorEastAsia"/>
              </w:rPr>
              <w:t>1.设备固化支持8个千兆电和2个千兆光口，最大可管理AP数目256，最大带机量≥2000。可以安装在标准1U机柜；</w:t>
            </w:r>
          </w:p>
          <w:p>
            <w:pPr>
              <w:spacing w:after="0" w:line="320" w:lineRule="exact"/>
              <w:rPr>
                <w:rFonts w:asciiTheme="minorEastAsia" w:hAnsiTheme="minorEastAsia" w:eastAsiaTheme="minorEastAsia"/>
              </w:rPr>
            </w:pPr>
            <w:r>
              <w:rPr>
                <w:rFonts w:hint="eastAsia" w:asciiTheme="minorEastAsia" w:hAnsiTheme="minorEastAsia" w:eastAsiaTheme="minorEastAsia"/>
              </w:rPr>
              <w:t>2.▲设备支持二层漫游，支持AP和AC之间支持L2/L3层网络拓扑，AP自动发现可接入的AC，AP可以自动从AC更新软件版本，AP可以自动从AC下载配置，AP可以定时重启等无线组网协议；</w:t>
            </w:r>
          </w:p>
          <w:p>
            <w:pPr>
              <w:spacing w:after="0" w:line="320" w:lineRule="exact"/>
              <w:rPr>
                <w:rFonts w:asciiTheme="minorEastAsia" w:hAnsiTheme="minorEastAsia" w:eastAsiaTheme="minorEastAsia"/>
              </w:rPr>
            </w:pPr>
            <w:r>
              <w:rPr>
                <w:rFonts w:hint="eastAsia" w:asciiTheme="minorEastAsia" w:hAnsiTheme="minorEastAsia" w:eastAsiaTheme="minorEastAsia"/>
              </w:rPr>
              <w:t>3.支持基于AP的带宽限速，基于WLAN的带宽限速，支持每终端的Qos控制（实现终端带宽限速），支持802.11e/WMM等无线QOS功能；</w:t>
            </w:r>
          </w:p>
          <w:p>
            <w:pPr>
              <w:spacing w:after="0" w:line="320" w:lineRule="exact"/>
              <w:rPr>
                <w:rFonts w:asciiTheme="minorEastAsia" w:hAnsiTheme="minorEastAsia" w:eastAsiaTheme="minorEastAsia"/>
              </w:rPr>
            </w:pPr>
            <w:r>
              <w:rPr>
                <w:rFonts w:hint="eastAsia" w:asciiTheme="minorEastAsia" w:hAnsiTheme="minorEastAsia" w:eastAsiaTheme="minorEastAsia"/>
              </w:rPr>
              <w:t>4.▲支持AP逃生和本地转发，基于SSID的二层隔离，基于AP用户数限制，基于SSID用户数限制，基于接入用户数的射频间负载均衡，支持弱信号下线和禁止接入，支持5G用户优先接入；</w:t>
            </w:r>
          </w:p>
          <w:p>
            <w:pPr>
              <w:spacing w:after="0" w:line="320" w:lineRule="exact"/>
              <w:rPr>
                <w:rFonts w:asciiTheme="minorEastAsia" w:hAnsiTheme="minorEastAsia" w:eastAsiaTheme="minorEastAsia"/>
              </w:rPr>
            </w:pPr>
            <w:r>
              <w:rPr>
                <w:rFonts w:hint="eastAsia" w:asciiTheme="minorEastAsia" w:hAnsiTheme="minorEastAsia" w:eastAsiaTheme="minorEastAsia"/>
              </w:rPr>
              <w:t>5.支持手动设置发射功率和支持自动设置工作信道，支持雷达规避；</w:t>
            </w:r>
          </w:p>
          <w:p>
            <w:pPr>
              <w:spacing w:after="0" w:line="320" w:lineRule="exact"/>
              <w:rPr>
                <w:rFonts w:asciiTheme="minorEastAsia" w:hAnsiTheme="minorEastAsia" w:eastAsiaTheme="minorEastAsia"/>
              </w:rPr>
            </w:pPr>
            <w:r>
              <w:rPr>
                <w:rFonts w:hint="eastAsia" w:asciiTheme="minorEastAsia" w:hAnsiTheme="minorEastAsia" w:eastAsiaTheme="minorEastAsia"/>
              </w:rPr>
              <w:t>6.支持丰富的认证方式，支持open、WPA PSK、WPA2 PSK认证，支持远端portal认证，可支持账号认证和访客认证，其中账号认证支持外部账号（RADIUS），访客认证支持短信、微信、二维码和免认证，portal认证，终端跨三层接入同一SSID后无需重新认证；</w:t>
            </w:r>
          </w:p>
          <w:p>
            <w:pPr>
              <w:spacing w:after="0" w:line="320" w:lineRule="exact"/>
              <w:rPr>
                <w:rFonts w:asciiTheme="minorEastAsia" w:hAnsiTheme="minorEastAsia" w:eastAsiaTheme="minorEastAsia"/>
              </w:rPr>
            </w:pPr>
            <w:r>
              <w:rPr>
                <w:rFonts w:hint="eastAsia" w:asciiTheme="minorEastAsia" w:hAnsiTheme="minorEastAsia" w:eastAsiaTheme="minorEastAsia"/>
              </w:rPr>
              <w:t>7.支持多SSID，支持隐藏SSID，支持MAC静态黑白名单和802.11安全和加密；</w:t>
            </w:r>
          </w:p>
          <w:p>
            <w:pPr>
              <w:spacing w:after="0" w:line="320" w:lineRule="exact"/>
              <w:rPr>
                <w:rFonts w:asciiTheme="minorEastAsia" w:hAnsiTheme="minorEastAsia" w:eastAsiaTheme="minorEastAsia"/>
              </w:rPr>
            </w:pPr>
            <w:r>
              <w:rPr>
                <w:rFonts w:hint="eastAsia" w:asciiTheme="minorEastAsia" w:hAnsiTheme="minorEastAsia" w:eastAsiaTheme="minorEastAsia"/>
              </w:rPr>
              <w:t>8.支持多种管理方式，要求有Syslog，SNMPv1/v2c/v3，AP和网关固件升级，ssh、telnet、console登陆，支持WEB本地管理等。</w:t>
            </w:r>
          </w:p>
        </w:tc>
        <w:tc>
          <w:tcPr>
            <w:tcW w:w="620" w:type="dxa"/>
            <w:tcBorders>
              <w:top w:val="single" w:color="000000" w:sz="4" w:space="0"/>
              <w:left w:val="single" w:color="000000" w:sz="4" w:space="0"/>
              <w:bottom w:val="single" w:color="000000" w:sz="4" w:space="0"/>
              <w:right w:val="single" w:color="000000" w:sz="4" w:space="0"/>
            </w:tcBorders>
            <w:noWrap/>
            <w:vAlign w:val="center"/>
          </w:tcPr>
          <w:p>
            <w:pPr>
              <w:spacing w:after="0" w:line="320" w:lineRule="exact"/>
              <w:rPr>
                <w:rFonts w:asciiTheme="minorEastAsia" w:hAnsiTheme="minorEastAsia" w:eastAsiaTheme="minorEastAsia"/>
              </w:rPr>
            </w:pPr>
            <w:r>
              <w:rPr>
                <w:rFonts w:hint="eastAsia" w:asciiTheme="minorEastAsia" w:hAnsiTheme="minorEastAsia" w:eastAsiaTheme="minorEastAsia"/>
              </w:rPr>
              <w:t>台</w:t>
            </w:r>
          </w:p>
        </w:tc>
        <w:tc>
          <w:tcPr>
            <w:tcW w:w="820" w:type="dxa"/>
            <w:tcBorders>
              <w:top w:val="single" w:color="000000" w:sz="4" w:space="0"/>
              <w:left w:val="single" w:color="000000" w:sz="4" w:space="0"/>
              <w:bottom w:val="single" w:color="000000" w:sz="4" w:space="0"/>
              <w:right w:val="single" w:color="000000" w:sz="4" w:space="0"/>
            </w:tcBorders>
            <w:noWrap/>
            <w:vAlign w:val="center"/>
          </w:tcPr>
          <w:p>
            <w:pPr>
              <w:spacing w:after="0" w:line="320" w:lineRule="exact"/>
              <w:rPr>
                <w:rFonts w:asciiTheme="minorEastAsia" w:hAnsiTheme="minorEastAsia" w:eastAsiaTheme="minorEastAsia"/>
              </w:rPr>
            </w:pPr>
            <w:r>
              <w:rPr>
                <w:rFonts w:hint="eastAsia" w:asciiTheme="minorEastAsia" w:hAnsiTheme="minorEastAsia" w:eastAsiaTheme="minorEastAsia"/>
              </w:rPr>
              <w:t>1</w:t>
            </w:r>
          </w:p>
        </w:tc>
      </w:tr>
      <w:tr>
        <w:tblPrEx>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noWrap/>
            <w:vAlign w:val="center"/>
          </w:tcPr>
          <w:p>
            <w:pPr>
              <w:spacing w:after="0" w:line="320" w:lineRule="exact"/>
              <w:rPr>
                <w:rFonts w:asciiTheme="minorEastAsia" w:hAnsiTheme="minorEastAsia" w:eastAsiaTheme="minorEastAsia"/>
              </w:rPr>
            </w:pPr>
            <w:r>
              <w:rPr>
                <w:rFonts w:hint="eastAsia" w:asciiTheme="minorEastAsia" w:hAnsiTheme="minorEastAsia" w:eastAsiaTheme="minorEastAsia"/>
              </w:rPr>
              <w:t>10</w:t>
            </w:r>
          </w:p>
        </w:tc>
        <w:tc>
          <w:tcPr>
            <w:tcW w:w="1183"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rPr>
                <w:rFonts w:asciiTheme="minorEastAsia" w:hAnsiTheme="minorEastAsia" w:eastAsiaTheme="minorEastAsia"/>
              </w:rPr>
            </w:pPr>
            <w:r>
              <w:rPr>
                <w:rFonts w:hint="eastAsia" w:asciiTheme="minorEastAsia" w:hAnsiTheme="minorEastAsia" w:eastAsiaTheme="minorEastAsia"/>
              </w:rPr>
              <w:t>无线AP</w:t>
            </w:r>
          </w:p>
        </w:tc>
        <w:tc>
          <w:tcPr>
            <w:tcW w:w="5570" w:type="dxa"/>
            <w:tcBorders>
              <w:top w:val="single" w:color="000000" w:sz="4" w:space="0"/>
              <w:left w:val="single" w:color="000000" w:sz="4" w:space="0"/>
              <w:bottom w:val="single" w:color="000000" w:sz="4" w:space="0"/>
              <w:right w:val="single" w:color="000000" w:sz="4" w:space="0"/>
            </w:tcBorders>
          </w:tcPr>
          <w:p>
            <w:pPr>
              <w:spacing w:after="0" w:line="320" w:lineRule="exact"/>
              <w:rPr>
                <w:rFonts w:asciiTheme="minorEastAsia" w:hAnsiTheme="minorEastAsia" w:eastAsiaTheme="minorEastAsia"/>
              </w:rPr>
            </w:pPr>
            <w:r>
              <w:rPr>
                <w:rFonts w:hint="eastAsia" w:asciiTheme="minorEastAsia" w:hAnsiTheme="minorEastAsia" w:eastAsiaTheme="minorEastAsia"/>
              </w:rPr>
              <w:t>1.设备支持1个10/100/1000Base-T以太网口，PoE供电支持标准的802.3af；</w:t>
            </w:r>
          </w:p>
          <w:p>
            <w:pPr>
              <w:spacing w:after="0" w:line="320" w:lineRule="exact"/>
              <w:rPr>
                <w:rFonts w:asciiTheme="minorEastAsia" w:hAnsiTheme="minorEastAsia" w:eastAsiaTheme="minorEastAsia"/>
              </w:rPr>
            </w:pPr>
            <w:r>
              <w:rPr>
                <w:rFonts w:hint="eastAsia" w:asciiTheme="minorEastAsia" w:hAnsiTheme="minorEastAsia" w:eastAsiaTheme="minorEastAsia"/>
              </w:rPr>
              <w:t>2.设备支持802.11a/b/g/n/ac/ax标准，WIFI6产品，整机≥1775Mbps；</w:t>
            </w:r>
          </w:p>
          <w:p>
            <w:pPr>
              <w:spacing w:after="0" w:line="320" w:lineRule="exact"/>
              <w:rPr>
                <w:rFonts w:asciiTheme="minorEastAsia" w:hAnsiTheme="minorEastAsia" w:eastAsiaTheme="minorEastAsia"/>
              </w:rPr>
            </w:pPr>
            <w:r>
              <w:rPr>
                <w:rFonts w:hint="eastAsia" w:asciiTheme="minorEastAsia" w:hAnsiTheme="minorEastAsia" w:eastAsiaTheme="minorEastAsia"/>
              </w:rPr>
              <w:t>3.支持多少无线功能，支持SSID隐藏，支持二层漫游，支持AP定时重启；</w:t>
            </w:r>
          </w:p>
          <w:p>
            <w:pPr>
              <w:spacing w:after="0" w:line="320" w:lineRule="exact"/>
              <w:rPr>
                <w:rFonts w:asciiTheme="minorEastAsia" w:hAnsiTheme="minorEastAsia" w:eastAsiaTheme="minorEastAsia"/>
              </w:rPr>
            </w:pPr>
            <w:r>
              <w:rPr>
                <w:rFonts w:hint="eastAsia" w:asciiTheme="minorEastAsia" w:hAnsiTheme="minorEastAsia" w:eastAsiaTheme="minorEastAsia"/>
              </w:rPr>
              <w:t>支持SSID≥8个，支持每个SSID可配置单独的认证方式、加密机制，VLAN属性，弱信号下线和禁止接入；</w:t>
            </w:r>
          </w:p>
          <w:p>
            <w:pPr>
              <w:spacing w:after="0" w:line="320" w:lineRule="exact"/>
              <w:rPr>
                <w:rFonts w:asciiTheme="minorEastAsia" w:hAnsiTheme="minorEastAsia" w:eastAsiaTheme="minorEastAsia"/>
              </w:rPr>
            </w:pPr>
            <w:r>
              <w:rPr>
                <w:rFonts w:hint="eastAsia" w:asciiTheme="minorEastAsia" w:hAnsiTheme="minorEastAsia" w:eastAsiaTheme="minorEastAsia"/>
              </w:rPr>
              <w:t>支持基于终端数或流量的智能负载均衡，支持基于SSID的用户数限制；</w:t>
            </w:r>
          </w:p>
          <w:p>
            <w:pPr>
              <w:spacing w:after="0" w:line="320" w:lineRule="exact"/>
              <w:rPr>
                <w:rFonts w:asciiTheme="minorEastAsia" w:hAnsiTheme="minorEastAsia" w:eastAsiaTheme="minorEastAsia"/>
              </w:rPr>
            </w:pPr>
            <w:r>
              <w:rPr>
                <w:rFonts w:hint="eastAsia" w:asciiTheme="minorEastAsia" w:hAnsiTheme="minorEastAsia" w:eastAsiaTheme="minorEastAsia"/>
              </w:rPr>
              <w:t>支持基于射频卡的用户数限制；</w:t>
            </w:r>
          </w:p>
          <w:p>
            <w:pPr>
              <w:spacing w:after="0" w:line="320" w:lineRule="exact"/>
              <w:rPr>
                <w:rFonts w:asciiTheme="minorEastAsia" w:hAnsiTheme="minorEastAsia" w:eastAsiaTheme="minorEastAsia"/>
              </w:rPr>
            </w:pPr>
            <w:r>
              <w:rPr>
                <w:rFonts w:hint="eastAsia" w:asciiTheme="minorEastAsia" w:hAnsiTheme="minorEastAsia" w:eastAsiaTheme="minorEastAsia"/>
              </w:rPr>
              <w:t>5.支持多种安全功能，支持用户二层隔离（同AP同SSID），支持基于AP、SSID、终端QoS带宽控制策略，支持基于全局和SSID的黑名单，支持AP逃生；</w:t>
            </w:r>
          </w:p>
          <w:p>
            <w:pPr>
              <w:spacing w:after="0" w:line="320" w:lineRule="exact"/>
              <w:rPr>
                <w:rFonts w:asciiTheme="minorEastAsia" w:hAnsiTheme="minorEastAsia" w:eastAsiaTheme="minorEastAsia"/>
              </w:rPr>
            </w:pPr>
            <w:r>
              <w:rPr>
                <w:rFonts w:hint="eastAsia" w:asciiTheme="minorEastAsia" w:hAnsiTheme="minorEastAsia" w:eastAsiaTheme="minorEastAsia"/>
              </w:rPr>
              <w:t>6.设备要求支持桥模式，支持静态IP地址或DHCP获取，支持802.1Q的VLAN，支持VLAN透传，能同时透传tag和untag报文，支持IPv6基本协议。</w:t>
            </w:r>
          </w:p>
          <w:p>
            <w:pPr>
              <w:spacing w:after="0" w:line="320" w:lineRule="exact"/>
              <w:rPr>
                <w:rFonts w:hint="eastAsia" w:asciiTheme="minorEastAsia" w:hAnsiTheme="minorEastAsia" w:eastAsiaTheme="minorEastAsia"/>
              </w:rPr>
            </w:pPr>
            <w:r>
              <w:rPr>
                <w:rFonts w:hint="eastAsia" w:asciiTheme="minorEastAsia" w:hAnsiTheme="minorEastAsia" w:eastAsiaTheme="minorEastAsia"/>
              </w:rPr>
              <w:t>7.支持Web管理，AP设备应支持软件版本升级功能，可通过本地和远程进行。</w:t>
            </w:r>
          </w:p>
        </w:tc>
        <w:tc>
          <w:tcPr>
            <w:tcW w:w="620" w:type="dxa"/>
            <w:tcBorders>
              <w:top w:val="single" w:color="000000" w:sz="4" w:space="0"/>
              <w:left w:val="single" w:color="000000" w:sz="4" w:space="0"/>
              <w:bottom w:val="single" w:color="000000" w:sz="4" w:space="0"/>
              <w:right w:val="single" w:color="000000" w:sz="4" w:space="0"/>
            </w:tcBorders>
            <w:noWrap/>
            <w:vAlign w:val="center"/>
          </w:tcPr>
          <w:p>
            <w:pPr>
              <w:spacing w:after="0" w:line="320" w:lineRule="exact"/>
              <w:rPr>
                <w:rFonts w:asciiTheme="minorEastAsia" w:hAnsiTheme="minorEastAsia" w:eastAsiaTheme="minorEastAsia"/>
              </w:rPr>
            </w:pPr>
            <w:r>
              <w:rPr>
                <w:rFonts w:hint="eastAsia" w:asciiTheme="minorEastAsia" w:hAnsiTheme="minorEastAsia" w:eastAsiaTheme="minorEastAsia"/>
              </w:rPr>
              <w:t>台</w:t>
            </w:r>
          </w:p>
        </w:tc>
        <w:tc>
          <w:tcPr>
            <w:tcW w:w="820" w:type="dxa"/>
            <w:tcBorders>
              <w:top w:val="single" w:color="000000" w:sz="4" w:space="0"/>
              <w:left w:val="single" w:color="000000" w:sz="4" w:space="0"/>
              <w:bottom w:val="single" w:color="000000" w:sz="4" w:space="0"/>
              <w:right w:val="single" w:color="000000" w:sz="4" w:space="0"/>
            </w:tcBorders>
            <w:noWrap/>
            <w:vAlign w:val="center"/>
          </w:tcPr>
          <w:p>
            <w:pPr>
              <w:spacing w:after="0" w:line="320" w:lineRule="exact"/>
              <w:rPr>
                <w:rFonts w:asciiTheme="minorEastAsia" w:hAnsiTheme="minorEastAsia" w:eastAsiaTheme="minorEastAsia"/>
              </w:rPr>
            </w:pPr>
            <w:r>
              <w:rPr>
                <w:rFonts w:hint="eastAsia" w:asciiTheme="minorEastAsia" w:hAnsiTheme="minorEastAsia" w:eastAsiaTheme="minorEastAsia"/>
              </w:rPr>
              <w:t>30</w:t>
            </w:r>
          </w:p>
        </w:tc>
      </w:tr>
      <w:tr>
        <w:tblPrEx>
          <w:tblCellMar>
            <w:top w:w="0" w:type="dxa"/>
            <w:left w:w="108" w:type="dxa"/>
            <w:bottom w:w="0" w:type="dxa"/>
            <w:right w:w="108" w:type="dxa"/>
          </w:tblCellMar>
        </w:tblPrEx>
        <w:trPr>
          <w:trHeight w:val="600" w:hRule="atLeast"/>
        </w:trPr>
        <w:tc>
          <w:tcPr>
            <w:tcW w:w="570" w:type="dxa"/>
            <w:tcBorders>
              <w:top w:val="single" w:color="000000" w:sz="4" w:space="0"/>
              <w:left w:val="single" w:color="000000" w:sz="4" w:space="0"/>
              <w:bottom w:val="single" w:color="000000" w:sz="4" w:space="0"/>
              <w:right w:val="single" w:color="000000" w:sz="4" w:space="0"/>
            </w:tcBorders>
            <w:noWrap/>
            <w:vAlign w:val="center"/>
          </w:tcPr>
          <w:p>
            <w:pPr>
              <w:spacing w:after="0" w:line="320" w:lineRule="exact"/>
              <w:rPr>
                <w:rFonts w:asciiTheme="minorEastAsia" w:hAnsiTheme="minorEastAsia" w:eastAsiaTheme="minorEastAsia"/>
              </w:rPr>
            </w:pPr>
            <w:r>
              <w:rPr>
                <w:rFonts w:hint="eastAsia" w:asciiTheme="minorEastAsia" w:hAnsiTheme="minorEastAsia" w:eastAsiaTheme="minorEastAsia"/>
              </w:rPr>
              <w:t>11</w:t>
            </w:r>
          </w:p>
        </w:tc>
        <w:tc>
          <w:tcPr>
            <w:tcW w:w="1183" w:type="dxa"/>
            <w:tcBorders>
              <w:top w:val="single" w:color="000000" w:sz="4" w:space="0"/>
              <w:left w:val="single" w:color="000000" w:sz="4" w:space="0"/>
              <w:bottom w:val="single" w:color="000000" w:sz="4" w:space="0"/>
              <w:right w:val="single" w:color="000000" w:sz="4" w:space="0"/>
            </w:tcBorders>
            <w:vAlign w:val="center"/>
          </w:tcPr>
          <w:p>
            <w:pPr>
              <w:spacing w:after="0" w:line="320" w:lineRule="exact"/>
              <w:rPr>
                <w:rFonts w:asciiTheme="minorEastAsia" w:hAnsiTheme="minorEastAsia" w:eastAsiaTheme="minorEastAsia"/>
              </w:rPr>
            </w:pPr>
            <w:r>
              <w:rPr>
                <w:rFonts w:hint="eastAsia" w:asciiTheme="minorEastAsia" w:hAnsiTheme="minorEastAsia" w:eastAsiaTheme="minorEastAsia"/>
              </w:rPr>
              <w:t>数据传输器3</w:t>
            </w:r>
          </w:p>
        </w:tc>
        <w:tc>
          <w:tcPr>
            <w:tcW w:w="5570" w:type="dxa"/>
            <w:tcBorders>
              <w:top w:val="single" w:color="000000" w:sz="4" w:space="0"/>
              <w:left w:val="single" w:color="000000" w:sz="4" w:space="0"/>
              <w:bottom w:val="single" w:color="000000" w:sz="4" w:space="0"/>
              <w:right w:val="single" w:color="000000" w:sz="4" w:space="0"/>
            </w:tcBorders>
          </w:tcPr>
          <w:p>
            <w:pPr>
              <w:spacing w:after="0" w:line="320" w:lineRule="exact"/>
              <w:rPr>
                <w:rFonts w:asciiTheme="minorEastAsia" w:hAnsiTheme="minorEastAsia" w:eastAsiaTheme="minorEastAsia"/>
              </w:rPr>
            </w:pPr>
            <w:r>
              <w:rPr>
                <w:rFonts w:hint="eastAsia" w:asciiTheme="minorEastAsia" w:hAnsiTheme="minorEastAsia" w:eastAsiaTheme="minorEastAsia"/>
              </w:rPr>
              <w:t>1.要求设备固化8个千兆电口，2个千兆SFP光口，支持POE，标准1U设备；</w:t>
            </w:r>
          </w:p>
          <w:p>
            <w:pPr>
              <w:spacing w:after="0" w:line="320" w:lineRule="exact"/>
              <w:rPr>
                <w:rFonts w:asciiTheme="minorEastAsia" w:hAnsiTheme="minorEastAsia" w:eastAsiaTheme="minorEastAsia"/>
              </w:rPr>
            </w:pPr>
            <w:r>
              <w:rPr>
                <w:rFonts w:hint="eastAsia" w:asciiTheme="minorEastAsia" w:hAnsiTheme="minorEastAsia" w:eastAsiaTheme="minorEastAsia"/>
              </w:rPr>
              <w:t>2.内存≥128M，交换容量≥256Gbps，包转发率≥24Mpps；</w:t>
            </w:r>
          </w:p>
          <w:p>
            <w:pPr>
              <w:spacing w:after="0" w:line="320" w:lineRule="exact"/>
              <w:rPr>
                <w:rFonts w:asciiTheme="minorEastAsia" w:hAnsiTheme="minorEastAsia" w:eastAsiaTheme="minorEastAsia"/>
              </w:rPr>
            </w:pPr>
            <w:r>
              <w:rPr>
                <w:rFonts w:hint="eastAsia" w:asciiTheme="minorEastAsia" w:hAnsiTheme="minorEastAsia" w:eastAsiaTheme="minorEastAsia"/>
              </w:rPr>
              <w:t>3.支持 MAC地址容量≥8K；支持ACL条目≥1K，防雷能力≥4KV；</w:t>
            </w:r>
          </w:p>
          <w:p>
            <w:pPr>
              <w:spacing w:after="0" w:line="320" w:lineRule="exact"/>
              <w:rPr>
                <w:rFonts w:asciiTheme="minorEastAsia" w:hAnsiTheme="minorEastAsia" w:eastAsiaTheme="minorEastAsia"/>
              </w:rPr>
            </w:pPr>
            <w:r>
              <w:rPr>
                <w:rFonts w:hint="eastAsia" w:asciiTheme="minorEastAsia" w:hAnsiTheme="minorEastAsia" w:eastAsiaTheme="minorEastAsia"/>
              </w:rPr>
              <w:t>4.支持VLAN划分，最大支持4094个VLAN；</w:t>
            </w:r>
          </w:p>
          <w:p>
            <w:pPr>
              <w:spacing w:after="0" w:line="320" w:lineRule="exact"/>
              <w:rPr>
                <w:rFonts w:asciiTheme="minorEastAsia" w:hAnsiTheme="minorEastAsia" w:eastAsiaTheme="minorEastAsia"/>
              </w:rPr>
            </w:pPr>
            <w:r>
              <w:rPr>
                <w:rFonts w:hint="eastAsia" w:asciiTheme="minorEastAsia" w:hAnsiTheme="minorEastAsia" w:eastAsiaTheme="minorEastAsia"/>
              </w:rPr>
              <w:t>5.支持STP/RSTP/MSTP等生成树协议，可以避免网络出现环路；</w:t>
            </w:r>
          </w:p>
          <w:p>
            <w:pPr>
              <w:spacing w:after="0" w:line="320" w:lineRule="exact"/>
              <w:rPr>
                <w:rFonts w:asciiTheme="minorEastAsia" w:hAnsiTheme="minorEastAsia" w:eastAsiaTheme="minorEastAsia"/>
              </w:rPr>
            </w:pPr>
            <w:r>
              <w:rPr>
                <w:rFonts w:hint="eastAsia" w:asciiTheme="minorEastAsia" w:hAnsiTheme="minorEastAsia" w:eastAsiaTheme="minorEastAsia"/>
              </w:rPr>
              <w:t>6. 支持标准、扩展ACL；支持端口安全隔离；支持dynamic arp 检测，支持dhcp snooping，支持ip source guard；</w:t>
            </w:r>
          </w:p>
          <w:p>
            <w:pPr>
              <w:spacing w:after="0" w:line="320" w:lineRule="exact"/>
              <w:rPr>
                <w:rFonts w:asciiTheme="minorEastAsia" w:hAnsiTheme="minorEastAsia" w:eastAsiaTheme="minorEastAsia"/>
              </w:rPr>
            </w:pPr>
            <w:r>
              <w:rPr>
                <w:rFonts w:hint="eastAsia" w:asciiTheme="minorEastAsia" w:hAnsiTheme="minorEastAsia" w:eastAsiaTheme="minorEastAsia"/>
              </w:rPr>
              <w:t>7.支持流类型的分类，基于端口、MAC地址、IP地址、IP优先级、DSCP优先级、TCP/UDP端口号、协议类型等，支持SNMP、TELNET、CONSOLE、SSH和WEB管理等方式管理。</w:t>
            </w:r>
          </w:p>
        </w:tc>
        <w:tc>
          <w:tcPr>
            <w:tcW w:w="620" w:type="dxa"/>
            <w:tcBorders>
              <w:top w:val="single" w:color="000000" w:sz="4" w:space="0"/>
              <w:left w:val="single" w:color="000000" w:sz="4" w:space="0"/>
              <w:bottom w:val="single" w:color="000000" w:sz="4" w:space="0"/>
              <w:right w:val="single" w:color="000000" w:sz="4" w:space="0"/>
            </w:tcBorders>
            <w:noWrap/>
            <w:vAlign w:val="center"/>
          </w:tcPr>
          <w:p>
            <w:pPr>
              <w:spacing w:after="0" w:line="320" w:lineRule="exact"/>
              <w:rPr>
                <w:rFonts w:asciiTheme="minorEastAsia" w:hAnsiTheme="minorEastAsia" w:eastAsiaTheme="minorEastAsia"/>
              </w:rPr>
            </w:pPr>
            <w:r>
              <w:rPr>
                <w:rFonts w:hint="eastAsia" w:asciiTheme="minorEastAsia" w:hAnsiTheme="minorEastAsia" w:eastAsiaTheme="minorEastAsia"/>
              </w:rPr>
              <w:t>台</w:t>
            </w:r>
          </w:p>
        </w:tc>
        <w:tc>
          <w:tcPr>
            <w:tcW w:w="820" w:type="dxa"/>
            <w:tcBorders>
              <w:top w:val="single" w:color="000000" w:sz="4" w:space="0"/>
              <w:left w:val="single" w:color="000000" w:sz="4" w:space="0"/>
              <w:bottom w:val="single" w:color="000000" w:sz="4" w:space="0"/>
              <w:right w:val="single" w:color="000000" w:sz="4" w:space="0"/>
            </w:tcBorders>
            <w:noWrap/>
            <w:vAlign w:val="center"/>
          </w:tcPr>
          <w:p>
            <w:pPr>
              <w:spacing w:after="0" w:line="320" w:lineRule="exact"/>
              <w:rPr>
                <w:rFonts w:asciiTheme="minorEastAsia" w:hAnsiTheme="minorEastAsia" w:eastAsiaTheme="minorEastAsia"/>
              </w:rPr>
            </w:pPr>
            <w:r>
              <w:rPr>
                <w:rFonts w:hint="eastAsia" w:asciiTheme="minorEastAsia" w:hAnsiTheme="minorEastAsia" w:eastAsiaTheme="minorEastAsia"/>
              </w:rPr>
              <w:t>5</w:t>
            </w:r>
          </w:p>
        </w:tc>
      </w:tr>
    </w:tbl>
    <w:p>
      <w:pPr>
        <w:rPr>
          <w:rFonts w:hint="eastAsia"/>
        </w:rPr>
      </w:pPr>
    </w:p>
    <w:p>
      <w:pPr>
        <w:rPr>
          <w:b/>
          <w:sz w:val="30"/>
          <w:szCs w:val="30"/>
        </w:rPr>
      </w:pPr>
    </w:p>
    <w:p>
      <w:pPr>
        <w:pStyle w:val="2"/>
        <w:rPr>
          <w:rFonts w:hint="eastAsia"/>
        </w:rPr>
      </w:pPr>
    </w:p>
    <w:p>
      <w:pPr>
        <w:rPr>
          <w:b/>
          <w:sz w:val="30"/>
          <w:szCs w:val="30"/>
        </w:rPr>
      </w:pPr>
      <w:r>
        <w:rPr>
          <w:rFonts w:hint="eastAsia"/>
          <w:b/>
          <w:sz w:val="30"/>
          <w:szCs w:val="30"/>
        </w:rPr>
        <w:t>三、商务要求</w:t>
      </w:r>
    </w:p>
    <w:p>
      <w:pPr>
        <w:spacing w:line="360" w:lineRule="auto"/>
        <w:jc w:val="left"/>
        <w:rPr>
          <w:rFonts w:ascii="宋体" w:hAnsi="宋体" w:cs="宋体"/>
          <w:color w:val="000000"/>
          <w:sz w:val="24"/>
        </w:rPr>
      </w:pPr>
      <w:r>
        <w:rPr>
          <w:rFonts w:hint="eastAsia" w:ascii="宋体" w:hAnsi="宋体" w:cs="宋体"/>
          <w:b/>
          <w:bCs/>
          <w:color w:val="000000"/>
          <w:sz w:val="24"/>
        </w:rPr>
        <w:t>（一）交货时间:</w:t>
      </w:r>
      <w:r>
        <w:rPr>
          <w:rFonts w:hint="eastAsia" w:ascii="宋体" w:hAnsi="宋体" w:cs="宋体"/>
          <w:color w:val="000000"/>
          <w:sz w:val="24"/>
        </w:rPr>
        <w:t>合同签订后60日内，并完成安装调试、用户使用培训。</w:t>
      </w:r>
    </w:p>
    <w:p>
      <w:pPr>
        <w:spacing w:line="360" w:lineRule="auto"/>
        <w:jc w:val="left"/>
        <w:rPr>
          <w:rFonts w:ascii="宋体" w:hAnsi="宋体" w:cs="宋体"/>
          <w:color w:val="000000"/>
          <w:sz w:val="24"/>
        </w:rPr>
      </w:pPr>
      <w:r>
        <w:rPr>
          <w:rFonts w:hint="eastAsia" w:ascii="宋体" w:hAnsi="宋体" w:cs="宋体"/>
          <w:b/>
          <w:bCs/>
          <w:color w:val="000000"/>
          <w:sz w:val="24"/>
        </w:rPr>
        <w:t>（二）实施地点：</w:t>
      </w:r>
      <w:r>
        <w:rPr>
          <w:rFonts w:hint="eastAsia" w:ascii="宋体" w:hAnsi="宋体" w:cs="宋体"/>
          <w:color w:val="000000"/>
          <w:sz w:val="24"/>
        </w:rPr>
        <w:t>成都大学。</w:t>
      </w:r>
    </w:p>
    <w:p>
      <w:pPr>
        <w:pStyle w:val="2"/>
        <w:rPr>
          <w:rFonts w:ascii="宋体" w:hAnsi="宋体" w:cs="宋体"/>
          <w:b/>
          <w:bCs/>
          <w:color w:val="000000"/>
          <w:sz w:val="24"/>
        </w:rPr>
      </w:pPr>
      <w:r>
        <w:rPr>
          <w:rFonts w:hint="eastAsia" w:ascii="宋体" w:hAnsi="宋体" w:cs="宋体"/>
          <w:b/>
          <w:bCs/>
          <w:color w:val="000000"/>
          <w:sz w:val="24"/>
        </w:rPr>
        <w:t>（三）付款方式和条件</w:t>
      </w:r>
    </w:p>
    <w:p>
      <w:pPr>
        <w:spacing w:line="360" w:lineRule="auto"/>
        <w:ind w:firstLine="480" w:firstLineChars="200"/>
        <w:rPr>
          <w:rFonts w:ascii="宋体" w:hAnsi="宋体" w:cs="宋体"/>
          <w:bCs/>
          <w:color w:val="000000"/>
          <w:kern w:val="44"/>
          <w:sz w:val="24"/>
        </w:rPr>
      </w:pPr>
      <w:r>
        <w:rPr>
          <w:rFonts w:hint="eastAsia" w:ascii="宋体" w:hAnsi="宋体" w:cs="宋体"/>
          <w:bCs/>
          <w:color w:val="000000"/>
          <w:kern w:val="44"/>
          <w:sz w:val="24"/>
        </w:rPr>
        <w:t>1.</w:t>
      </w:r>
      <w:r>
        <w:rPr>
          <w:rFonts w:hint="eastAsia" w:ascii="宋体" w:hAnsi="宋体" w:cs="宋体"/>
          <w:color w:val="000000"/>
          <w:sz w:val="24"/>
        </w:rPr>
        <w:t xml:space="preserve"> 合同签订前，中标人向采购人缴纳5%履约保证金。项目验收1年后履约保证金无息退还</w:t>
      </w:r>
      <w:r>
        <w:rPr>
          <w:rFonts w:hint="eastAsia" w:ascii="宋体" w:hAnsi="宋体" w:cs="宋体"/>
          <w:bCs/>
          <w:color w:val="000000"/>
          <w:kern w:val="44"/>
          <w:sz w:val="24"/>
        </w:rPr>
        <w:t>。</w:t>
      </w:r>
    </w:p>
    <w:p>
      <w:pPr>
        <w:spacing w:line="360" w:lineRule="auto"/>
        <w:ind w:firstLine="480" w:firstLineChars="200"/>
        <w:rPr>
          <w:rFonts w:ascii="宋体" w:hAnsi="宋体" w:cs="宋体"/>
          <w:b/>
          <w:bCs/>
          <w:color w:val="000000"/>
          <w:kern w:val="44"/>
          <w:sz w:val="24"/>
        </w:rPr>
      </w:pPr>
      <w:r>
        <w:rPr>
          <w:rFonts w:hint="eastAsia" w:ascii="宋体" w:hAnsi="宋体" w:cs="宋体"/>
          <w:bCs/>
          <w:color w:val="000000"/>
          <w:kern w:val="44"/>
          <w:sz w:val="24"/>
          <w:highlight w:val="none"/>
        </w:rPr>
        <w:t>2.合同签订后采购人于</w:t>
      </w:r>
      <w:r>
        <w:rPr>
          <w:rFonts w:hint="eastAsia" w:ascii="宋体" w:hAnsi="宋体" w:cs="宋体"/>
          <w:bCs/>
          <w:color w:val="000000"/>
          <w:kern w:val="44"/>
          <w:sz w:val="24"/>
          <w:highlight w:val="none"/>
          <w:lang w:val="en-US" w:eastAsia="zh-CN"/>
        </w:rPr>
        <w:t>5个工作日</w:t>
      </w:r>
      <w:r>
        <w:rPr>
          <w:rFonts w:hint="eastAsia" w:ascii="宋体" w:hAnsi="宋体" w:cs="宋体"/>
          <w:bCs/>
          <w:color w:val="000000"/>
          <w:kern w:val="44"/>
          <w:sz w:val="24"/>
          <w:highlight w:val="none"/>
        </w:rPr>
        <w:t>内向中标人支付支付50%预付款，验收合格后供应商提供完整合法的结算材料，采购人于15个日历日内向中标人支付剩余全款。</w:t>
      </w:r>
      <w:r>
        <w:rPr>
          <w:rFonts w:hint="eastAsia"/>
          <w:b/>
          <w:bCs/>
        </w:rPr>
        <w:br w:type="textWrapping"/>
      </w:r>
      <w:r>
        <w:rPr>
          <w:rFonts w:hint="eastAsia" w:ascii="宋体" w:hAnsi="宋体" w:cs="宋体"/>
          <w:b/>
          <w:bCs/>
          <w:color w:val="000000"/>
          <w:sz w:val="24"/>
        </w:rPr>
        <w:t>（四）售后服务要求</w:t>
      </w:r>
    </w:p>
    <w:p>
      <w:pPr>
        <w:spacing w:line="360" w:lineRule="auto"/>
        <w:ind w:firstLine="480" w:firstLineChars="200"/>
        <w:rPr>
          <w:rFonts w:ascii="宋体" w:hAnsi="宋体" w:cs="宋体"/>
          <w:bCs/>
          <w:color w:val="000000"/>
          <w:kern w:val="44"/>
          <w:sz w:val="24"/>
        </w:rPr>
      </w:pPr>
      <w:r>
        <w:rPr>
          <w:rFonts w:hint="eastAsia" w:ascii="宋体" w:hAnsi="宋体" w:cs="宋体"/>
          <w:bCs/>
          <w:color w:val="000000"/>
          <w:kern w:val="44"/>
          <w:sz w:val="24"/>
        </w:rPr>
        <w:t>1.售后服务（质保）期</w:t>
      </w:r>
    </w:p>
    <w:p>
      <w:pPr>
        <w:spacing w:line="360" w:lineRule="auto"/>
        <w:ind w:firstLine="480" w:firstLineChars="200"/>
        <w:rPr>
          <w:rFonts w:ascii="宋体" w:hAnsi="宋体" w:cs="宋体"/>
          <w:bCs/>
          <w:color w:val="000000"/>
          <w:kern w:val="44"/>
          <w:sz w:val="24"/>
        </w:rPr>
      </w:pPr>
      <w:r>
        <w:rPr>
          <w:rFonts w:hint="eastAsia" w:ascii="宋体" w:hAnsi="宋体" w:cs="宋体"/>
          <w:bCs/>
          <w:color w:val="000000"/>
          <w:kern w:val="44"/>
          <w:sz w:val="24"/>
        </w:rPr>
        <w:t>（1)正常质量保证期为自本合同所列的全部货物安装、调试、试运行，验收合格签字之日起整体项目2年。</w:t>
      </w:r>
      <w:r>
        <w:rPr>
          <w:rFonts w:hint="eastAsia" w:ascii="宋体" w:hAnsi="宋体" w:cs="宋体"/>
          <w:b/>
          <w:color w:val="000000"/>
          <w:kern w:val="44"/>
          <w:sz w:val="24"/>
        </w:rPr>
        <w:t>（投标文件中须提供售后服务（质保）期的承诺函）</w:t>
      </w:r>
    </w:p>
    <w:p>
      <w:pPr>
        <w:spacing w:line="360" w:lineRule="auto"/>
        <w:ind w:firstLine="480" w:firstLineChars="200"/>
        <w:rPr>
          <w:rFonts w:ascii="宋体" w:hAnsi="宋体" w:cs="宋体"/>
          <w:bCs/>
          <w:color w:val="000000"/>
          <w:kern w:val="44"/>
          <w:sz w:val="24"/>
        </w:rPr>
      </w:pPr>
      <w:r>
        <w:rPr>
          <w:rFonts w:hint="eastAsia" w:ascii="宋体" w:hAnsi="宋体" w:cs="宋体"/>
          <w:bCs/>
          <w:color w:val="000000"/>
          <w:kern w:val="44"/>
          <w:sz w:val="24"/>
        </w:rPr>
        <w:t>（2)中标人须承诺保修期满后，继续向采购人提供设备维修、技术支持、备品备件、有偿升级等服务，只收材料成本费。</w:t>
      </w:r>
      <w:r>
        <w:rPr>
          <w:rFonts w:hint="eastAsia" w:ascii="宋体" w:hAnsi="宋体" w:cs="宋体"/>
          <w:b/>
          <w:color w:val="000000"/>
          <w:kern w:val="44"/>
          <w:sz w:val="24"/>
        </w:rPr>
        <w:t>（投标文件中须提供承诺函）</w:t>
      </w:r>
    </w:p>
    <w:p>
      <w:pPr>
        <w:spacing w:line="360" w:lineRule="auto"/>
        <w:ind w:firstLine="480" w:firstLineChars="200"/>
        <w:rPr>
          <w:rFonts w:ascii="宋体" w:hAnsi="宋体" w:cs="宋体"/>
          <w:bCs/>
          <w:color w:val="000000"/>
          <w:kern w:val="44"/>
          <w:sz w:val="24"/>
        </w:rPr>
      </w:pPr>
      <w:r>
        <w:rPr>
          <w:rFonts w:hint="eastAsia" w:ascii="宋体" w:hAnsi="宋体" w:cs="宋体"/>
          <w:bCs/>
          <w:color w:val="000000"/>
          <w:kern w:val="44"/>
          <w:sz w:val="24"/>
        </w:rPr>
        <w:t>2.技术支持</w:t>
      </w:r>
    </w:p>
    <w:p>
      <w:pPr>
        <w:spacing w:line="360" w:lineRule="auto"/>
        <w:ind w:firstLine="480" w:firstLineChars="200"/>
        <w:rPr>
          <w:rFonts w:ascii="宋体" w:hAnsi="宋体" w:cs="宋体"/>
          <w:bCs/>
          <w:color w:val="000000"/>
          <w:kern w:val="44"/>
          <w:sz w:val="24"/>
        </w:rPr>
      </w:pPr>
      <w:r>
        <w:rPr>
          <w:rFonts w:hint="eastAsia" w:ascii="宋体" w:hAnsi="宋体" w:cs="宋体"/>
          <w:bCs/>
          <w:color w:val="000000"/>
          <w:kern w:val="44"/>
          <w:sz w:val="24"/>
        </w:rPr>
        <w:t>供应商在质保期间提供以下服务，具体包括：</w:t>
      </w:r>
    </w:p>
    <w:p>
      <w:pPr>
        <w:spacing w:line="360" w:lineRule="auto"/>
        <w:ind w:firstLine="480" w:firstLineChars="200"/>
        <w:rPr>
          <w:rFonts w:ascii="宋体" w:hAnsi="宋体" w:cs="宋体"/>
          <w:bCs/>
          <w:color w:val="000000"/>
          <w:kern w:val="44"/>
          <w:sz w:val="24"/>
        </w:rPr>
      </w:pPr>
      <w:r>
        <w:rPr>
          <w:rFonts w:hint="eastAsia" w:ascii="宋体" w:hAnsi="宋体" w:cs="宋体"/>
          <w:bCs/>
          <w:color w:val="000000"/>
          <w:kern w:val="44"/>
          <w:sz w:val="24"/>
        </w:rPr>
        <w:t xml:space="preserve">（1)系统巡检：每月对系统运行状况进行巡视和检查，形成巡检记录； </w:t>
      </w:r>
    </w:p>
    <w:p>
      <w:pPr>
        <w:spacing w:line="360" w:lineRule="auto"/>
        <w:ind w:firstLine="480" w:firstLineChars="200"/>
        <w:rPr>
          <w:rFonts w:ascii="宋体" w:hAnsi="宋体" w:cs="宋体"/>
          <w:bCs/>
          <w:color w:val="000000"/>
          <w:kern w:val="44"/>
          <w:sz w:val="24"/>
        </w:rPr>
      </w:pPr>
      <w:r>
        <w:rPr>
          <w:rFonts w:hint="eastAsia" w:ascii="宋体" w:hAnsi="宋体" w:cs="宋体"/>
          <w:bCs/>
          <w:color w:val="000000"/>
          <w:kern w:val="44"/>
          <w:sz w:val="24"/>
        </w:rPr>
        <w:t>（2)应用系统升级（非架构性升级）：系统版本（或补丁）升级所涉及的升级包测试、升级部署执行、升级验证等；</w:t>
      </w:r>
    </w:p>
    <w:p>
      <w:pPr>
        <w:spacing w:line="360" w:lineRule="auto"/>
        <w:ind w:firstLine="480" w:firstLineChars="200"/>
        <w:rPr>
          <w:rFonts w:ascii="宋体" w:hAnsi="宋体" w:cs="宋体"/>
          <w:bCs/>
          <w:color w:val="000000"/>
          <w:kern w:val="44"/>
          <w:sz w:val="24"/>
        </w:rPr>
      </w:pPr>
      <w:r>
        <w:rPr>
          <w:rFonts w:hint="eastAsia" w:ascii="宋体" w:hAnsi="宋体" w:cs="宋体"/>
          <w:bCs/>
          <w:color w:val="000000"/>
          <w:kern w:val="44"/>
          <w:sz w:val="24"/>
        </w:rPr>
        <w:t>（3)事件及故障处理：对系统故障、缺陷等进行分析诊断，提供解决方案并进行处理，包括故障缺陷发现、测试评估、排查处理故障、事件及故障分析等；</w:t>
      </w:r>
    </w:p>
    <w:p>
      <w:pPr>
        <w:spacing w:line="360" w:lineRule="auto"/>
        <w:ind w:firstLine="480" w:firstLineChars="200"/>
        <w:rPr>
          <w:rFonts w:ascii="宋体" w:hAnsi="宋体" w:cs="宋体"/>
          <w:bCs/>
          <w:color w:val="000000"/>
          <w:kern w:val="44"/>
          <w:sz w:val="24"/>
        </w:rPr>
      </w:pPr>
      <w:r>
        <w:rPr>
          <w:rFonts w:hint="eastAsia" w:ascii="宋体" w:hAnsi="宋体" w:cs="宋体"/>
          <w:bCs/>
          <w:color w:val="000000"/>
          <w:kern w:val="44"/>
          <w:sz w:val="24"/>
        </w:rPr>
        <w:t>（4)运维培训：制订详细的培训方案，包括内容、培训时间和培训人员等，根据需要开展的系统运维培训工作，包括系统使用、系统运维等；</w:t>
      </w:r>
    </w:p>
    <w:p>
      <w:pPr>
        <w:spacing w:line="360" w:lineRule="auto"/>
        <w:ind w:firstLine="480" w:firstLineChars="200"/>
        <w:rPr>
          <w:rFonts w:ascii="宋体" w:hAnsi="宋体" w:cs="宋体"/>
          <w:bCs/>
          <w:color w:val="000000"/>
          <w:kern w:val="44"/>
          <w:sz w:val="24"/>
        </w:rPr>
      </w:pPr>
      <w:r>
        <w:rPr>
          <w:rFonts w:hint="eastAsia" w:ascii="宋体" w:hAnsi="宋体" w:cs="宋体"/>
          <w:bCs/>
          <w:color w:val="000000"/>
          <w:kern w:val="44"/>
          <w:sz w:val="24"/>
        </w:rPr>
        <w:t>3.应急保障</w:t>
      </w:r>
    </w:p>
    <w:p>
      <w:pPr>
        <w:spacing w:line="360" w:lineRule="auto"/>
        <w:ind w:firstLine="480" w:firstLineChars="200"/>
        <w:rPr>
          <w:rFonts w:ascii="宋体" w:hAnsi="宋体" w:cs="宋体"/>
          <w:bCs/>
          <w:color w:val="000000"/>
          <w:kern w:val="44"/>
          <w:sz w:val="24"/>
        </w:rPr>
      </w:pPr>
      <w:r>
        <w:rPr>
          <w:rFonts w:hint="eastAsia" w:ascii="宋体" w:hAnsi="宋体" w:cs="宋体"/>
          <w:bCs/>
          <w:color w:val="000000"/>
          <w:kern w:val="44"/>
          <w:sz w:val="24"/>
        </w:rPr>
        <w:t>（1)项目实施周期内和质保期间，中标供应商应对采购人所需的应急需求予以积极响应并提供技术支持；</w:t>
      </w:r>
    </w:p>
    <w:p>
      <w:pPr>
        <w:spacing w:line="480" w:lineRule="auto"/>
        <w:ind w:firstLine="480" w:firstLineChars="200"/>
        <w:rPr>
          <w:rFonts w:ascii="宋体" w:hAnsi="宋体" w:cs="宋体"/>
          <w:bCs/>
          <w:color w:val="000000"/>
          <w:kern w:val="44"/>
          <w:sz w:val="24"/>
        </w:rPr>
      </w:pPr>
      <w:r>
        <w:rPr>
          <w:rFonts w:hint="eastAsia" w:ascii="宋体" w:hAnsi="宋体" w:cs="宋体"/>
          <w:bCs/>
          <w:color w:val="000000"/>
          <w:kern w:val="44"/>
          <w:sz w:val="24"/>
        </w:rPr>
        <w:t>（2）系统故障维护服务时间段：7×24小时；服务响应时间：如果发生软件系统宕机故障，专业工程师在接到问题报告后 15 分钟之内提供电话支持服务，并将在电话回复之后2小时内到达现场提供维护服务。如果发生软件系统非宕机的其他故障，专业工程师在接到报修电话后 15 分钟内提供电话支持，并根据用户要求和实际情况提供现场维护服务，用户需要技术人员到达现场处理故障时，必须在 2 小时内到达。</w:t>
      </w:r>
    </w:p>
    <w:p>
      <w:pPr>
        <w:rPr>
          <w:rFonts w:ascii="宋体" w:hAnsi="宋体" w:cs="宋体"/>
          <w:b/>
          <w:bCs/>
          <w:color w:val="000000"/>
          <w:kern w:val="44"/>
          <w:sz w:val="24"/>
        </w:rPr>
      </w:pPr>
      <w:r>
        <w:rPr>
          <w:rFonts w:hint="eastAsia" w:ascii="宋体" w:hAnsi="宋体" w:cs="宋体"/>
          <w:b/>
          <w:bCs/>
          <w:color w:val="000000"/>
          <w:kern w:val="44"/>
          <w:sz w:val="24"/>
        </w:rPr>
        <w:t>（五）验收标准</w:t>
      </w:r>
    </w:p>
    <w:p>
      <w:pPr>
        <w:widowControl/>
        <w:spacing w:line="480" w:lineRule="auto"/>
        <w:ind w:firstLine="480" w:firstLineChars="200"/>
        <w:jc w:val="left"/>
        <w:textAlignment w:val="center"/>
        <w:rPr>
          <w:rFonts w:ascii="宋体" w:hAnsi="宋体" w:cs="宋体"/>
          <w:color w:val="000000"/>
          <w:kern w:val="0"/>
          <w:sz w:val="24"/>
          <w:lang w:bidi="ar"/>
        </w:rPr>
      </w:pPr>
      <w:r>
        <w:rPr>
          <w:rFonts w:hint="eastAsia" w:ascii="宋体" w:hAnsi="宋体" w:cs="宋体"/>
          <w:color w:val="000000"/>
          <w:kern w:val="0"/>
          <w:sz w:val="24"/>
          <w:lang w:bidi="ar"/>
        </w:rPr>
        <w:t>按国家有关规定、招标文件的服务要求、供应商的响应文件及承诺以及合同约定标准及《财政部关于进一步加强政府采购需求和履约验收管理的指导意见》（财库[2016]205号）文件规定进行验收。验收由采购人组织，中标人配合进行：</w:t>
      </w:r>
    </w:p>
    <w:p>
      <w:pPr>
        <w:widowControl/>
        <w:spacing w:line="480" w:lineRule="auto"/>
        <w:ind w:firstLine="480" w:firstLineChars="200"/>
        <w:jc w:val="left"/>
        <w:textAlignment w:val="center"/>
        <w:rPr>
          <w:rFonts w:ascii="宋体" w:hAnsi="宋体" w:cs="宋体"/>
          <w:color w:val="000000"/>
          <w:kern w:val="0"/>
          <w:sz w:val="24"/>
          <w:lang w:val="zh-CN" w:bidi="ar"/>
        </w:rPr>
      </w:pPr>
      <w:r>
        <w:rPr>
          <w:rFonts w:hint="eastAsia" w:ascii="宋体" w:hAnsi="宋体" w:cs="宋体"/>
          <w:color w:val="000000"/>
          <w:kern w:val="0"/>
          <w:sz w:val="24"/>
          <w:lang w:bidi="ar"/>
        </w:rPr>
        <w:t>1.</w:t>
      </w:r>
      <w:r>
        <w:rPr>
          <w:rFonts w:hint="eastAsia" w:ascii="宋体" w:hAnsi="宋体" w:cs="宋体"/>
          <w:color w:val="000000"/>
          <w:kern w:val="0"/>
          <w:sz w:val="24"/>
          <w:lang w:val="zh-CN" w:bidi="ar"/>
        </w:rPr>
        <w:t>货物在中标人通知安装调试完毕后10个工作日内初步验收。初步验收合格后，进入30天试用期；试用期间发生重大质量问题，修复后试用相应顺延；试用期结束后 15日内完成最终验收；</w:t>
      </w:r>
    </w:p>
    <w:p>
      <w:pPr>
        <w:widowControl/>
        <w:spacing w:line="480" w:lineRule="auto"/>
        <w:ind w:firstLine="480" w:firstLineChars="200"/>
        <w:jc w:val="left"/>
        <w:textAlignment w:val="center"/>
        <w:rPr>
          <w:rFonts w:ascii="宋体" w:hAnsi="宋体" w:cs="宋体"/>
          <w:color w:val="000000"/>
          <w:kern w:val="0"/>
          <w:sz w:val="24"/>
          <w:lang w:bidi="ar"/>
        </w:rPr>
      </w:pPr>
      <w:r>
        <w:rPr>
          <w:rFonts w:hint="eastAsia" w:ascii="宋体" w:hAnsi="宋体" w:cs="宋体"/>
          <w:color w:val="000000"/>
          <w:kern w:val="0"/>
          <w:sz w:val="24"/>
          <w:lang w:bidi="ar"/>
        </w:rPr>
        <w:t>2.按国家有关规定以及采购人采购文件的质量要求和技术指标(满足项目采购清单中备注栏要求)、中标人的响应文件及承诺与本合同约定标准进行验收；双方如对质量要求和技术指标的约定标准有相互抵触或异议的事项，由采购人在招标与响应文件中按质量要求和技术指标比较优胜的原则确定该项的约定标准进行验收；</w:t>
      </w:r>
    </w:p>
    <w:p>
      <w:pPr>
        <w:widowControl/>
        <w:spacing w:line="480" w:lineRule="auto"/>
        <w:ind w:firstLine="480" w:firstLineChars="200"/>
        <w:jc w:val="left"/>
        <w:textAlignment w:val="center"/>
        <w:rPr>
          <w:rFonts w:ascii="宋体" w:hAnsi="宋体" w:cs="宋体"/>
          <w:color w:val="000000"/>
          <w:kern w:val="0"/>
          <w:sz w:val="24"/>
          <w:lang w:bidi="ar"/>
        </w:rPr>
      </w:pPr>
      <w:r>
        <w:rPr>
          <w:rFonts w:hint="eastAsia" w:ascii="宋体" w:hAnsi="宋体" w:cs="宋体"/>
          <w:color w:val="000000"/>
          <w:kern w:val="0"/>
          <w:sz w:val="24"/>
          <w:lang w:bidi="ar"/>
        </w:rPr>
        <w:t>3.验收时如发现所交付的货物有短装、次品、损坏或其它不符合标准及本合同规定之情形者，采购人应做出详尽的现场记录并由中标人配送人员签字确认，或由双方签署备忘录，此现场记录或备忘录可用作补充、缺失和更换损坏部件的有效证据，中标人负责在10日内补充货物、更换货物或更换损坏部件，由此产生的时间延误与有关费用由中标人承担，验收期限相应顺延；</w:t>
      </w:r>
    </w:p>
    <w:p>
      <w:pPr>
        <w:widowControl/>
        <w:spacing w:line="480" w:lineRule="auto"/>
        <w:ind w:firstLine="480" w:firstLineChars="200"/>
        <w:jc w:val="left"/>
        <w:textAlignment w:val="center"/>
        <w:rPr>
          <w:rFonts w:ascii="宋体" w:hAnsi="宋体" w:cs="宋体"/>
          <w:color w:val="000000"/>
          <w:kern w:val="0"/>
          <w:sz w:val="24"/>
          <w:lang w:bidi="ar"/>
        </w:rPr>
      </w:pPr>
      <w:r>
        <w:rPr>
          <w:rFonts w:hint="eastAsia" w:ascii="宋体" w:hAnsi="宋体" w:cs="宋体"/>
          <w:color w:val="000000"/>
          <w:kern w:val="0"/>
          <w:sz w:val="24"/>
          <w:lang w:bidi="ar"/>
        </w:rPr>
        <w:t>4.合同货物试运行期结束后 30 日内，采购人无故不进行质量技术验收工作并已使用货物的，视同已质量技术验收合格。</w:t>
      </w:r>
    </w:p>
    <w:p>
      <w:pPr>
        <w:widowControl/>
        <w:spacing w:line="480" w:lineRule="auto"/>
        <w:ind w:firstLine="480" w:firstLineChars="200"/>
        <w:jc w:val="left"/>
        <w:textAlignment w:val="center"/>
        <w:rPr>
          <w:rFonts w:ascii="宋体" w:hAnsi="宋体" w:cs="宋体"/>
          <w:color w:val="000000"/>
          <w:kern w:val="0"/>
          <w:sz w:val="24"/>
          <w:lang w:bidi="ar"/>
        </w:rPr>
      </w:pPr>
      <w:r>
        <w:rPr>
          <w:rFonts w:hint="eastAsia" w:ascii="宋体" w:hAnsi="宋体" w:cs="宋体"/>
          <w:color w:val="000000"/>
          <w:kern w:val="0"/>
          <w:sz w:val="24"/>
          <w:lang w:bidi="ar"/>
        </w:rPr>
        <w:t>5.中标人应将所提供货物的装箱清单、配件、随机工具、用户使用手册、原厂保修卡等资料交付给采购人；中标人不能完整交付货物及本款规定的单证和工具的，必须负责补齐，否则视为未按合同约定交货。</w:t>
      </w:r>
    </w:p>
    <w:p>
      <w:pPr>
        <w:widowControl/>
        <w:spacing w:line="480" w:lineRule="auto"/>
        <w:ind w:firstLine="480" w:firstLineChars="200"/>
        <w:jc w:val="left"/>
        <w:textAlignment w:val="center"/>
        <w:rPr>
          <w:rFonts w:ascii="宋体" w:hAnsi="宋体" w:cs="宋体"/>
          <w:color w:val="000000"/>
          <w:kern w:val="0"/>
          <w:sz w:val="24"/>
          <w:lang w:bidi="ar"/>
        </w:rPr>
      </w:pPr>
      <w:r>
        <w:rPr>
          <w:rFonts w:hint="eastAsia" w:ascii="宋体" w:hAnsi="宋体" w:cs="宋体"/>
          <w:color w:val="000000"/>
          <w:kern w:val="0"/>
          <w:sz w:val="24"/>
          <w:lang w:bidi="ar"/>
        </w:rPr>
        <w:t>6.如货物经中标人 3 次维修仍不能达到合同约定的质量标准，采购人有权退货，并视作中标人不能交付货物而须支付违约赔偿金给采购人，采购人还可依法追究中标人的违约责任。</w:t>
      </w:r>
    </w:p>
    <w:p>
      <w:pPr>
        <w:widowControl/>
        <w:spacing w:after="0" w:line="240" w:lineRule="auto"/>
        <w:jc w:val="left"/>
        <w:rPr>
          <w:rFonts w:ascii="宋体" w:hAnsi="宋体"/>
          <w:sz w:val="36"/>
          <w:szCs w:val="36"/>
        </w:rPr>
      </w:pPr>
      <w:r>
        <w:rPr>
          <w:rFonts w:ascii="宋体" w:hAnsi="宋体"/>
          <w:sz w:val="36"/>
          <w:szCs w:val="36"/>
        </w:rPr>
        <w:br w:type="page"/>
      </w:r>
    </w:p>
    <w:p>
      <w:pPr>
        <w:pStyle w:val="2"/>
        <w:rPr>
          <w:rFonts w:hint="eastAsia" w:ascii="宋体" w:hAnsi="宋体"/>
          <w:sz w:val="36"/>
          <w:szCs w:val="36"/>
        </w:rPr>
      </w:pPr>
    </w:p>
    <w:p>
      <w:pPr>
        <w:pStyle w:val="3"/>
        <w:spacing w:line="400" w:lineRule="exact"/>
        <w:jc w:val="center"/>
        <w:rPr>
          <w:rFonts w:ascii="宋体" w:hAnsi="宋体"/>
          <w:sz w:val="36"/>
          <w:szCs w:val="36"/>
        </w:rPr>
      </w:pPr>
      <w:bookmarkStart w:id="158" w:name="_Toc17223"/>
      <w:r>
        <w:rPr>
          <w:rFonts w:hint="eastAsia" w:ascii="宋体" w:hAnsi="宋体"/>
          <w:sz w:val="36"/>
          <w:szCs w:val="36"/>
        </w:rPr>
        <w:t>第七章  评标办法</w:t>
      </w:r>
      <w:bookmarkEnd w:id="157"/>
      <w:bookmarkEnd w:id="158"/>
      <w:bookmarkStart w:id="159" w:name="_Hlt101846155"/>
      <w:bookmarkEnd w:id="159"/>
      <w:bookmarkStart w:id="160" w:name="_Toc208849007"/>
      <w:bookmarkStart w:id="161" w:name="_Toc183682415"/>
      <w:bookmarkStart w:id="162" w:name="_Toc183582280"/>
      <w:bookmarkStart w:id="163" w:name="_Toc217446097"/>
    </w:p>
    <w:p>
      <w:pPr>
        <w:pStyle w:val="4"/>
        <w:rPr>
          <w:rFonts w:ascii="宋体" w:hAnsi="宋体" w:eastAsia="宋体"/>
          <w:sz w:val="24"/>
          <w:szCs w:val="24"/>
        </w:rPr>
      </w:pPr>
      <w:r>
        <w:rPr>
          <w:rFonts w:hint="eastAsia" w:ascii="宋体" w:hAnsi="宋体" w:eastAsia="宋体"/>
          <w:sz w:val="24"/>
          <w:szCs w:val="24"/>
        </w:rPr>
        <w:t>1. 总则</w:t>
      </w:r>
      <w:bookmarkEnd w:id="160"/>
      <w:bookmarkEnd w:id="161"/>
      <w:bookmarkEnd w:id="162"/>
      <w:bookmarkEnd w:id="163"/>
    </w:p>
    <w:p>
      <w:pPr>
        <w:spacing w:line="400" w:lineRule="exact"/>
        <w:ind w:firstLine="480" w:firstLineChars="200"/>
        <w:rPr>
          <w:rFonts w:ascii="宋体" w:hAnsi="宋体"/>
          <w:sz w:val="24"/>
        </w:rPr>
      </w:pPr>
      <w:r>
        <w:rPr>
          <w:rFonts w:hint="eastAsia" w:ascii="宋体" w:hAnsi="宋体"/>
          <w:sz w:val="24"/>
        </w:rPr>
        <w:t>1.1 根据《中华人民共和国政府采购法》、《中华人民共和国政府采购法实施条例》、《政府采购货物和服务招标投标管理办法》等法律制度，结合采购项目特点制定本评标办法。</w:t>
      </w:r>
    </w:p>
    <w:p>
      <w:pPr>
        <w:spacing w:line="400" w:lineRule="exact"/>
        <w:ind w:firstLine="480" w:firstLineChars="200"/>
        <w:rPr>
          <w:rFonts w:ascii="宋体" w:hAnsi="宋体"/>
          <w:sz w:val="24"/>
        </w:rPr>
      </w:pPr>
      <w:r>
        <w:rPr>
          <w:rFonts w:hint="eastAsia" w:ascii="宋体" w:hAnsi="宋体"/>
          <w:sz w:val="24"/>
        </w:rPr>
        <w:t>1.2 公开招标采购项目开标结束后，采购人或者采购代理机构应当依法对投标人的资格进行审查。依据法律法规和本招标文件的规定，对投标文件是否按照规定要求提供资格性证明材料等</w:t>
      </w:r>
      <w:r>
        <w:rPr>
          <w:rFonts w:ascii="宋体" w:hAnsi="宋体"/>
          <w:sz w:val="24"/>
        </w:rPr>
        <w:t>进行审查</w:t>
      </w:r>
      <w:r>
        <w:rPr>
          <w:rFonts w:hint="eastAsia" w:ascii="宋体" w:hAnsi="宋体"/>
          <w:sz w:val="24"/>
        </w:rPr>
        <w:t>，以确定投标供应商是否具备投标资格。</w:t>
      </w:r>
    </w:p>
    <w:p>
      <w:pPr>
        <w:spacing w:line="400" w:lineRule="exact"/>
        <w:ind w:firstLine="480" w:firstLineChars="200"/>
        <w:rPr>
          <w:rFonts w:ascii="宋体" w:hAnsi="宋体"/>
          <w:sz w:val="24"/>
        </w:rPr>
      </w:pPr>
      <w:r>
        <w:rPr>
          <w:rFonts w:hint="eastAsia" w:ascii="宋体" w:hAnsi="宋体"/>
          <w:sz w:val="24"/>
        </w:rPr>
        <w:t>合格投标人不足三家的，不得评标。</w:t>
      </w:r>
    </w:p>
    <w:p>
      <w:pPr>
        <w:spacing w:line="400" w:lineRule="exact"/>
        <w:ind w:firstLine="480" w:firstLineChars="200"/>
        <w:rPr>
          <w:rFonts w:ascii="宋体" w:hAnsi="宋体"/>
          <w:sz w:val="24"/>
        </w:rPr>
      </w:pPr>
      <w:r>
        <w:rPr>
          <w:rFonts w:hint="eastAsia" w:ascii="宋体" w:hAnsi="宋体"/>
          <w:sz w:val="24"/>
        </w:rPr>
        <w:t>评标工作由采购代理机构负责组织，具体评标事务由采购代理机构依法组建的评标委员会负责。评标委员会由采购人代表和有关技术、经济、法律等方面的专家组成。</w:t>
      </w:r>
    </w:p>
    <w:p>
      <w:pPr>
        <w:spacing w:line="400" w:lineRule="exact"/>
        <w:ind w:firstLine="480" w:firstLineChars="200"/>
        <w:rPr>
          <w:rFonts w:ascii="宋体" w:hAnsi="宋体"/>
          <w:sz w:val="24"/>
        </w:rPr>
      </w:pPr>
      <w:r>
        <w:rPr>
          <w:rFonts w:hint="eastAsia" w:ascii="宋体" w:hAnsi="宋体"/>
          <w:sz w:val="24"/>
        </w:rPr>
        <w:t>1.3 评标工作应遵循公平、公正、科学及择优的原则，并以相同的评标程序和标准对待所有的投标人。</w:t>
      </w:r>
    </w:p>
    <w:p>
      <w:pPr>
        <w:spacing w:line="400" w:lineRule="exact"/>
        <w:ind w:firstLine="480" w:firstLineChars="200"/>
        <w:rPr>
          <w:rFonts w:ascii="宋体" w:hAnsi="宋体"/>
          <w:sz w:val="24"/>
        </w:rPr>
      </w:pPr>
      <w:r>
        <w:rPr>
          <w:rFonts w:hint="eastAsia" w:ascii="宋体" w:hAnsi="宋体"/>
          <w:sz w:val="24"/>
        </w:rPr>
        <w:t>1.4 评标委员会按照招标文件规定的评标方法和标准进行评标，并独立履行下列职责：</w:t>
      </w:r>
    </w:p>
    <w:p>
      <w:pPr>
        <w:spacing w:line="400" w:lineRule="exact"/>
        <w:ind w:firstLine="480" w:firstLineChars="200"/>
        <w:rPr>
          <w:rFonts w:ascii="宋体" w:hAnsi="宋体"/>
          <w:sz w:val="24"/>
        </w:rPr>
      </w:pPr>
      <w:bookmarkStart w:id="164" w:name="_Toc217446098"/>
      <w:r>
        <w:rPr>
          <w:rFonts w:hint="eastAsia" w:ascii="宋体" w:hAnsi="宋体"/>
          <w:sz w:val="24"/>
        </w:rPr>
        <w:t>（一）熟悉和理解招标文件；</w:t>
      </w:r>
    </w:p>
    <w:p>
      <w:pPr>
        <w:spacing w:line="400" w:lineRule="exact"/>
        <w:ind w:firstLine="480" w:firstLineChars="200"/>
        <w:rPr>
          <w:rFonts w:ascii="宋体" w:hAnsi="宋体"/>
          <w:sz w:val="24"/>
        </w:rPr>
      </w:pPr>
      <w:r>
        <w:rPr>
          <w:rFonts w:hint="eastAsia" w:ascii="宋体" w:hAnsi="宋体"/>
          <w:sz w:val="24"/>
        </w:rPr>
        <w:t>（二）审查供应商（已通过资格审查）的投标文件是否满足招标文件要求，并作出评价；</w:t>
      </w:r>
    </w:p>
    <w:p>
      <w:pPr>
        <w:spacing w:line="400" w:lineRule="exact"/>
        <w:ind w:firstLine="480" w:firstLineChars="200"/>
        <w:rPr>
          <w:rFonts w:ascii="宋体" w:hAnsi="宋体"/>
          <w:sz w:val="24"/>
        </w:rPr>
      </w:pPr>
      <w:r>
        <w:rPr>
          <w:rFonts w:hint="eastAsia" w:ascii="宋体" w:hAnsi="宋体"/>
          <w:sz w:val="24"/>
        </w:rPr>
        <w:t>（三）根据需要要求招标采购单位对招标文件作出解释；根据需要要求供应商对投标文件有关事项作出澄清、说明或者更正；</w:t>
      </w:r>
    </w:p>
    <w:p>
      <w:pPr>
        <w:spacing w:line="400" w:lineRule="exact"/>
        <w:ind w:firstLine="480" w:firstLineChars="200"/>
        <w:rPr>
          <w:rFonts w:ascii="宋体" w:hAnsi="宋体"/>
          <w:sz w:val="24"/>
        </w:rPr>
      </w:pPr>
      <w:r>
        <w:rPr>
          <w:rFonts w:hint="eastAsia" w:ascii="宋体" w:hAnsi="宋体"/>
          <w:sz w:val="24"/>
        </w:rPr>
        <w:t>（四）推荐中标候选供应商，或者受采购人委托确定中标供应商；</w:t>
      </w:r>
    </w:p>
    <w:p>
      <w:pPr>
        <w:spacing w:line="400" w:lineRule="exact"/>
        <w:ind w:firstLine="480" w:firstLineChars="200"/>
        <w:rPr>
          <w:rFonts w:ascii="宋体" w:hAnsi="宋体"/>
          <w:sz w:val="24"/>
        </w:rPr>
      </w:pPr>
      <w:r>
        <w:rPr>
          <w:rFonts w:hint="eastAsia" w:ascii="宋体" w:hAnsi="宋体"/>
          <w:sz w:val="24"/>
        </w:rPr>
        <w:t>（五）起草评标报告并进行签署；</w:t>
      </w:r>
    </w:p>
    <w:p>
      <w:pPr>
        <w:spacing w:line="400" w:lineRule="exact"/>
        <w:ind w:firstLine="480" w:firstLineChars="200"/>
        <w:rPr>
          <w:rFonts w:ascii="宋体" w:hAnsi="宋体"/>
          <w:sz w:val="24"/>
        </w:rPr>
      </w:pPr>
      <w:r>
        <w:rPr>
          <w:rFonts w:hint="eastAsia" w:ascii="宋体" w:hAnsi="宋体"/>
          <w:sz w:val="24"/>
        </w:rPr>
        <w:t>（六）向招标采购单位、财政部门或者其他监督部门报告非法干预评标工作的行为；</w:t>
      </w:r>
    </w:p>
    <w:p>
      <w:pPr>
        <w:spacing w:line="400" w:lineRule="exact"/>
        <w:ind w:firstLine="480" w:firstLineChars="200"/>
        <w:rPr>
          <w:rFonts w:ascii="宋体" w:hAnsi="宋体"/>
          <w:sz w:val="24"/>
        </w:rPr>
      </w:pPr>
      <w:r>
        <w:rPr>
          <w:rFonts w:hint="eastAsia" w:ascii="宋体" w:hAnsi="宋体"/>
          <w:sz w:val="24"/>
        </w:rPr>
        <w:t>（七）法律、法规和规章规定的其他职责。</w:t>
      </w:r>
    </w:p>
    <w:p>
      <w:pPr>
        <w:spacing w:line="400" w:lineRule="exact"/>
        <w:ind w:firstLine="480" w:firstLineChars="200"/>
        <w:rPr>
          <w:rFonts w:ascii="宋体" w:hAnsi="宋体"/>
          <w:sz w:val="24"/>
        </w:rPr>
      </w:pPr>
      <w:r>
        <w:rPr>
          <w:rFonts w:hint="eastAsia" w:ascii="宋体" w:hAnsi="宋体"/>
          <w:sz w:val="24"/>
        </w:rPr>
        <w:t>1.5 评标过程独立、保密。投标人非法干预评标过程的行为将导致其投标文件作为无效处理。</w:t>
      </w:r>
    </w:p>
    <w:p>
      <w:pPr>
        <w:spacing w:line="400" w:lineRule="exact"/>
        <w:ind w:firstLine="480" w:firstLineChars="200"/>
        <w:rPr>
          <w:rFonts w:ascii="宋体" w:hAnsi="宋体"/>
          <w:sz w:val="24"/>
        </w:rPr>
      </w:pPr>
      <w:r>
        <w:rPr>
          <w:rFonts w:hint="eastAsia" w:ascii="宋体" w:hAnsi="宋体"/>
          <w:sz w:val="24"/>
        </w:rPr>
        <w:t>1.6 评标委员会评价投标文件的响应性，对于投标人而言，除评标委员会要求其澄清、说明或者更正而提供的资料外，仅依据投标文件本身的内容，不寻求其他外部证据。</w:t>
      </w:r>
    </w:p>
    <w:p>
      <w:pPr>
        <w:pStyle w:val="4"/>
        <w:rPr>
          <w:rFonts w:ascii="宋体" w:hAnsi="宋体" w:eastAsia="宋体"/>
          <w:sz w:val="24"/>
          <w:szCs w:val="24"/>
        </w:rPr>
      </w:pPr>
      <w:r>
        <w:rPr>
          <w:rFonts w:hint="eastAsia" w:ascii="宋体" w:hAnsi="宋体" w:eastAsia="宋体"/>
          <w:sz w:val="24"/>
          <w:szCs w:val="24"/>
        </w:rPr>
        <w:t>2.评标</w:t>
      </w:r>
      <w:bookmarkEnd w:id="164"/>
      <w:r>
        <w:rPr>
          <w:rFonts w:hint="eastAsia" w:ascii="宋体" w:hAnsi="宋体" w:eastAsia="宋体"/>
          <w:sz w:val="24"/>
          <w:szCs w:val="24"/>
        </w:rPr>
        <w:t>方法</w:t>
      </w:r>
    </w:p>
    <w:p>
      <w:pPr>
        <w:spacing w:line="360" w:lineRule="auto"/>
        <w:ind w:firstLine="480" w:firstLineChars="200"/>
        <w:rPr>
          <w:rFonts w:ascii="宋体" w:hAnsi="宋体"/>
          <w:sz w:val="24"/>
        </w:rPr>
      </w:pPr>
      <w:bookmarkStart w:id="165" w:name="_Toc217446103"/>
      <w:bookmarkStart w:id="166" w:name="_Toc217446099"/>
      <w:r>
        <w:rPr>
          <w:rFonts w:hint="eastAsia" w:ascii="宋体" w:hAnsi="宋体"/>
          <w:sz w:val="24"/>
        </w:rPr>
        <w:t>2.1本项目评标方法为：</w:t>
      </w:r>
      <w:r>
        <w:rPr>
          <w:rFonts w:hint="eastAsia" w:ascii="宋体" w:hAnsi="宋体"/>
          <w:b/>
          <w:bCs/>
          <w:sz w:val="24"/>
        </w:rPr>
        <w:t>综合评分法</w:t>
      </w:r>
      <w:r>
        <w:rPr>
          <w:rFonts w:hint="eastAsia" w:ascii="宋体" w:hAnsi="宋体"/>
          <w:sz w:val="24"/>
        </w:rPr>
        <w:t>。</w:t>
      </w:r>
    </w:p>
    <w:p>
      <w:pPr>
        <w:pStyle w:val="4"/>
        <w:rPr>
          <w:rFonts w:ascii="宋体" w:hAnsi="宋体" w:eastAsia="宋体"/>
          <w:sz w:val="24"/>
          <w:szCs w:val="24"/>
        </w:rPr>
      </w:pPr>
      <w:r>
        <w:rPr>
          <w:rFonts w:hint="eastAsia" w:ascii="宋体" w:hAnsi="宋体" w:eastAsia="宋体"/>
          <w:sz w:val="24"/>
          <w:szCs w:val="24"/>
        </w:rPr>
        <w:t>3.评标程序</w:t>
      </w:r>
    </w:p>
    <w:p>
      <w:pPr>
        <w:spacing w:line="400" w:lineRule="exact"/>
        <w:ind w:firstLine="480" w:firstLineChars="200"/>
        <w:rPr>
          <w:rFonts w:ascii="宋体" w:hAnsi="宋体"/>
          <w:sz w:val="24"/>
        </w:rPr>
      </w:pPr>
      <w:r>
        <w:rPr>
          <w:rFonts w:hint="eastAsia" w:ascii="宋体" w:hAnsi="宋体"/>
          <w:sz w:val="24"/>
        </w:rPr>
        <w:t>3.1熟悉和理解招标文件和停止评标。</w:t>
      </w:r>
    </w:p>
    <w:p>
      <w:pPr>
        <w:spacing w:line="400" w:lineRule="exact"/>
        <w:ind w:firstLine="480" w:firstLineChars="200"/>
        <w:rPr>
          <w:rFonts w:ascii="宋体" w:hAnsi="宋体"/>
          <w:sz w:val="24"/>
        </w:rPr>
      </w:pPr>
      <w:r>
        <w:rPr>
          <w:rFonts w:hint="eastAsia" w:ascii="宋体" w:hAnsi="宋体"/>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pPr>
        <w:spacing w:line="400" w:lineRule="exact"/>
        <w:ind w:firstLine="480" w:firstLineChars="200"/>
        <w:rPr>
          <w:rFonts w:ascii="宋体" w:hAnsi="宋体"/>
          <w:sz w:val="24"/>
        </w:rPr>
      </w:pPr>
      <w:r>
        <w:rPr>
          <w:rFonts w:hint="eastAsia" w:ascii="宋体" w:hAnsi="宋体"/>
          <w:sz w:val="24"/>
        </w:rPr>
        <w:t>3.1.2评标委员会熟悉和理解招标文件以及评标过程中，发现本招标文件有下列情形之一的，评标委员会应当停止评标：</w:t>
      </w:r>
    </w:p>
    <w:p>
      <w:pPr>
        <w:spacing w:line="400" w:lineRule="exact"/>
        <w:ind w:firstLine="480" w:firstLineChars="200"/>
        <w:rPr>
          <w:rFonts w:ascii="宋体" w:hAnsi="宋体"/>
          <w:sz w:val="24"/>
        </w:rPr>
      </w:pPr>
      <w:r>
        <w:rPr>
          <w:rFonts w:hint="eastAsia" w:ascii="宋体" w:hAnsi="宋体"/>
          <w:sz w:val="24"/>
        </w:rPr>
        <w:t>（1）招标文件的规定存在歧义、重大缺陷的；</w:t>
      </w:r>
    </w:p>
    <w:p>
      <w:pPr>
        <w:spacing w:line="400" w:lineRule="exact"/>
        <w:ind w:firstLine="480" w:firstLineChars="200"/>
        <w:rPr>
          <w:rFonts w:ascii="宋体" w:hAnsi="宋体"/>
          <w:sz w:val="24"/>
        </w:rPr>
      </w:pPr>
      <w:r>
        <w:rPr>
          <w:rFonts w:hint="eastAsia" w:ascii="宋体" w:hAnsi="宋体"/>
          <w:sz w:val="24"/>
        </w:rPr>
        <w:t>（2）招标文件明显以不合理条件对供应商实行差别待遇或者歧视待遇的；</w:t>
      </w:r>
    </w:p>
    <w:p>
      <w:pPr>
        <w:spacing w:line="400" w:lineRule="exact"/>
        <w:ind w:firstLine="480" w:firstLineChars="200"/>
        <w:rPr>
          <w:rFonts w:ascii="宋体" w:hAnsi="宋体"/>
          <w:sz w:val="24"/>
        </w:rPr>
      </w:pPr>
      <w:r>
        <w:rPr>
          <w:rFonts w:hint="eastAsia" w:ascii="宋体" w:hAnsi="宋体"/>
          <w:sz w:val="24"/>
        </w:rPr>
        <w:t>（3）采购项目属于国家规定的优先、强制采购范围，但是招标文件未依法体现优先、强制采购相关规定的；</w:t>
      </w:r>
    </w:p>
    <w:p>
      <w:pPr>
        <w:spacing w:line="400" w:lineRule="exact"/>
        <w:ind w:firstLine="480" w:firstLineChars="200"/>
        <w:rPr>
          <w:rFonts w:ascii="宋体" w:hAnsi="宋体"/>
          <w:sz w:val="24"/>
        </w:rPr>
      </w:pPr>
      <w:r>
        <w:rPr>
          <w:rFonts w:hint="eastAsia" w:ascii="宋体" w:hAnsi="宋体"/>
          <w:sz w:val="24"/>
        </w:rPr>
        <w:t>（4）采购项目属于政府采购促进中小企业发展的范围，但是招标文件未依法体现促进中小企业发展相关规定的；</w:t>
      </w:r>
    </w:p>
    <w:p>
      <w:pPr>
        <w:spacing w:line="400" w:lineRule="exact"/>
        <w:ind w:firstLine="480" w:firstLineChars="200"/>
        <w:rPr>
          <w:rFonts w:ascii="宋体" w:hAnsi="宋体"/>
          <w:sz w:val="24"/>
        </w:rPr>
      </w:pPr>
      <w:r>
        <w:rPr>
          <w:rFonts w:hint="eastAsia" w:ascii="宋体" w:hAnsi="宋体"/>
          <w:sz w:val="24"/>
        </w:rPr>
        <w:t>（5）招标文件规定的评标方法是综合评分法、最低评标价法之外的评标方法，或者虽然名称为综合评分法、最低评标价法，但实际上不符合国家规定；</w:t>
      </w:r>
    </w:p>
    <w:p>
      <w:pPr>
        <w:spacing w:line="400" w:lineRule="exact"/>
        <w:ind w:firstLine="480" w:firstLineChars="200"/>
        <w:rPr>
          <w:rFonts w:ascii="宋体" w:hAnsi="宋体"/>
          <w:sz w:val="24"/>
        </w:rPr>
      </w:pPr>
      <w:r>
        <w:rPr>
          <w:rFonts w:hint="eastAsia" w:ascii="宋体" w:hAnsi="宋体"/>
          <w:sz w:val="24"/>
        </w:rPr>
        <w:t>（6）招标文件将投标人的资格条件列为评分因素的；</w:t>
      </w:r>
    </w:p>
    <w:p>
      <w:pPr>
        <w:spacing w:line="400" w:lineRule="exact"/>
        <w:ind w:firstLine="480" w:firstLineChars="200"/>
        <w:rPr>
          <w:rFonts w:ascii="宋体" w:hAnsi="宋体"/>
          <w:sz w:val="24"/>
        </w:rPr>
      </w:pPr>
      <w:r>
        <w:rPr>
          <w:rFonts w:hint="eastAsia" w:ascii="宋体" w:hAnsi="宋体"/>
          <w:sz w:val="24"/>
        </w:rPr>
        <w:t>（7）招标文件有违反国家其他有关强制性规定的情形。</w:t>
      </w:r>
    </w:p>
    <w:p>
      <w:pPr>
        <w:spacing w:line="400" w:lineRule="exact"/>
        <w:ind w:firstLine="480" w:firstLineChars="200"/>
        <w:rPr>
          <w:rFonts w:ascii="宋体" w:hAnsi="宋体"/>
          <w:sz w:val="24"/>
        </w:rPr>
      </w:pPr>
      <w:r>
        <w:rPr>
          <w:rFonts w:hint="eastAsia" w:ascii="宋体" w:hAnsi="宋体"/>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pPr>
        <w:spacing w:line="400" w:lineRule="exact"/>
        <w:ind w:firstLine="480" w:firstLineChars="200"/>
        <w:rPr>
          <w:rFonts w:ascii="宋体" w:hAnsi="宋体"/>
          <w:sz w:val="24"/>
        </w:rPr>
      </w:pPr>
      <w:r>
        <w:rPr>
          <w:rFonts w:hint="eastAsia" w:ascii="宋体" w:hAnsi="宋体"/>
          <w:sz w:val="24"/>
        </w:rPr>
        <w:t>3.2符合性检查。</w:t>
      </w:r>
    </w:p>
    <w:p>
      <w:pPr>
        <w:spacing w:line="400" w:lineRule="exact"/>
        <w:ind w:firstLine="480" w:firstLineChars="200"/>
        <w:rPr>
          <w:rFonts w:ascii="宋体" w:hAnsi="宋体"/>
          <w:sz w:val="24"/>
        </w:rPr>
      </w:pPr>
      <w:r>
        <w:rPr>
          <w:rFonts w:hint="eastAsia" w:ascii="宋体" w:hAnsi="宋体"/>
          <w:sz w:val="24"/>
        </w:rPr>
        <w:t>3.2.1评标委员会依据本招标文件的</w:t>
      </w:r>
      <w:r>
        <w:rPr>
          <w:rFonts w:hint="eastAsia" w:ascii="宋体" w:hAnsi="宋体"/>
          <w:b/>
          <w:bCs/>
          <w:sz w:val="24"/>
        </w:rPr>
        <w:t>实质性要求及无效投标情形</w:t>
      </w:r>
      <w:r>
        <w:rPr>
          <w:rFonts w:hint="eastAsia" w:ascii="宋体" w:hAnsi="宋体"/>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26"/>
        <w:tblW w:w="5683" w:type="pct"/>
        <w:tblInd w:w="-6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3"/>
        <w:gridCol w:w="1891"/>
        <w:gridCol w:w="4857"/>
        <w:gridCol w:w="2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5000" w:type="pct"/>
            <w:gridSpan w:val="4"/>
            <w:vAlign w:val="center"/>
          </w:tcPr>
          <w:p>
            <w:pPr>
              <w:spacing w:line="360" w:lineRule="auto"/>
              <w:jc w:val="center"/>
              <w:rPr>
                <w:rFonts w:ascii="宋体" w:hAnsi="宋体" w:cs="仿宋"/>
                <w:b/>
                <w:sz w:val="24"/>
              </w:rPr>
            </w:pPr>
            <w:r>
              <w:rPr>
                <w:rFonts w:hint="eastAsia" w:ascii="宋体" w:hAnsi="宋体" w:cs="仿宋"/>
                <w:b/>
                <w:sz w:val="24"/>
              </w:rPr>
              <w:t>符合性审查表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539" w:type="pct"/>
            <w:vAlign w:val="center"/>
          </w:tcPr>
          <w:p>
            <w:pPr>
              <w:tabs>
                <w:tab w:val="left" w:pos="851"/>
              </w:tabs>
              <w:spacing w:line="360" w:lineRule="auto"/>
              <w:jc w:val="center"/>
              <w:rPr>
                <w:rFonts w:ascii="宋体" w:hAnsi="宋体" w:cs="仿宋"/>
                <w:bCs/>
                <w:sz w:val="24"/>
              </w:rPr>
            </w:pPr>
            <w:r>
              <w:rPr>
                <w:rFonts w:hint="eastAsia" w:ascii="宋体" w:hAnsi="宋体" w:cs="仿宋"/>
                <w:bCs/>
                <w:sz w:val="24"/>
              </w:rPr>
              <w:t>序号</w:t>
            </w:r>
          </w:p>
        </w:tc>
        <w:tc>
          <w:tcPr>
            <w:tcW w:w="869" w:type="pct"/>
            <w:vAlign w:val="center"/>
          </w:tcPr>
          <w:p>
            <w:pPr>
              <w:tabs>
                <w:tab w:val="left" w:pos="851"/>
              </w:tabs>
              <w:spacing w:line="360" w:lineRule="auto"/>
              <w:jc w:val="center"/>
              <w:rPr>
                <w:rFonts w:ascii="宋体" w:hAnsi="宋体" w:cs="仿宋"/>
                <w:bCs/>
                <w:sz w:val="24"/>
              </w:rPr>
            </w:pPr>
            <w:r>
              <w:rPr>
                <w:rFonts w:hint="eastAsia" w:ascii="宋体" w:hAnsi="宋体" w:cs="仿宋"/>
                <w:bCs/>
                <w:sz w:val="24"/>
              </w:rPr>
              <w:t>招标文件条目</w:t>
            </w:r>
          </w:p>
        </w:tc>
        <w:tc>
          <w:tcPr>
            <w:tcW w:w="2232" w:type="pct"/>
          </w:tcPr>
          <w:p>
            <w:pPr>
              <w:tabs>
                <w:tab w:val="left" w:pos="851"/>
              </w:tabs>
              <w:spacing w:line="360" w:lineRule="auto"/>
              <w:jc w:val="center"/>
              <w:rPr>
                <w:rFonts w:ascii="宋体" w:hAnsi="宋体" w:cs="仿宋"/>
                <w:bCs/>
                <w:sz w:val="24"/>
              </w:rPr>
            </w:pPr>
            <w:r>
              <w:rPr>
                <w:rFonts w:hint="eastAsia" w:ascii="宋体" w:hAnsi="宋体" w:cs="仿宋"/>
                <w:bCs/>
                <w:sz w:val="24"/>
              </w:rPr>
              <w:t>实质性要求及无效投标情形</w:t>
            </w:r>
          </w:p>
        </w:tc>
        <w:tc>
          <w:tcPr>
            <w:tcW w:w="1359" w:type="pct"/>
          </w:tcPr>
          <w:p>
            <w:pPr>
              <w:spacing w:line="360" w:lineRule="auto"/>
              <w:jc w:val="center"/>
              <w:rPr>
                <w:rFonts w:ascii="宋体" w:hAnsi="宋体" w:cs="仿宋"/>
                <w:bCs/>
                <w:sz w:val="24"/>
              </w:rPr>
            </w:pPr>
            <w:r>
              <w:rPr>
                <w:rFonts w:hint="eastAsia" w:ascii="宋体" w:hAnsi="宋体" w:cs="仿宋"/>
                <w:bCs/>
                <w:sz w:val="24"/>
              </w:rPr>
              <w:t>要求说明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8" w:hRule="atLeast"/>
        </w:trPr>
        <w:tc>
          <w:tcPr>
            <w:tcW w:w="539" w:type="pct"/>
          </w:tcPr>
          <w:p>
            <w:pPr>
              <w:jc w:val="center"/>
              <w:rPr>
                <w:rFonts w:ascii="宋体" w:hAnsi="宋体" w:cs="仿宋"/>
                <w:bCs/>
                <w:sz w:val="24"/>
              </w:rPr>
            </w:pPr>
            <w:r>
              <w:rPr>
                <w:rFonts w:hint="eastAsia" w:ascii="宋体" w:hAnsi="宋体" w:cs="仿宋"/>
                <w:bCs/>
                <w:sz w:val="24"/>
              </w:rPr>
              <w:t>1</w:t>
            </w:r>
          </w:p>
        </w:tc>
        <w:tc>
          <w:tcPr>
            <w:tcW w:w="869" w:type="pct"/>
          </w:tcPr>
          <w:p>
            <w:pPr>
              <w:pStyle w:val="50"/>
              <w:jc w:val="both"/>
              <w:rPr>
                <w:rFonts w:cs="仿宋"/>
                <w:bCs/>
              </w:rPr>
            </w:pPr>
            <w:r>
              <w:rPr>
                <w:rFonts w:hint="eastAsia" w:cs="仿宋"/>
                <w:bCs/>
              </w:rPr>
              <w:t>招标文件第二章一、投标人须知附表序号1采购预算</w:t>
            </w:r>
          </w:p>
          <w:p>
            <w:pPr>
              <w:pStyle w:val="50"/>
              <w:jc w:val="both"/>
              <w:rPr>
                <w:rFonts w:cs="仿宋"/>
                <w:bCs/>
              </w:rPr>
            </w:pPr>
          </w:p>
        </w:tc>
        <w:tc>
          <w:tcPr>
            <w:tcW w:w="2232" w:type="pct"/>
          </w:tcPr>
          <w:p>
            <w:pPr>
              <w:pStyle w:val="50"/>
              <w:jc w:val="both"/>
              <w:rPr>
                <w:rFonts w:cs="仿宋"/>
                <w:bCs/>
              </w:rPr>
            </w:pPr>
            <w:r>
              <w:rPr>
                <w:rFonts w:hint="eastAsia" w:cs="仿宋"/>
                <w:bCs/>
              </w:rPr>
              <w:t>采购预算：94.4万元；</w:t>
            </w:r>
          </w:p>
          <w:p>
            <w:pPr>
              <w:pStyle w:val="50"/>
              <w:jc w:val="both"/>
              <w:rPr>
                <w:rFonts w:cs="仿宋"/>
                <w:bCs/>
              </w:rPr>
            </w:pPr>
            <w:r>
              <w:rPr>
                <w:rFonts w:hint="eastAsia" w:cs="仿宋"/>
                <w:bCs/>
              </w:rPr>
              <w:t>超过采购预算的报价为无效投标。</w:t>
            </w:r>
          </w:p>
        </w:tc>
        <w:tc>
          <w:tcPr>
            <w:tcW w:w="1359" w:type="pct"/>
          </w:tcPr>
          <w:p>
            <w:pPr>
              <w:rPr>
                <w:rFonts w:ascii="宋体" w:hAnsi="宋体" w:cs="仿宋"/>
                <w:bCs/>
                <w:sz w:val="24"/>
              </w:rPr>
            </w:pPr>
            <w:r>
              <w:rPr>
                <w:rFonts w:hint="eastAsia" w:ascii="宋体" w:hAnsi="宋体" w:cs="仿宋"/>
                <w:bCs/>
                <w:sz w:val="24"/>
              </w:rPr>
              <w:t>投标人根据招标文件第三章格式2-4填写。评标委员会对上传内容按照招标文件要求进行评                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3" w:hRule="atLeast"/>
        </w:trPr>
        <w:tc>
          <w:tcPr>
            <w:tcW w:w="539" w:type="pct"/>
          </w:tcPr>
          <w:p>
            <w:pPr>
              <w:jc w:val="center"/>
              <w:rPr>
                <w:rFonts w:ascii="宋体" w:hAnsi="宋体" w:cs="仿宋"/>
                <w:bCs/>
                <w:sz w:val="24"/>
              </w:rPr>
            </w:pPr>
            <w:r>
              <w:rPr>
                <w:rFonts w:hint="eastAsia" w:ascii="宋体" w:hAnsi="宋体" w:cs="仿宋"/>
                <w:bCs/>
                <w:sz w:val="24"/>
              </w:rPr>
              <w:t>2</w:t>
            </w:r>
          </w:p>
        </w:tc>
        <w:tc>
          <w:tcPr>
            <w:tcW w:w="869" w:type="pct"/>
          </w:tcPr>
          <w:p>
            <w:pPr>
              <w:widowControl/>
              <w:rPr>
                <w:rFonts w:ascii="宋体" w:hAnsi="宋体" w:cs="仿宋"/>
                <w:bCs/>
                <w:kern w:val="0"/>
                <w:sz w:val="24"/>
              </w:rPr>
            </w:pPr>
            <w:r>
              <w:rPr>
                <w:rFonts w:hint="eastAsia" w:ascii="宋体" w:hAnsi="宋体" w:cs="仿宋"/>
                <w:bCs/>
                <w:sz w:val="24"/>
              </w:rPr>
              <w:t>招标文件第二章一、投标人须知附表序号2不正当竞争预防措施</w:t>
            </w:r>
          </w:p>
          <w:p>
            <w:pPr>
              <w:rPr>
                <w:rFonts w:ascii="宋体" w:hAnsi="宋体" w:cs="仿宋"/>
                <w:bCs/>
                <w:sz w:val="24"/>
              </w:rPr>
            </w:pPr>
          </w:p>
        </w:tc>
        <w:tc>
          <w:tcPr>
            <w:tcW w:w="2232" w:type="pct"/>
          </w:tcPr>
          <w:p>
            <w:pPr>
              <w:pStyle w:val="50"/>
              <w:jc w:val="both"/>
              <w:rPr>
                <w:rFonts w:cs="仿宋"/>
                <w:bCs/>
              </w:rPr>
            </w:pPr>
            <w:r>
              <w:rPr>
                <w:rFonts w:hint="eastAsia" w:cs="仿宋"/>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rPr>
                <w:rFonts w:ascii="宋体" w:hAnsi="宋体" w:cs="仿宋"/>
                <w:bCs/>
                <w:sz w:val="24"/>
              </w:rPr>
            </w:pPr>
            <w:r>
              <w:rPr>
                <w:rFonts w:hint="eastAsia" w:ascii="宋体" w:hAnsi="宋体" w:cs="仿宋"/>
                <w:bCs/>
                <w:sz w:val="24"/>
              </w:rPr>
              <w:t>注：</w:t>
            </w:r>
            <w:r>
              <w:rPr>
                <w:rFonts w:hint="eastAsia" w:ascii="宋体" w:hAnsi="宋体" w:cs="仿宋"/>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hint="eastAsia" w:ascii="宋体" w:hAnsi="宋体" w:cs="仿宋"/>
                <w:bCs/>
                <w:sz w:val="24"/>
              </w:rPr>
              <w:t>30分钟，供应商已明确表示澄清、说明完毕的除外</w:t>
            </w:r>
            <w:r>
              <w:rPr>
                <w:rFonts w:hint="eastAsia" w:ascii="宋体" w:hAnsi="宋体" w:cs="仿宋"/>
                <w:bCs/>
                <w:sz w:val="24"/>
                <w:lang w:val="zh-CN"/>
              </w:rPr>
              <w:t>）。如因系统故障（</w:t>
            </w:r>
            <w:r>
              <w:rPr>
                <w:rFonts w:hint="eastAsia" w:ascii="宋体" w:hAnsi="宋体"/>
                <w:sz w:val="24"/>
              </w:rPr>
              <w:t>包括组织场所停电、断网等）</w:t>
            </w:r>
            <w:r>
              <w:rPr>
                <w:rFonts w:hint="eastAsia" w:ascii="宋体" w:hAnsi="宋体" w:cs="仿宋"/>
                <w:bCs/>
                <w:sz w:val="24"/>
                <w:lang w:val="zh-CN"/>
              </w:rPr>
              <w:t>导致系统无法使用的，由投标人按评标委员会的要求进行澄清或者说明。</w:t>
            </w:r>
          </w:p>
        </w:tc>
        <w:tc>
          <w:tcPr>
            <w:tcW w:w="1359" w:type="pct"/>
          </w:tcPr>
          <w:p>
            <w:pPr>
              <w:rPr>
                <w:rFonts w:ascii="宋体" w:hAnsi="宋体" w:cs="仿宋"/>
                <w:bCs/>
                <w:sz w:val="24"/>
              </w:rPr>
            </w:pPr>
            <w:r>
              <w:rPr>
                <w:rFonts w:hint="eastAsia" w:ascii="宋体" w:hAnsi="宋体" w:cs="仿宋"/>
                <w:bCs/>
                <w:sz w:val="24"/>
              </w:rPr>
              <w:t>上传空白页即可，不对本项上传的材料作符合性审查。若有需要请按评标委员会要求提供书面说明、相关证明材料</w:t>
            </w:r>
            <w:r>
              <w:rPr>
                <w:rFonts w:hint="eastAsia" w:ascii="宋体" w:hAnsi="宋体" w:cs="仿宋"/>
                <w:bCs/>
                <w:sz w:val="24"/>
                <w:lang w:val="zh-CN"/>
              </w:rPr>
              <w:t>（如涉及）</w:t>
            </w:r>
            <w:r>
              <w:rPr>
                <w:rFonts w:hint="eastAsia" w:ascii="宋体" w:hAnsi="宋体" w:cs="仿宋"/>
                <w:bCs/>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trPr>
        <w:tc>
          <w:tcPr>
            <w:tcW w:w="539" w:type="pct"/>
          </w:tcPr>
          <w:p>
            <w:pPr>
              <w:rPr>
                <w:rFonts w:ascii="宋体" w:hAnsi="宋体" w:cs="仿宋"/>
                <w:bCs/>
                <w:sz w:val="24"/>
              </w:rPr>
            </w:pPr>
            <w:r>
              <w:rPr>
                <w:rFonts w:hint="eastAsia" w:ascii="宋体" w:hAnsi="宋体" w:cs="仿宋"/>
                <w:bCs/>
                <w:sz w:val="24"/>
              </w:rPr>
              <w:t>3</w:t>
            </w:r>
          </w:p>
        </w:tc>
        <w:tc>
          <w:tcPr>
            <w:tcW w:w="869" w:type="pct"/>
          </w:tcPr>
          <w:p>
            <w:pPr>
              <w:rPr>
                <w:rFonts w:ascii="宋体" w:hAnsi="宋体" w:cs="仿宋"/>
                <w:bCs/>
                <w:sz w:val="24"/>
              </w:rPr>
            </w:pPr>
            <w:r>
              <w:rPr>
                <w:rFonts w:hint="eastAsia" w:ascii="宋体" w:hAnsi="宋体" w:cs="仿宋"/>
                <w:bCs/>
                <w:sz w:val="24"/>
              </w:rPr>
              <w:t>招标文件第二章一、投标人须知附表序号3进口产品</w:t>
            </w:r>
          </w:p>
        </w:tc>
        <w:tc>
          <w:tcPr>
            <w:tcW w:w="2232" w:type="pct"/>
          </w:tcPr>
          <w:p>
            <w:pPr>
              <w:rPr>
                <w:rFonts w:ascii="宋体" w:hAnsi="宋体" w:cs="仿宋"/>
                <w:bCs/>
                <w:sz w:val="24"/>
              </w:rPr>
            </w:pPr>
            <w:r>
              <w:rPr>
                <w:rFonts w:hint="eastAsia" w:ascii="宋体" w:hAnsi="宋体" w:cs="仿宋"/>
                <w:bCs/>
                <w:sz w:val="24"/>
              </w:rPr>
              <w:t>本项目不允许采购进口产品。</w:t>
            </w:r>
          </w:p>
        </w:tc>
        <w:tc>
          <w:tcPr>
            <w:tcW w:w="1359" w:type="pct"/>
          </w:tcPr>
          <w:p>
            <w:pPr>
              <w:rPr>
                <w:rFonts w:ascii="宋体" w:hAnsi="宋体" w:cs="仿宋"/>
                <w:bCs/>
                <w:sz w:val="24"/>
              </w:rPr>
            </w:pPr>
            <w:r>
              <w:rPr>
                <w:rFonts w:hint="eastAsia" w:ascii="宋体" w:hAnsi="宋体" w:cs="仿宋"/>
                <w:bCs/>
                <w:sz w:val="24"/>
              </w:rPr>
              <w:t>上传空白页即可，不对本项上传的材料作符合性审查。评标委员会根据投标产品响应情况评审。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5" w:hRule="atLeast"/>
        </w:trPr>
        <w:tc>
          <w:tcPr>
            <w:tcW w:w="539" w:type="pct"/>
          </w:tcPr>
          <w:p>
            <w:pPr>
              <w:rPr>
                <w:rFonts w:ascii="宋体" w:hAnsi="宋体" w:cs="仿宋"/>
                <w:bCs/>
                <w:sz w:val="24"/>
              </w:rPr>
            </w:pPr>
            <w:r>
              <w:rPr>
                <w:rFonts w:hint="eastAsia" w:ascii="宋体" w:hAnsi="宋体" w:cs="仿宋"/>
                <w:bCs/>
                <w:sz w:val="24"/>
              </w:rPr>
              <w:t>4</w:t>
            </w:r>
          </w:p>
        </w:tc>
        <w:tc>
          <w:tcPr>
            <w:tcW w:w="869" w:type="pct"/>
          </w:tcPr>
          <w:p>
            <w:pPr>
              <w:spacing w:after="0" w:line="340" w:lineRule="exact"/>
              <w:ind w:right="105" w:rightChars="50"/>
              <w:rPr>
                <w:rFonts w:ascii="宋体" w:hAnsi="宋体" w:cs="仿宋"/>
                <w:bCs/>
                <w:sz w:val="24"/>
              </w:rPr>
            </w:pPr>
            <w:r>
              <w:rPr>
                <w:rFonts w:hint="eastAsia" w:ascii="宋体" w:hAnsi="宋体" w:cs="仿宋"/>
                <w:bCs/>
                <w:sz w:val="24"/>
              </w:rPr>
              <w:t>招标文件第二章一、投标人须知附表序号5</w:t>
            </w:r>
            <w:r>
              <w:rPr>
                <w:rFonts w:hint="eastAsia" w:ascii="宋体" w:hAnsi="宋体" w:cs="仿宋"/>
                <w:bCs/>
                <w:kern w:val="0"/>
                <w:sz w:val="24"/>
              </w:rPr>
              <w:t>节能、环保及无线局域网产品政府采购政策</w:t>
            </w:r>
          </w:p>
        </w:tc>
        <w:tc>
          <w:tcPr>
            <w:tcW w:w="2232" w:type="pct"/>
          </w:tcPr>
          <w:p>
            <w:pPr>
              <w:spacing w:after="0" w:line="340" w:lineRule="exact"/>
              <w:ind w:right="105" w:rightChars="50"/>
              <w:rPr>
                <w:rFonts w:ascii="宋体" w:hAnsi="宋体" w:cs="仿宋"/>
                <w:bCs/>
                <w:sz w:val="24"/>
              </w:rPr>
            </w:pPr>
            <w:r>
              <w:rPr>
                <w:rFonts w:hint="eastAsia" w:ascii="宋体" w:hAnsi="宋体" w:cs="仿宋"/>
                <w:bCs/>
                <w:sz w:val="24"/>
              </w:rPr>
              <w:t>一、节能、环保产品政府采购政策：</w:t>
            </w:r>
          </w:p>
          <w:p>
            <w:pPr>
              <w:spacing w:after="0" w:line="340" w:lineRule="exact"/>
              <w:ind w:right="105" w:rightChars="50"/>
              <w:rPr>
                <w:rFonts w:ascii="宋体" w:hAnsi="宋体" w:cs="仿宋"/>
                <w:bCs/>
                <w:sz w:val="24"/>
              </w:rPr>
            </w:pPr>
            <w:r>
              <w:rPr>
                <w:rFonts w:hint="eastAsia" w:ascii="宋体" w:hAnsi="宋体" w:cs="仿宋"/>
                <w:bCs/>
                <w:sz w:val="24"/>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spacing w:after="0" w:line="340" w:lineRule="exact"/>
              <w:ind w:right="105" w:rightChars="50"/>
              <w:rPr>
                <w:rFonts w:ascii="宋体" w:hAnsi="宋体" w:cs="仿宋"/>
                <w:bCs/>
                <w:sz w:val="24"/>
              </w:rPr>
            </w:pPr>
            <w:r>
              <w:rPr>
                <w:rFonts w:hint="eastAsia" w:ascii="宋体" w:hAnsi="宋体" w:cs="仿宋"/>
                <w:bCs/>
                <w:sz w:val="24"/>
              </w:rPr>
              <w:t>本项目采购的产品属于品目清单强制采购范围的，供应商应按上述要求提供产品认证证书复印件并加盖供应商单位公章，否则投标无效。</w:t>
            </w:r>
          </w:p>
        </w:tc>
        <w:tc>
          <w:tcPr>
            <w:tcW w:w="1359" w:type="pct"/>
          </w:tcPr>
          <w:p>
            <w:pPr>
              <w:rPr>
                <w:rFonts w:ascii="宋体" w:hAnsi="宋体" w:cs="仿宋"/>
                <w:bCs/>
                <w:sz w:val="24"/>
              </w:rPr>
            </w:pPr>
            <w:r>
              <w:rPr>
                <w:rFonts w:hint="eastAsia" w:ascii="宋体" w:hAnsi="宋体" w:cs="仿宋"/>
                <w:bCs/>
                <w:sz w:val="24"/>
              </w:rPr>
              <w:t>若不涉及上传空白页即可，若涉及按照要求提供证明材料，评标委员会根据上传内容进行评审。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trPr>
        <w:tc>
          <w:tcPr>
            <w:tcW w:w="539" w:type="pct"/>
          </w:tcPr>
          <w:p>
            <w:pPr>
              <w:rPr>
                <w:rFonts w:ascii="宋体" w:hAnsi="宋体" w:cs="仿宋"/>
                <w:bCs/>
                <w:sz w:val="24"/>
              </w:rPr>
            </w:pPr>
            <w:r>
              <w:rPr>
                <w:rFonts w:hint="eastAsia" w:ascii="宋体" w:hAnsi="宋体" w:cs="仿宋"/>
                <w:bCs/>
                <w:sz w:val="24"/>
              </w:rPr>
              <w:t>5</w:t>
            </w:r>
          </w:p>
        </w:tc>
        <w:tc>
          <w:tcPr>
            <w:tcW w:w="869" w:type="pct"/>
          </w:tcPr>
          <w:p>
            <w:pPr>
              <w:rPr>
                <w:rFonts w:ascii="宋体" w:hAnsi="宋体" w:cs="仿宋"/>
                <w:bCs/>
                <w:sz w:val="24"/>
              </w:rPr>
            </w:pPr>
            <w:r>
              <w:rPr>
                <w:rFonts w:hint="eastAsia" w:ascii="宋体" w:hAnsi="宋体" w:cs="仿宋"/>
                <w:bCs/>
                <w:sz w:val="24"/>
              </w:rPr>
              <w:t>招标文件第二章一、投标人须知附表序号9合同分包</w:t>
            </w:r>
          </w:p>
        </w:tc>
        <w:tc>
          <w:tcPr>
            <w:tcW w:w="2232" w:type="pct"/>
          </w:tcPr>
          <w:p>
            <w:pPr>
              <w:pStyle w:val="50"/>
              <w:spacing w:line="360" w:lineRule="auto"/>
              <w:jc w:val="both"/>
              <w:rPr>
                <w:rFonts w:cs="仿宋"/>
                <w:bCs/>
              </w:rPr>
            </w:pPr>
            <w:r>
              <w:rPr>
                <w:rFonts w:hint="eastAsia" w:cs="仿宋"/>
                <w:bCs/>
                <w:kern w:val="2"/>
              </w:rPr>
              <w:t>本项目不接受合同分包。</w:t>
            </w:r>
          </w:p>
        </w:tc>
        <w:tc>
          <w:tcPr>
            <w:tcW w:w="1359" w:type="pct"/>
          </w:tcPr>
          <w:p>
            <w:pPr>
              <w:rPr>
                <w:rFonts w:ascii="宋体" w:hAnsi="宋体" w:cs="仿宋"/>
                <w:bCs/>
                <w:sz w:val="24"/>
              </w:rPr>
            </w:pPr>
            <w:r>
              <w:rPr>
                <w:rFonts w:hint="eastAsia" w:ascii="宋体" w:hAnsi="宋体" w:cs="仿宋"/>
                <w:bCs/>
                <w:sz w:val="24"/>
              </w:rPr>
              <w:t>上传空白页即可，</w:t>
            </w:r>
            <w:r>
              <w:rPr>
                <w:rFonts w:hint="eastAsia" w:ascii="宋体" w:hAnsi="宋体" w:cs="仿宋"/>
                <w:sz w:val="24"/>
                <w:szCs w:val="28"/>
              </w:rPr>
              <w:t>不对本项上传的材料作符合性审查。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trPr>
        <w:tc>
          <w:tcPr>
            <w:tcW w:w="539" w:type="pct"/>
          </w:tcPr>
          <w:p>
            <w:pPr>
              <w:rPr>
                <w:rFonts w:ascii="宋体" w:hAnsi="宋体" w:cs="仿宋"/>
                <w:bCs/>
                <w:sz w:val="24"/>
              </w:rPr>
            </w:pPr>
            <w:r>
              <w:rPr>
                <w:rFonts w:hint="eastAsia" w:ascii="宋体" w:hAnsi="宋体" w:cs="仿宋"/>
                <w:bCs/>
                <w:sz w:val="24"/>
              </w:rPr>
              <w:t>6</w:t>
            </w:r>
          </w:p>
        </w:tc>
        <w:tc>
          <w:tcPr>
            <w:tcW w:w="869" w:type="pct"/>
          </w:tcPr>
          <w:p>
            <w:pPr>
              <w:rPr>
                <w:rFonts w:ascii="宋体" w:hAnsi="宋体" w:cs="仿宋"/>
                <w:bCs/>
                <w:sz w:val="24"/>
              </w:rPr>
            </w:pPr>
            <w:r>
              <w:rPr>
                <w:rFonts w:hint="eastAsia" w:ascii="宋体" w:hAnsi="宋体" w:cs="仿宋"/>
                <w:bCs/>
                <w:sz w:val="24"/>
              </w:rPr>
              <w:t>招标文件第二章一、投标人须知附表序号20</w:t>
            </w:r>
            <w:r>
              <w:rPr>
                <w:rFonts w:hint="eastAsia" w:ascii="宋体" w:hAnsi="宋体" w:cs="仿宋"/>
                <w:bCs/>
                <w:sz w:val="24"/>
                <w:lang w:val="zh-CN"/>
              </w:rPr>
              <w:t>联合体</w:t>
            </w:r>
          </w:p>
        </w:tc>
        <w:tc>
          <w:tcPr>
            <w:tcW w:w="2232" w:type="pct"/>
          </w:tcPr>
          <w:p>
            <w:pPr>
              <w:pStyle w:val="50"/>
              <w:jc w:val="both"/>
              <w:rPr>
                <w:rFonts w:cs="仿宋"/>
                <w:bCs/>
              </w:rPr>
            </w:pPr>
            <w:r>
              <w:rPr>
                <w:rFonts w:hint="eastAsia" w:cs="仿宋"/>
                <w:bCs/>
                <w:lang w:val="zh-CN"/>
              </w:rPr>
              <w:t>本项目不允许联合体参加。</w:t>
            </w:r>
          </w:p>
        </w:tc>
        <w:tc>
          <w:tcPr>
            <w:tcW w:w="1359" w:type="pct"/>
          </w:tcPr>
          <w:p>
            <w:pPr>
              <w:rPr>
                <w:rFonts w:ascii="宋体" w:hAnsi="宋体" w:cs="仿宋"/>
                <w:bCs/>
                <w:sz w:val="24"/>
              </w:rPr>
            </w:pPr>
            <w:r>
              <w:rPr>
                <w:rFonts w:hint="eastAsia" w:ascii="宋体" w:hAnsi="宋体" w:cs="仿宋"/>
                <w:bCs/>
                <w:sz w:val="24"/>
              </w:rPr>
              <w:t>上传空白页即可，</w:t>
            </w:r>
            <w:r>
              <w:rPr>
                <w:rFonts w:hint="eastAsia" w:ascii="宋体" w:hAnsi="宋体" w:cs="仿宋"/>
                <w:sz w:val="24"/>
                <w:szCs w:val="28"/>
              </w:rPr>
              <w:t>不对本项上传的材料作符合性审查。评标委员会根据招标文件要求进行评审。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trPr>
        <w:tc>
          <w:tcPr>
            <w:tcW w:w="539" w:type="pct"/>
          </w:tcPr>
          <w:p>
            <w:pPr>
              <w:rPr>
                <w:rFonts w:ascii="宋体" w:hAnsi="宋体" w:cs="仿宋"/>
                <w:bCs/>
                <w:sz w:val="24"/>
              </w:rPr>
            </w:pPr>
            <w:r>
              <w:rPr>
                <w:rFonts w:hint="eastAsia" w:ascii="宋体" w:hAnsi="宋体" w:cs="仿宋"/>
                <w:bCs/>
                <w:sz w:val="24"/>
              </w:rPr>
              <w:t>7</w:t>
            </w:r>
          </w:p>
        </w:tc>
        <w:tc>
          <w:tcPr>
            <w:tcW w:w="869" w:type="pct"/>
          </w:tcPr>
          <w:p>
            <w:pPr>
              <w:rPr>
                <w:rFonts w:ascii="宋体" w:hAnsi="宋体" w:cs="仿宋"/>
                <w:bCs/>
                <w:sz w:val="24"/>
                <w:lang w:val="zh-CN"/>
              </w:rPr>
            </w:pPr>
            <w:r>
              <w:rPr>
                <w:rFonts w:hint="eastAsia" w:ascii="宋体" w:hAnsi="宋体" w:cs="仿宋"/>
                <w:bCs/>
                <w:sz w:val="24"/>
              </w:rPr>
              <w:t>招标文件</w:t>
            </w:r>
            <w:r>
              <w:rPr>
                <w:rFonts w:hint="eastAsia" w:ascii="宋体" w:hAnsi="宋体" w:cs="仿宋"/>
                <w:bCs/>
                <w:sz w:val="24"/>
                <w:lang w:val="zh-CN"/>
              </w:rPr>
              <w:t>第二章</w:t>
            </w:r>
            <w:r>
              <w:rPr>
                <w:rFonts w:hint="eastAsia" w:ascii="宋体" w:hAnsi="宋体" w:cs="仿宋"/>
                <w:bCs/>
                <w:sz w:val="24"/>
              </w:rPr>
              <w:t>4.</w:t>
            </w:r>
            <w:r>
              <w:rPr>
                <w:rFonts w:hint="eastAsia" w:ascii="宋体" w:hAnsi="宋体" w:cs="仿宋"/>
                <w:bCs/>
                <w:sz w:val="24"/>
                <w:lang w:val="zh-CN"/>
              </w:rPr>
              <w:t>投标费用</w:t>
            </w:r>
          </w:p>
        </w:tc>
        <w:tc>
          <w:tcPr>
            <w:tcW w:w="2232" w:type="pct"/>
          </w:tcPr>
          <w:p>
            <w:pPr>
              <w:rPr>
                <w:rFonts w:ascii="宋体" w:hAnsi="宋体" w:cs="仿宋"/>
                <w:bCs/>
                <w:sz w:val="24"/>
              </w:rPr>
            </w:pPr>
            <w:r>
              <w:rPr>
                <w:rFonts w:hint="eastAsia" w:ascii="宋体" w:hAnsi="宋体" w:cs="仿宋"/>
                <w:bCs/>
                <w:sz w:val="24"/>
                <w:lang w:val="zh-CN"/>
              </w:rPr>
              <w:t>投标人参加投标的有关费用由投标人自行承担。</w:t>
            </w:r>
          </w:p>
        </w:tc>
        <w:tc>
          <w:tcPr>
            <w:tcW w:w="1359" w:type="pct"/>
          </w:tcPr>
          <w:p>
            <w:pPr>
              <w:rPr>
                <w:rFonts w:ascii="宋体" w:hAnsi="宋体" w:cs="仿宋"/>
                <w:bCs/>
                <w:sz w:val="24"/>
              </w:rPr>
            </w:pPr>
            <w:r>
              <w:rPr>
                <w:rFonts w:hint="eastAsia" w:ascii="宋体" w:hAnsi="宋体" w:cs="仿宋"/>
                <w:bCs/>
                <w:sz w:val="24"/>
              </w:rPr>
              <w:t>投标人根据招标文件第三章格式2-3填写，评标委员会根据上传内容进行评审。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6" w:hRule="atLeast"/>
        </w:trPr>
        <w:tc>
          <w:tcPr>
            <w:tcW w:w="539" w:type="pct"/>
          </w:tcPr>
          <w:p>
            <w:pPr>
              <w:rPr>
                <w:rFonts w:ascii="宋体" w:hAnsi="宋体" w:cs="仿宋"/>
                <w:bCs/>
                <w:sz w:val="24"/>
              </w:rPr>
            </w:pPr>
            <w:r>
              <w:rPr>
                <w:rFonts w:hint="eastAsia" w:ascii="宋体" w:hAnsi="宋体" w:cs="仿宋"/>
                <w:bCs/>
                <w:sz w:val="24"/>
              </w:rPr>
              <w:t>8</w:t>
            </w:r>
          </w:p>
        </w:tc>
        <w:tc>
          <w:tcPr>
            <w:tcW w:w="869" w:type="pct"/>
          </w:tcPr>
          <w:p>
            <w:pPr>
              <w:rPr>
                <w:rFonts w:ascii="宋体" w:hAnsi="宋体" w:cs="仿宋"/>
                <w:bCs/>
                <w:sz w:val="24"/>
                <w:lang w:val="zh-CN"/>
              </w:rPr>
            </w:pPr>
            <w:r>
              <w:rPr>
                <w:rFonts w:hint="eastAsia" w:ascii="宋体" w:hAnsi="宋体" w:cs="仿宋"/>
                <w:bCs/>
                <w:sz w:val="24"/>
              </w:rPr>
              <w:t>招标文件</w:t>
            </w:r>
            <w:r>
              <w:rPr>
                <w:rFonts w:hint="eastAsia" w:ascii="宋体" w:hAnsi="宋体" w:cs="仿宋"/>
                <w:bCs/>
                <w:sz w:val="24"/>
                <w:lang w:val="zh-CN"/>
              </w:rPr>
              <w:t>第二章5.充分、公平竞争保障措施</w:t>
            </w:r>
          </w:p>
        </w:tc>
        <w:tc>
          <w:tcPr>
            <w:tcW w:w="2232" w:type="pct"/>
          </w:tcPr>
          <w:p>
            <w:pPr>
              <w:rPr>
                <w:rFonts w:ascii="宋体" w:hAnsi="宋体" w:cs="仿宋"/>
                <w:bCs/>
                <w:sz w:val="24"/>
              </w:rPr>
            </w:pPr>
            <w:r>
              <w:rPr>
                <w:rFonts w:hint="eastAsia" w:ascii="宋体" w:hAnsi="宋体" w:cs="仿宋"/>
                <w:bCs/>
                <w:sz w:val="24"/>
              </w:rPr>
              <w:t>5.1 提供相同品牌产品处理。</w:t>
            </w:r>
          </w:p>
          <w:p>
            <w:pPr>
              <w:rPr>
                <w:rFonts w:ascii="宋体" w:hAnsi="宋体" w:cs="仿宋"/>
                <w:bCs/>
                <w:sz w:val="24"/>
              </w:rPr>
            </w:pPr>
            <w:r>
              <w:rPr>
                <w:rFonts w:hint="eastAsia" w:ascii="宋体" w:hAnsi="宋体" w:cs="仿宋"/>
                <w:bCs/>
                <w:sz w:val="24"/>
              </w:rPr>
              <w:t>5.1.1 非单一产品采购项目中，采购人根据采购项目技术构成、产品价格比重等合理确定核心产品。多家投标人提供的任一核心产品品牌相同的，视为提供相同品牌产品。</w:t>
            </w:r>
            <w:r>
              <w:rPr>
                <w:rFonts w:hint="eastAsia" w:ascii="宋体" w:hAnsi="宋体"/>
                <w:bCs/>
                <w:sz w:val="24"/>
              </w:rPr>
              <w:t>核心产品为：网络管理平台。</w:t>
            </w:r>
          </w:p>
          <w:p>
            <w:pPr>
              <w:rPr>
                <w:rFonts w:ascii="宋体" w:hAnsi="宋体" w:cs="仿宋"/>
                <w:bCs/>
                <w:sz w:val="24"/>
              </w:rPr>
            </w:pPr>
            <w:r>
              <w:rPr>
                <w:rFonts w:hint="eastAsia" w:ascii="宋体" w:hAnsi="宋体" w:cs="仿宋"/>
                <w:bCs/>
                <w:sz w:val="24"/>
              </w:rPr>
              <w:t>5.1.2 采用综合评分法的采购项目。</w:t>
            </w:r>
          </w:p>
          <w:p>
            <w:pPr>
              <w:rPr>
                <w:rFonts w:ascii="宋体" w:hAnsi="宋体" w:cs="仿宋"/>
                <w:bCs/>
                <w:sz w:val="24"/>
              </w:rPr>
            </w:pPr>
            <w:r>
              <w:rPr>
                <w:rFonts w:hint="eastAsia" w:ascii="宋体" w:hAnsi="宋体" w:cs="仿宋"/>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tc>
        <w:tc>
          <w:tcPr>
            <w:tcW w:w="1359" w:type="pct"/>
          </w:tcPr>
          <w:p>
            <w:pPr>
              <w:rPr>
                <w:rFonts w:ascii="宋体" w:hAnsi="宋体" w:cs="仿宋"/>
                <w:bCs/>
                <w:sz w:val="24"/>
              </w:rPr>
            </w:pPr>
            <w:r>
              <w:rPr>
                <w:rFonts w:hint="eastAsia" w:ascii="宋体" w:hAnsi="宋体" w:cs="仿宋"/>
                <w:bCs/>
                <w:sz w:val="24"/>
              </w:rPr>
              <w:t>上传空白页即可，</w:t>
            </w:r>
            <w:r>
              <w:rPr>
                <w:rFonts w:hint="eastAsia" w:ascii="宋体" w:hAnsi="宋体" w:cs="仿宋"/>
                <w:sz w:val="24"/>
                <w:szCs w:val="28"/>
              </w:rPr>
              <w:t>不对本项上传的材料作符合性审查。评标委员会根据招标文件要求进行评审。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3" w:hRule="atLeast"/>
        </w:trPr>
        <w:tc>
          <w:tcPr>
            <w:tcW w:w="539" w:type="pct"/>
          </w:tcPr>
          <w:p>
            <w:pPr>
              <w:rPr>
                <w:rFonts w:ascii="宋体" w:hAnsi="宋体" w:cs="仿宋"/>
                <w:bCs/>
                <w:sz w:val="24"/>
              </w:rPr>
            </w:pPr>
            <w:r>
              <w:rPr>
                <w:rFonts w:hint="eastAsia" w:ascii="宋体" w:hAnsi="宋体" w:cs="仿宋"/>
                <w:bCs/>
                <w:sz w:val="24"/>
              </w:rPr>
              <w:t>9</w:t>
            </w:r>
          </w:p>
        </w:tc>
        <w:tc>
          <w:tcPr>
            <w:tcW w:w="869" w:type="pct"/>
          </w:tcPr>
          <w:p>
            <w:pPr>
              <w:rPr>
                <w:rFonts w:ascii="宋体" w:hAnsi="宋体" w:cs="仿宋"/>
                <w:bCs/>
                <w:sz w:val="24"/>
              </w:rPr>
            </w:pPr>
            <w:r>
              <w:rPr>
                <w:rFonts w:hint="eastAsia" w:ascii="宋体" w:hAnsi="宋体" w:cs="仿宋"/>
                <w:bCs/>
                <w:sz w:val="24"/>
              </w:rPr>
              <w:t>招标文件</w:t>
            </w:r>
            <w:r>
              <w:rPr>
                <w:rFonts w:hint="eastAsia" w:ascii="宋体" w:hAnsi="宋体" w:cs="仿宋"/>
                <w:bCs/>
                <w:sz w:val="24"/>
                <w:lang w:val="zh-CN"/>
              </w:rPr>
              <w:t>第二章5.充分、公平竞争保障措施</w:t>
            </w:r>
          </w:p>
        </w:tc>
        <w:tc>
          <w:tcPr>
            <w:tcW w:w="2232" w:type="pct"/>
          </w:tcPr>
          <w:p>
            <w:pPr>
              <w:pStyle w:val="49"/>
              <w:spacing w:line="460" w:lineRule="exact"/>
              <w:ind w:left="1" w:firstLine="480" w:firstLineChars="200"/>
              <w:rPr>
                <w:rFonts w:hAnsi="宋体" w:cs="仿宋"/>
                <w:bCs/>
                <w:sz w:val="24"/>
                <w:szCs w:val="24"/>
              </w:rPr>
            </w:pPr>
            <w:r>
              <w:rPr>
                <w:rFonts w:hint="eastAsia" w:hAnsi="宋体" w:cs="仿宋"/>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pPr>
              <w:pStyle w:val="49"/>
              <w:spacing w:line="460" w:lineRule="exact"/>
              <w:ind w:left="1" w:firstLine="480" w:firstLineChars="200"/>
              <w:rPr>
                <w:rFonts w:hAnsi="宋体" w:cs="仿宋"/>
                <w:bCs/>
                <w:sz w:val="24"/>
                <w:szCs w:val="24"/>
              </w:rPr>
            </w:pPr>
            <w:r>
              <w:rPr>
                <w:rFonts w:hint="eastAsia" w:hAnsi="宋体" w:cs="仿宋"/>
                <w:bCs/>
                <w:sz w:val="24"/>
                <w:szCs w:val="24"/>
              </w:rPr>
              <w:t>5.3 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pStyle w:val="49"/>
              <w:spacing w:line="460" w:lineRule="exact"/>
              <w:ind w:left="1" w:firstLine="480" w:firstLineChars="200"/>
              <w:rPr>
                <w:rFonts w:hAnsi="宋体" w:cs="仿宋"/>
                <w:bCs/>
                <w:sz w:val="24"/>
                <w:szCs w:val="24"/>
              </w:rPr>
            </w:pPr>
            <w:r>
              <w:rPr>
                <w:rFonts w:hint="eastAsia" w:hAnsi="宋体" w:cs="仿宋"/>
                <w:bCs/>
                <w:sz w:val="24"/>
                <w:szCs w:val="24"/>
              </w:rPr>
              <w:t>5.4 利害关系代理人处理。2家以上的供应商不得在同一合同项下的采购项目中，同时委托同一个自然人、同一家庭的人员、同一单位的人员作为其代理人，否则，其投标文件作为无效处理。</w:t>
            </w:r>
          </w:p>
        </w:tc>
        <w:tc>
          <w:tcPr>
            <w:tcW w:w="1359" w:type="pct"/>
          </w:tcPr>
          <w:p>
            <w:pPr>
              <w:rPr>
                <w:rFonts w:ascii="宋体" w:hAnsi="宋体" w:cs="仿宋"/>
                <w:bCs/>
                <w:sz w:val="24"/>
              </w:rPr>
            </w:pPr>
            <w:r>
              <w:rPr>
                <w:rFonts w:hint="eastAsia" w:ascii="宋体" w:hAnsi="宋体" w:cs="仿宋"/>
                <w:bCs/>
                <w:sz w:val="24"/>
              </w:rPr>
              <w:t>投标人根据招标文件第三章格式2-3填写，评标委员会根据上传内容进行评审。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trPr>
        <w:tc>
          <w:tcPr>
            <w:tcW w:w="539" w:type="pct"/>
          </w:tcPr>
          <w:p>
            <w:pPr>
              <w:rPr>
                <w:rFonts w:ascii="宋体" w:hAnsi="宋体" w:cs="仿宋"/>
                <w:bCs/>
                <w:sz w:val="24"/>
              </w:rPr>
            </w:pPr>
            <w:r>
              <w:rPr>
                <w:rFonts w:hint="eastAsia" w:ascii="宋体" w:hAnsi="宋体" w:cs="仿宋"/>
                <w:bCs/>
                <w:sz w:val="24"/>
              </w:rPr>
              <w:t>10</w:t>
            </w:r>
          </w:p>
        </w:tc>
        <w:tc>
          <w:tcPr>
            <w:tcW w:w="869" w:type="pct"/>
          </w:tcPr>
          <w:p>
            <w:pPr>
              <w:rPr>
                <w:rFonts w:ascii="宋体" w:hAnsi="宋体" w:cs="仿宋"/>
                <w:bCs/>
                <w:sz w:val="24"/>
              </w:rPr>
            </w:pPr>
            <w:r>
              <w:rPr>
                <w:rFonts w:hint="eastAsia" w:ascii="宋体" w:hAnsi="宋体" w:cs="仿宋"/>
                <w:bCs/>
                <w:sz w:val="24"/>
              </w:rPr>
              <w:t>招标文件</w:t>
            </w:r>
            <w:r>
              <w:rPr>
                <w:rFonts w:hint="eastAsia" w:ascii="宋体" w:hAnsi="宋体" w:cs="仿宋"/>
                <w:bCs/>
                <w:sz w:val="24"/>
                <w:lang w:val="zh-CN"/>
              </w:rPr>
              <w:t>第二章10．计量单位</w:t>
            </w:r>
          </w:p>
        </w:tc>
        <w:tc>
          <w:tcPr>
            <w:tcW w:w="2232" w:type="pct"/>
          </w:tcPr>
          <w:p>
            <w:pPr>
              <w:rPr>
                <w:rFonts w:ascii="宋体" w:hAnsi="宋体" w:cs="仿宋"/>
                <w:bCs/>
                <w:sz w:val="24"/>
              </w:rPr>
            </w:pPr>
            <w:r>
              <w:rPr>
                <w:rFonts w:hint="eastAsia" w:ascii="宋体" w:hAnsi="宋体" w:cs="仿宋"/>
                <w:bCs/>
                <w:sz w:val="24"/>
                <w:lang w:val="zh-CN"/>
              </w:rPr>
              <w:t>除招标文件中另有规定外，本次采购项目所有合同项下的投标均采用国家法定的计量单位。</w:t>
            </w:r>
          </w:p>
        </w:tc>
        <w:tc>
          <w:tcPr>
            <w:tcW w:w="1359" w:type="pct"/>
          </w:tcPr>
          <w:p>
            <w:pPr>
              <w:rPr>
                <w:rFonts w:ascii="宋体" w:hAnsi="宋体" w:cs="仿宋"/>
                <w:bCs/>
                <w:sz w:val="24"/>
              </w:rPr>
            </w:pPr>
            <w:r>
              <w:rPr>
                <w:rFonts w:hint="eastAsia" w:ascii="宋体" w:hAnsi="宋体" w:cs="仿宋"/>
                <w:bCs/>
                <w:sz w:val="24"/>
              </w:rPr>
              <w:t>上传空白页即可，</w:t>
            </w:r>
            <w:r>
              <w:rPr>
                <w:rFonts w:hint="eastAsia" w:ascii="宋体" w:hAnsi="宋体" w:cs="仿宋"/>
                <w:sz w:val="24"/>
                <w:szCs w:val="28"/>
              </w:rPr>
              <w:t>不对本项上传的材料作符合性审查，</w:t>
            </w:r>
            <w:r>
              <w:rPr>
                <w:rFonts w:hint="eastAsia" w:ascii="宋体" w:hAnsi="宋体" w:cs="仿宋"/>
                <w:bCs/>
                <w:sz w:val="24"/>
              </w:rPr>
              <w:t>评审委员会根据投标文件评审。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trPr>
        <w:tc>
          <w:tcPr>
            <w:tcW w:w="539" w:type="pct"/>
          </w:tcPr>
          <w:p>
            <w:pPr>
              <w:rPr>
                <w:rFonts w:ascii="宋体" w:hAnsi="宋体" w:cs="仿宋"/>
                <w:bCs/>
                <w:sz w:val="24"/>
              </w:rPr>
            </w:pPr>
            <w:r>
              <w:rPr>
                <w:rFonts w:hint="eastAsia" w:ascii="宋体" w:hAnsi="宋体" w:cs="仿宋"/>
                <w:bCs/>
                <w:sz w:val="24"/>
              </w:rPr>
              <w:t>11</w:t>
            </w:r>
          </w:p>
        </w:tc>
        <w:tc>
          <w:tcPr>
            <w:tcW w:w="869" w:type="pct"/>
          </w:tcPr>
          <w:p>
            <w:pPr>
              <w:rPr>
                <w:rFonts w:ascii="宋体" w:hAnsi="宋体" w:cs="仿宋"/>
                <w:bCs/>
                <w:sz w:val="24"/>
              </w:rPr>
            </w:pPr>
            <w:r>
              <w:rPr>
                <w:rFonts w:hint="eastAsia" w:ascii="宋体" w:hAnsi="宋体" w:cs="仿宋"/>
                <w:bCs/>
                <w:sz w:val="24"/>
                <w:lang w:val="zh-CN"/>
              </w:rPr>
              <w:t>招标文件第二章11. 投标货币</w:t>
            </w:r>
          </w:p>
        </w:tc>
        <w:tc>
          <w:tcPr>
            <w:tcW w:w="2232" w:type="pct"/>
          </w:tcPr>
          <w:p>
            <w:pPr>
              <w:rPr>
                <w:rFonts w:ascii="宋体" w:hAnsi="宋体" w:cs="仿宋"/>
                <w:bCs/>
                <w:sz w:val="24"/>
              </w:rPr>
            </w:pPr>
            <w:r>
              <w:rPr>
                <w:rFonts w:hint="eastAsia" w:ascii="宋体" w:hAnsi="宋体" w:cs="仿宋"/>
                <w:bCs/>
                <w:sz w:val="24"/>
                <w:lang w:val="zh-CN"/>
              </w:rPr>
              <w:t>本次招标项目的投标均以人民币报价。</w:t>
            </w:r>
          </w:p>
        </w:tc>
        <w:tc>
          <w:tcPr>
            <w:tcW w:w="1359" w:type="pct"/>
          </w:tcPr>
          <w:p>
            <w:pPr>
              <w:rPr>
                <w:rFonts w:ascii="宋体" w:hAnsi="宋体" w:cs="仿宋"/>
                <w:bCs/>
                <w:sz w:val="24"/>
              </w:rPr>
            </w:pPr>
            <w:r>
              <w:rPr>
                <w:rFonts w:hint="eastAsia" w:ascii="宋体" w:hAnsi="宋体" w:cs="仿宋"/>
                <w:bCs/>
                <w:sz w:val="24"/>
              </w:rPr>
              <w:t>上传空白页即可，</w:t>
            </w:r>
            <w:r>
              <w:rPr>
                <w:rFonts w:hint="eastAsia" w:ascii="宋体" w:hAnsi="宋体" w:cs="仿宋"/>
                <w:sz w:val="24"/>
                <w:szCs w:val="28"/>
              </w:rPr>
              <w:t>不对本项上传的材料作符合性审查，</w:t>
            </w:r>
            <w:r>
              <w:rPr>
                <w:rFonts w:hint="eastAsia" w:ascii="宋体" w:hAnsi="宋体" w:cs="仿宋"/>
                <w:bCs/>
                <w:sz w:val="24"/>
              </w:rPr>
              <w:t>评审委员会根据投标文件评审。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0" w:hRule="atLeast"/>
        </w:trPr>
        <w:tc>
          <w:tcPr>
            <w:tcW w:w="539" w:type="pct"/>
          </w:tcPr>
          <w:p>
            <w:pPr>
              <w:rPr>
                <w:rFonts w:ascii="宋体" w:hAnsi="宋体" w:cs="仿宋"/>
                <w:bCs/>
                <w:sz w:val="24"/>
              </w:rPr>
            </w:pPr>
            <w:r>
              <w:rPr>
                <w:rFonts w:hint="eastAsia" w:ascii="宋体" w:hAnsi="宋体" w:cs="仿宋"/>
                <w:bCs/>
                <w:sz w:val="24"/>
              </w:rPr>
              <w:t>12</w:t>
            </w:r>
          </w:p>
        </w:tc>
        <w:tc>
          <w:tcPr>
            <w:tcW w:w="869" w:type="pct"/>
          </w:tcPr>
          <w:p>
            <w:pPr>
              <w:rPr>
                <w:rFonts w:ascii="宋体" w:hAnsi="宋体" w:cs="仿宋"/>
                <w:bCs/>
                <w:sz w:val="24"/>
                <w:lang w:val="zh-CN"/>
              </w:rPr>
            </w:pPr>
            <w:r>
              <w:rPr>
                <w:rFonts w:hint="eastAsia" w:ascii="宋体" w:hAnsi="宋体" w:cs="仿宋"/>
                <w:bCs/>
                <w:sz w:val="24"/>
                <w:lang w:val="zh-CN"/>
              </w:rPr>
              <w:t>招标文件第二章13. 知识产权</w:t>
            </w:r>
          </w:p>
        </w:tc>
        <w:tc>
          <w:tcPr>
            <w:tcW w:w="2232" w:type="pct"/>
          </w:tcPr>
          <w:p>
            <w:pPr>
              <w:rPr>
                <w:rFonts w:ascii="宋体" w:hAnsi="宋体" w:cs="仿宋"/>
                <w:bCs/>
                <w:sz w:val="24"/>
                <w:lang w:val="zh-CN"/>
              </w:rPr>
            </w:pPr>
            <w:r>
              <w:rPr>
                <w:rFonts w:hint="eastAsia" w:ascii="宋体" w:hAnsi="宋体" w:cs="仿宋"/>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rPr>
                <w:rFonts w:ascii="宋体" w:hAnsi="宋体" w:cs="仿宋"/>
                <w:bCs/>
                <w:sz w:val="24"/>
                <w:lang w:val="zh-CN"/>
              </w:rPr>
            </w:pPr>
            <w:r>
              <w:rPr>
                <w:rFonts w:hint="eastAsia" w:ascii="宋体" w:hAnsi="宋体" w:cs="仿宋"/>
                <w:bCs/>
                <w:sz w:val="24"/>
                <w:lang w:val="zh-CN"/>
              </w:rPr>
              <w:t>13.2 采购人享有本项目实施过程中产生的知识成果及知识产权。</w:t>
            </w:r>
          </w:p>
          <w:p>
            <w:pPr>
              <w:rPr>
                <w:rFonts w:ascii="宋体" w:hAnsi="宋体" w:cs="仿宋"/>
                <w:bCs/>
                <w:sz w:val="24"/>
                <w:lang w:val="zh-CN"/>
              </w:rPr>
            </w:pPr>
            <w:r>
              <w:rPr>
                <w:rFonts w:hint="eastAsia" w:ascii="宋体" w:hAnsi="宋体" w:cs="仿宋"/>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pPr>
              <w:rPr>
                <w:rFonts w:ascii="宋体" w:hAnsi="宋体" w:cs="仿宋"/>
                <w:bCs/>
                <w:sz w:val="24"/>
                <w:lang w:val="zh-CN"/>
              </w:rPr>
            </w:pPr>
            <w:r>
              <w:rPr>
                <w:rFonts w:hint="eastAsia" w:ascii="宋体" w:hAnsi="宋体" w:cs="仿宋"/>
                <w:bCs/>
                <w:sz w:val="24"/>
                <w:lang w:val="zh-CN"/>
              </w:rPr>
              <w:t xml:space="preserve">13.4 如采用投标人所不拥有的知识产权，则在投标报价中必须包括合法获取该知识产权的相关费用。 </w:t>
            </w:r>
          </w:p>
        </w:tc>
        <w:tc>
          <w:tcPr>
            <w:tcW w:w="1359" w:type="pct"/>
          </w:tcPr>
          <w:p>
            <w:pPr>
              <w:rPr>
                <w:rFonts w:ascii="宋体" w:hAnsi="宋体" w:cs="仿宋"/>
                <w:bCs/>
                <w:sz w:val="24"/>
              </w:rPr>
            </w:pPr>
            <w:r>
              <w:rPr>
                <w:rFonts w:hint="eastAsia" w:ascii="宋体" w:hAnsi="宋体" w:cs="仿宋"/>
                <w:bCs/>
                <w:sz w:val="24"/>
              </w:rPr>
              <w:t>投标人根据招标文件第三章格式2-3填写，评标委员会根据上传内容进行评审。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1" w:hRule="atLeast"/>
        </w:trPr>
        <w:tc>
          <w:tcPr>
            <w:tcW w:w="539" w:type="pct"/>
          </w:tcPr>
          <w:p>
            <w:pPr>
              <w:rPr>
                <w:rFonts w:ascii="宋体" w:hAnsi="宋体" w:cs="仿宋"/>
                <w:bCs/>
                <w:sz w:val="24"/>
              </w:rPr>
            </w:pPr>
            <w:r>
              <w:rPr>
                <w:rFonts w:hint="eastAsia" w:ascii="宋体" w:hAnsi="宋体" w:cs="仿宋"/>
                <w:bCs/>
                <w:sz w:val="24"/>
              </w:rPr>
              <w:t>13</w:t>
            </w:r>
          </w:p>
        </w:tc>
        <w:tc>
          <w:tcPr>
            <w:tcW w:w="869" w:type="pct"/>
          </w:tcPr>
          <w:p>
            <w:pPr>
              <w:rPr>
                <w:rFonts w:ascii="宋体" w:hAnsi="宋体" w:cs="仿宋"/>
                <w:bCs/>
                <w:sz w:val="24"/>
                <w:lang w:val="zh-CN"/>
              </w:rPr>
            </w:pPr>
            <w:r>
              <w:rPr>
                <w:rFonts w:hint="eastAsia" w:ascii="宋体" w:hAnsi="宋体" w:cs="仿宋"/>
                <w:bCs/>
                <w:sz w:val="24"/>
                <w:lang w:val="zh-CN"/>
              </w:rPr>
              <w:t>招标文件第二章14．投标文件的组成，其他响应性投标文件（一）报价部分</w:t>
            </w:r>
          </w:p>
        </w:tc>
        <w:tc>
          <w:tcPr>
            <w:tcW w:w="2232" w:type="pct"/>
          </w:tcPr>
          <w:p>
            <w:pPr>
              <w:rPr>
                <w:rFonts w:ascii="宋体" w:hAnsi="宋体" w:cs="仿宋"/>
                <w:bCs/>
                <w:sz w:val="24"/>
                <w:lang w:val="zh-CN"/>
              </w:rPr>
            </w:pPr>
            <w:r>
              <w:rPr>
                <w:rFonts w:hint="eastAsia" w:ascii="宋体" w:hAnsi="宋体" w:cs="仿宋"/>
                <w:bCs/>
                <w:sz w:val="24"/>
                <w:lang w:val="zh-CN"/>
              </w:rPr>
              <w:t>2、本次招标报价要求：</w:t>
            </w:r>
          </w:p>
          <w:p>
            <w:pPr>
              <w:rPr>
                <w:rFonts w:ascii="宋体" w:hAnsi="宋体" w:cs="仿宋"/>
                <w:bCs/>
                <w:sz w:val="24"/>
                <w:lang w:val="zh-CN"/>
              </w:rPr>
            </w:pPr>
            <w:r>
              <w:rPr>
                <w:rFonts w:hint="eastAsia" w:ascii="宋体" w:hAnsi="宋体" w:cs="仿宋"/>
                <w:bCs/>
                <w:sz w:val="24"/>
                <w:lang w:val="zh-CN"/>
              </w:rPr>
              <w:t>（1）投标人的报价是投标人响应招标项目要求的全部工作内容的价格体现，包括投标人完成本项目所需的一切费用。</w:t>
            </w:r>
          </w:p>
          <w:p>
            <w:pPr>
              <w:rPr>
                <w:rFonts w:ascii="宋体" w:hAnsi="宋体" w:cs="仿宋"/>
                <w:bCs/>
                <w:sz w:val="24"/>
                <w:lang w:val="zh-CN"/>
              </w:rPr>
            </w:pPr>
            <w:r>
              <w:rPr>
                <w:rFonts w:hint="eastAsia" w:ascii="宋体" w:hAnsi="宋体" w:cs="仿宋"/>
                <w:bCs/>
                <w:sz w:val="24"/>
                <w:lang w:val="zh-CN"/>
              </w:rPr>
              <w:t>（3）在本次投标之前一周年内，投标人本次投标中对同一品牌同一型号相同配置的产品报价与其在中国境内其他地方的最低报价比例不得高于20%。</w:t>
            </w:r>
          </w:p>
        </w:tc>
        <w:tc>
          <w:tcPr>
            <w:tcW w:w="1359" w:type="pct"/>
          </w:tcPr>
          <w:p>
            <w:pPr>
              <w:rPr>
                <w:rFonts w:ascii="宋体" w:hAnsi="宋体" w:cs="仿宋"/>
                <w:bCs/>
                <w:sz w:val="24"/>
              </w:rPr>
            </w:pPr>
            <w:r>
              <w:rPr>
                <w:rFonts w:hint="eastAsia" w:ascii="宋体" w:hAnsi="宋体" w:cs="仿宋"/>
                <w:bCs/>
                <w:sz w:val="24"/>
              </w:rPr>
              <w:t>投标人根据招标文件第三章格式2-3填写，评标委员会根据上传内容进行评审。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0" w:hRule="atLeast"/>
        </w:trPr>
        <w:tc>
          <w:tcPr>
            <w:tcW w:w="539" w:type="pct"/>
          </w:tcPr>
          <w:p>
            <w:pPr>
              <w:rPr>
                <w:rFonts w:ascii="宋体" w:hAnsi="宋体" w:cs="仿宋"/>
                <w:bCs/>
                <w:sz w:val="24"/>
              </w:rPr>
            </w:pPr>
            <w:r>
              <w:rPr>
                <w:rFonts w:hint="eastAsia" w:ascii="宋体" w:hAnsi="宋体" w:cs="仿宋"/>
                <w:bCs/>
                <w:sz w:val="24"/>
              </w:rPr>
              <w:t>14</w:t>
            </w:r>
          </w:p>
        </w:tc>
        <w:tc>
          <w:tcPr>
            <w:tcW w:w="869" w:type="pct"/>
          </w:tcPr>
          <w:p>
            <w:pPr>
              <w:rPr>
                <w:rFonts w:ascii="宋体" w:hAnsi="宋体" w:cs="仿宋"/>
                <w:bCs/>
                <w:sz w:val="24"/>
                <w:lang w:val="zh-CN"/>
              </w:rPr>
            </w:pPr>
            <w:r>
              <w:rPr>
                <w:rFonts w:hint="eastAsia" w:ascii="宋体" w:hAnsi="宋体" w:cs="仿宋"/>
                <w:bCs/>
                <w:sz w:val="24"/>
                <w:lang w:val="zh-CN"/>
              </w:rPr>
              <w:t>招标文件第二章16．投标有效期</w:t>
            </w:r>
          </w:p>
          <w:p>
            <w:pPr>
              <w:rPr>
                <w:rFonts w:ascii="宋体" w:hAnsi="宋体" w:cs="仿宋"/>
                <w:bCs/>
                <w:sz w:val="24"/>
                <w:lang w:val="zh-CN"/>
              </w:rPr>
            </w:pPr>
          </w:p>
        </w:tc>
        <w:tc>
          <w:tcPr>
            <w:tcW w:w="2232" w:type="pct"/>
          </w:tcPr>
          <w:p>
            <w:pPr>
              <w:rPr>
                <w:rFonts w:ascii="宋体" w:hAnsi="宋体" w:cs="仿宋"/>
                <w:bCs/>
                <w:sz w:val="24"/>
                <w:lang w:val="zh-CN"/>
              </w:rPr>
            </w:pPr>
            <w:r>
              <w:rPr>
                <w:rFonts w:hint="eastAsia" w:ascii="宋体" w:hAnsi="宋体" w:cs="仿宋"/>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pPr>
              <w:rPr>
                <w:rFonts w:ascii="宋体" w:hAnsi="宋体" w:cs="仿宋"/>
                <w:bCs/>
                <w:sz w:val="24"/>
                <w:lang w:val="zh-CN"/>
              </w:rPr>
            </w:pPr>
            <w:r>
              <w:rPr>
                <w:rFonts w:hint="eastAsia" w:ascii="宋体" w:hAnsi="宋体" w:cs="仿宋"/>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pPr>
              <w:rPr>
                <w:rFonts w:ascii="宋体" w:hAnsi="宋体" w:cs="仿宋"/>
                <w:bCs/>
                <w:sz w:val="24"/>
                <w:lang w:val="zh-CN"/>
              </w:rPr>
            </w:pPr>
            <w:r>
              <w:rPr>
                <w:rFonts w:hint="eastAsia" w:ascii="宋体" w:hAnsi="宋体" w:cs="仿宋"/>
                <w:bCs/>
                <w:sz w:val="24"/>
                <w:lang w:val="zh-CN"/>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9" w:type="pct"/>
          </w:tcPr>
          <w:p>
            <w:pPr>
              <w:rPr>
                <w:rFonts w:ascii="宋体" w:hAnsi="宋体" w:cs="仿宋"/>
                <w:bCs/>
                <w:sz w:val="24"/>
              </w:rPr>
            </w:pPr>
            <w:r>
              <w:rPr>
                <w:rFonts w:hint="eastAsia" w:ascii="宋体" w:hAnsi="宋体" w:cs="仿宋"/>
                <w:bCs/>
                <w:sz w:val="24"/>
              </w:rPr>
              <w:t>投标人按照招标文件第三章格式2-2填写，评标委员会根据上传内容评审。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6" w:hRule="atLeast"/>
        </w:trPr>
        <w:tc>
          <w:tcPr>
            <w:tcW w:w="539" w:type="pct"/>
          </w:tcPr>
          <w:p>
            <w:pPr>
              <w:rPr>
                <w:rFonts w:ascii="宋体" w:hAnsi="宋体" w:cs="仿宋"/>
                <w:bCs/>
                <w:sz w:val="24"/>
              </w:rPr>
            </w:pPr>
            <w:r>
              <w:rPr>
                <w:rFonts w:hint="eastAsia" w:ascii="宋体" w:hAnsi="宋体" w:cs="仿宋"/>
                <w:bCs/>
                <w:sz w:val="24"/>
              </w:rPr>
              <w:t>15</w:t>
            </w:r>
          </w:p>
        </w:tc>
        <w:tc>
          <w:tcPr>
            <w:tcW w:w="869" w:type="pct"/>
          </w:tcPr>
          <w:p>
            <w:pPr>
              <w:tabs>
                <w:tab w:val="left" w:pos="7665"/>
              </w:tabs>
              <w:spacing w:line="400" w:lineRule="exact"/>
              <w:rPr>
                <w:rFonts w:ascii="宋体" w:hAnsi="宋体" w:cs="仿宋"/>
                <w:bCs/>
                <w:sz w:val="24"/>
              </w:rPr>
            </w:pPr>
            <w:r>
              <w:rPr>
                <w:rFonts w:hint="eastAsia" w:ascii="宋体" w:hAnsi="宋体" w:cs="仿宋"/>
                <w:bCs/>
                <w:sz w:val="24"/>
                <w:lang w:val="zh-CN"/>
              </w:rPr>
              <w:t>招标文件第二章17．投标文件的制作和签章、加密</w:t>
            </w:r>
          </w:p>
          <w:p>
            <w:pPr>
              <w:rPr>
                <w:rFonts w:ascii="宋体" w:hAnsi="宋体" w:cs="仿宋"/>
                <w:bCs/>
                <w:sz w:val="24"/>
                <w:lang w:val="zh-CN"/>
              </w:rPr>
            </w:pPr>
          </w:p>
        </w:tc>
        <w:tc>
          <w:tcPr>
            <w:tcW w:w="2232" w:type="pct"/>
          </w:tcPr>
          <w:p>
            <w:pPr>
              <w:tabs>
                <w:tab w:val="left" w:pos="7665"/>
              </w:tabs>
              <w:spacing w:line="400" w:lineRule="exact"/>
              <w:rPr>
                <w:rFonts w:ascii="宋体" w:hAnsi="宋体" w:cs="仿宋"/>
                <w:bCs/>
                <w:sz w:val="24"/>
                <w:lang w:val="zh-CN"/>
              </w:rPr>
            </w:pPr>
            <w:r>
              <w:rPr>
                <w:rFonts w:hint="eastAsia" w:ascii="宋体" w:hAnsi="宋体" w:cs="仿宋"/>
                <w:bCs/>
                <w:sz w:val="24"/>
                <w:lang w:val="zh-CN"/>
              </w:rPr>
              <w:t>17.2 资格性投标文件、其他响应性投标文件封面均应加盖投标人（法定名称）电子印章，不得使用投标人专用章（如经济合同章、投标专用章等）或下属单位印章代替。</w:t>
            </w:r>
          </w:p>
        </w:tc>
        <w:tc>
          <w:tcPr>
            <w:tcW w:w="1359" w:type="pct"/>
          </w:tcPr>
          <w:p>
            <w:pPr>
              <w:rPr>
                <w:rFonts w:ascii="宋体" w:hAnsi="宋体" w:cs="仿宋"/>
                <w:bCs/>
                <w:sz w:val="24"/>
              </w:rPr>
            </w:pPr>
            <w:r>
              <w:rPr>
                <w:rFonts w:hint="eastAsia" w:ascii="宋体" w:hAnsi="宋体" w:cs="仿宋"/>
                <w:bCs/>
                <w:sz w:val="24"/>
              </w:rPr>
              <w:t>上传空白页即可，</w:t>
            </w:r>
            <w:r>
              <w:rPr>
                <w:rFonts w:hint="eastAsia" w:ascii="宋体" w:hAnsi="宋体" w:cs="仿宋"/>
                <w:sz w:val="24"/>
                <w:szCs w:val="28"/>
              </w:rPr>
              <w:t>不对本项上传的材料作符合性审查。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539" w:type="pct"/>
          </w:tcPr>
          <w:p>
            <w:pPr>
              <w:rPr>
                <w:rFonts w:ascii="宋体" w:hAnsi="宋体" w:cs="仿宋"/>
                <w:bCs/>
                <w:sz w:val="24"/>
              </w:rPr>
            </w:pPr>
          </w:p>
          <w:p>
            <w:pPr>
              <w:rPr>
                <w:rFonts w:ascii="宋体" w:hAnsi="宋体" w:cs="仿宋"/>
                <w:bCs/>
                <w:sz w:val="24"/>
              </w:rPr>
            </w:pPr>
            <w:r>
              <w:rPr>
                <w:rFonts w:hint="eastAsia" w:ascii="宋体" w:hAnsi="宋体" w:cs="仿宋"/>
                <w:bCs/>
                <w:sz w:val="24"/>
              </w:rPr>
              <w:t>16</w:t>
            </w:r>
          </w:p>
        </w:tc>
        <w:tc>
          <w:tcPr>
            <w:tcW w:w="869" w:type="pct"/>
          </w:tcPr>
          <w:p>
            <w:pPr>
              <w:rPr>
                <w:rFonts w:ascii="宋体" w:hAnsi="宋体" w:cs="仿宋"/>
                <w:bCs/>
                <w:sz w:val="24"/>
                <w:lang w:val="zh-CN"/>
              </w:rPr>
            </w:pPr>
            <w:r>
              <w:rPr>
                <w:rFonts w:hint="eastAsia" w:ascii="宋体" w:hAnsi="宋体" w:cs="仿宋"/>
                <w:bCs/>
                <w:sz w:val="24"/>
                <w:lang w:val="zh-CN"/>
              </w:rPr>
              <w:t>招标文件第二章27.合同分包</w:t>
            </w:r>
          </w:p>
        </w:tc>
        <w:tc>
          <w:tcPr>
            <w:tcW w:w="2232" w:type="pct"/>
          </w:tcPr>
          <w:p>
            <w:pPr>
              <w:rPr>
                <w:rFonts w:ascii="宋体" w:hAnsi="宋体" w:cs="仿宋"/>
                <w:bCs/>
                <w:sz w:val="24"/>
                <w:lang w:val="zh-CN"/>
              </w:rPr>
            </w:pPr>
            <w:r>
              <w:rPr>
                <w:rFonts w:hint="eastAsia" w:ascii="宋体" w:hAnsi="宋体" w:cs="仿宋"/>
                <w:bCs/>
                <w:sz w:val="24"/>
                <w:lang w:val="zh-CN"/>
              </w:rPr>
              <w:t>27.1本项目合同接受分包与否，以“投标人须知附表”勾选项为准。</w:t>
            </w:r>
          </w:p>
          <w:p>
            <w:pPr>
              <w:rPr>
                <w:rFonts w:ascii="宋体" w:hAnsi="宋体" w:cs="仿宋"/>
                <w:bCs/>
                <w:sz w:val="24"/>
                <w:lang w:val="zh-CN"/>
              </w:rPr>
            </w:pPr>
            <w:r>
              <w:rPr>
                <w:rFonts w:hint="eastAsia" w:ascii="宋体" w:hAnsi="宋体" w:cs="仿宋"/>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9" w:type="pct"/>
          </w:tcPr>
          <w:p>
            <w:pPr>
              <w:rPr>
                <w:rFonts w:ascii="宋体" w:hAnsi="宋体" w:cs="仿宋"/>
                <w:bCs/>
                <w:sz w:val="24"/>
              </w:rPr>
            </w:pPr>
            <w:r>
              <w:rPr>
                <w:rFonts w:hint="eastAsia" w:ascii="宋体" w:hAnsi="宋体" w:cs="仿宋"/>
                <w:bCs/>
                <w:sz w:val="24"/>
              </w:rPr>
              <w:t>投标人按照招标文件第三章格式2-3填写，评标委员会根据上传内容评审。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1" w:hRule="atLeast"/>
        </w:trPr>
        <w:tc>
          <w:tcPr>
            <w:tcW w:w="539" w:type="pct"/>
          </w:tcPr>
          <w:p>
            <w:pPr>
              <w:rPr>
                <w:rFonts w:ascii="宋体" w:hAnsi="宋体" w:cs="仿宋"/>
                <w:bCs/>
                <w:sz w:val="24"/>
              </w:rPr>
            </w:pPr>
            <w:r>
              <w:rPr>
                <w:rFonts w:hint="eastAsia" w:ascii="宋体" w:hAnsi="宋体" w:cs="仿宋"/>
                <w:bCs/>
                <w:sz w:val="24"/>
              </w:rPr>
              <w:t>17</w:t>
            </w:r>
          </w:p>
        </w:tc>
        <w:tc>
          <w:tcPr>
            <w:tcW w:w="869" w:type="pct"/>
          </w:tcPr>
          <w:p>
            <w:pPr>
              <w:rPr>
                <w:rFonts w:ascii="宋体" w:hAnsi="宋体" w:cs="仿宋"/>
                <w:bCs/>
                <w:sz w:val="24"/>
                <w:lang w:val="zh-CN"/>
              </w:rPr>
            </w:pPr>
            <w:r>
              <w:rPr>
                <w:rFonts w:hint="eastAsia" w:ascii="宋体" w:hAnsi="宋体" w:cs="仿宋"/>
                <w:bCs/>
                <w:sz w:val="24"/>
                <w:lang w:val="zh-CN"/>
              </w:rPr>
              <w:t>招标文件第二章2</w:t>
            </w:r>
            <w:r>
              <w:rPr>
                <w:rFonts w:hint="eastAsia" w:ascii="宋体" w:hAnsi="宋体" w:cs="仿宋"/>
                <w:bCs/>
                <w:sz w:val="24"/>
              </w:rPr>
              <w:t>8</w:t>
            </w:r>
            <w:r>
              <w:rPr>
                <w:rFonts w:hint="eastAsia" w:ascii="宋体" w:hAnsi="宋体" w:cs="仿宋"/>
                <w:bCs/>
                <w:sz w:val="24"/>
                <w:lang w:val="zh-CN"/>
              </w:rPr>
              <w:t>.合同分包</w:t>
            </w:r>
          </w:p>
        </w:tc>
        <w:tc>
          <w:tcPr>
            <w:tcW w:w="2232" w:type="pct"/>
          </w:tcPr>
          <w:p>
            <w:pPr>
              <w:rPr>
                <w:rFonts w:ascii="宋体" w:hAnsi="宋体" w:cs="仿宋"/>
                <w:bCs/>
                <w:sz w:val="24"/>
                <w:lang w:val="zh-CN"/>
              </w:rPr>
            </w:pPr>
            <w:r>
              <w:rPr>
                <w:rFonts w:hint="eastAsia" w:ascii="宋体" w:hAnsi="宋体" w:cs="仿宋"/>
                <w:bCs/>
                <w:sz w:val="24"/>
                <w:lang w:val="zh-CN"/>
              </w:rPr>
              <w:t>28.合同转包</w:t>
            </w:r>
          </w:p>
          <w:p>
            <w:pPr>
              <w:rPr>
                <w:rFonts w:ascii="宋体" w:hAnsi="宋体" w:cs="仿宋"/>
                <w:bCs/>
                <w:sz w:val="24"/>
                <w:lang w:val="zh-CN"/>
              </w:rPr>
            </w:pPr>
            <w:r>
              <w:rPr>
                <w:rFonts w:hint="eastAsia" w:ascii="宋体" w:hAnsi="宋体" w:cs="仿宋"/>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rPr>
                <w:rFonts w:ascii="宋体" w:hAnsi="宋体" w:cs="仿宋"/>
                <w:bCs/>
                <w:sz w:val="24"/>
                <w:lang w:val="zh-CN"/>
              </w:rPr>
            </w:pPr>
            <w:r>
              <w:rPr>
                <w:rFonts w:hint="eastAsia" w:ascii="宋体" w:hAnsi="宋体" w:cs="仿宋"/>
                <w:bCs/>
                <w:sz w:val="24"/>
                <w:lang w:val="zh-CN"/>
              </w:rPr>
              <w:t>中标人转包的，视同拒绝履行政府采购合同义务，将依法追究法律责任。</w:t>
            </w:r>
          </w:p>
        </w:tc>
        <w:tc>
          <w:tcPr>
            <w:tcW w:w="1359" w:type="pct"/>
          </w:tcPr>
          <w:p>
            <w:pPr>
              <w:rPr>
                <w:rFonts w:ascii="宋体" w:hAnsi="宋体" w:cs="仿宋"/>
                <w:bCs/>
                <w:sz w:val="24"/>
              </w:rPr>
            </w:pPr>
            <w:r>
              <w:rPr>
                <w:rFonts w:hint="eastAsia" w:ascii="宋体" w:hAnsi="宋体" w:cs="仿宋"/>
                <w:bCs/>
                <w:sz w:val="24"/>
              </w:rPr>
              <w:t>投标人按照招标文件第三章格式2-3填写，评审委员会根据上传内容评审。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5" w:hRule="atLeast"/>
        </w:trPr>
        <w:tc>
          <w:tcPr>
            <w:tcW w:w="539" w:type="pct"/>
          </w:tcPr>
          <w:p>
            <w:pPr>
              <w:rPr>
                <w:rFonts w:ascii="宋体" w:hAnsi="宋体" w:cs="仿宋"/>
                <w:bCs/>
                <w:sz w:val="24"/>
              </w:rPr>
            </w:pPr>
            <w:r>
              <w:rPr>
                <w:rFonts w:hint="eastAsia" w:ascii="宋体" w:hAnsi="宋体" w:cs="仿宋"/>
                <w:bCs/>
                <w:sz w:val="24"/>
              </w:rPr>
              <w:t>18</w:t>
            </w:r>
          </w:p>
        </w:tc>
        <w:tc>
          <w:tcPr>
            <w:tcW w:w="869" w:type="pct"/>
          </w:tcPr>
          <w:p>
            <w:pPr>
              <w:rPr>
                <w:rFonts w:ascii="宋体" w:hAnsi="宋体" w:cs="仿宋"/>
                <w:bCs/>
                <w:sz w:val="24"/>
                <w:lang w:val="zh-CN"/>
              </w:rPr>
            </w:pPr>
            <w:r>
              <w:rPr>
                <w:rFonts w:hint="eastAsia" w:ascii="宋体" w:hAnsi="宋体" w:cs="仿宋"/>
                <w:bCs/>
                <w:sz w:val="24"/>
                <w:lang w:val="zh-CN"/>
              </w:rPr>
              <w:t>招标文件第二章30. 履约保证金</w:t>
            </w:r>
          </w:p>
        </w:tc>
        <w:tc>
          <w:tcPr>
            <w:tcW w:w="2232" w:type="pct"/>
          </w:tcPr>
          <w:p>
            <w:pPr>
              <w:spacing w:line="400" w:lineRule="exact"/>
              <w:rPr>
                <w:rFonts w:ascii="宋体" w:hAnsi="宋体" w:cs="仿宋"/>
                <w:sz w:val="24"/>
              </w:rPr>
            </w:pPr>
            <w:r>
              <w:rPr>
                <w:rFonts w:hint="eastAsia" w:ascii="宋体" w:hAnsi="宋体" w:cs="仿宋"/>
                <w:sz w:val="24"/>
              </w:rPr>
              <w:t>金    额：合同金额的5%。</w:t>
            </w:r>
          </w:p>
          <w:p>
            <w:pPr>
              <w:spacing w:line="400" w:lineRule="exact"/>
              <w:rPr>
                <w:rFonts w:ascii="宋体" w:hAnsi="宋体" w:cs="仿宋"/>
                <w:sz w:val="24"/>
              </w:rPr>
            </w:pPr>
            <w:r>
              <w:rPr>
                <w:rFonts w:hint="eastAsia" w:ascii="宋体" w:hAnsi="宋体" w:cs="仿宋"/>
                <w:sz w:val="24"/>
              </w:rPr>
              <w:t>交款方式：银行转账。</w:t>
            </w:r>
          </w:p>
          <w:p>
            <w:pPr>
              <w:spacing w:line="400" w:lineRule="exact"/>
              <w:rPr>
                <w:rFonts w:ascii="宋体" w:hAnsi="宋体" w:cs="仿宋"/>
                <w:sz w:val="24"/>
              </w:rPr>
            </w:pPr>
            <w:r>
              <w:rPr>
                <w:rFonts w:hint="eastAsia" w:ascii="宋体" w:hAnsi="宋体" w:cs="仿宋"/>
                <w:sz w:val="24"/>
              </w:rPr>
              <w:t>收款单位：成都大学</w:t>
            </w:r>
          </w:p>
          <w:p>
            <w:pPr>
              <w:spacing w:line="400" w:lineRule="exact"/>
              <w:rPr>
                <w:rFonts w:ascii="宋体" w:hAnsi="宋体" w:cs="仿宋"/>
                <w:sz w:val="24"/>
              </w:rPr>
            </w:pPr>
            <w:r>
              <w:rPr>
                <w:rFonts w:hint="eastAsia" w:ascii="宋体" w:hAnsi="宋体" w:cs="仿宋"/>
                <w:sz w:val="24"/>
              </w:rPr>
              <w:t>开 户 行：中国银行龙泉驿十陵支行</w:t>
            </w:r>
          </w:p>
          <w:p>
            <w:pPr>
              <w:spacing w:line="400" w:lineRule="exact"/>
              <w:rPr>
                <w:rFonts w:ascii="宋体" w:hAnsi="宋体" w:cs="仿宋"/>
                <w:sz w:val="24"/>
              </w:rPr>
            </w:pPr>
            <w:r>
              <w:rPr>
                <w:rFonts w:hint="eastAsia" w:ascii="宋体" w:hAnsi="宋体" w:cs="仿宋"/>
                <w:sz w:val="24"/>
              </w:rPr>
              <w:t>银行账号：126608533369</w:t>
            </w:r>
          </w:p>
          <w:p>
            <w:pPr>
              <w:spacing w:line="400" w:lineRule="exact"/>
              <w:rPr>
                <w:rFonts w:ascii="宋体" w:hAnsi="宋体" w:cs="仿宋"/>
                <w:bCs/>
                <w:sz w:val="24"/>
                <w:lang w:val="zh-CN"/>
              </w:rPr>
            </w:pPr>
            <w:r>
              <w:rPr>
                <w:rFonts w:hint="eastAsia" w:ascii="宋体" w:hAnsi="宋体" w:cs="仿宋"/>
                <w:sz w:val="24"/>
              </w:rPr>
              <w:t>交款时间：中标通知书发放后，政府采购合同签订前。</w:t>
            </w:r>
          </w:p>
        </w:tc>
        <w:tc>
          <w:tcPr>
            <w:tcW w:w="1359" w:type="pct"/>
          </w:tcPr>
          <w:p>
            <w:pPr>
              <w:rPr>
                <w:rFonts w:ascii="宋体" w:hAnsi="宋体" w:cs="仿宋"/>
                <w:bCs/>
                <w:sz w:val="24"/>
              </w:rPr>
            </w:pPr>
            <w:r>
              <w:rPr>
                <w:rFonts w:hint="eastAsia" w:ascii="宋体" w:hAnsi="宋体" w:cs="仿宋"/>
                <w:bCs/>
                <w:sz w:val="24"/>
              </w:rPr>
              <w:t>投标人按照招标文件第三章格式2-3填写，评审委员会根据上传内容评审。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trPr>
        <w:tc>
          <w:tcPr>
            <w:tcW w:w="539" w:type="pct"/>
          </w:tcPr>
          <w:p>
            <w:pPr>
              <w:rPr>
                <w:rFonts w:ascii="宋体" w:hAnsi="宋体" w:cs="仿宋"/>
                <w:bCs/>
                <w:sz w:val="24"/>
              </w:rPr>
            </w:pPr>
            <w:r>
              <w:rPr>
                <w:rFonts w:hint="eastAsia" w:ascii="宋体" w:hAnsi="宋体" w:cs="仿宋"/>
                <w:bCs/>
                <w:sz w:val="24"/>
              </w:rPr>
              <w:t>19</w:t>
            </w:r>
          </w:p>
        </w:tc>
        <w:tc>
          <w:tcPr>
            <w:tcW w:w="869" w:type="pct"/>
          </w:tcPr>
          <w:p>
            <w:pPr>
              <w:rPr>
                <w:rFonts w:ascii="宋体" w:hAnsi="宋体" w:cs="仿宋"/>
                <w:bCs/>
                <w:sz w:val="24"/>
                <w:lang w:val="zh-CN"/>
              </w:rPr>
            </w:pPr>
            <w:r>
              <w:rPr>
                <w:rFonts w:hint="eastAsia" w:ascii="宋体" w:hAnsi="宋体" w:cs="仿宋"/>
                <w:bCs/>
                <w:sz w:val="24"/>
                <w:lang w:val="zh-CN"/>
              </w:rPr>
              <w:t>招标文件第二章</w:t>
            </w:r>
            <w:r>
              <w:rPr>
                <w:rFonts w:hint="eastAsia" w:ascii="宋体" w:hAnsi="宋体" w:cs="仿宋"/>
                <w:bCs/>
                <w:sz w:val="24"/>
              </w:rPr>
              <w:t>41</w:t>
            </w:r>
          </w:p>
        </w:tc>
        <w:tc>
          <w:tcPr>
            <w:tcW w:w="2232" w:type="pct"/>
          </w:tcPr>
          <w:p>
            <w:pPr>
              <w:rPr>
                <w:rFonts w:ascii="宋体" w:hAnsi="宋体" w:cs="仿宋"/>
                <w:bCs/>
                <w:sz w:val="24"/>
                <w:lang w:val="zh-CN"/>
              </w:rPr>
            </w:pPr>
            <w:r>
              <w:rPr>
                <w:rFonts w:hint="eastAsia" w:ascii="宋体" w:hAnsi="宋体" w:cs="仿宋"/>
                <w:bCs/>
                <w:sz w:val="24"/>
                <w:lang w:val="zh-CN"/>
              </w:rPr>
              <w:t>国家或行业主管部门对采购产品的技术标准、质量标准和资格资质条件等有强制性规定的，必须符合其要求。</w:t>
            </w:r>
          </w:p>
        </w:tc>
        <w:tc>
          <w:tcPr>
            <w:tcW w:w="1359" w:type="pct"/>
          </w:tcPr>
          <w:p>
            <w:pPr>
              <w:rPr>
                <w:rFonts w:ascii="宋体" w:hAnsi="宋体" w:cs="仿宋"/>
                <w:bCs/>
                <w:sz w:val="24"/>
              </w:rPr>
            </w:pPr>
            <w:r>
              <w:rPr>
                <w:rFonts w:hint="eastAsia" w:ascii="宋体" w:hAnsi="宋体" w:cs="仿宋"/>
                <w:bCs/>
                <w:sz w:val="24"/>
              </w:rPr>
              <w:t>投标人按照招标文件第三章格式2-3填写，评标委员会根据上传内容评审。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7" w:hRule="atLeast"/>
        </w:trPr>
        <w:tc>
          <w:tcPr>
            <w:tcW w:w="539" w:type="pct"/>
          </w:tcPr>
          <w:p>
            <w:pPr>
              <w:rPr>
                <w:rFonts w:ascii="宋体" w:hAnsi="宋体" w:cs="仿宋"/>
                <w:bCs/>
                <w:sz w:val="24"/>
              </w:rPr>
            </w:pPr>
            <w:r>
              <w:rPr>
                <w:rFonts w:hint="eastAsia" w:ascii="宋体" w:hAnsi="宋体" w:cs="仿宋"/>
                <w:bCs/>
                <w:sz w:val="24"/>
              </w:rPr>
              <w:t>20</w:t>
            </w:r>
          </w:p>
        </w:tc>
        <w:tc>
          <w:tcPr>
            <w:tcW w:w="869" w:type="pct"/>
          </w:tcPr>
          <w:p>
            <w:pPr>
              <w:rPr>
                <w:rFonts w:ascii="宋体" w:hAnsi="宋体" w:cs="仿宋"/>
                <w:bCs/>
                <w:sz w:val="24"/>
                <w:lang w:val="zh-CN"/>
              </w:rPr>
            </w:pPr>
            <w:r>
              <w:rPr>
                <w:rFonts w:hint="eastAsia" w:ascii="宋体" w:hAnsi="宋体" w:cs="仿宋"/>
                <w:bCs/>
                <w:sz w:val="24"/>
                <w:lang w:val="zh-CN"/>
              </w:rPr>
              <w:t>招标文件第二章14．投标文件的组成，其他响应性投标文件（一）报价部分</w:t>
            </w:r>
          </w:p>
        </w:tc>
        <w:tc>
          <w:tcPr>
            <w:tcW w:w="2232" w:type="pct"/>
          </w:tcPr>
          <w:p>
            <w:pPr>
              <w:numPr>
                <w:ilvl w:val="0"/>
                <w:numId w:val="5"/>
              </w:numPr>
              <w:rPr>
                <w:rFonts w:ascii="宋体" w:hAnsi="宋体"/>
                <w:sz w:val="24"/>
              </w:rPr>
            </w:pPr>
            <w:r>
              <w:rPr>
                <w:rFonts w:hint="eastAsia" w:ascii="宋体" w:hAnsi="宋体"/>
                <w:sz w:val="24"/>
              </w:rPr>
              <w:t>本次招标报价要求：</w:t>
            </w:r>
          </w:p>
          <w:p>
            <w:pPr>
              <w:rPr>
                <w:rFonts w:ascii="宋体" w:hAnsi="宋体" w:cs="仿宋"/>
                <w:bCs/>
                <w:sz w:val="24"/>
                <w:lang w:val="zh-CN"/>
              </w:rPr>
            </w:pPr>
            <w:r>
              <w:rPr>
                <w:rFonts w:hint="eastAsia" w:ascii="宋体" w:hAnsi="宋体" w:cs="仿宋"/>
                <w:bCs/>
                <w:sz w:val="24"/>
                <w:lang w:val="zh-CN"/>
              </w:rPr>
              <w:t>（2）投标人每种货物只允许有一个报价，并且在合同履行过程中是固定不变的，任何有选择或可调整的报价将不予接受，并按无效投标处理。</w:t>
            </w:r>
          </w:p>
        </w:tc>
        <w:tc>
          <w:tcPr>
            <w:tcW w:w="1359" w:type="pct"/>
          </w:tcPr>
          <w:p>
            <w:pPr>
              <w:rPr>
                <w:rFonts w:ascii="宋体" w:hAnsi="宋体" w:cs="仿宋"/>
                <w:bCs/>
                <w:sz w:val="24"/>
              </w:rPr>
            </w:pPr>
            <w:r>
              <w:rPr>
                <w:rFonts w:hint="eastAsia" w:ascii="宋体" w:hAnsi="宋体" w:cs="仿宋"/>
                <w:bCs/>
                <w:sz w:val="24"/>
              </w:rPr>
              <w:t>上传空白页即可，评标委员会根据投标文件并按照招标文件要求进行评审。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539" w:type="pct"/>
          </w:tcPr>
          <w:p>
            <w:pPr>
              <w:rPr>
                <w:rFonts w:ascii="宋体" w:hAnsi="宋体" w:cs="仿宋"/>
                <w:bCs/>
                <w:sz w:val="24"/>
              </w:rPr>
            </w:pPr>
            <w:r>
              <w:rPr>
                <w:rFonts w:hint="eastAsia" w:ascii="宋体" w:hAnsi="宋体" w:cs="仿宋"/>
                <w:bCs/>
                <w:sz w:val="24"/>
              </w:rPr>
              <w:t>21</w:t>
            </w:r>
          </w:p>
        </w:tc>
        <w:tc>
          <w:tcPr>
            <w:tcW w:w="869" w:type="pct"/>
          </w:tcPr>
          <w:p>
            <w:pPr>
              <w:rPr>
                <w:rFonts w:ascii="宋体" w:hAnsi="宋体" w:cs="仿宋"/>
                <w:bCs/>
                <w:sz w:val="24"/>
              </w:rPr>
            </w:pPr>
            <w:r>
              <w:rPr>
                <w:rFonts w:hint="eastAsia" w:ascii="宋体" w:hAnsi="宋体" w:cs="仿宋"/>
                <w:bCs/>
                <w:sz w:val="24"/>
                <w:lang w:val="zh-CN"/>
              </w:rPr>
              <w:t>招标文件第二章</w:t>
            </w:r>
            <w:r>
              <w:rPr>
                <w:rFonts w:hint="eastAsia" w:ascii="宋体" w:hAnsi="宋体" w:cs="仿宋"/>
                <w:bCs/>
                <w:sz w:val="24"/>
              </w:rPr>
              <w:t>38</w:t>
            </w:r>
          </w:p>
        </w:tc>
        <w:tc>
          <w:tcPr>
            <w:tcW w:w="2232" w:type="pct"/>
          </w:tcPr>
          <w:p>
            <w:pPr>
              <w:rPr>
                <w:rFonts w:ascii="宋体" w:hAnsi="宋体" w:cs="仿宋"/>
                <w:bCs/>
                <w:sz w:val="24"/>
                <w:lang w:val="zh-CN"/>
              </w:rPr>
            </w:pPr>
            <w:r>
              <w:rPr>
                <w:rFonts w:hint="eastAsia" w:ascii="宋体" w:hAnsi="宋体" w:cs="仿宋"/>
                <w:bCs/>
                <w:sz w:val="24"/>
                <w:lang w:val="zh-CN"/>
              </w:rPr>
              <w:t>38. 投标人有下列情形之一的，视为投标人串通投标，其投标无效：</w:t>
            </w:r>
          </w:p>
          <w:p>
            <w:pPr>
              <w:rPr>
                <w:rFonts w:ascii="宋体" w:hAnsi="宋体" w:cs="仿宋"/>
                <w:bCs/>
                <w:sz w:val="24"/>
                <w:lang w:val="zh-CN"/>
              </w:rPr>
            </w:pPr>
            <w:r>
              <w:rPr>
                <w:rFonts w:hint="eastAsia" w:ascii="宋体" w:hAnsi="宋体" w:cs="仿宋"/>
                <w:bCs/>
                <w:sz w:val="24"/>
                <w:lang w:val="zh-CN"/>
              </w:rPr>
              <w:t>（1）不同投标人的投标文件由同一单位或者个人编制；</w:t>
            </w:r>
          </w:p>
          <w:p>
            <w:pPr>
              <w:rPr>
                <w:rFonts w:ascii="宋体" w:hAnsi="宋体" w:cs="仿宋"/>
                <w:bCs/>
                <w:sz w:val="24"/>
                <w:lang w:val="zh-CN"/>
              </w:rPr>
            </w:pPr>
            <w:r>
              <w:rPr>
                <w:rFonts w:hint="eastAsia" w:ascii="宋体" w:hAnsi="宋体" w:cs="仿宋"/>
                <w:bCs/>
                <w:sz w:val="24"/>
                <w:lang w:val="zh-CN"/>
              </w:rPr>
              <w:t>（2）不同投标人委托同一单位或者个人办理投标事宜；</w:t>
            </w:r>
          </w:p>
          <w:p>
            <w:pPr>
              <w:rPr>
                <w:rFonts w:ascii="宋体" w:hAnsi="宋体" w:cs="仿宋"/>
                <w:bCs/>
                <w:sz w:val="24"/>
                <w:lang w:val="zh-CN"/>
              </w:rPr>
            </w:pPr>
            <w:r>
              <w:rPr>
                <w:rFonts w:hint="eastAsia" w:ascii="宋体" w:hAnsi="宋体" w:cs="仿宋"/>
                <w:bCs/>
                <w:sz w:val="24"/>
                <w:lang w:val="zh-CN"/>
              </w:rPr>
              <w:t>（3）不同投标人的投标文件载明的项目管理成员或者联系人员为同一人；</w:t>
            </w:r>
          </w:p>
          <w:p>
            <w:pPr>
              <w:rPr>
                <w:rFonts w:ascii="宋体" w:hAnsi="宋体" w:cs="仿宋"/>
                <w:bCs/>
                <w:sz w:val="24"/>
                <w:lang w:val="zh-CN"/>
              </w:rPr>
            </w:pPr>
            <w:r>
              <w:rPr>
                <w:rFonts w:hint="eastAsia" w:ascii="宋体" w:hAnsi="宋体" w:cs="仿宋"/>
                <w:bCs/>
                <w:sz w:val="24"/>
                <w:lang w:val="zh-CN"/>
              </w:rPr>
              <w:t>（4）不同投标人的投标文件异常一致或者投标报价呈规律性差异；</w:t>
            </w:r>
          </w:p>
          <w:p>
            <w:pPr>
              <w:rPr>
                <w:rFonts w:ascii="宋体" w:hAnsi="宋体" w:cs="仿宋"/>
                <w:bCs/>
                <w:sz w:val="24"/>
                <w:lang w:val="zh-CN"/>
              </w:rPr>
            </w:pPr>
            <w:r>
              <w:rPr>
                <w:rFonts w:hint="eastAsia" w:ascii="宋体" w:hAnsi="宋体" w:cs="仿宋"/>
                <w:bCs/>
                <w:sz w:val="24"/>
                <w:lang w:val="zh-CN"/>
              </w:rPr>
              <w:t>（5）不同投标人的投标文件相互混装；</w:t>
            </w:r>
          </w:p>
          <w:p>
            <w:pPr>
              <w:rPr>
                <w:rFonts w:ascii="宋体" w:hAnsi="宋体" w:cs="仿宋"/>
                <w:bCs/>
                <w:sz w:val="24"/>
                <w:lang w:val="zh-CN"/>
              </w:rPr>
            </w:pPr>
            <w:r>
              <w:rPr>
                <w:rFonts w:hint="eastAsia" w:ascii="宋体" w:hAnsi="宋体" w:cs="仿宋"/>
                <w:bCs/>
                <w:sz w:val="24"/>
                <w:lang w:val="zh-CN"/>
              </w:rPr>
              <w:t>（6）不同投标人的投标保证金从同一单位或者个人的账户转出。</w:t>
            </w:r>
          </w:p>
        </w:tc>
        <w:tc>
          <w:tcPr>
            <w:tcW w:w="1359" w:type="pct"/>
          </w:tcPr>
          <w:p>
            <w:pPr>
              <w:rPr>
                <w:rFonts w:ascii="宋体" w:hAnsi="宋体" w:cs="仿宋"/>
                <w:bCs/>
                <w:sz w:val="24"/>
              </w:rPr>
            </w:pPr>
            <w:r>
              <w:rPr>
                <w:rFonts w:hint="eastAsia" w:ascii="宋体" w:hAnsi="宋体" w:cs="仿宋"/>
                <w:bCs/>
                <w:sz w:val="24"/>
              </w:rPr>
              <w:t>上传空白页即可，评标委员会根据投标文件并按照招标文件要求进行评审。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6" w:hRule="atLeast"/>
        </w:trPr>
        <w:tc>
          <w:tcPr>
            <w:tcW w:w="539" w:type="pct"/>
          </w:tcPr>
          <w:p>
            <w:pPr>
              <w:rPr>
                <w:rFonts w:ascii="宋体" w:hAnsi="宋体" w:cs="仿宋"/>
                <w:bCs/>
                <w:sz w:val="24"/>
              </w:rPr>
            </w:pPr>
            <w:r>
              <w:rPr>
                <w:rFonts w:hint="eastAsia" w:ascii="宋体" w:hAnsi="宋体" w:cs="仿宋"/>
                <w:bCs/>
                <w:sz w:val="24"/>
              </w:rPr>
              <w:t>22</w:t>
            </w:r>
          </w:p>
        </w:tc>
        <w:tc>
          <w:tcPr>
            <w:tcW w:w="869" w:type="pct"/>
          </w:tcPr>
          <w:p>
            <w:pPr>
              <w:spacing w:line="400" w:lineRule="exact"/>
              <w:rPr>
                <w:rFonts w:ascii="宋体" w:hAnsi="宋体" w:cs="仿宋"/>
                <w:bCs/>
                <w:sz w:val="24"/>
                <w:lang w:val="zh-CN"/>
              </w:rPr>
            </w:pPr>
            <w:r>
              <w:rPr>
                <w:rFonts w:hint="eastAsia" w:ascii="宋体" w:hAnsi="宋体" w:cs="仿宋"/>
                <w:bCs/>
                <w:sz w:val="24"/>
              </w:rPr>
              <w:t>招标文件第七章3.2.3</w:t>
            </w:r>
          </w:p>
        </w:tc>
        <w:tc>
          <w:tcPr>
            <w:tcW w:w="2232" w:type="pct"/>
          </w:tcPr>
          <w:p>
            <w:pPr>
              <w:numPr>
                <w:ilvl w:val="0"/>
                <w:numId w:val="6"/>
              </w:numPr>
              <w:spacing w:line="400" w:lineRule="exact"/>
              <w:rPr>
                <w:rFonts w:ascii="宋体" w:hAnsi="宋体" w:cs="仿宋"/>
                <w:bCs/>
                <w:sz w:val="24"/>
              </w:rPr>
            </w:pPr>
            <w:r>
              <w:rPr>
                <w:rFonts w:hint="eastAsia" w:ascii="宋体" w:hAnsi="宋体" w:cs="仿宋"/>
                <w:bCs/>
                <w:sz w:val="24"/>
              </w:rPr>
              <w:t>投标文件组成明显不符合招标文件的规定要求，影响评标委员会评判的；</w:t>
            </w:r>
          </w:p>
          <w:p>
            <w:pPr>
              <w:spacing w:line="400" w:lineRule="exact"/>
              <w:rPr>
                <w:rFonts w:ascii="宋体" w:hAnsi="宋体" w:cs="仿宋"/>
                <w:bCs/>
                <w:sz w:val="24"/>
                <w:lang w:val="zh-CN"/>
              </w:rPr>
            </w:pPr>
            <w:r>
              <w:rPr>
                <w:rFonts w:hint="eastAsia" w:ascii="宋体" w:hAnsi="宋体" w:cs="仿宋"/>
                <w:bCs/>
                <w:sz w:val="24"/>
              </w:rPr>
              <w:t>（二）投标文件未按招标文件第二章17.2要求盖电子印章的；</w:t>
            </w:r>
          </w:p>
        </w:tc>
        <w:tc>
          <w:tcPr>
            <w:tcW w:w="1359" w:type="pct"/>
          </w:tcPr>
          <w:p>
            <w:pPr>
              <w:rPr>
                <w:rFonts w:ascii="宋体" w:hAnsi="宋体" w:cs="仿宋"/>
                <w:bCs/>
                <w:sz w:val="24"/>
              </w:rPr>
            </w:pPr>
            <w:r>
              <w:rPr>
                <w:rFonts w:hint="eastAsia" w:ascii="宋体" w:hAnsi="宋体" w:cs="仿宋"/>
                <w:bCs/>
                <w:sz w:val="24"/>
              </w:rPr>
              <w:t>上传空白页即可，评审委员会根据投标文件按照招标文件第七章3.2.3第（一）、（二）项进行评审。</w:t>
            </w:r>
          </w:p>
        </w:tc>
      </w:tr>
    </w:tbl>
    <w:p>
      <w:pPr>
        <w:spacing w:line="400" w:lineRule="exact"/>
        <w:ind w:firstLine="480" w:firstLineChars="200"/>
        <w:rPr>
          <w:rFonts w:ascii="宋体" w:hAnsi="宋体"/>
          <w:sz w:val="24"/>
        </w:rPr>
      </w:pPr>
    </w:p>
    <w:p>
      <w:pPr>
        <w:spacing w:line="400" w:lineRule="exact"/>
        <w:ind w:firstLine="480" w:firstLineChars="200"/>
        <w:rPr>
          <w:rFonts w:ascii="宋体" w:hAnsi="宋体"/>
          <w:sz w:val="24"/>
        </w:rPr>
      </w:pPr>
      <w:r>
        <w:rPr>
          <w:rFonts w:hint="eastAsia" w:ascii="宋体" w:hAnsi="宋体"/>
          <w:sz w:val="24"/>
        </w:rPr>
        <w:t>3.2.2投标文件出现其他不影响采购项目实质性要求的情形，不作为符合性审查事项，不得作为无效投标处理。</w:t>
      </w:r>
    </w:p>
    <w:p>
      <w:pPr>
        <w:spacing w:line="400" w:lineRule="exact"/>
        <w:ind w:firstLine="480" w:firstLineChars="200"/>
        <w:rPr>
          <w:rFonts w:ascii="宋体" w:hAnsi="宋体"/>
          <w:sz w:val="24"/>
        </w:rPr>
      </w:pPr>
      <w:r>
        <w:rPr>
          <w:rFonts w:hint="eastAsia" w:ascii="宋体" w:hAnsi="宋体"/>
          <w:sz w:val="24"/>
        </w:rPr>
        <w:t>3.2.3除政府采购法律制度规定的情形外，本项目投标人或者其投标文件有下列情形之一的，作为无效投标处理：</w:t>
      </w:r>
    </w:p>
    <w:p>
      <w:pPr>
        <w:spacing w:line="400" w:lineRule="exact"/>
        <w:ind w:firstLine="480" w:firstLineChars="200"/>
        <w:rPr>
          <w:rFonts w:ascii="宋体" w:hAnsi="宋体"/>
          <w:sz w:val="24"/>
        </w:rPr>
      </w:pPr>
      <w:r>
        <w:rPr>
          <w:rFonts w:hint="eastAsia" w:ascii="宋体" w:hAnsi="宋体"/>
          <w:sz w:val="24"/>
        </w:rPr>
        <w:t>（一）投标文件组成明显不符合招标文件的规定要求，影响评标委员会评判的；</w:t>
      </w:r>
    </w:p>
    <w:p>
      <w:pPr>
        <w:spacing w:line="400" w:lineRule="exact"/>
        <w:ind w:firstLine="480" w:firstLineChars="200"/>
        <w:rPr>
          <w:rFonts w:ascii="宋体" w:hAnsi="宋体"/>
          <w:sz w:val="24"/>
        </w:rPr>
      </w:pPr>
      <w:r>
        <w:rPr>
          <w:rFonts w:hint="eastAsia" w:ascii="宋体" w:hAnsi="宋体"/>
          <w:sz w:val="24"/>
        </w:rPr>
        <w:t>（二）投标文件未按招标文件</w:t>
      </w:r>
      <w:r>
        <w:rPr>
          <w:rFonts w:hint="eastAsia" w:ascii="宋体" w:hAnsi="宋体"/>
          <w:b/>
          <w:bCs/>
          <w:sz w:val="24"/>
        </w:rPr>
        <w:t>第二章17.2</w:t>
      </w:r>
      <w:r>
        <w:rPr>
          <w:rFonts w:hint="eastAsia" w:ascii="宋体" w:hAnsi="宋体"/>
          <w:sz w:val="24"/>
        </w:rPr>
        <w:t>要求盖电子印章的；</w:t>
      </w:r>
    </w:p>
    <w:p>
      <w:pPr>
        <w:spacing w:line="400" w:lineRule="exact"/>
        <w:ind w:firstLine="480" w:firstLineChars="200"/>
        <w:rPr>
          <w:rFonts w:ascii="宋体" w:hAnsi="宋体"/>
          <w:sz w:val="24"/>
        </w:rPr>
      </w:pPr>
      <w:r>
        <w:rPr>
          <w:rFonts w:hint="eastAsia" w:ascii="宋体" w:hAnsi="宋体"/>
          <w:sz w:val="24"/>
        </w:rPr>
        <w:t>3.3比较与评价。按招标文件中规定的评标方法和标准，对未作无效投标处理的投标文件进行技术、服务、商务等方面评估，综合比较与评价。</w:t>
      </w:r>
    </w:p>
    <w:p>
      <w:pPr>
        <w:spacing w:line="400" w:lineRule="exact"/>
        <w:ind w:firstLine="480" w:firstLineChars="200"/>
        <w:rPr>
          <w:rFonts w:ascii="宋体" w:hAnsi="宋体"/>
          <w:sz w:val="24"/>
        </w:rPr>
      </w:pPr>
      <w:r>
        <w:rPr>
          <w:rFonts w:hint="eastAsia" w:ascii="宋体" w:hAnsi="宋体"/>
          <w:sz w:val="24"/>
        </w:rPr>
        <w:t>3.4复核。评分汇总结束后，评标委员会应当进行复核，特别要对拟推荐为中标候选供应商的、报价最低的、投标文件被认定为无效的进行重点复核。</w:t>
      </w:r>
    </w:p>
    <w:p>
      <w:pPr>
        <w:spacing w:line="400" w:lineRule="exact"/>
        <w:ind w:firstLine="480" w:firstLineChars="200"/>
        <w:rPr>
          <w:rFonts w:ascii="宋体" w:hAnsi="宋体"/>
          <w:sz w:val="24"/>
        </w:rPr>
      </w:pPr>
      <w:r>
        <w:rPr>
          <w:rFonts w:hint="eastAsia" w:ascii="宋体" w:hAnsi="宋体"/>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投标报价相同且同为不发达地区或少数民族地区的供应商的，投标文件满足招标文件全部实质性要求且按照评审因素的量化指标评审得分最高的投标人为中标候选投标人；得分、投标报价相同、同为不发达地区或少数民族地区的供应商且满足招标文件全部实质性要求且按照评审因素的量化指标评审得分也相同的并列，由采购人自主采取公平、择优的方式选择中标投标人。</w:t>
      </w:r>
    </w:p>
    <w:p>
      <w:pPr>
        <w:spacing w:line="400" w:lineRule="exact"/>
        <w:ind w:firstLine="480" w:firstLineChars="200"/>
        <w:rPr>
          <w:rFonts w:ascii="宋体" w:hAnsi="宋体"/>
          <w:sz w:val="24"/>
        </w:rPr>
      </w:pPr>
      <w:r>
        <w:rPr>
          <w:rFonts w:hint="eastAsia" w:ascii="宋体" w:hAnsi="宋体"/>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pPr>
        <w:spacing w:line="400" w:lineRule="exact"/>
        <w:ind w:firstLine="480" w:firstLineChars="200"/>
        <w:rPr>
          <w:rFonts w:ascii="宋体" w:hAnsi="宋体"/>
          <w:sz w:val="24"/>
        </w:rPr>
      </w:pPr>
      <w:r>
        <w:rPr>
          <w:rFonts w:hint="eastAsia" w:ascii="宋体" w:hAnsi="宋体"/>
          <w:sz w:val="24"/>
        </w:rPr>
        <w:t>3.6出具评标报告。评标委员会推荐中标候选供应商后，应当向招标采购单位出具评标报告。评标报告应当包括下列内容：</w:t>
      </w:r>
    </w:p>
    <w:p>
      <w:pPr>
        <w:spacing w:line="400" w:lineRule="exact"/>
        <w:ind w:firstLine="480" w:firstLineChars="200"/>
        <w:rPr>
          <w:rFonts w:ascii="宋体" w:hAnsi="宋体"/>
          <w:sz w:val="24"/>
        </w:rPr>
      </w:pPr>
      <w:r>
        <w:rPr>
          <w:rFonts w:hint="eastAsia" w:ascii="宋体" w:hAnsi="宋体"/>
          <w:sz w:val="24"/>
        </w:rPr>
        <w:t>（一）招标公告刊登的媒体名称、开标日期和地点；</w:t>
      </w:r>
    </w:p>
    <w:p>
      <w:pPr>
        <w:spacing w:line="400" w:lineRule="exact"/>
        <w:ind w:firstLine="480" w:firstLineChars="200"/>
        <w:rPr>
          <w:rFonts w:ascii="宋体" w:hAnsi="宋体"/>
          <w:sz w:val="24"/>
        </w:rPr>
      </w:pPr>
      <w:r>
        <w:rPr>
          <w:rFonts w:hint="eastAsia" w:ascii="宋体" w:hAnsi="宋体"/>
          <w:sz w:val="24"/>
        </w:rPr>
        <w:t>（二）获取招标文件的投标人名单和评标委员会成员名单；</w:t>
      </w:r>
    </w:p>
    <w:p>
      <w:pPr>
        <w:spacing w:line="400" w:lineRule="exact"/>
        <w:ind w:firstLine="480" w:firstLineChars="200"/>
        <w:rPr>
          <w:rFonts w:ascii="宋体" w:hAnsi="宋体"/>
          <w:sz w:val="24"/>
        </w:rPr>
      </w:pPr>
      <w:r>
        <w:rPr>
          <w:rFonts w:hint="eastAsia" w:ascii="宋体" w:hAnsi="宋体"/>
          <w:sz w:val="24"/>
        </w:rPr>
        <w:t>（三）评标方法和标准；</w:t>
      </w:r>
    </w:p>
    <w:p>
      <w:pPr>
        <w:spacing w:line="400" w:lineRule="exact"/>
        <w:ind w:firstLine="480" w:firstLineChars="200"/>
        <w:rPr>
          <w:rFonts w:ascii="宋体" w:hAnsi="宋体"/>
          <w:sz w:val="24"/>
        </w:rPr>
      </w:pPr>
      <w:r>
        <w:rPr>
          <w:rFonts w:hint="eastAsia" w:ascii="宋体" w:hAnsi="宋体"/>
          <w:sz w:val="24"/>
        </w:rPr>
        <w:t>（四）开标记录和评标情况及说明，包括无效投标人名单及原因；</w:t>
      </w:r>
    </w:p>
    <w:p>
      <w:pPr>
        <w:spacing w:line="400" w:lineRule="exact"/>
        <w:ind w:firstLine="480" w:firstLineChars="200"/>
        <w:rPr>
          <w:rFonts w:ascii="宋体" w:hAnsi="宋体"/>
          <w:sz w:val="24"/>
        </w:rPr>
      </w:pPr>
      <w:r>
        <w:rPr>
          <w:rFonts w:hint="eastAsia" w:ascii="宋体" w:hAnsi="宋体"/>
          <w:sz w:val="24"/>
        </w:rPr>
        <w:t>（五）评标结果和中标候选供应商排序表；</w:t>
      </w:r>
    </w:p>
    <w:p>
      <w:pPr>
        <w:spacing w:line="400" w:lineRule="exact"/>
        <w:ind w:firstLine="480" w:firstLineChars="200"/>
        <w:rPr>
          <w:rFonts w:ascii="宋体" w:hAnsi="宋体"/>
          <w:sz w:val="24"/>
        </w:rPr>
      </w:pPr>
      <w:r>
        <w:rPr>
          <w:rFonts w:hint="eastAsia" w:ascii="宋体" w:hAnsi="宋体"/>
          <w:sz w:val="24"/>
        </w:rPr>
        <w:t>（六）评标委员会授标建议；</w:t>
      </w:r>
    </w:p>
    <w:p>
      <w:pPr>
        <w:spacing w:line="400" w:lineRule="exact"/>
        <w:ind w:firstLine="480" w:firstLineChars="200"/>
        <w:rPr>
          <w:rFonts w:ascii="宋体" w:hAnsi="宋体"/>
          <w:sz w:val="24"/>
        </w:rPr>
      </w:pPr>
      <w:r>
        <w:rPr>
          <w:rFonts w:hint="eastAsia" w:ascii="宋体" w:hAnsi="宋体"/>
          <w:sz w:val="24"/>
        </w:rPr>
        <w:t>（七）报价最高的投标人为中标候选人的，评标委员会应当对其报价的合理性予以特别说明。</w:t>
      </w:r>
    </w:p>
    <w:p>
      <w:pPr>
        <w:spacing w:line="400" w:lineRule="exact"/>
        <w:ind w:firstLine="480" w:firstLineChars="200"/>
        <w:rPr>
          <w:rFonts w:ascii="宋体" w:hAnsi="宋体"/>
          <w:sz w:val="24"/>
        </w:rPr>
      </w:pPr>
      <w:r>
        <w:rPr>
          <w:rFonts w:hint="eastAsia" w:ascii="宋体" w:hAnsi="宋体"/>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spacing w:line="400" w:lineRule="exact"/>
        <w:ind w:firstLine="480" w:firstLineChars="200"/>
        <w:rPr>
          <w:rFonts w:ascii="宋体" w:hAnsi="宋体"/>
          <w:sz w:val="24"/>
        </w:rPr>
      </w:pPr>
      <w:r>
        <w:rPr>
          <w:rFonts w:hint="eastAsia" w:ascii="宋体" w:hAnsi="宋体"/>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pPr>
        <w:spacing w:line="400" w:lineRule="exact"/>
        <w:ind w:firstLine="480" w:firstLineChars="200"/>
        <w:rPr>
          <w:rFonts w:ascii="宋体" w:hAnsi="宋体"/>
          <w:sz w:val="24"/>
        </w:rPr>
      </w:pPr>
      <w:r>
        <w:rPr>
          <w:rFonts w:hint="eastAsia" w:ascii="宋体" w:hAnsi="宋体"/>
          <w:sz w:val="24"/>
        </w:rPr>
        <w:t>3.8供应商应当书面澄清、说明或者更正。</w:t>
      </w:r>
    </w:p>
    <w:p>
      <w:pPr>
        <w:spacing w:line="400" w:lineRule="exact"/>
        <w:ind w:firstLine="480" w:firstLineChars="200"/>
        <w:rPr>
          <w:rFonts w:ascii="宋体" w:hAnsi="宋体"/>
          <w:sz w:val="24"/>
        </w:rPr>
      </w:pPr>
      <w:r>
        <w:rPr>
          <w:rFonts w:hint="eastAsia" w:ascii="宋体" w:hAnsi="宋体"/>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pPr>
        <w:spacing w:line="400" w:lineRule="exact"/>
        <w:ind w:firstLine="480" w:firstLineChars="200"/>
        <w:rPr>
          <w:rFonts w:ascii="宋体" w:hAnsi="宋体"/>
          <w:sz w:val="24"/>
        </w:rPr>
      </w:pPr>
      <w:r>
        <w:rPr>
          <w:rFonts w:hint="eastAsia" w:ascii="宋体" w:hAnsi="宋体"/>
          <w:sz w:val="24"/>
        </w:rPr>
        <w:t>3.8.2</w:t>
      </w:r>
      <w:r>
        <w:rPr>
          <w:rFonts w:hint="eastAsia" w:ascii="宋体" w:hAnsi="宋体"/>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hint="eastAsia" w:ascii="宋体" w:hAnsi="宋体"/>
          <w:sz w:val="24"/>
        </w:rPr>
        <w:t>澄清、说明或者更正不影响投标文件的效力，有效的澄清、说明或者更正材料，是投标文件的组成部分。</w:t>
      </w:r>
      <w:r>
        <w:rPr>
          <w:rFonts w:hint="eastAsia" w:ascii="宋体" w:hAnsi="宋体"/>
          <w:sz w:val="24"/>
          <w:lang w:val="zh-CN"/>
        </w:rPr>
        <w:t>如因系统故障</w:t>
      </w:r>
      <w:r>
        <w:rPr>
          <w:rFonts w:hint="eastAsia" w:ascii="宋体" w:hAnsi="宋体" w:cs="仿宋"/>
          <w:bCs/>
          <w:sz w:val="24"/>
          <w:lang w:val="zh-CN"/>
        </w:rPr>
        <w:t>（</w:t>
      </w:r>
      <w:r>
        <w:rPr>
          <w:rFonts w:hint="eastAsia" w:ascii="宋体" w:hAnsi="宋体"/>
          <w:sz w:val="24"/>
        </w:rPr>
        <w:t>包括组织场所停电、断网等）</w:t>
      </w:r>
      <w:r>
        <w:rPr>
          <w:rFonts w:hint="eastAsia" w:ascii="宋体" w:hAnsi="宋体"/>
          <w:sz w:val="24"/>
          <w:lang w:val="zh-CN"/>
        </w:rPr>
        <w:t>导致系统无法使用的，由投标人按评标委员会的要求进行澄清或者说明。</w:t>
      </w:r>
    </w:p>
    <w:p>
      <w:pPr>
        <w:spacing w:line="400" w:lineRule="exact"/>
        <w:ind w:firstLine="480" w:firstLineChars="200"/>
        <w:rPr>
          <w:rFonts w:ascii="宋体" w:hAnsi="宋体"/>
          <w:sz w:val="24"/>
        </w:rPr>
      </w:pPr>
      <w:r>
        <w:rPr>
          <w:rFonts w:hint="eastAsia" w:ascii="宋体" w:hAnsi="宋体"/>
          <w:sz w:val="24"/>
        </w:rPr>
        <w:t>3.8.3评标委员会要求供应商澄清、说明或者更正，不得超出招标文件的范围，不得以此让供应商实质改变投标文件的内容，不得影响供应商公平竞争。本项目下列内容不得澄清：</w:t>
      </w:r>
    </w:p>
    <w:p>
      <w:pPr>
        <w:spacing w:line="400" w:lineRule="exact"/>
        <w:ind w:firstLine="480" w:firstLineChars="200"/>
        <w:rPr>
          <w:rFonts w:ascii="宋体" w:hAnsi="宋体"/>
          <w:sz w:val="24"/>
        </w:rPr>
      </w:pPr>
      <w:r>
        <w:rPr>
          <w:rFonts w:hint="eastAsia" w:ascii="宋体" w:hAnsi="宋体"/>
          <w:sz w:val="24"/>
        </w:rPr>
        <w:t>（一）按财政部规定应当在评标时不予承认的投标文件内容事项；</w:t>
      </w:r>
    </w:p>
    <w:p>
      <w:pPr>
        <w:spacing w:line="400" w:lineRule="exact"/>
        <w:ind w:firstLine="480" w:firstLineChars="200"/>
        <w:rPr>
          <w:rFonts w:ascii="宋体" w:hAnsi="宋体"/>
          <w:sz w:val="24"/>
        </w:rPr>
      </w:pPr>
      <w:r>
        <w:rPr>
          <w:rFonts w:hint="eastAsia" w:ascii="宋体" w:hAnsi="宋体"/>
          <w:sz w:val="24"/>
        </w:rPr>
        <w:t>（二）投标文件中已经明确的内容事项；</w:t>
      </w:r>
    </w:p>
    <w:p>
      <w:pPr>
        <w:spacing w:line="400" w:lineRule="exact"/>
        <w:ind w:firstLine="480" w:firstLineChars="200"/>
        <w:rPr>
          <w:rFonts w:ascii="宋体" w:hAnsi="宋体"/>
          <w:sz w:val="24"/>
        </w:rPr>
      </w:pPr>
      <w:r>
        <w:rPr>
          <w:rFonts w:hint="eastAsia" w:ascii="宋体" w:hAnsi="宋体"/>
          <w:sz w:val="24"/>
        </w:rPr>
        <w:t>3.8.4 本项目采购过程中，投标文件报价出现前后不一致的，按照下列规定修正：</w:t>
      </w:r>
    </w:p>
    <w:p>
      <w:pPr>
        <w:spacing w:line="400" w:lineRule="exact"/>
        <w:ind w:firstLine="480" w:firstLineChars="200"/>
        <w:rPr>
          <w:rFonts w:ascii="宋体" w:hAnsi="宋体"/>
          <w:sz w:val="24"/>
        </w:rPr>
      </w:pPr>
      <w:r>
        <w:rPr>
          <w:rFonts w:hint="eastAsia" w:ascii="宋体" w:hAnsi="宋体"/>
          <w:sz w:val="24"/>
        </w:rPr>
        <w:t>（一）投标文件中开标一览表（报价表）内容与投标文件中相应内容不一致的，以开标一览表（报价表）为准；</w:t>
      </w:r>
    </w:p>
    <w:p>
      <w:pPr>
        <w:spacing w:line="400" w:lineRule="exact"/>
        <w:ind w:firstLine="480" w:firstLineChars="200"/>
        <w:rPr>
          <w:rFonts w:ascii="宋体" w:hAnsi="宋体"/>
          <w:sz w:val="24"/>
        </w:rPr>
      </w:pPr>
      <w:r>
        <w:rPr>
          <w:rFonts w:hint="eastAsia" w:ascii="宋体" w:hAnsi="宋体"/>
          <w:sz w:val="24"/>
        </w:rPr>
        <w:t>（二）大写金额和小写金额不一致的，以大写金额为准；</w:t>
      </w:r>
    </w:p>
    <w:p>
      <w:pPr>
        <w:spacing w:line="400" w:lineRule="exact"/>
        <w:ind w:firstLine="480" w:firstLineChars="200"/>
        <w:rPr>
          <w:rFonts w:ascii="宋体" w:hAnsi="宋体"/>
          <w:sz w:val="24"/>
        </w:rPr>
      </w:pPr>
      <w:r>
        <w:rPr>
          <w:rFonts w:hint="eastAsia" w:ascii="宋体" w:hAnsi="宋体"/>
          <w:sz w:val="24"/>
        </w:rPr>
        <w:t>（三）单价金额小数点或者百分比有明显错位的，以开标一览表的总价为准，并修改单价；</w:t>
      </w:r>
    </w:p>
    <w:p>
      <w:pPr>
        <w:spacing w:line="400" w:lineRule="exact"/>
        <w:ind w:firstLine="480" w:firstLineChars="200"/>
        <w:rPr>
          <w:rFonts w:ascii="宋体" w:hAnsi="宋体"/>
          <w:sz w:val="24"/>
        </w:rPr>
      </w:pPr>
      <w:r>
        <w:rPr>
          <w:rFonts w:hint="eastAsia" w:ascii="宋体" w:hAnsi="宋体"/>
          <w:sz w:val="24"/>
        </w:rPr>
        <w:t>（四）总价金额与按单价汇总金额不一致的，以单价金额计算结果为准。</w:t>
      </w:r>
    </w:p>
    <w:p>
      <w:pPr>
        <w:spacing w:line="400" w:lineRule="exact"/>
        <w:ind w:firstLine="480" w:firstLineChars="200"/>
        <w:rPr>
          <w:rFonts w:ascii="宋体" w:hAnsi="宋体"/>
          <w:sz w:val="24"/>
        </w:rPr>
      </w:pPr>
      <w:r>
        <w:rPr>
          <w:rFonts w:hint="eastAsia" w:ascii="宋体" w:hAnsi="宋体"/>
          <w:sz w:val="24"/>
        </w:rPr>
        <w:t>同时出现两种以上不一致的，按照前款规定的顺序修正。修正后的报价按照本章3.8.1-3.8.3的规定经投标人确认后产生约束力，投标人不确认的，其投标无效。</w:t>
      </w:r>
    </w:p>
    <w:p>
      <w:pPr>
        <w:spacing w:line="400" w:lineRule="exact"/>
        <w:ind w:firstLine="480" w:firstLineChars="200"/>
        <w:rPr>
          <w:rFonts w:ascii="宋体" w:hAnsi="宋体"/>
          <w:b/>
          <w:sz w:val="24"/>
        </w:rPr>
      </w:pPr>
      <w:r>
        <w:rPr>
          <w:rFonts w:hint="eastAsia" w:ascii="宋体" w:hAnsi="宋体"/>
          <w:b/>
          <w:sz w:val="24"/>
        </w:rPr>
        <w:t>注：评标委员会当积极履行澄清、说明或者更正的职责，不得滥用权力。供应商的投标文件应当要求澄清、说明或者更正的，不得未经澄清、说明或者更正而直接作无效投标处理。</w:t>
      </w:r>
    </w:p>
    <w:p>
      <w:pPr>
        <w:pStyle w:val="50"/>
        <w:ind w:firstLine="480" w:firstLineChars="200"/>
        <w:jc w:val="both"/>
      </w:pPr>
      <w:r>
        <w:rPr>
          <w:rFonts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50"/>
        <w:ind w:firstLine="480" w:firstLineChars="200"/>
        <w:jc w:val="both"/>
      </w:pPr>
      <w:r>
        <w:rPr>
          <w:rFonts w:hint="eastAsia"/>
          <w:b/>
          <w:bCs/>
        </w:rPr>
        <w:t>注：</w:t>
      </w:r>
      <w:r>
        <w:rPr>
          <w:rFonts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hint="eastAsia"/>
          <w:b/>
          <w:bCs/>
        </w:rPr>
        <w:t>30分钟，供应商已明确表示澄清、说明完毕的除外</w:t>
      </w:r>
      <w:r>
        <w:rPr>
          <w:rFonts w:hint="eastAsia"/>
          <w:b/>
          <w:bCs/>
          <w:lang w:val="zh-CN"/>
        </w:rPr>
        <w:t>）。如因系统故障（</w:t>
      </w:r>
      <w:r>
        <w:rPr>
          <w:rFonts w:hint="eastAsia"/>
          <w:b/>
          <w:bCs/>
        </w:rPr>
        <w:t>包括组织场所停电、断网等）</w:t>
      </w:r>
      <w:r>
        <w:rPr>
          <w:rFonts w:hint="eastAsia"/>
          <w:b/>
          <w:bCs/>
          <w:lang w:val="zh-CN"/>
        </w:rPr>
        <w:t>导致系统无法使用的，由投标人按评标委员会的要求进行澄清或者说明。</w:t>
      </w:r>
    </w:p>
    <w:p>
      <w:pPr>
        <w:pStyle w:val="50"/>
        <w:ind w:firstLine="480" w:firstLineChars="200"/>
        <w:jc w:val="both"/>
      </w:pPr>
      <w:r>
        <w:rPr>
          <w:rFonts w:hint="eastAsia"/>
        </w:rPr>
        <w:t>3.10招标采购单位现场复核评标结果。</w:t>
      </w:r>
    </w:p>
    <w:p>
      <w:pPr>
        <w:pStyle w:val="50"/>
        <w:ind w:firstLine="480" w:firstLineChars="200"/>
        <w:jc w:val="both"/>
      </w:pPr>
      <w:r>
        <w:rPr>
          <w:rFonts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pPr>
        <w:pStyle w:val="50"/>
        <w:ind w:firstLine="480" w:firstLineChars="200"/>
        <w:jc w:val="both"/>
      </w:pPr>
      <w:r>
        <w:rPr>
          <w:rFonts w:hint="eastAsia"/>
        </w:rPr>
        <w:t>（一）分值汇总计算错误的；</w:t>
      </w:r>
    </w:p>
    <w:p>
      <w:pPr>
        <w:pStyle w:val="50"/>
        <w:ind w:firstLine="480" w:firstLineChars="200"/>
        <w:jc w:val="both"/>
      </w:pPr>
      <w:r>
        <w:rPr>
          <w:rFonts w:hint="eastAsia"/>
        </w:rPr>
        <w:t>（二）分项评分超出评分标准范围的；</w:t>
      </w:r>
    </w:p>
    <w:p>
      <w:pPr>
        <w:pStyle w:val="50"/>
        <w:ind w:firstLine="480" w:firstLineChars="200"/>
        <w:jc w:val="both"/>
      </w:pPr>
      <w:r>
        <w:rPr>
          <w:rFonts w:hint="eastAsia"/>
        </w:rPr>
        <w:t>（三）客观评分不一致的；</w:t>
      </w:r>
    </w:p>
    <w:p>
      <w:pPr>
        <w:pStyle w:val="50"/>
        <w:ind w:firstLine="480" w:firstLineChars="200"/>
        <w:jc w:val="both"/>
      </w:pPr>
      <w:r>
        <w:rPr>
          <w:rFonts w:hint="eastAsia"/>
        </w:rPr>
        <w:t>（四）经评标委员会认定评分畸高畸低的。</w:t>
      </w:r>
    </w:p>
    <w:p>
      <w:pPr>
        <w:pStyle w:val="50"/>
        <w:ind w:firstLine="480" w:firstLineChars="200"/>
        <w:jc w:val="both"/>
      </w:pPr>
      <w:r>
        <w:rPr>
          <w:rFonts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pPr>
        <w:pStyle w:val="50"/>
        <w:ind w:firstLine="480" w:firstLineChars="200"/>
        <w:jc w:val="both"/>
      </w:pPr>
      <w:r>
        <w:rPr>
          <w:rFonts w:hint="eastAsia"/>
        </w:rPr>
        <w:t>3.10.2有下列情形之一的，不得修改评标结果或者重新评审：</w:t>
      </w:r>
    </w:p>
    <w:p>
      <w:pPr>
        <w:pStyle w:val="50"/>
        <w:ind w:firstLine="480" w:firstLineChars="200"/>
        <w:jc w:val="both"/>
      </w:pPr>
      <w:r>
        <w:rPr>
          <w:rFonts w:hint="eastAsia"/>
        </w:rPr>
        <w:t>（一）招标采购单位现场复核时，复核工作人员数量不足的；</w:t>
      </w:r>
    </w:p>
    <w:p>
      <w:pPr>
        <w:pStyle w:val="50"/>
        <w:ind w:firstLine="480" w:firstLineChars="200"/>
        <w:jc w:val="both"/>
      </w:pPr>
      <w:r>
        <w:rPr>
          <w:rFonts w:hint="eastAsia"/>
        </w:rPr>
        <w:t>（二）招标采购单位现场复核时，没有采购监督人员现场监督的；</w:t>
      </w:r>
    </w:p>
    <w:p>
      <w:pPr>
        <w:pStyle w:val="50"/>
        <w:ind w:firstLine="480" w:firstLineChars="200"/>
        <w:jc w:val="both"/>
      </w:pPr>
      <w:r>
        <w:rPr>
          <w:rFonts w:hint="eastAsia"/>
        </w:rPr>
        <w:t>（三）招标采购单位现场复核内容超出规定范围的；</w:t>
      </w:r>
    </w:p>
    <w:p>
      <w:pPr>
        <w:pStyle w:val="50"/>
        <w:ind w:firstLine="480" w:firstLineChars="200"/>
        <w:jc w:val="both"/>
      </w:pPr>
      <w:r>
        <w:rPr>
          <w:rFonts w:hint="eastAsia"/>
        </w:rPr>
        <w:t>（四）招标采购单位未提供书面建议的。</w:t>
      </w:r>
    </w:p>
    <w:p>
      <w:pPr>
        <w:pStyle w:val="50"/>
        <w:ind w:firstLine="480" w:firstLineChars="200"/>
        <w:jc w:val="both"/>
      </w:pPr>
      <w:r>
        <w:rPr>
          <w:rFonts w:hint="eastAsia"/>
        </w:rPr>
        <w:t xml:space="preserve">3.10.3出现下列情形之一的，应当中止电子化采购活动，并保留相关证明材料备查： </w:t>
      </w:r>
    </w:p>
    <w:p>
      <w:pPr>
        <w:pStyle w:val="50"/>
        <w:ind w:firstLine="480" w:firstLineChars="200"/>
        <w:jc w:val="both"/>
      </w:pPr>
      <w:r>
        <w:rPr>
          <w:rFonts w:hint="eastAsia"/>
        </w:rPr>
        <w:t>（一）系统发生故障（包括感染病毒、应用或数据库出错）而无法正常使用的；</w:t>
      </w:r>
    </w:p>
    <w:p>
      <w:pPr>
        <w:pStyle w:val="50"/>
        <w:ind w:firstLine="480" w:firstLineChars="200"/>
        <w:jc w:val="both"/>
      </w:pPr>
      <w:r>
        <w:rPr>
          <w:rFonts w:hint="eastAsia"/>
        </w:rPr>
        <w:t>（二）因组织场所停电、断网等原因，导致采购活动无法继续通过交易系统实施的；</w:t>
      </w:r>
    </w:p>
    <w:p>
      <w:pPr>
        <w:pStyle w:val="50"/>
        <w:ind w:firstLine="480" w:firstLineChars="200"/>
        <w:jc w:val="both"/>
      </w:pPr>
      <w:r>
        <w:rPr>
          <w:rFonts w:hint="eastAsia"/>
        </w:rPr>
        <w:t>（三）其他无法保证电子化交易的公平、公正和安全的情况。</w:t>
      </w:r>
    </w:p>
    <w:p>
      <w:pPr>
        <w:pStyle w:val="50"/>
        <w:ind w:firstLine="480" w:firstLineChars="200"/>
        <w:jc w:val="both"/>
      </w:pPr>
      <w:r>
        <w:rPr>
          <w:rFonts w:hint="eastAsia"/>
        </w:rPr>
        <w:t>出现前款规定的情形，不影响采购公平、公正的，待上述情形消除后继续组织采购活动；影响或者可能影响采购公平、公正的，应当依法废标或者终止采购活动。</w:t>
      </w:r>
    </w:p>
    <w:p>
      <w:pPr>
        <w:pStyle w:val="4"/>
        <w:rPr>
          <w:rFonts w:ascii="宋体" w:hAnsi="宋体" w:eastAsia="宋体"/>
          <w:sz w:val="24"/>
          <w:szCs w:val="24"/>
        </w:rPr>
      </w:pPr>
      <w:r>
        <w:rPr>
          <w:rFonts w:hint="eastAsia" w:ascii="宋体" w:hAnsi="宋体" w:eastAsia="宋体"/>
          <w:sz w:val="24"/>
          <w:szCs w:val="24"/>
        </w:rPr>
        <w:t>4.评标细则及标准</w:t>
      </w:r>
      <w:bookmarkEnd w:id="165"/>
    </w:p>
    <w:p>
      <w:pPr>
        <w:spacing w:line="400" w:lineRule="exact"/>
        <w:ind w:firstLine="480" w:firstLineChars="200"/>
        <w:rPr>
          <w:rFonts w:ascii="宋体" w:hAnsi="宋体"/>
          <w:sz w:val="24"/>
        </w:rPr>
      </w:pPr>
      <w:r>
        <w:rPr>
          <w:rFonts w:hint="eastAsia" w:ascii="宋体" w:hAnsi="宋体"/>
          <w:sz w:val="24"/>
        </w:rPr>
        <w:t>4.1本项目采用综合评分法，评分因素详见综合评分明细表。</w:t>
      </w:r>
    </w:p>
    <w:p>
      <w:pPr>
        <w:pStyle w:val="50"/>
        <w:ind w:firstLine="480" w:firstLineChars="200"/>
        <w:jc w:val="both"/>
      </w:pPr>
      <w:r>
        <w:rPr>
          <w:rFonts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pPr>
        <w:pStyle w:val="10"/>
        <w:tabs>
          <w:tab w:val="left" w:pos="600"/>
        </w:tabs>
        <w:spacing w:line="400" w:lineRule="exact"/>
        <w:ind w:firstLine="480" w:firstLineChars="200"/>
        <w:rPr>
          <w:rFonts w:ascii="宋体" w:hAnsi="宋体"/>
          <w:sz w:val="24"/>
          <w:szCs w:val="24"/>
        </w:rPr>
      </w:pPr>
    </w:p>
    <w:p>
      <w:pPr>
        <w:pStyle w:val="10"/>
        <w:tabs>
          <w:tab w:val="left" w:pos="600"/>
        </w:tabs>
        <w:spacing w:line="400" w:lineRule="exact"/>
        <w:ind w:firstLine="480" w:firstLineChars="200"/>
        <w:rPr>
          <w:rFonts w:ascii="宋体" w:hAnsi="宋体"/>
          <w:sz w:val="24"/>
          <w:szCs w:val="24"/>
        </w:rPr>
      </w:pPr>
    </w:p>
    <w:p>
      <w:pPr>
        <w:pStyle w:val="10"/>
        <w:tabs>
          <w:tab w:val="left" w:pos="600"/>
        </w:tabs>
        <w:spacing w:line="400" w:lineRule="exact"/>
        <w:ind w:firstLine="480" w:firstLineChars="200"/>
        <w:rPr>
          <w:rFonts w:ascii="宋体" w:hAnsi="宋体"/>
          <w:sz w:val="24"/>
          <w:szCs w:val="24"/>
        </w:rPr>
      </w:pPr>
    </w:p>
    <w:p>
      <w:pPr>
        <w:pStyle w:val="10"/>
        <w:tabs>
          <w:tab w:val="left" w:pos="600"/>
        </w:tabs>
        <w:spacing w:line="400" w:lineRule="exact"/>
        <w:ind w:firstLine="480" w:firstLineChars="200"/>
        <w:rPr>
          <w:rFonts w:ascii="宋体" w:hAnsi="宋体"/>
          <w:sz w:val="24"/>
          <w:szCs w:val="24"/>
        </w:rPr>
      </w:pPr>
      <w:r>
        <w:rPr>
          <w:rFonts w:hint="eastAsia" w:ascii="宋体" w:hAnsi="宋体"/>
          <w:sz w:val="24"/>
          <w:szCs w:val="24"/>
        </w:rPr>
        <w:t>4.3综合评分明细表</w:t>
      </w:r>
    </w:p>
    <w:tbl>
      <w:tblPr>
        <w:tblStyle w:val="26"/>
        <w:tblW w:w="563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
        <w:gridCol w:w="1521"/>
        <w:gridCol w:w="872"/>
        <w:gridCol w:w="6487"/>
        <w:gridCol w:w="9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928" w:type="dxa"/>
            <w:vAlign w:val="center"/>
          </w:tcPr>
          <w:p>
            <w:pPr>
              <w:spacing w:line="600" w:lineRule="exact"/>
              <w:ind w:firstLine="28"/>
              <w:jc w:val="center"/>
              <w:rPr>
                <w:rFonts w:ascii="宋体" w:hAnsi="宋体" w:cs="宋体"/>
                <w:color w:val="000000"/>
                <w:sz w:val="24"/>
              </w:rPr>
            </w:pPr>
            <w:r>
              <w:rPr>
                <w:rFonts w:hint="eastAsia" w:ascii="宋体" w:hAnsi="宋体" w:cs="宋体"/>
                <w:color w:val="000000"/>
                <w:sz w:val="24"/>
              </w:rPr>
              <w:t>序号</w:t>
            </w:r>
          </w:p>
        </w:tc>
        <w:tc>
          <w:tcPr>
            <w:tcW w:w="1521" w:type="dxa"/>
            <w:vAlign w:val="center"/>
          </w:tcPr>
          <w:p>
            <w:pPr>
              <w:spacing w:line="600" w:lineRule="exact"/>
              <w:ind w:firstLine="28"/>
              <w:jc w:val="center"/>
              <w:rPr>
                <w:rFonts w:ascii="宋体" w:hAnsi="宋体" w:cs="宋体"/>
                <w:color w:val="000000"/>
                <w:sz w:val="24"/>
              </w:rPr>
            </w:pPr>
            <w:r>
              <w:rPr>
                <w:rFonts w:hint="eastAsia" w:ascii="宋体" w:hAnsi="宋体" w:cs="宋体"/>
                <w:color w:val="000000"/>
                <w:sz w:val="24"/>
              </w:rPr>
              <w:t>评分因素</w:t>
            </w:r>
          </w:p>
        </w:tc>
        <w:tc>
          <w:tcPr>
            <w:tcW w:w="872" w:type="dxa"/>
            <w:vAlign w:val="center"/>
          </w:tcPr>
          <w:p>
            <w:pPr>
              <w:spacing w:line="600" w:lineRule="exact"/>
              <w:ind w:firstLine="28"/>
              <w:jc w:val="center"/>
              <w:rPr>
                <w:rFonts w:ascii="宋体" w:hAnsi="宋体" w:cs="宋体"/>
                <w:color w:val="000000"/>
                <w:sz w:val="24"/>
              </w:rPr>
            </w:pPr>
            <w:r>
              <w:rPr>
                <w:rFonts w:hint="eastAsia" w:ascii="宋体" w:hAnsi="宋体" w:cs="宋体"/>
                <w:color w:val="000000"/>
                <w:sz w:val="24"/>
              </w:rPr>
              <w:t>分值</w:t>
            </w:r>
          </w:p>
        </w:tc>
        <w:tc>
          <w:tcPr>
            <w:tcW w:w="6488" w:type="dxa"/>
            <w:vAlign w:val="center"/>
          </w:tcPr>
          <w:p>
            <w:pPr>
              <w:spacing w:line="600" w:lineRule="exact"/>
              <w:ind w:firstLine="28"/>
              <w:jc w:val="center"/>
              <w:rPr>
                <w:rFonts w:ascii="宋体" w:hAnsi="宋体" w:cs="宋体"/>
                <w:color w:val="000000"/>
                <w:sz w:val="24"/>
              </w:rPr>
            </w:pPr>
            <w:r>
              <w:rPr>
                <w:rFonts w:hint="eastAsia" w:ascii="宋体" w:hAnsi="宋体" w:cs="宋体"/>
                <w:color w:val="000000"/>
                <w:sz w:val="24"/>
              </w:rPr>
              <w:t>评分标准</w:t>
            </w:r>
          </w:p>
        </w:tc>
        <w:tc>
          <w:tcPr>
            <w:tcW w:w="982" w:type="dxa"/>
            <w:vAlign w:val="center"/>
          </w:tcPr>
          <w:p>
            <w:pPr>
              <w:spacing w:line="600" w:lineRule="exact"/>
              <w:jc w:val="center"/>
              <w:rPr>
                <w:rFonts w:ascii="宋体" w:hAnsi="宋体" w:cs="宋体"/>
                <w:color w:val="000000"/>
                <w:sz w:val="24"/>
              </w:rPr>
            </w:pPr>
            <w:r>
              <w:rPr>
                <w:rFonts w:hint="eastAsia" w:ascii="宋体" w:hAnsi="宋体" w:cs="宋体"/>
                <w:b/>
                <w:bCs/>
                <w:color w:val="000000"/>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4" w:hRule="atLeast"/>
          <w:jc w:val="center"/>
        </w:trPr>
        <w:tc>
          <w:tcPr>
            <w:tcW w:w="928" w:type="dxa"/>
            <w:vAlign w:val="center"/>
          </w:tcPr>
          <w:p>
            <w:pPr>
              <w:spacing w:line="600" w:lineRule="exact"/>
              <w:ind w:firstLine="28"/>
              <w:jc w:val="center"/>
              <w:rPr>
                <w:rFonts w:ascii="宋体" w:hAnsi="宋体" w:cs="宋体"/>
                <w:color w:val="000000"/>
                <w:sz w:val="24"/>
              </w:rPr>
            </w:pPr>
            <w:r>
              <w:rPr>
                <w:rFonts w:hint="eastAsia" w:ascii="宋体" w:hAnsi="宋体" w:cs="宋体"/>
                <w:color w:val="000000"/>
                <w:sz w:val="24"/>
              </w:rPr>
              <w:t>1</w:t>
            </w:r>
          </w:p>
        </w:tc>
        <w:tc>
          <w:tcPr>
            <w:tcW w:w="1521" w:type="dxa"/>
            <w:vAlign w:val="center"/>
          </w:tcPr>
          <w:p>
            <w:pPr>
              <w:spacing w:line="400" w:lineRule="exact"/>
              <w:jc w:val="center"/>
              <w:rPr>
                <w:rFonts w:ascii="宋体" w:hAnsi="宋体" w:cs="宋体"/>
                <w:color w:val="000000"/>
                <w:sz w:val="24"/>
              </w:rPr>
            </w:pPr>
            <w:r>
              <w:rPr>
                <w:rFonts w:hint="eastAsia" w:ascii="宋体" w:hAnsi="宋体" w:cs="宋体"/>
                <w:color w:val="000000"/>
                <w:sz w:val="24"/>
              </w:rPr>
              <w:t>报价</w:t>
            </w:r>
          </w:p>
        </w:tc>
        <w:tc>
          <w:tcPr>
            <w:tcW w:w="872" w:type="dxa"/>
            <w:vAlign w:val="center"/>
          </w:tcPr>
          <w:p>
            <w:pPr>
              <w:spacing w:line="400" w:lineRule="exact"/>
              <w:jc w:val="center"/>
              <w:rPr>
                <w:rFonts w:ascii="宋体" w:hAnsi="宋体" w:cs="宋体"/>
                <w:color w:val="000000"/>
                <w:sz w:val="24"/>
              </w:rPr>
            </w:pPr>
            <w:r>
              <w:rPr>
                <w:rFonts w:hint="eastAsia" w:ascii="宋体" w:hAnsi="宋体" w:cs="宋体"/>
                <w:color w:val="000000"/>
                <w:sz w:val="24"/>
              </w:rPr>
              <w:t>30分</w:t>
            </w:r>
          </w:p>
        </w:tc>
        <w:tc>
          <w:tcPr>
            <w:tcW w:w="6488" w:type="dxa"/>
            <w:vAlign w:val="center"/>
          </w:tcPr>
          <w:p>
            <w:pPr>
              <w:widowControl/>
              <w:spacing w:line="360" w:lineRule="auto"/>
              <w:rPr>
                <w:rFonts w:ascii="宋体" w:hAnsi="宋体" w:cs="宋体"/>
                <w:bCs/>
                <w:color w:val="000000"/>
                <w:sz w:val="24"/>
              </w:rPr>
            </w:pPr>
            <w:r>
              <w:rPr>
                <w:rFonts w:hint="eastAsia" w:ascii="宋体" w:hAnsi="宋体" w:cs="宋体"/>
                <w:bCs/>
                <w:color w:val="000000"/>
                <w:sz w:val="24"/>
              </w:rPr>
              <w:t>1、经专家评审的最低有效投标报价作为评标基准价；</w:t>
            </w:r>
          </w:p>
          <w:p>
            <w:pPr>
              <w:widowControl/>
              <w:spacing w:line="360" w:lineRule="auto"/>
              <w:rPr>
                <w:rFonts w:ascii="宋体" w:hAnsi="宋体" w:cs="宋体"/>
                <w:bCs/>
                <w:color w:val="000000"/>
                <w:sz w:val="24"/>
              </w:rPr>
            </w:pPr>
            <w:r>
              <w:rPr>
                <w:rFonts w:hint="eastAsia" w:ascii="宋体" w:hAnsi="宋体" w:cs="宋体"/>
                <w:bCs/>
                <w:color w:val="000000"/>
                <w:sz w:val="24"/>
              </w:rPr>
              <w:t>2、投标报价得分=(评标基准价/投标报价)×30；</w:t>
            </w:r>
          </w:p>
          <w:p>
            <w:pPr>
              <w:widowControl/>
              <w:spacing w:line="360" w:lineRule="auto"/>
              <w:rPr>
                <w:rFonts w:ascii="宋体" w:hAnsi="宋体" w:cs="宋体"/>
                <w:bCs/>
                <w:color w:val="000000"/>
                <w:sz w:val="24"/>
              </w:rPr>
            </w:pPr>
            <w:r>
              <w:rPr>
                <w:rFonts w:hint="eastAsia" w:ascii="宋体" w:hAnsi="宋体" w:cs="宋体"/>
                <w:bCs/>
                <w:color w:val="000000"/>
                <w:sz w:val="24"/>
              </w:rPr>
              <w:t>3、对小型企业、微型企业、监狱企业、残疾人福利性单位生产的产品的价格（如涉及）给予 10%的扣除，用扣除后的价格参与评审。</w:t>
            </w:r>
          </w:p>
        </w:tc>
        <w:tc>
          <w:tcPr>
            <w:tcW w:w="982" w:type="dxa"/>
            <w:vAlign w:val="center"/>
          </w:tcPr>
          <w:p>
            <w:pPr>
              <w:spacing w:line="600" w:lineRule="exact"/>
              <w:jc w:val="center"/>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928" w:type="dxa"/>
            <w:vAlign w:val="center"/>
          </w:tcPr>
          <w:p>
            <w:pPr>
              <w:spacing w:line="600" w:lineRule="exact"/>
              <w:ind w:firstLine="28"/>
              <w:jc w:val="center"/>
              <w:rPr>
                <w:rFonts w:ascii="宋体" w:hAnsi="宋体" w:cs="宋体"/>
                <w:color w:val="000000"/>
                <w:sz w:val="24"/>
              </w:rPr>
            </w:pPr>
            <w:r>
              <w:rPr>
                <w:rFonts w:hint="eastAsia" w:ascii="宋体" w:hAnsi="宋体" w:cs="宋体"/>
                <w:color w:val="000000"/>
                <w:sz w:val="24"/>
              </w:rPr>
              <w:t>2</w:t>
            </w:r>
          </w:p>
        </w:tc>
        <w:tc>
          <w:tcPr>
            <w:tcW w:w="1521" w:type="dxa"/>
            <w:vAlign w:val="center"/>
          </w:tcPr>
          <w:p>
            <w:pPr>
              <w:spacing w:line="400" w:lineRule="exact"/>
              <w:jc w:val="center"/>
              <w:rPr>
                <w:rFonts w:ascii="宋体" w:hAnsi="宋体" w:cs="宋体"/>
                <w:color w:val="000000"/>
                <w:sz w:val="24"/>
              </w:rPr>
            </w:pPr>
            <w:r>
              <w:rPr>
                <w:rFonts w:hint="eastAsia" w:ascii="宋体" w:hAnsi="宋体" w:cs="宋体"/>
                <w:color w:val="000000"/>
                <w:sz w:val="24"/>
              </w:rPr>
              <w:t>技术指标和配置</w:t>
            </w:r>
          </w:p>
        </w:tc>
        <w:tc>
          <w:tcPr>
            <w:tcW w:w="872" w:type="dxa"/>
            <w:vAlign w:val="center"/>
          </w:tcPr>
          <w:p>
            <w:pPr>
              <w:spacing w:line="400" w:lineRule="exact"/>
              <w:jc w:val="center"/>
              <w:rPr>
                <w:rFonts w:ascii="宋体" w:hAnsi="宋体" w:cs="宋体"/>
                <w:color w:val="000000"/>
                <w:sz w:val="24"/>
              </w:rPr>
            </w:pPr>
            <w:r>
              <w:rPr>
                <w:rFonts w:hint="eastAsia" w:ascii="宋体" w:hAnsi="宋体" w:cs="宋体"/>
                <w:color w:val="000000"/>
                <w:sz w:val="24"/>
              </w:rPr>
              <w:t>50分</w:t>
            </w:r>
          </w:p>
        </w:tc>
        <w:tc>
          <w:tcPr>
            <w:tcW w:w="6488" w:type="dxa"/>
            <w:vAlign w:val="center"/>
          </w:tcPr>
          <w:p>
            <w:pPr>
              <w:pStyle w:val="58"/>
              <w:tabs>
                <w:tab w:val="left" w:pos="0"/>
              </w:tabs>
              <w:spacing w:line="360" w:lineRule="auto"/>
              <w:rPr>
                <w:rFonts w:hAnsi="宋体"/>
              </w:rPr>
            </w:pPr>
            <w:r>
              <w:rPr>
                <w:rFonts w:hint="eastAsia" w:hAnsi="宋体"/>
              </w:rPr>
              <w:t>1、根据招标文件要求对所投产品技术指标进行评分，所有技术指标均达到招标文件要求的得 50分（参数共110条）。</w:t>
            </w:r>
          </w:p>
          <w:p>
            <w:pPr>
              <w:pStyle w:val="58"/>
              <w:tabs>
                <w:tab w:val="left" w:pos="0"/>
              </w:tabs>
              <w:spacing w:line="360" w:lineRule="auto"/>
              <w:rPr>
                <w:rFonts w:hAnsi="宋体"/>
              </w:rPr>
            </w:pPr>
            <w:r>
              <w:rPr>
                <w:rFonts w:hint="eastAsia" w:hAnsi="宋体"/>
              </w:rPr>
              <w:t>2、带▲号（30条）技术参数为重要技术指标，负偏离一项扣1分，扣完为止；</w:t>
            </w:r>
          </w:p>
          <w:p>
            <w:pPr>
              <w:pStyle w:val="58"/>
              <w:tabs>
                <w:tab w:val="left" w:pos="0"/>
              </w:tabs>
              <w:spacing w:line="360" w:lineRule="auto"/>
              <w:rPr>
                <w:rFonts w:hAnsi="宋体"/>
              </w:rPr>
            </w:pPr>
            <w:r>
              <w:rPr>
                <w:rFonts w:hint="eastAsia" w:hAnsi="宋体"/>
              </w:rPr>
              <w:t>3、非▲号（80条）技术参数，有负偏离一项扣0.25分，扣完为止。</w:t>
            </w:r>
          </w:p>
          <w:p>
            <w:pPr>
              <w:widowControl/>
              <w:spacing w:line="360" w:lineRule="auto"/>
              <w:rPr>
                <w:rFonts w:ascii="宋体" w:hAnsi="宋体" w:cs="宋体"/>
                <w:bCs/>
                <w:color w:val="000000"/>
                <w:sz w:val="24"/>
              </w:rPr>
            </w:pPr>
            <w:r>
              <w:rPr>
                <w:rFonts w:hint="eastAsia" w:ascii="宋体" w:hAnsi="宋体" w:cs="宋体"/>
                <w:bCs/>
                <w:color w:val="000000"/>
                <w:sz w:val="24"/>
              </w:rPr>
              <w:t>4.</w:t>
            </w:r>
            <w:r>
              <w:rPr>
                <w:rFonts w:hint="eastAsia" w:ascii="宋体" w:hAnsi="宋体" w:cs="宋体"/>
                <w:color w:val="000000"/>
                <w:sz w:val="24"/>
              </w:rPr>
              <w:t>如招标参数要求提供相关证明材料的，需按照招标参数要求提供相关证明材料，证明指标的真实性，如不能提供证明材料或提供的证明材料不能证明其功能的，该项得0分。</w:t>
            </w:r>
          </w:p>
          <w:p>
            <w:pPr>
              <w:widowControl/>
              <w:spacing w:line="360" w:lineRule="auto"/>
              <w:rPr>
                <w:rFonts w:ascii="宋体" w:hAnsi="宋体" w:cs="宋体"/>
                <w:bCs/>
                <w:color w:val="000000"/>
                <w:sz w:val="24"/>
              </w:rPr>
            </w:pPr>
            <w:r>
              <w:rPr>
                <w:rFonts w:hint="eastAsia" w:ascii="宋体" w:hAnsi="宋体" w:cs="宋体"/>
                <w:bCs/>
                <w:color w:val="000000"/>
                <w:sz w:val="24"/>
              </w:rPr>
              <w:t>5.招标文件技术指标中数字编号（例如1,2,3等）分别视为单条参数。</w:t>
            </w:r>
          </w:p>
        </w:tc>
        <w:tc>
          <w:tcPr>
            <w:tcW w:w="982" w:type="dxa"/>
            <w:vAlign w:val="center"/>
          </w:tcPr>
          <w:p>
            <w:pPr>
              <w:spacing w:line="600" w:lineRule="exact"/>
              <w:jc w:val="center"/>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8" w:type="dxa"/>
            <w:vAlign w:val="center"/>
          </w:tcPr>
          <w:p>
            <w:pPr>
              <w:spacing w:line="600" w:lineRule="exact"/>
              <w:ind w:firstLine="28"/>
              <w:jc w:val="center"/>
              <w:rPr>
                <w:rFonts w:ascii="宋体" w:hAnsi="宋体" w:cs="宋体"/>
                <w:color w:val="000000"/>
                <w:sz w:val="24"/>
              </w:rPr>
            </w:pPr>
            <w:r>
              <w:rPr>
                <w:rFonts w:hint="eastAsia" w:ascii="宋体" w:hAnsi="宋体" w:cs="宋体"/>
                <w:color w:val="000000"/>
                <w:sz w:val="24"/>
              </w:rPr>
              <w:t>3</w:t>
            </w:r>
          </w:p>
        </w:tc>
        <w:tc>
          <w:tcPr>
            <w:tcW w:w="1521" w:type="dxa"/>
            <w:vAlign w:val="center"/>
          </w:tcPr>
          <w:p>
            <w:pPr>
              <w:spacing w:line="400" w:lineRule="exact"/>
              <w:jc w:val="center"/>
              <w:rPr>
                <w:rFonts w:ascii="宋体" w:hAnsi="宋体" w:cs="宋体"/>
                <w:color w:val="000000"/>
                <w:sz w:val="24"/>
              </w:rPr>
            </w:pPr>
            <w:r>
              <w:rPr>
                <w:rFonts w:hint="eastAsia" w:ascii="宋体" w:hAnsi="宋体" w:cs="宋体"/>
                <w:color w:val="000000"/>
                <w:sz w:val="24"/>
              </w:rPr>
              <w:t>产品质量及企业实力信誉</w:t>
            </w:r>
          </w:p>
        </w:tc>
        <w:tc>
          <w:tcPr>
            <w:tcW w:w="872" w:type="dxa"/>
            <w:vAlign w:val="center"/>
          </w:tcPr>
          <w:p>
            <w:pPr>
              <w:spacing w:line="400" w:lineRule="exact"/>
              <w:jc w:val="center"/>
              <w:rPr>
                <w:rFonts w:ascii="宋体" w:hAnsi="宋体" w:cs="宋体"/>
                <w:color w:val="000000"/>
                <w:sz w:val="24"/>
              </w:rPr>
            </w:pPr>
            <w:r>
              <w:rPr>
                <w:rFonts w:hint="eastAsia" w:ascii="宋体" w:hAnsi="宋体" w:cs="宋体"/>
                <w:color w:val="000000"/>
                <w:sz w:val="24"/>
              </w:rPr>
              <w:t>11分</w:t>
            </w:r>
          </w:p>
        </w:tc>
        <w:tc>
          <w:tcPr>
            <w:tcW w:w="6488" w:type="dxa"/>
            <w:vAlign w:val="center"/>
          </w:tcPr>
          <w:p>
            <w:pPr>
              <w:widowControl/>
              <w:spacing w:line="360" w:lineRule="auto"/>
              <w:rPr>
                <w:rFonts w:ascii="宋体" w:hAnsi="宋体" w:cs="宋体"/>
                <w:color w:val="000000"/>
                <w:sz w:val="24"/>
                <w:highlight w:val="yellow"/>
                <w:lang w:bidi="ar"/>
              </w:rPr>
            </w:pPr>
            <w:r>
              <w:rPr>
                <w:rFonts w:hint="eastAsia" w:ascii="宋体" w:hAnsi="宋体" w:cs="宋体"/>
                <w:color w:val="000000"/>
                <w:sz w:val="24"/>
                <w:lang w:bidi="ar"/>
              </w:rPr>
              <w:t>1.</w:t>
            </w:r>
            <w:r>
              <w:rPr>
                <w:rFonts w:hint="eastAsia" w:ascii="宋体" w:hAnsi="宋体" w:cs="宋体"/>
                <w:color w:val="000000"/>
                <w:sz w:val="24"/>
              </w:rPr>
              <w:t>核心数据处理、数据传输器</w:t>
            </w:r>
            <w:r>
              <w:rPr>
                <w:rFonts w:hint="eastAsia" w:ascii="宋体" w:hAnsi="宋体" w:cs="宋体"/>
                <w:color w:val="000000"/>
                <w:sz w:val="24"/>
                <w:lang w:bidi="ar"/>
              </w:rPr>
              <w:t>设备产品厂家具有信息安全管理体系认证证书，每提供一个得1分，共4分，不提供不得分。</w:t>
            </w:r>
          </w:p>
          <w:p>
            <w:pPr>
              <w:widowControl/>
              <w:spacing w:line="360" w:lineRule="auto"/>
              <w:rPr>
                <w:rFonts w:ascii="宋体" w:hAnsi="宋体" w:cs="宋体"/>
                <w:color w:val="000000"/>
                <w:sz w:val="24"/>
                <w:lang w:bidi="ar"/>
              </w:rPr>
            </w:pPr>
            <w:r>
              <w:rPr>
                <w:rFonts w:hint="eastAsia" w:ascii="宋体" w:hAnsi="宋体" w:cs="宋体"/>
                <w:color w:val="000000"/>
                <w:sz w:val="24"/>
              </w:rPr>
              <w:t>2.核心数据处理、数据传输器</w:t>
            </w:r>
            <w:r>
              <w:rPr>
                <w:rFonts w:hint="eastAsia" w:ascii="宋体" w:hAnsi="宋体" w:cs="宋体"/>
                <w:color w:val="000000"/>
                <w:sz w:val="24"/>
                <w:lang w:bidi="ar"/>
              </w:rPr>
              <w:t>设备产品</w:t>
            </w:r>
            <w:r>
              <w:rPr>
                <w:rFonts w:hint="eastAsia" w:ascii="宋体" w:hAnsi="宋体" w:cs="宋体"/>
                <w:color w:val="000000"/>
                <w:kern w:val="0"/>
                <w:sz w:val="24"/>
                <w:lang w:bidi="ar"/>
              </w:rPr>
              <w:t>支持终端脆弱性扫描功能，设备经过漏洞扫描软件测试后，不存在高危漏洞，提供第三方权威机构测试报告复印件并加盖投标人公章得2分，不提供不得分。</w:t>
            </w:r>
          </w:p>
          <w:p>
            <w:pPr>
              <w:widowControl/>
              <w:numPr>
                <w:ilvl w:val="0"/>
                <w:numId w:val="7"/>
              </w:numPr>
              <w:spacing w:line="360" w:lineRule="auto"/>
              <w:rPr>
                <w:rFonts w:ascii="宋体" w:hAnsi="宋体" w:cs="宋体"/>
                <w:color w:val="000000"/>
                <w:kern w:val="0"/>
                <w:sz w:val="24"/>
                <w:lang w:bidi="ar"/>
              </w:rPr>
            </w:pPr>
            <w:r>
              <w:rPr>
                <w:rFonts w:hint="eastAsia" w:ascii="宋体" w:hAnsi="宋体" w:cs="宋体"/>
                <w:color w:val="000000"/>
                <w:sz w:val="24"/>
              </w:rPr>
              <w:t>核心数据处理、数据传输器</w:t>
            </w:r>
            <w:r>
              <w:rPr>
                <w:rFonts w:hint="eastAsia" w:ascii="宋体" w:hAnsi="宋体" w:cs="宋体"/>
                <w:color w:val="000000"/>
                <w:sz w:val="24"/>
                <w:lang w:bidi="ar"/>
              </w:rPr>
              <w:t xml:space="preserve">设备产品支持安全加密功能，包括OSPF国密SM3算法加密、配置文件SM3算法加密等, </w:t>
            </w:r>
            <w:r>
              <w:rPr>
                <w:rFonts w:hint="eastAsia" w:ascii="宋体" w:hAnsi="宋体" w:cs="宋体"/>
                <w:color w:val="000000"/>
                <w:kern w:val="0"/>
                <w:sz w:val="24"/>
                <w:lang w:bidi="ar"/>
              </w:rPr>
              <w:t>提供第三方权威机构测试报告复印件并加盖投标人公章得2分，不提供不得分</w:t>
            </w:r>
            <w:r>
              <w:rPr>
                <w:rFonts w:hint="eastAsia" w:ascii="宋体" w:hAnsi="宋体" w:cs="宋体"/>
                <w:color w:val="000000"/>
                <w:sz w:val="24"/>
                <w:lang w:bidi="ar"/>
              </w:rPr>
              <w:t>。</w:t>
            </w:r>
          </w:p>
          <w:p>
            <w:pPr>
              <w:widowControl/>
              <w:numPr>
                <w:ilvl w:val="0"/>
                <w:numId w:val="7"/>
              </w:numPr>
              <w:spacing w:line="360" w:lineRule="auto"/>
              <w:rPr>
                <w:rFonts w:ascii="宋体" w:hAnsi="宋体" w:cs="宋体"/>
                <w:color w:val="000000"/>
                <w:sz w:val="24"/>
                <w:lang w:bidi="ar"/>
              </w:rPr>
            </w:pPr>
            <w:r>
              <w:rPr>
                <w:rFonts w:hint="eastAsia" w:ascii="宋体" w:hAnsi="宋体" w:cs="宋体"/>
                <w:color w:val="000000"/>
                <w:sz w:val="24"/>
                <w:lang w:bidi="ar"/>
              </w:rPr>
              <w:t>网络管理平台产品具有相关网管软件著作权的，提供证书复印件</w:t>
            </w:r>
            <w:r>
              <w:rPr>
                <w:rFonts w:hint="eastAsia" w:ascii="宋体" w:hAnsi="宋体" w:cs="宋体"/>
                <w:color w:val="000000"/>
                <w:kern w:val="0"/>
                <w:sz w:val="24"/>
                <w:lang w:bidi="ar"/>
              </w:rPr>
              <w:t>加盖投标人单位鲜章</w:t>
            </w:r>
            <w:r>
              <w:rPr>
                <w:rFonts w:hint="eastAsia" w:ascii="宋体" w:hAnsi="宋体" w:cs="宋体"/>
                <w:color w:val="000000"/>
                <w:sz w:val="24"/>
                <w:lang w:bidi="ar"/>
              </w:rPr>
              <w:t>得3分，不提供不得分。</w:t>
            </w:r>
          </w:p>
        </w:tc>
        <w:tc>
          <w:tcPr>
            <w:tcW w:w="982" w:type="dxa"/>
            <w:vAlign w:val="center"/>
          </w:tcPr>
          <w:p>
            <w:pPr>
              <w:spacing w:line="600" w:lineRule="exact"/>
              <w:jc w:val="center"/>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928" w:type="dxa"/>
            <w:vAlign w:val="center"/>
          </w:tcPr>
          <w:p>
            <w:pPr>
              <w:spacing w:line="600" w:lineRule="exact"/>
              <w:ind w:firstLine="28"/>
              <w:jc w:val="center"/>
              <w:rPr>
                <w:rFonts w:ascii="宋体" w:hAnsi="宋体" w:cs="宋体"/>
                <w:color w:val="000000"/>
                <w:sz w:val="24"/>
              </w:rPr>
            </w:pPr>
            <w:r>
              <w:rPr>
                <w:rFonts w:hint="eastAsia" w:ascii="宋体" w:hAnsi="宋体" w:cs="宋体"/>
                <w:color w:val="000000"/>
                <w:sz w:val="24"/>
              </w:rPr>
              <w:t>5</w:t>
            </w:r>
          </w:p>
        </w:tc>
        <w:tc>
          <w:tcPr>
            <w:tcW w:w="1521" w:type="dxa"/>
            <w:vAlign w:val="center"/>
          </w:tcPr>
          <w:p>
            <w:pPr>
              <w:spacing w:line="360" w:lineRule="auto"/>
              <w:ind w:left="108" w:right="95"/>
              <w:rPr>
                <w:rFonts w:ascii="宋体" w:hAnsi="宋体" w:cs="宋体"/>
                <w:color w:val="000000"/>
                <w:sz w:val="24"/>
              </w:rPr>
            </w:pPr>
            <w:r>
              <w:rPr>
                <w:rFonts w:hint="eastAsia" w:ascii="宋体" w:hAnsi="宋体" w:cs="宋体"/>
                <w:color w:val="000000"/>
                <w:sz w:val="24"/>
              </w:rPr>
              <w:t>实施及售后服务</w:t>
            </w:r>
          </w:p>
        </w:tc>
        <w:tc>
          <w:tcPr>
            <w:tcW w:w="872" w:type="dxa"/>
            <w:vAlign w:val="center"/>
          </w:tcPr>
          <w:p>
            <w:pPr>
              <w:spacing w:line="360" w:lineRule="auto"/>
              <w:ind w:right="129"/>
              <w:jc w:val="center"/>
              <w:rPr>
                <w:rFonts w:ascii="宋体" w:hAnsi="宋体" w:cs="宋体"/>
                <w:color w:val="000000"/>
                <w:sz w:val="24"/>
              </w:rPr>
            </w:pPr>
            <w:r>
              <w:rPr>
                <w:rFonts w:hint="eastAsia" w:ascii="宋体" w:hAnsi="宋体" w:cs="宋体"/>
                <w:color w:val="000000"/>
                <w:sz w:val="24"/>
              </w:rPr>
              <w:t>7分</w:t>
            </w:r>
          </w:p>
        </w:tc>
        <w:tc>
          <w:tcPr>
            <w:tcW w:w="6488" w:type="dxa"/>
            <w:vAlign w:val="center"/>
          </w:tcPr>
          <w:p>
            <w:pPr>
              <w:pStyle w:val="58"/>
              <w:tabs>
                <w:tab w:val="left" w:pos="0"/>
              </w:tabs>
              <w:spacing w:line="360" w:lineRule="auto"/>
              <w:rPr>
                <w:rFonts w:hAnsi="宋体"/>
              </w:rPr>
            </w:pPr>
            <w:r>
              <w:rPr>
                <w:rFonts w:hint="eastAsia" w:hAnsi="宋体"/>
              </w:rPr>
              <w:t>在满足招标文件商务要求中关于售后服务要求的基础上，根据投标人提供的售后服务方案进行评价：</w:t>
            </w:r>
          </w:p>
          <w:p>
            <w:pPr>
              <w:pStyle w:val="58"/>
              <w:numPr>
                <w:ilvl w:val="0"/>
                <w:numId w:val="8"/>
              </w:numPr>
              <w:tabs>
                <w:tab w:val="left" w:pos="0"/>
                <w:tab w:val="clear" w:pos="312"/>
              </w:tabs>
              <w:spacing w:line="360" w:lineRule="auto"/>
              <w:rPr>
                <w:rFonts w:hAnsi="宋体"/>
              </w:rPr>
            </w:pPr>
            <w:r>
              <w:rPr>
                <w:rFonts w:hint="eastAsia" w:hAnsi="宋体"/>
              </w:rPr>
              <w:t>在基本质保2年的基础上，每增加一年质保服务的加1分，最多加1分；本项最高得1分（提供承诺函，投标人不得虚假承诺。）；</w:t>
            </w:r>
          </w:p>
          <w:p>
            <w:pPr>
              <w:spacing w:before="43" w:line="360" w:lineRule="auto"/>
              <w:rPr>
                <w:rFonts w:ascii="宋体" w:hAnsi="宋体" w:cs="宋体"/>
                <w:color w:val="000000"/>
                <w:sz w:val="24"/>
                <w:lang w:val="zh-TW" w:eastAsia="zh-TW"/>
              </w:rPr>
            </w:pPr>
            <w:r>
              <w:rPr>
                <w:rFonts w:hint="eastAsia" w:ascii="宋体" w:hAnsi="宋体" w:cs="宋体"/>
                <w:bCs/>
                <w:color w:val="000000"/>
                <w:sz w:val="24"/>
              </w:rPr>
              <w:t>2.供应商根据本项目特点，提供技术方案，方案应至少包含：①现场技术服务措施 ②后期深化服务方案③应急技术措施，以上 3项内容完全契合采购需求的得6分，每有一项内容不符合采购需求（是指存在不适用项目实际情况、凭空编造、逻辑漏洞、原理错误情形）或未提供的扣2分；每有一项内容存在缺陷（缺陷指：内容阐述不清晰存在偏差或过于简略）或不利于项目实施的扣1分，6分扣完为止。</w:t>
            </w:r>
          </w:p>
        </w:tc>
        <w:tc>
          <w:tcPr>
            <w:tcW w:w="982" w:type="dxa"/>
            <w:vAlign w:val="center"/>
          </w:tcPr>
          <w:p>
            <w:pPr>
              <w:spacing w:line="600" w:lineRule="exact"/>
              <w:jc w:val="center"/>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928" w:type="dxa"/>
            <w:vAlign w:val="center"/>
          </w:tcPr>
          <w:p>
            <w:pPr>
              <w:spacing w:line="600" w:lineRule="exact"/>
              <w:ind w:firstLine="28"/>
              <w:jc w:val="center"/>
              <w:rPr>
                <w:rFonts w:ascii="宋体" w:hAnsi="宋体" w:cs="宋体"/>
                <w:color w:val="000000"/>
                <w:sz w:val="24"/>
              </w:rPr>
            </w:pPr>
            <w:r>
              <w:rPr>
                <w:rFonts w:hint="eastAsia" w:ascii="宋体" w:hAnsi="宋体" w:cs="宋体"/>
                <w:color w:val="000000"/>
                <w:sz w:val="24"/>
              </w:rPr>
              <w:t>6</w:t>
            </w:r>
          </w:p>
        </w:tc>
        <w:tc>
          <w:tcPr>
            <w:tcW w:w="1521" w:type="dxa"/>
            <w:vAlign w:val="center"/>
          </w:tcPr>
          <w:p>
            <w:pPr>
              <w:spacing w:line="360" w:lineRule="auto"/>
              <w:ind w:firstLine="28"/>
              <w:jc w:val="center"/>
              <w:rPr>
                <w:rFonts w:ascii="宋体" w:hAnsi="宋体" w:cs="宋体"/>
                <w:color w:val="000000"/>
                <w:sz w:val="24"/>
              </w:rPr>
            </w:pPr>
            <w:r>
              <w:rPr>
                <w:rFonts w:hint="eastAsia" w:ascii="宋体" w:hAnsi="宋体" w:cs="宋体"/>
                <w:color w:val="000000"/>
                <w:sz w:val="24"/>
              </w:rPr>
              <w:t>节能</w:t>
            </w:r>
          </w:p>
          <w:p>
            <w:pPr>
              <w:spacing w:line="360" w:lineRule="auto"/>
              <w:ind w:firstLine="28"/>
              <w:jc w:val="center"/>
              <w:rPr>
                <w:rFonts w:ascii="宋体" w:hAnsi="宋体" w:cs="宋体"/>
                <w:color w:val="000000"/>
                <w:sz w:val="24"/>
                <w:lang w:eastAsia="zh-TW"/>
              </w:rPr>
            </w:pPr>
            <w:r>
              <w:rPr>
                <w:rFonts w:hint="eastAsia" w:ascii="宋体" w:hAnsi="宋体" w:cs="宋体"/>
                <w:color w:val="000000"/>
                <w:sz w:val="24"/>
              </w:rPr>
              <w:t>环保</w:t>
            </w:r>
          </w:p>
        </w:tc>
        <w:tc>
          <w:tcPr>
            <w:tcW w:w="872" w:type="dxa"/>
            <w:vAlign w:val="center"/>
          </w:tcPr>
          <w:p>
            <w:pPr>
              <w:spacing w:line="360" w:lineRule="auto"/>
              <w:ind w:firstLine="28"/>
              <w:jc w:val="left"/>
              <w:rPr>
                <w:rFonts w:ascii="宋体" w:hAnsi="宋体" w:cs="宋体"/>
                <w:color w:val="000000"/>
                <w:sz w:val="24"/>
                <w:lang w:val="zh-TW" w:eastAsia="zh-TW"/>
              </w:rPr>
            </w:pPr>
            <w:r>
              <w:rPr>
                <w:rFonts w:hint="eastAsia" w:ascii="宋体" w:hAnsi="宋体" w:cs="宋体"/>
                <w:color w:val="000000"/>
                <w:sz w:val="24"/>
              </w:rPr>
              <w:t>2</w:t>
            </w:r>
            <w:r>
              <w:rPr>
                <w:rFonts w:hint="eastAsia" w:ascii="宋体" w:hAnsi="宋体" w:cs="宋体"/>
                <w:color w:val="000000"/>
                <w:sz w:val="24"/>
                <w:lang w:val="zh-TW" w:eastAsia="zh-TW"/>
              </w:rPr>
              <w:t>分</w:t>
            </w:r>
          </w:p>
        </w:tc>
        <w:tc>
          <w:tcPr>
            <w:tcW w:w="6488" w:type="dxa"/>
            <w:vAlign w:val="center"/>
          </w:tcPr>
          <w:p>
            <w:pPr>
              <w:spacing w:line="360" w:lineRule="auto"/>
              <w:ind w:firstLine="28"/>
              <w:jc w:val="left"/>
              <w:rPr>
                <w:rFonts w:ascii="宋体" w:hAnsi="宋体" w:cs="宋体"/>
                <w:color w:val="000000"/>
                <w:sz w:val="24"/>
                <w:lang w:val="zh-TW" w:eastAsia="zh-TW"/>
              </w:rPr>
            </w:pPr>
            <w:r>
              <w:rPr>
                <w:rFonts w:hint="eastAsia" w:ascii="宋体" w:hAnsi="宋体" w:cs="宋体"/>
                <w:color w:val="000000"/>
                <w:sz w:val="24"/>
                <w:lang w:val="zh-TW" w:eastAsia="zh-TW"/>
              </w:rPr>
              <w:t>如涉及采购的设备、材料（强制节能产品除外）属于“政府采购节能产品品目清单”内规定品目或“政府采购环境标志产品品目清单”内规定品目或无线局域网产品政府采购清单中的产品的的，每有一项得0.5分，最多得</w:t>
            </w:r>
            <w:r>
              <w:rPr>
                <w:rFonts w:hint="eastAsia" w:ascii="宋体" w:hAnsi="宋体" w:cs="宋体"/>
                <w:color w:val="000000"/>
                <w:sz w:val="24"/>
              </w:rPr>
              <w:t>2</w:t>
            </w:r>
            <w:r>
              <w:rPr>
                <w:rFonts w:hint="eastAsia" w:ascii="宋体" w:hAnsi="宋体" w:cs="宋体"/>
                <w:color w:val="000000"/>
                <w:sz w:val="24"/>
                <w:lang w:val="zh-TW" w:eastAsia="zh-TW"/>
              </w:rPr>
              <w:t>分。非节能、环境标志、无线局域网产品的不得分。（节能、环境标志产品提供国家确定的认证机构出具的、处于有效期之内的认证证书复印件。无线局域网产品提供无线局域网认证产品政府采购清单所在页。）</w:t>
            </w:r>
          </w:p>
        </w:tc>
        <w:tc>
          <w:tcPr>
            <w:tcW w:w="982" w:type="dxa"/>
            <w:vAlign w:val="center"/>
          </w:tcPr>
          <w:p>
            <w:pPr>
              <w:spacing w:line="600" w:lineRule="exact"/>
              <w:jc w:val="center"/>
              <w:rPr>
                <w:rFonts w:ascii="宋体" w:hAnsi="宋体" w:cs="宋体"/>
                <w:color w:val="000000"/>
                <w:sz w:val="24"/>
                <w:lang w:val="zh-TW"/>
              </w:rPr>
            </w:pPr>
          </w:p>
        </w:tc>
      </w:tr>
    </w:tbl>
    <w:p>
      <w:pPr>
        <w:pStyle w:val="10"/>
        <w:tabs>
          <w:tab w:val="left" w:pos="600"/>
        </w:tabs>
        <w:spacing w:line="400" w:lineRule="exact"/>
        <w:ind w:firstLine="480" w:firstLineChars="200"/>
        <w:rPr>
          <w:rFonts w:ascii="宋体" w:hAnsi="宋体"/>
          <w:sz w:val="24"/>
          <w:szCs w:val="24"/>
        </w:rPr>
      </w:pPr>
    </w:p>
    <w:p>
      <w:pPr>
        <w:pStyle w:val="10"/>
        <w:tabs>
          <w:tab w:val="left" w:pos="600"/>
        </w:tabs>
        <w:spacing w:line="400" w:lineRule="exact"/>
        <w:ind w:firstLine="480" w:firstLineChars="200"/>
        <w:rPr>
          <w:rFonts w:ascii="宋体" w:hAnsi="宋体"/>
          <w:sz w:val="24"/>
          <w:szCs w:val="24"/>
        </w:rPr>
      </w:pPr>
      <w:r>
        <w:rPr>
          <w:rFonts w:hint="eastAsia" w:ascii="宋体" w:hAnsi="宋体"/>
          <w:sz w:val="24"/>
          <w:szCs w:val="24"/>
        </w:rPr>
        <w:t>4.3.1综合评分明细表的制定以科学合理、降低评委会自由裁量权为原则。</w:t>
      </w:r>
    </w:p>
    <w:p>
      <w:pPr>
        <w:widowControl/>
        <w:ind w:firstLine="480" w:firstLineChars="200"/>
        <w:jc w:val="left"/>
        <w:rPr>
          <w:rFonts w:ascii="宋体" w:hAnsi="宋体"/>
          <w:sz w:val="24"/>
        </w:rPr>
      </w:pPr>
      <w:r>
        <w:rPr>
          <w:rFonts w:hint="eastAsia" w:ascii="宋体" w:hAnsi="宋体"/>
          <w:sz w:val="24"/>
        </w:rPr>
        <w:t>4.3.2 综合评分明细表按须知表中的相关要求进行价格调整，再参与价格分评审。</w:t>
      </w:r>
    </w:p>
    <w:p>
      <w:pPr>
        <w:pStyle w:val="10"/>
        <w:tabs>
          <w:tab w:val="left" w:pos="600"/>
        </w:tabs>
        <w:spacing w:line="400" w:lineRule="exact"/>
        <w:ind w:firstLine="480" w:firstLineChars="200"/>
        <w:rPr>
          <w:rFonts w:ascii="宋体" w:hAnsi="宋体"/>
          <w:sz w:val="24"/>
          <w:szCs w:val="24"/>
        </w:rPr>
      </w:pPr>
      <w:r>
        <w:rPr>
          <w:rFonts w:hint="eastAsia" w:ascii="宋体" w:hAnsi="宋体"/>
          <w:sz w:val="24"/>
          <w:szCs w:val="24"/>
        </w:rPr>
        <w:t>4.3.3综合评分明细表</w:t>
      </w:r>
    </w:p>
    <w:p>
      <w:pPr>
        <w:pStyle w:val="10"/>
        <w:tabs>
          <w:tab w:val="left" w:pos="600"/>
        </w:tabs>
        <w:spacing w:line="400" w:lineRule="exact"/>
        <w:ind w:firstLine="480" w:firstLineChars="200"/>
        <w:rPr>
          <w:rFonts w:ascii="宋体" w:hAnsi="宋体"/>
          <w:sz w:val="24"/>
          <w:szCs w:val="24"/>
        </w:rPr>
      </w:pPr>
    </w:p>
    <w:p>
      <w:pPr>
        <w:ind w:firstLine="360" w:firstLineChars="150"/>
        <w:rPr>
          <w:rFonts w:ascii="宋体" w:hAnsi="宋体"/>
          <w:sz w:val="24"/>
        </w:rPr>
      </w:pPr>
      <w:r>
        <w:rPr>
          <w:rFonts w:hint="eastAsia" w:ascii="宋体" w:hAnsi="宋体"/>
          <w:sz w:val="24"/>
        </w:rPr>
        <w:t>注： 评分的取值按四舍五入法，保留小数点后两位。</w:t>
      </w:r>
    </w:p>
    <w:p>
      <w:pPr>
        <w:pStyle w:val="9"/>
        <w:ind w:firstLine="420" w:firstLineChars="175"/>
        <w:rPr>
          <w:rFonts w:ascii="宋体" w:hAnsi="宋体"/>
          <w:sz w:val="24"/>
        </w:rPr>
      </w:pPr>
      <w:bookmarkStart w:id="167" w:name="_Toc217446059"/>
      <w:r>
        <w:rPr>
          <w:rFonts w:hint="eastAsia" w:ascii="宋体" w:hAnsi="宋体"/>
          <w:sz w:val="24"/>
        </w:rPr>
        <w:t xml:space="preserve">4.3.4 本次综合评分法由评标委员会各成员独立对通过初审（资格检查和符合性检查）的投标人的投标文件进行评审和打分，    </w:t>
      </w:r>
    </w:p>
    <w:p>
      <w:pPr>
        <w:pStyle w:val="9"/>
        <w:rPr>
          <w:rFonts w:ascii="宋体" w:hAnsi="宋体"/>
          <w:sz w:val="24"/>
        </w:rPr>
      </w:pPr>
      <w:r>
        <w:rPr>
          <w:rFonts w:hint="eastAsia" w:ascii="宋体" w:hAnsi="宋体"/>
          <w:sz w:val="24"/>
        </w:rPr>
        <w:t>评标得分＝（A1＋A2＋……＋An）/N</w:t>
      </w:r>
      <w:r>
        <w:rPr>
          <w:rFonts w:hint="eastAsia" w:ascii="宋体" w:hAnsi="宋体"/>
          <w:sz w:val="24"/>
          <w:vertAlign w:val="subscript"/>
        </w:rPr>
        <w:t>A</w:t>
      </w:r>
      <w:r>
        <w:rPr>
          <w:rFonts w:hint="eastAsia" w:ascii="宋体" w:hAnsi="宋体"/>
          <w:sz w:val="24"/>
        </w:rPr>
        <w:t>＋（B1＋B2＋……＋Bn）/ N</w:t>
      </w:r>
      <w:r>
        <w:rPr>
          <w:rFonts w:hint="eastAsia" w:ascii="宋体" w:hAnsi="宋体"/>
          <w:sz w:val="24"/>
          <w:vertAlign w:val="subscript"/>
        </w:rPr>
        <w:t>B</w:t>
      </w:r>
      <w:r>
        <w:rPr>
          <w:rFonts w:hint="eastAsia" w:ascii="宋体" w:hAnsi="宋体"/>
          <w:sz w:val="24"/>
        </w:rPr>
        <w:t>＋（C1＋C2＋……＋Cn）/ N</w:t>
      </w:r>
      <w:r>
        <w:rPr>
          <w:rFonts w:hint="eastAsia" w:ascii="宋体" w:hAnsi="宋体"/>
          <w:sz w:val="24"/>
          <w:vertAlign w:val="subscript"/>
        </w:rPr>
        <w:t>C</w:t>
      </w:r>
      <w:r>
        <w:rPr>
          <w:rFonts w:hint="eastAsia" w:ascii="宋体" w:hAnsi="宋体"/>
          <w:sz w:val="24"/>
        </w:rPr>
        <w:t>＋（D1＋D2＋……＋Dn）/ N</w:t>
      </w:r>
      <w:r>
        <w:rPr>
          <w:rFonts w:hint="eastAsia" w:ascii="宋体" w:hAnsi="宋体"/>
          <w:sz w:val="24"/>
          <w:vertAlign w:val="subscript"/>
        </w:rPr>
        <w:t>D</w:t>
      </w:r>
    </w:p>
    <w:p>
      <w:pPr>
        <w:pStyle w:val="9"/>
        <w:rPr>
          <w:rFonts w:ascii="宋体" w:hAnsi="宋体"/>
          <w:bCs/>
          <w:sz w:val="24"/>
        </w:rPr>
      </w:pPr>
      <w:r>
        <w:rPr>
          <w:rFonts w:hint="eastAsia" w:ascii="宋体" w:hAnsi="宋体"/>
          <w:sz w:val="24"/>
        </w:rPr>
        <w:t>A1、A2……An分别为每个经济类评委（经济类专家）的打分，N</w:t>
      </w:r>
      <w:r>
        <w:rPr>
          <w:rFonts w:hint="eastAsia" w:ascii="宋体" w:hAnsi="宋体"/>
          <w:sz w:val="24"/>
          <w:vertAlign w:val="subscript"/>
        </w:rPr>
        <w:t>A</w:t>
      </w:r>
      <w:r>
        <w:rPr>
          <w:rFonts w:hint="eastAsia" w:ascii="宋体" w:hAnsi="宋体"/>
          <w:sz w:val="24"/>
        </w:rPr>
        <w:t>为经济类评委（经济类专家）人数；B1、B2＋……Bn 分别为每个技术类评委（技术类专家和采购人代表）的打分，N</w:t>
      </w:r>
      <w:r>
        <w:rPr>
          <w:rFonts w:hint="eastAsia" w:ascii="宋体" w:hAnsi="宋体"/>
          <w:sz w:val="24"/>
          <w:vertAlign w:val="subscript"/>
        </w:rPr>
        <w:t>B</w:t>
      </w:r>
      <w:r>
        <w:rPr>
          <w:rFonts w:hint="eastAsia" w:ascii="宋体" w:hAnsi="宋体"/>
          <w:sz w:val="24"/>
        </w:rPr>
        <w:t>为技术类评委（技术类专家和采购人代表）人数；C1、C2……Cn 分别为每个政策合同类评委（法律类专家）的打分，N</w:t>
      </w:r>
      <w:r>
        <w:rPr>
          <w:rFonts w:hint="eastAsia" w:ascii="宋体" w:hAnsi="宋体"/>
          <w:sz w:val="24"/>
          <w:vertAlign w:val="subscript"/>
        </w:rPr>
        <w:t>C</w:t>
      </w:r>
      <w:r>
        <w:rPr>
          <w:rFonts w:hint="eastAsia" w:ascii="宋体" w:hAnsi="宋体"/>
          <w:sz w:val="24"/>
        </w:rPr>
        <w:t>为政策合同类评委（法律类专家）人数；D1、D2……Dn 分别为评审委员会每个成员的打分（共同评分类），N</w:t>
      </w:r>
      <w:r>
        <w:rPr>
          <w:rFonts w:hint="eastAsia" w:ascii="宋体" w:hAnsi="宋体"/>
          <w:sz w:val="24"/>
          <w:vertAlign w:val="subscript"/>
        </w:rPr>
        <w:t>D</w:t>
      </w:r>
      <w:r>
        <w:rPr>
          <w:rFonts w:hint="eastAsia" w:ascii="宋体" w:hAnsi="宋体"/>
          <w:sz w:val="24"/>
        </w:rPr>
        <w:t>为评标委员会人</w:t>
      </w:r>
      <w:r>
        <w:rPr>
          <w:rFonts w:hint="eastAsia" w:ascii="宋体" w:hAnsi="宋体"/>
          <w:bCs/>
          <w:sz w:val="24"/>
        </w:rPr>
        <w:t>数。</w:t>
      </w:r>
    </w:p>
    <w:bookmarkEnd w:id="167"/>
    <w:p>
      <w:pPr>
        <w:pStyle w:val="4"/>
        <w:numPr>
          <w:ilvl w:val="0"/>
          <w:numId w:val="9"/>
        </w:numPr>
        <w:spacing w:line="400" w:lineRule="exact"/>
        <w:ind w:firstLine="470" w:firstLineChars="196"/>
        <w:rPr>
          <w:rFonts w:ascii="宋体" w:hAnsi="宋体" w:eastAsia="宋体"/>
          <w:sz w:val="24"/>
          <w:szCs w:val="24"/>
        </w:rPr>
      </w:pPr>
      <w:bookmarkStart w:id="168" w:name="_Toc217446060"/>
      <w:r>
        <w:rPr>
          <w:rFonts w:hint="eastAsia" w:ascii="宋体" w:hAnsi="宋体" w:eastAsia="宋体"/>
          <w:sz w:val="24"/>
          <w:szCs w:val="24"/>
        </w:rPr>
        <w:t>废标</w:t>
      </w:r>
    </w:p>
    <w:p>
      <w:pPr>
        <w:spacing w:line="400" w:lineRule="exact"/>
        <w:ind w:firstLine="480" w:firstLineChars="200"/>
        <w:rPr>
          <w:rFonts w:ascii="宋体" w:hAnsi="宋体"/>
          <w:sz w:val="24"/>
        </w:rPr>
      </w:pPr>
      <w:r>
        <w:rPr>
          <w:rFonts w:hint="eastAsia" w:ascii="宋体" w:hAnsi="宋体"/>
          <w:sz w:val="24"/>
        </w:rPr>
        <w:t>5.1本次政府采购活动中，出现下列情形之一的，予以废标：</w:t>
      </w:r>
    </w:p>
    <w:p>
      <w:pPr>
        <w:spacing w:line="400" w:lineRule="exact"/>
        <w:ind w:firstLine="480" w:firstLineChars="200"/>
        <w:rPr>
          <w:rFonts w:ascii="宋体" w:hAnsi="宋体"/>
          <w:sz w:val="24"/>
        </w:rPr>
      </w:pPr>
      <w:r>
        <w:rPr>
          <w:rFonts w:hint="eastAsia" w:ascii="宋体" w:hAnsi="宋体"/>
          <w:sz w:val="24"/>
        </w:rPr>
        <w:t>（1）符合专业条件的供应商或者对招标文件作实质响应的供应商不足三家的；</w:t>
      </w:r>
    </w:p>
    <w:p>
      <w:pPr>
        <w:spacing w:line="400" w:lineRule="exact"/>
        <w:ind w:firstLine="480" w:firstLineChars="200"/>
        <w:rPr>
          <w:rFonts w:ascii="宋体" w:hAnsi="宋体"/>
          <w:sz w:val="24"/>
        </w:rPr>
      </w:pPr>
      <w:r>
        <w:rPr>
          <w:rFonts w:hint="eastAsia" w:ascii="宋体" w:hAnsi="宋体"/>
          <w:sz w:val="24"/>
        </w:rPr>
        <w:t>（2）出现影响采购公正的违法、违规行为的；</w:t>
      </w:r>
    </w:p>
    <w:p>
      <w:pPr>
        <w:spacing w:line="400" w:lineRule="exact"/>
        <w:ind w:firstLine="480" w:firstLineChars="200"/>
        <w:rPr>
          <w:rFonts w:ascii="宋体" w:hAnsi="宋体"/>
          <w:sz w:val="24"/>
        </w:rPr>
      </w:pPr>
      <w:r>
        <w:rPr>
          <w:rFonts w:hint="eastAsia" w:ascii="宋体" w:hAnsi="宋体"/>
          <w:sz w:val="24"/>
        </w:rPr>
        <w:t>（3）投标人的报价均超过了采购预算，采购人不能支付的；</w:t>
      </w:r>
    </w:p>
    <w:p>
      <w:pPr>
        <w:spacing w:line="400" w:lineRule="exact"/>
        <w:ind w:firstLine="480" w:firstLineChars="200"/>
        <w:rPr>
          <w:rFonts w:ascii="宋体" w:hAnsi="宋体"/>
          <w:sz w:val="24"/>
        </w:rPr>
      </w:pPr>
      <w:r>
        <w:rPr>
          <w:rFonts w:hint="eastAsia" w:ascii="宋体" w:hAnsi="宋体"/>
          <w:sz w:val="24"/>
        </w:rPr>
        <w:t>（4）因重大变故，采购任务取消的。</w:t>
      </w:r>
    </w:p>
    <w:p>
      <w:pPr>
        <w:spacing w:line="400" w:lineRule="exact"/>
        <w:ind w:firstLine="480" w:firstLineChars="200"/>
        <w:rPr>
          <w:rFonts w:ascii="宋体" w:hAnsi="宋体"/>
          <w:sz w:val="24"/>
        </w:rPr>
      </w:pPr>
      <w:r>
        <w:rPr>
          <w:rFonts w:hint="eastAsia" w:ascii="宋体" w:hAnsi="宋体"/>
          <w:sz w:val="24"/>
        </w:rPr>
        <w:t>废标后，采购代理机构应在四川政府采购网上公告，并公告废标的情形。投标人需要知晓导致废标情形的具体原因和理由的，可以通过书面形式询问招标采购单位。</w:t>
      </w:r>
    </w:p>
    <w:p>
      <w:pPr>
        <w:spacing w:line="400" w:lineRule="exact"/>
        <w:ind w:firstLine="480" w:firstLineChars="200"/>
        <w:rPr>
          <w:rFonts w:ascii="宋体" w:hAnsi="宋体"/>
          <w:sz w:val="24"/>
        </w:rPr>
      </w:pPr>
      <w:r>
        <w:rPr>
          <w:rFonts w:hint="eastAsia" w:ascii="宋体" w:hAnsi="宋体"/>
          <w:sz w:val="24"/>
        </w:rPr>
        <w:t>5.2对于评标过程中废标的采购项目，评标委员会应当对招标文件是否存在倾向性和歧视性、是否存在不合理条款进行论证，并出具书面论证意见。</w:t>
      </w:r>
    </w:p>
    <w:p>
      <w:pPr>
        <w:spacing w:line="400" w:lineRule="exact"/>
        <w:ind w:firstLine="480" w:firstLineChars="200"/>
        <w:rPr>
          <w:rFonts w:ascii="宋体" w:hAnsi="宋体"/>
          <w:sz w:val="24"/>
        </w:rPr>
      </w:pPr>
    </w:p>
    <w:p>
      <w:pPr>
        <w:pStyle w:val="4"/>
        <w:spacing w:line="400" w:lineRule="exact"/>
        <w:ind w:firstLine="470" w:firstLineChars="196"/>
        <w:rPr>
          <w:rFonts w:ascii="宋体" w:hAnsi="宋体" w:eastAsia="宋体"/>
          <w:sz w:val="24"/>
          <w:szCs w:val="24"/>
        </w:rPr>
      </w:pPr>
      <w:r>
        <w:rPr>
          <w:rFonts w:hint="eastAsia" w:ascii="宋体" w:hAnsi="宋体" w:eastAsia="宋体"/>
          <w:sz w:val="24"/>
          <w:szCs w:val="24"/>
        </w:rPr>
        <w:t>6.定标</w:t>
      </w:r>
      <w:bookmarkEnd w:id="168"/>
      <w:bookmarkStart w:id="169" w:name="_Toc217446061"/>
    </w:p>
    <w:p>
      <w:pPr>
        <w:spacing w:line="400" w:lineRule="exact"/>
        <w:ind w:firstLine="480" w:firstLineChars="200"/>
        <w:rPr>
          <w:rFonts w:ascii="宋体" w:hAnsi="宋体"/>
          <w:sz w:val="24"/>
        </w:rPr>
      </w:pPr>
      <w:r>
        <w:rPr>
          <w:rFonts w:hint="eastAsia" w:ascii="宋体" w:hAnsi="宋体"/>
          <w:sz w:val="24"/>
        </w:rPr>
        <w:t>6.1. 定标原则</w:t>
      </w:r>
      <w:bookmarkEnd w:id="169"/>
      <w:r>
        <w:rPr>
          <w:rFonts w:hint="eastAsia" w:ascii="宋体" w:hAnsi="宋体"/>
          <w:sz w:val="24"/>
        </w:rPr>
        <w:t>：本项目根据评标委员会推荐的中标候选供应商名单，按顺序确定中标供应商。</w:t>
      </w:r>
    </w:p>
    <w:p>
      <w:pPr>
        <w:spacing w:line="400" w:lineRule="exact"/>
        <w:ind w:firstLine="480" w:firstLineChars="200"/>
        <w:rPr>
          <w:rFonts w:ascii="宋体" w:hAnsi="宋体"/>
          <w:sz w:val="24"/>
        </w:rPr>
      </w:pPr>
      <w:bookmarkStart w:id="170" w:name="_Toc217446062"/>
      <w:r>
        <w:rPr>
          <w:rFonts w:hint="eastAsia" w:ascii="宋体" w:hAnsi="宋体"/>
          <w:sz w:val="24"/>
        </w:rPr>
        <w:t>6.2. 定标程序</w:t>
      </w:r>
      <w:bookmarkEnd w:id="170"/>
    </w:p>
    <w:p>
      <w:pPr>
        <w:spacing w:line="400" w:lineRule="exact"/>
        <w:ind w:firstLine="480" w:firstLineChars="200"/>
        <w:rPr>
          <w:rFonts w:ascii="宋体" w:hAnsi="宋体"/>
          <w:sz w:val="24"/>
        </w:rPr>
      </w:pPr>
      <w:r>
        <w:rPr>
          <w:rFonts w:hint="eastAsia" w:ascii="宋体" w:hAnsi="宋体"/>
          <w:sz w:val="24"/>
        </w:rPr>
        <w:t>6.2.1 评标委员会将评标情况写出书面报告，推荐中标候选供应商。</w:t>
      </w:r>
    </w:p>
    <w:p>
      <w:pPr>
        <w:spacing w:line="400" w:lineRule="exact"/>
        <w:ind w:firstLine="480" w:firstLineChars="200"/>
        <w:rPr>
          <w:rFonts w:ascii="宋体" w:hAnsi="宋体"/>
          <w:sz w:val="24"/>
        </w:rPr>
      </w:pPr>
      <w:r>
        <w:rPr>
          <w:rFonts w:hint="eastAsia" w:ascii="宋体" w:hAnsi="宋体"/>
          <w:sz w:val="24"/>
        </w:rPr>
        <w:t>6.2.2 采购代理机构在评标结束后2个工作日内将评标报告送采购人。</w:t>
      </w:r>
    </w:p>
    <w:p>
      <w:pPr>
        <w:spacing w:line="400" w:lineRule="exact"/>
        <w:ind w:firstLine="480" w:firstLineChars="200"/>
        <w:rPr>
          <w:rFonts w:ascii="宋体" w:hAnsi="宋体"/>
          <w:sz w:val="24"/>
        </w:rPr>
      </w:pPr>
      <w:r>
        <w:rPr>
          <w:rFonts w:hint="eastAsia" w:ascii="宋体" w:hAnsi="宋体"/>
          <w:sz w:val="24"/>
        </w:rPr>
        <w:t>6.2.3 采购人在收到评标报告后5个工作日内，按照评标报告中推荐的中标候选供应商顺序确定中标供应商。中标候选供应商并列的，由采购人自主采取公平、择优的方式选择中标供应商。</w:t>
      </w:r>
    </w:p>
    <w:p>
      <w:pPr>
        <w:spacing w:line="400" w:lineRule="exact"/>
        <w:ind w:firstLine="480" w:firstLineChars="200"/>
        <w:rPr>
          <w:rFonts w:ascii="宋体" w:hAnsi="宋体"/>
          <w:sz w:val="24"/>
        </w:rPr>
      </w:pPr>
      <w:r>
        <w:rPr>
          <w:rFonts w:hint="eastAsia" w:ascii="宋体" w:hAnsi="宋体"/>
          <w:sz w:val="24"/>
        </w:rPr>
        <w:t>6.2.4 根据采购人确定的中标供应商，采购代理机构在四川政府采购网上发布中标公告，并自采购人确定中标之日起2个工作日内向中标供应商发出中标通知书。</w:t>
      </w:r>
    </w:p>
    <w:p>
      <w:pPr>
        <w:spacing w:line="400" w:lineRule="exact"/>
        <w:ind w:firstLine="480" w:firstLineChars="200"/>
        <w:rPr>
          <w:rFonts w:ascii="宋体" w:hAnsi="宋体"/>
          <w:sz w:val="24"/>
        </w:rPr>
      </w:pPr>
      <w:r>
        <w:rPr>
          <w:rFonts w:hint="eastAsia" w:ascii="宋体" w:hAnsi="宋体"/>
          <w:sz w:val="24"/>
        </w:rPr>
        <w:t>6.2.5 招标采购单位不退回投标人投标文件和其他投标资料。</w:t>
      </w:r>
    </w:p>
    <w:bookmarkEnd w:id="166"/>
    <w:p>
      <w:pPr>
        <w:pStyle w:val="4"/>
        <w:spacing w:line="400" w:lineRule="exact"/>
        <w:ind w:firstLine="480" w:firstLineChars="200"/>
        <w:rPr>
          <w:rFonts w:ascii="宋体" w:hAnsi="宋体" w:eastAsia="宋体"/>
          <w:bCs w:val="0"/>
          <w:sz w:val="24"/>
          <w:szCs w:val="24"/>
        </w:rPr>
      </w:pPr>
      <w:r>
        <w:rPr>
          <w:rFonts w:hint="eastAsia" w:ascii="宋体" w:hAnsi="宋体" w:eastAsia="宋体"/>
          <w:bCs w:val="0"/>
          <w:sz w:val="24"/>
          <w:szCs w:val="24"/>
        </w:rPr>
        <w:t>8.评标专家在政府采购活动中应当遵守以下工作纪律：</w:t>
      </w:r>
    </w:p>
    <w:p>
      <w:pPr>
        <w:spacing w:line="400" w:lineRule="exact"/>
        <w:ind w:firstLine="480" w:firstLineChars="200"/>
        <w:rPr>
          <w:rFonts w:ascii="宋体" w:hAnsi="宋体"/>
          <w:sz w:val="24"/>
        </w:rPr>
      </w:pPr>
      <w:r>
        <w:rPr>
          <w:rFonts w:hint="eastAsia" w:ascii="宋体" w:hAnsi="宋体"/>
          <w:sz w:val="24"/>
        </w:rPr>
        <w:t>（一）遵行《政府采购法》第十二条和《政府采购法实施条例》第九条及财政部关于回避的规定。</w:t>
      </w:r>
    </w:p>
    <w:p>
      <w:pPr>
        <w:spacing w:line="400" w:lineRule="exact"/>
        <w:ind w:firstLine="480" w:firstLineChars="200"/>
        <w:rPr>
          <w:rFonts w:ascii="宋体" w:hAnsi="宋体"/>
          <w:sz w:val="24"/>
        </w:rPr>
      </w:pPr>
      <w:r>
        <w:rPr>
          <w:rFonts w:hint="eastAsia" w:ascii="宋体" w:hAnsi="宋体"/>
          <w:sz w:val="24"/>
        </w:rPr>
        <w:t>（二）评标前，应当将通讯工具或者相关电子设备交由招标采购单位统一保管。</w:t>
      </w:r>
    </w:p>
    <w:p>
      <w:pPr>
        <w:spacing w:line="400" w:lineRule="exact"/>
        <w:ind w:firstLine="480" w:firstLineChars="200"/>
        <w:rPr>
          <w:rFonts w:ascii="宋体" w:hAnsi="宋体"/>
          <w:sz w:val="24"/>
        </w:rPr>
      </w:pPr>
      <w:r>
        <w:rPr>
          <w:rFonts w:hint="eastAsia" w:ascii="宋体" w:hAnsi="宋体"/>
          <w:sz w:val="24"/>
        </w:rPr>
        <w:t>（三）评标过程中，不得与外界联系，因发生不可预见情况，确实需要与外界联系的，应当在监督人员监督之下办理。</w:t>
      </w:r>
    </w:p>
    <w:p>
      <w:pPr>
        <w:spacing w:line="400" w:lineRule="exact"/>
        <w:ind w:firstLine="480" w:firstLineChars="200"/>
        <w:rPr>
          <w:rFonts w:ascii="宋体" w:hAnsi="宋体"/>
          <w:sz w:val="24"/>
        </w:rPr>
      </w:pPr>
      <w:r>
        <w:rPr>
          <w:rFonts w:hint="eastAsia" w:ascii="宋体" w:hAnsi="宋体"/>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pPr>
        <w:spacing w:line="400" w:lineRule="exact"/>
        <w:ind w:firstLine="480" w:firstLineChars="200"/>
        <w:rPr>
          <w:rFonts w:ascii="宋体" w:hAnsi="宋体"/>
          <w:sz w:val="24"/>
        </w:rPr>
      </w:pPr>
      <w:r>
        <w:rPr>
          <w:rFonts w:hint="eastAsia" w:ascii="宋体" w:hAnsi="宋体"/>
          <w:sz w:val="24"/>
        </w:rPr>
        <w:t>（五）在评标过程中和评标结束后，不得记录、复制或带走任何评标资料，除因规定的义务外，不得向外界透露评标内容。</w:t>
      </w:r>
    </w:p>
    <w:p>
      <w:pPr>
        <w:spacing w:line="400" w:lineRule="exact"/>
        <w:ind w:firstLine="480" w:firstLineChars="200"/>
        <w:rPr>
          <w:rFonts w:ascii="宋体" w:hAnsi="宋体"/>
          <w:sz w:val="24"/>
        </w:rPr>
      </w:pPr>
      <w:r>
        <w:rPr>
          <w:rFonts w:hint="eastAsia" w:ascii="宋体" w:hAnsi="宋体"/>
          <w:sz w:val="24"/>
        </w:rPr>
        <w:t>（六）服从评标现场招标采购单位的现场秩序管理，接受评标现场监督人员的合法监督。</w:t>
      </w:r>
    </w:p>
    <w:p>
      <w:pPr>
        <w:spacing w:line="400" w:lineRule="exact"/>
        <w:ind w:firstLine="480" w:firstLineChars="200"/>
        <w:rPr>
          <w:rFonts w:ascii="宋体" w:hAnsi="宋体"/>
          <w:sz w:val="24"/>
        </w:rPr>
      </w:pPr>
      <w:r>
        <w:rPr>
          <w:rFonts w:hint="eastAsia" w:ascii="宋体" w:hAnsi="宋体"/>
          <w:sz w:val="24"/>
        </w:rPr>
        <w:t>（七）遵守有关廉洁自律规定，不得私下接触供应商，不得收受供应商及有关业务单位和个人的财物或好处，不得接受采购组织单位的请托。</w:t>
      </w:r>
    </w:p>
    <w:p>
      <w:pPr>
        <w:pStyle w:val="3"/>
        <w:spacing w:line="400" w:lineRule="exact"/>
        <w:jc w:val="center"/>
        <w:rPr>
          <w:rFonts w:ascii="宋体" w:hAnsi="宋体"/>
        </w:rPr>
      </w:pPr>
      <w:bookmarkStart w:id="171" w:name="_Toc23042"/>
      <w:r>
        <w:rPr>
          <w:rFonts w:hint="eastAsia" w:ascii="宋体" w:hAnsi="宋体"/>
          <w:sz w:val="36"/>
          <w:szCs w:val="36"/>
        </w:rPr>
        <w:br w:type="page"/>
      </w:r>
      <w:bookmarkEnd w:id="171"/>
      <w:bookmarkStart w:id="172" w:name="_Toc81904264"/>
      <w:bookmarkStart w:id="173" w:name="_Toc4869"/>
      <w:r>
        <w:rPr>
          <w:rFonts w:hint="eastAsia" w:ascii="宋体" w:hAnsi="宋体"/>
          <w:sz w:val="36"/>
          <w:szCs w:val="36"/>
        </w:rPr>
        <w:t>第八章</w:t>
      </w:r>
      <w:r>
        <w:rPr>
          <w:rFonts w:ascii="宋体" w:hAnsi="宋体"/>
          <w:sz w:val="36"/>
          <w:szCs w:val="36"/>
        </w:rPr>
        <w:t xml:space="preserve">  </w:t>
      </w:r>
      <w:r>
        <w:rPr>
          <w:rFonts w:hint="eastAsia" w:ascii="宋体" w:hAnsi="宋体"/>
          <w:sz w:val="36"/>
          <w:szCs w:val="36"/>
        </w:rPr>
        <w:t>政府采购合同</w:t>
      </w:r>
      <w:bookmarkEnd w:id="172"/>
      <w:r>
        <w:rPr>
          <w:rFonts w:hint="eastAsia" w:ascii="宋体" w:hAnsi="宋体"/>
          <w:sz w:val="36"/>
          <w:szCs w:val="36"/>
        </w:rPr>
        <w:t>（以最终双方签订内容为准）</w:t>
      </w:r>
      <w:bookmarkEnd w:id="173"/>
    </w:p>
    <w:p>
      <w:pPr>
        <w:spacing w:line="360" w:lineRule="exact"/>
        <w:ind w:firstLine="480" w:firstLineChars="200"/>
        <w:rPr>
          <w:rFonts w:ascii="宋体" w:hAnsi="宋体"/>
          <w:sz w:val="24"/>
        </w:rPr>
      </w:pPr>
      <w:r>
        <w:rPr>
          <w:rFonts w:hint="eastAsia" w:ascii="宋体" w:hAnsi="宋体"/>
          <w:sz w:val="24"/>
        </w:rPr>
        <w:t>合同编号：</w:t>
      </w:r>
      <w:r>
        <w:rPr>
          <w:rFonts w:hint="eastAsia" w:ascii="宋体" w:hAnsi="宋体"/>
          <w:szCs w:val="21"/>
        </w:rPr>
        <w:t>XXXX。</w:t>
      </w:r>
    </w:p>
    <w:p>
      <w:pPr>
        <w:spacing w:line="360" w:lineRule="exact"/>
        <w:ind w:firstLine="480" w:firstLineChars="200"/>
        <w:rPr>
          <w:rFonts w:ascii="宋体" w:hAnsi="宋体"/>
          <w:sz w:val="24"/>
        </w:rPr>
      </w:pPr>
      <w:r>
        <w:rPr>
          <w:rFonts w:hint="eastAsia" w:ascii="宋体" w:hAnsi="宋体"/>
          <w:sz w:val="24"/>
        </w:rPr>
        <w:t>签订地点：</w:t>
      </w:r>
      <w:r>
        <w:rPr>
          <w:rFonts w:hint="eastAsia" w:ascii="宋体" w:hAnsi="宋体"/>
          <w:szCs w:val="21"/>
        </w:rPr>
        <w:t>XXXX。</w:t>
      </w:r>
    </w:p>
    <w:p>
      <w:pPr>
        <w:spacing w:line="360" w:lineRule="exact"/>
        <w:ind w:firstLine="480" w:firstLineChars="200"/>
        <w:rPr>
          <w:rFonts w:ascii="宋体" w:hAnsi="宋体"/>
          <w:sz w:val="24"/>
        </w:rPr>
      </w:pPr>
      <w:r>
        <w:rPr>
          <w:rFonts w:hint="eastAsia" w:ascii="宋体" w:hAnsi="宋体"/>
          <w:sz w:val="24"/>
        </w:rPr>
        <w:t>签订时间：</w:t>
      </w:r>
      <w:r>
        <w:rPr>
          <w:rFonts w:hint="eastAsia" w:ascii="宋体" w:hAnsi="宋体"/>
          <w:szCs w:val="21"/>
        </w:rPr>
        <w:t>XXXX</w:t>
      </w:r>
      <w:r>
        <w:rPr>
          <w:rFonts w:hint="eastAsia" w:ascii="宋体" w:hAnsi="宋体"/>
          <w:sz w:val="24"/>
        </w:rPr>
        <w:t>年</w:t>
      </w:r>
      <w:r>
        <w:rPr>
          <w:rFonts w:hint="eastAsia" w:ascii="宋体" w:hAnsi="宋体"/>
          <w:szCs w:val="21"/>
        </w:rPr>
        <w:t>XX</w:t>
      </w:r>
      <w:r>
        <w:rPr>
          <w:rFonts w:hint="eastAsia" w:ascii="宋体" w:hAnsi="宋体"/>
          <w:sz w:val="24"/>
        </w:rPr>
        <w:t>月</w:t>
      </w:r>
      <w:r>
        <w:rPr>
          <w:rFonts w:hint="eastAsia" w:ascii="宋体" w:hAnsi="宋体"/>
          <w:szCs w:val="21"/>
        </w:rPr>
        <w:t>XX</w:t>
      </w:r>
      <w:r>
        <w:rPr>
          <w:rFonts w:hint="eastAsia" w:ascii="宋体" w:hAnsi="宋体"/>
          <w:sz w:val="24"/>
        </w:rPr>
        <w:t>日。</w:t>
      </w:r>
    </w:p>
    <w:p>
      <w:pPr>
        <w:spacing w:line="360" w:lineRule="exact"/>
        <w:ind w:firstLine="480" w:firstLineChars="200"/>
        <w:rPr>
          <w:rFonts w:ascii="宋体" w:hAnsi="宋体"/>
          <w:sz w:val="24"/>
        </w:rPr>
      </w:pPr>
      <w:r>
        <w:rPr>
          <w:rFonts w:hint="eastAsia" w:ascii="宋体" w:hAnsi="宋体"/>
          <w:sz w:val="24"/>
        </w:rPr>
        <w:t>采购人（甲方）：</w:t>
      </w:r>
    </w:p>
    <w:p>
      <w:pPr>
        <w:spacing w:line="360" w:lineRule="exact"/>
        <w:ind w:firstLine="480" w:firstLineChars="200"/>
        <w:rPr>
          <w:rFonts w:ascii="宋体" w:hAnsi="宋体"/>
          <w:sz w:val="24"/>
        </w:rPr>
      </w:pPr>
      <w:r>
        <w:rPr>
          <w:rFonts w:hint="eastAsia" w:ascii="宋体" w:hAnsi="宋体"/>
          <w:sz w:val="24"/>
        </w:rPr>
        <w:t>供应商（乙</w:t>
      </w:r>
      <w:r>
        <w:rPr>
          <w:rFonts w:ascii="宋体" w:hAnsi="宋体"/>
          <w:sz w:val="24"/>
        </w:rPr>
        <w:t>方</w:t>
      </w:r>
      <w:r>
        <w:rPr>
          <w:rFonts w:hint="eastAsia" w:ascii="宋体" w:hAnsi="宋体"/>
          <w:sz w:val="24"/>
        </w:rPr>
        <w:t>）</w:t>
      </w:r>
      <w:r>
        <w:rPr>
          <w:rFonts w:ascii="宋体" w:hAnsi="宋体"/>
          <w:sz w:val="24"/>
        </w:rPr>
        <w:t>：</w:t>
      </w:r>
    </w:p>
    <w:p>
      <w:pPr>
        <w:pStyle w:val="55"/>
        <w:spacing w:line="360" w:lineRule="exact"/>
        <w:ind w:firstLine="480"/>
        <w:rPr>
          <w:rFonts w:ascii="宋体" w:hAnsi="宋体"/>
        </w:rPr>
      </w:pPr>
      <w:r>
        <w:rPr>
          <w:rFonts w:hint="eastAsia" w:ascii="宋体" w:hAnsi="宋体"/>
        </w:rPr>
        <w:t>根据《中华人民共和国政府采购法》、《中华人民共和国民法典》及</w:t>
      </w:r>
      <w:r>
        <w:rPr>
          <w:rFonts w:hint="eastAsia" w:ascii="宋体" w:hAnsi="宋体"/>
          <w:szCs w:val="21"/>
        </w:rPr>
        <w:t>XXXX</w:t>
      </w:r>
      <w:r>
        <w:rPr>
          <w:rFonts w:hint="eastAsia" w:ascii="宋体" w:hAnsi="宋体"/>
        </w:rPr>
        <w:t>采购项目（项目编号：</w:t>
      </w:r>
      <w:r>
        <w:rPr>
          <w:rFonts w:hint="eastAsia" w:ascii="宋体" w:hAnsi="宋体"/>
          <w:szCs w:val="21"/>
        </w:rPr>
        <w:t>XX</w:t>
      </w:r>
      <w:r>
        <w:rPr>
          <w:rFonts w:hint="eastAsia" w:ascii="宋体" w:hAnsi="宋体"/>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pPr>
        <w:pStyle w:val="4"/>
        <w:spacing w:line="360" w:lineRule="exact"/>
        <w:ind w:firstLine="480" w:firstLineChars="200"/>
        <w:rPr>
          <w:rFonts w:ascii="宋体" w:hAnsi="宋体" w:eastAsia="宋体"/>
          <w:sz w:val="24"/>
          <w:szCs w:val="24"/>
        </w:rPr>
      </w:pPr>
      <w:bookmarkStart w:id="174" w:name="_Toc217446107"/>
      <w:r>
        <w:rPr>
          <w:rFonts w:hint="eastAsia" w:ascii="宋体" w:hAnsi="宋体" w:eastAsia="宋体"/>
          <w:sz w:val="24"/>
          <w:szCs w:val="24"/>
        </w:rPr>
        <w:t>一、合同货物</w:t>
      </w:r>
      <w:bookmarkEnd w:id="174"/>
    </w:p>
    <w:tbl>
      <w:tblPr>
        <w:tblStyle w:val="26"/>
        <w:tblW w:w="9535" w:type="dxa"/>
        <w:tblInd w:w="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63"/>
        <w:gridCol w:w="1109"/>
        <w:gridCol w:w="760"/>
        <w:gridCol w:w="950"/>
        <w:gridCol w:w="1140"/>
        <w:gridCol w:w="1251"/>
        <w:gridCol w:w="1331"/>
        <w:gridCol w:w="133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2" w:hRule="atLeast"/>
        </w:trPr>
        <w:tc>
          <w:tcPr>
            <w:tcW w:w="1663" w:type="dxa"/>
            <w:tcBorders>
              <w:top w:val="single" w:color="auto" w:sz="4" w:space="0"/>
              <w:left w:val="single" w:color="auto" w:sz="4" w:space="0"/>
              <w:bottom w:val="single" w:color="auto" w:sz="4" w:space="0"/>
              <w:right w:val="single" w:color="auto" w:sz="4" w:space="0"/>
            </w:tcBorders>
            <w:vAlign w:val="center"/>
          </w:tcPr>
          <w:p>
            <w:pPr>
              <w:spacing w:line="360" w:lineRule="exact"/>
              <w:ind w:firstLine="240" w:firstLineChars="100"/>
              <w:rPr>
                <w:rFonts w:ascii="宋体" w:hAnsi="宋体"/>
                <w:sz w:val="24"/>
              </w:rPr>
            </w:pPr>
            <w:r>
              <w:rPr>
                <w:rFonts w:hint="eastAsia" w:ascii="宋体" w:hAnsi="宋体" w:cs="Arial"/>
                <w:sz w:val="24"/>
              </w:rPr>
              <w:t>货物品名</w:t>
            </w:r>
          </w:p>
        </w:tc>
        <w:tc>
          <w:tcPr>
            <w:tcW w:w="110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Arial"/>
                <w:sz w:val="24"/>
              </w:rPr>
            </w:pPr>
            <w:r>
              <w:rPr>
                <w:rFonts w:hint="eastAsia" w:ascii="宋体" w:hAnsi="宋体" w:cs="Arial"/>
                <w:sz w:val="24"/>
              </w:rPr>
              <w:t>规格</w:t>
            </w:r>
          </w:p>
          <w:p>
            <w:pPr>
              <w:spacing w:line="360" w:lineRule="exact"/>
              <w:jc w:val="center"/>
              <w:rPr>
                <w:rFonts w:ascii="宋体" w:hAnsi="宋体"/>
                <w:sz w:val="24"/>
              </w:rPr>
            </w:pPr>
            <w:r>
              <w:rPr>
                <w:rFonts w:hint="eastAsia" w:ascii="宋体" w:hAnsi="宋体" w:cs="Arial"/>
                <w:sz w:val="24"/>
              </w:rPr>
              <w:t>型号</w:t>
            </w:r>
          </w:p>
        </w:tc>
        <w:tc>
          <w:tcPr>
            <w:tcW w:w="760"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sz w:val="24"/>
              </w:rPr>
            </w:pPr>
            <w:r>
              <w:rPr>
                <w:rFonts w:hint="eastAsia" w:ascii="宋体" w:hAnsi="宋体" w:cs="Arial"/>
                <w:sz w:val="24"/>
              </w:rPr>
              <w:t>单位</w:t>
            </w:r>
          </w:p>
        </w:tc>
        <w:tc>
          <w:tcPr>
            <w:tcW w:w="950" w:type="dxa"/>
            <w:tcBorders>
              <w:top w:val="single" w:color="auto" w:sz="4" w:space="0"/>
              <w:left w:val="single" w:color="auto" w:sz="4" w:space="0"/>
              <w:bottom w:val="single" w:color="auto" w:sz="4" w:space="0"/>
              <w:right w:val="single" w:color="auto" w:sz="4" w:space="0"/>
            </w:tcBorders>
            <w:vAlign w:val="center"/>
          </w:tcPr>
          <w:p>
            <w:pPr>
              <w:spacing w:line="360" w:lineRule="exact"/>
              <w:ind w:firstLine="120" w:firstLineChars="50"/>
              <w:rPr>
                <w:rFonts w:ascii="宋体" w:hAnsi="宋体"/>
                <w:sz w:val="24"/>
              </w:rPr>
            </w:pPr>
            <w:r>
              <w:rPr>
                <w:rFonts w:hint="eastAsia" w:ascii="宋体" w:hAnsi="宋体" w:cs="Arial"/>
                <w:sz w:val="24"/>
              </w:rPr>
              <w:t>数量</w:t>
            </w:r>
          </w:p>
        </w:tc>
        <w:tc>
          <w:tcPr>
            <w:tcW w:w="1140" w:type="dxa"/>
            <w:tcBorders>
              <w:top w:val="single" w:color="auto" w:sz="4" w:space="0"/>
              <w:left w:val="single" w:color="auto" w:sz="4" w:space="0"/>
              <w:bottom w:val="single" w:color="auto" w:sz="4" w:space="0"/>
              <w:right w:val="single" w:color="auto" w:sz="4" w:space="0"/>
            </w:tcBorders>
            <w:vAlign w:val="center"/>
          </w:tcPr>
          <w:p>
            <w:pPr>
              <w:spacing w:line="360" w:lineRule="exact"/>
              <w:ind w:firstLine="120" w:firstLineChars="50"/>
              <w:jc w:val="center"/>
              <w:rPr>
                <w:rFonts w:ascii="宋体" w:hAnsi="宋体" w:cs="Arial"/>
                <w:sz w:val="24"/>
              </w:rPr>
            </w:pPr>
            <w:r>
              <w:rPr>
                <w:rFonts w:hint="eastAsia" w:ascii="宋体" w:hAnsi="宋体" w:cs="Arial"/>
                <w:sz w:val="24"/>
              </w:rPr>
              <w:t>单价</w:t>
            </w:r>
          </w:p>
          <w:p>
            <w:pPr>
              <w:spacing w:line="360" w:lineRule="exact"/>
              <w:jc w:val="center"/>
              <w:rPr>
                <w:rFonts w:ascii="宋体" w:hAnsi="宋体" w:cs="Arial"/>
                <w:sz w:val="24"/>
              </w:rPr>
            </w:pPr>
            <w:r>
              <w:rPr>
                <w:rFonts w:hint="eastAsia" w:ascii="宋体" w:hAnsi="宋体" w:cs="Arial"/>
                <w:sz w:val="24"/>
              </w:rPr>
              <w:t>（万元）</w:t>
            </w:r>
          </w:p>
        </w:tc>
        <w:tc>
          <w:tcPr>
            <w:tcW w:w="1251" w:type="dxa"/>
            <w:tcBorders>
              <w:top w:val="single" w:color="auto" w:sz="4" w:space="0"/>
              <w:left w:val="single" w:color="auto" w:sz="4" w:space="0"/>
              <w:bottom w:val="single" w:color="auto" w:sz="4" w:space="0"/>
              <w:right w:val="single" w:color="auto" w:sz="4" w:space="0"/>
            </w:tcBorders>
            <w:vAlign w:val="center"/>
          </w:tcPr>
          <w:p>
            <w:pPr>
              <w:spacing w:line="360" w:lineRule="exact"/>
              <w:ind w:firstLine="240" w:firstLineChars="100"/>
              <w:rPr>
                <w:rFonts w:ascii="宋体" w:hAnsi="宋体" w:cs="Arial"/>
                <w:sz w:val="24"/>
              </w:rPr>
            </w:pPr>
            <w:r>
              <w:rPr>
                <w:rFonts w:hint="eastAsia" w:ascii="宋体" w:hAnsi="宋体" w:cs="Arial"/>
                <w:sz w:val="24"/>
              </w:rPr>
              <w:t>总价</w:t>
            </w:r>
          </w:p>
          <w:p>
            <w:pPr>
              <w:spacing w:line="360" w:lineRule="exact"/>
              <w:rPr>
                <w:rFonts w:ascii="宋体" w:hAnsi="宋体"/>
                <w:sz w:val="24"/>
              </w:rPr>
            </w:pPr>
            <w:r>
              <w:rPr>
                <w:rFonts w:hint="eastAsia" w:ascii="宋体" w:hAnsi="宋体" w:cs="Arial"/>
                <w:sz w:val="24"/>
              </w:rPr>
              <w:t>（万元）</w:t>
            </w:r>
          </w:p>
        </w:tc>
        <w:tc>
          <w:tcPr>
            <w:tcW w:w="133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Arial"/>
                <w:sz w:val="24"/>
              </w:rPr>
            </w:pPr>
            <w:r>
              <w:rPr>
                <w:rFonts w:hint="eastAsia" w:ascii="宋体" w:hAnsi="宋体" w:cs="Arial"/>
                <w:sz w:val="24"/>
              </w:rPr>
              <w:t>随机</w:t>
            </w:r>
          </w:p>
          <w:p>
            <w:pPr>
              <w:spacing w:line="360" w:lineRule="exact"/>
              <w:jc w:val="center"/>
              <w:rPr>
                <w:rFonts w:ascii="宋体" w:hAnsi="宋体"/>
                <w:sz w:val="24"/>
              </w:rPr>
            </w:pPr>
            <w:r>
              <w:rPr>
                <w:rFonts w:hint="eastAsia" w:ascii="宋体" w:hAnsi="宋体" w:cs="Arial"/>
                <w:sz w:val="24"/>
              </w:rPr>
              <w:t>配件</w:t>
            </w:r>
          </w:p>
        </w:tc>
        <w:tc>
          <w:tcPr>
            <w:tcW w:w="1331" w:type="dxa"/>
            <w:tcBorders>
              <w:top w:val="single" w:color="auto" w:sz="4" w:space="0"/>
              <w:left w:val="single" w:color="auto" w:sz="4" w:space="0"/>
              <w:bottom w:val="single" w:color="auto" w:sz="4" w:space="0"/>
              <w:right w:val="single" w:color="auto" w:sz="4" w:space="0"/>
            </w:tcBorders>
            <w:vAlign w:val="center"/>
          </w:tcPr>
          <w:p>
            <w:pPr>
              <w:spacing w:line="360" w:lineRule="exact"/>
              <w:ind w:firstLine="120" w:firstLineChars="50"/>
              <w:rPr>
                <w:rFonts w:ascii="宋体" w:hAnsi="宋体"/>
                <w:sz w:val="24"/>
              </w:rPr>
            </w:pPr>
            <w:r>
              <w:rPr>
                <w:rFonts w:hint="eastAsia" w:ascii="宋体" w:hAnsi="宋体" w:cs="Arial"/>
                <w:sz w:val="24"/>
              </w:rPr>
              <w:t>交货期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1" w:hRule="atLeast"/>
        </w:trPr>
        <w:tc>
          <w:tcPr>
            <w:tcW w:w="166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p>
        </w:tc>
        <w:tc>
          <w:tcPr>
            <w:tcW w:w="110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p>
        </w:tc>
        <w:tc>
          <w:tcPr>
            <w:tcW w:w="7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p>
        </w:tc>
        <w:tc>
          <w:tcPr>
            <w:tcW w:w="95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p>
        </w:tc>
        <w:tc>
          <w:tcPr>
            <w:tcW w:w="114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p>
        </w:tc>
        <w:tc>
          <w:tcPr>
            <w:tcW w:w="125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p>
        </w:tc>
        <w:tc>
          <w:tcPr>
            <w:tcW w:w="133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p>
        </w:tc>
        <w:tc>
          <w:tcPr>
            <w:tcW w:w="133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166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p>
        </w:tc>
        <w:tc>
          <w:tcPr>
            <w:tcW w:w="110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p>
        </w:tc>
        <w:tc>
          <w:tcPr>
            <w:tcW w:w="7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p>
        </w:tc>
        <w:tc>
          <w:tcPr>
            <w:tcW w:w="95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p>
        </w:tc>
        <w:tc>
          <w:tcPr>
            <w:tcW w:w="114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p>
        </w:tc>
        <w:tc>
          <w:tcPr>
            <w:tcW w:w="125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p>
        </w:tc>
        <w:tc>
          <w:tcPr>
            <w:tcW w:w="133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p>
        </w:tc>
        <w:tc>
          <w:tcPr>
            <w:tcW w:w="133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sz w:val="24"/>
              </w:rPr>
            </w:pPr>
          </w:p>
        </w:tc>
      </w:tr>
    </w:tbl>
    <w:p>
      <w:pPr>
        <w:pStyle w:val="4"/>
        <w:spacing w:line="360" w:lineRule="exact"/>
        <w:ind w:firstLine="480" w:firstLineChars="200"/>
        <w:rPr>
          <w:rFonts w:ascii="宋体" w:hAnsi="宋体" w:eastAsia="宋体"/>
          <w:sz w:val="24"/>
          <w:szCs w:val="24"/>
        </w:rPr>
      </w:pPr>
      <w:bookmarkStart w:id="175" w:name="_Toc217446108"/>
      <w:r>
        <w:rPr>
          <w:rFonts w:hint="eastAsia" w:ascii="宋体" w:hAnsi="宋体" w:eastAsia="宋体"/>
          <w:sz w:val="24"/>
          <w:szCs w:val="24"/>
        </w:rPr>
        <w:t>二、合同总价</w:t>
      </w:r>
      <w:bookmarkEnd w:id="175"/>
    </w:p>
    <w:p>
      <w:pPr>
        <w:pStyle w:val="7"/>
        <w:spacing w:line="360" w:lineRule="exact"/>
        <w:ind w:firstLine="420" w:firstLineChars="175"/>
        <w:rPr>
          <w:rFonts w:ascii="宋体" w:hAnsi="宋体"/>
          <w:sz w:val="24"/>
        </w:rPr>
      </w:pPr>
      <w:r>
        <w:rPr>
          <w:rFonts w:hint="eastAsia" w:ascii="宋体" w:hAnsi="宋体"/>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pPr>
        <w:pStyle w:val="4"/>
        <w:spacing w:line="360" w:lineRule="exact"/>
        <w:ind w:firstLine="480" w:firstLineChars="200"/>
        <w:rPr>
          <w:rFonts w:ascii="宋体" w:hAnsi="宋体" w:eastAsia="宋体"/>
          <w:sz w:val="24"/>
          <w:szCs w:val="24"/>
        </w:rPr>
      </w:pPr>
      <w:bookmarkStart w:id="176" w:name="_Toc217446109"/>
      <w:r>
        <w:rPr>
          <w:rFonts w:hint="eastAsia" w:ascii="宋体" w:hAnsi="宋体" w:eastAsia="宋体"/>
          <w:sz w:val="24"/>
          <w:szCs w:val="24"/>
        </w:rPr>
        <w:t>三、质量要求</w:t>
      </w:r>
      <w:bookmarkEnd w:id="176"/>
    </w:p>
    <w:p>
      <w:pPr>
        <w:pStyle w:val="55"/>
        <w:spacing w:line="360" w:lineRule="exact"/>
        <w:ind w:firstLine="480"/>
        <w:rPr>
          <w:rFonts w:ascii="宋体" w:hAnsi="宋体"/>
        </w:rPr>
      </w:pPr>
      <w:r>
        <w:rPr>
          <w:rFonts w:hint="eastAsia" w:ascii="宋体" w:hAnsi="宋体"/>
        </w:rPr>
        <w:t>1、乙方须提供全新的货物（含零部件、配件等），表面无划伤、无碰撞痕迹，且权属清楚，不得侵害他人的知识产权。</w:t>
      </w:r>
    </w:p>
    <w:p>
      <w:pPr>
        <w:pStyle w:val="55"/>
        <w:spacing w:line="360" w:lineRule="exact"/>
        <w:ind w:firstLine="480"/>
        <w:rPr>
          <w:rFonts w:ascii="宋体" w:hAnsi="宋体"/>
        </w:rPr>
      </w:pPr>
      <w:r>
        <w:rPr>
          <w:rFonts w:hint="eastAsia" w:ascii="宋体" w:hAnsi="宋体"/>
        </w:rPr>
        <w:t>2、货物必须符合或优于国家（行业）标准，以及本项目招标文件的质量要求和技术指标与出厂标准。</w:t>
      </w:r>
    </w:p>
    <w:p>
      <w:pPr>
        <w:pStyle w:val="55"/>
        <w:spacing w:line="360" w:lineRule="exact"/>
        <w:ind w:firstLine="480"/>
        <w:rPr>
          <w:rFonts w:ascii="宋体" w:hAnsi="宋体"/>
        </w:rPr>
      </w:pPr>
      <w:r>
        <w:rPr>
          <w:rFonts w:hint="eastAsia" w:ascii="宋体" w:hAnsi="宋体"/>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pPr>
        <w:pStyle w:val="55"/>
        <w:spacing w:line="360" w:lineRule="exact"/>
        <w:ind w:firstLine="480"/>
        <w:rPr>
          <w:rFonts w:ascii="宋体" w:hAnsi="宋体"/>
        </w:rPr>
      </w:pPr>
      <w:r>
        <w:rPr>
          <w:rFonts w:hint="eastAsia" w:ascii="宋体" w:hAnsi="宋体"/>
        </w:rPr>
        <w:t>4、货物制造质量出现问题，乙方应负责三包（包修、包换、包退），费用由乙方负担，甲方有权到乙方生产场地检查货物质量和生产进度。</w:t>
      </w:r>
    </w:p>
    <w:p>
      <w:pPr>
        <w:pStyle w:val="55"/>
        <w:spacing w:line="360" w:lineRule="exact"/>
        <w:ind w:firstLine="480"/>
        <w:rPr>
          <w:rFonts w:ascii="宋体" w:hAnsi="宋体"/>
        </w:rPr>
      </w:pPr>
      <w:r>
        <w:rPr>
          <w:rFonts w:hint="eastAsia" w:ascii="宋体" w:hAnsi="宋体"/>
        </w:rPr>
        <w:t>5、货到现场后由于甲方保管不当造成的质量问题，乙方亦应负责修理，但费用由甲方负担。</w:t>
      </w:r>
    </w:p>
    <w:p>
      <w:pPr>
        <w:pStyle w:val="4"/>
        <w:spacing w:line="360" w:lineRule="exact"/>
        <w:ind w:firstLine="480" w:firstLineChars="200"/>
        <w:rPr>
          <w:rFonts w:ascii="宋体" w:hAnsi="宋体" w:eastAsia="宋体"/>
          <w:sz w:val="24"/>
          <w:szCs w:val="24"/>
        </w:rPr>
      </w:pPr>
      <w:bookmarkStart w:id="177" w:name="_Toc217446110"/>
      <w:r>
        <w:rPr>
          <w:rFonts w:hint="eastAsia" w:ascii="宋体" w:hAnsi="宋体" w:eastAsia="宋体"/>
          <w:sz w:val="24"/>
          <w:szCs w:val="24"/>
        </w:rPr>
        <w:t>四、交货及验收</w:t>
      </w:r>
      <w:bookmarkEnd w:id="177"/>
    </w:p>
    <w:p>
      <w:pPr>
        <w:pStyle w:val="55"/>
        <w:spacing w:line="360" w:lineRule="exact"/>
        <w:ind w:firstLine="480"/>
        <w:rPr>
          <w:rFonts w:ascii="宋体" w:hAnsi="宋体"/>
        </w:rPr>
      </w:pPr>
      <w:r>
        <w:rPr>
          <w:rFonts w:hint="eastAsia" w:ascii="宋体" w:hAnsi="宋体"/>
        </w:rPr>
        <w:t>1、乙方交货期限为合同签订生效后的</w:t>
      </w:r>
      <w:r>
        <w:rPr>
          <w:rFonts w:hint="eastAsia" w:ascii="宋体" w:hAnsi="宋体"/>
          <w:szCs w:val="21"/>
        </w:rPr>
        <w:t>XX</w:t>
      </w:r>
      <w:r>
        <w:rPr>
          <w:rFonts w:hint="eastAsia" w:ascii="宋体" w:hAnsi="宋体"/>
        </w:rPr>
        <w:t>日内，在合同签订生效之日起</w:t>
      </w:r>
      <w:r>
        <w:rPr>
          <w:rFonts w:hint="eastAsia" w:ascii="宋体" w:hAnsi="宋体"/>
          <w:szCs w:val="21"/>
        </w:rPr>
        <w:t>XX</w:t>
      </w:r>
      <w:r>
        <w:rPr>
          <w:rFonts w:hint="eastAsia" w:ascii="宋体" w:hAnsi="宋体"/>
        </w:rPr>
        <w:t>天内交货到甲方指定地点，随即在</w:t>
      </w:r>
      <w:r>
        <w:rPr>
          <w:rFonts w:hint="eastAsia" w:ascii="宋体" w:hAnsi="宋体"/>
          <w:szCs w:val="21"/>
        </w:rPr>
        <w:t>XX</w:t>
      </w:r>
      <w:r>
        <w:rPr>
          <w:rFonts w:hint="eastAsia" w:ascii="宋体" w:hAnsi="宋体"/>
        </w:rPr>
        <w:t>日内全部完成安装调试验收合格交付使用，并且最迟应在</w:t>
      </w:r>
      <w:r>
        <w:rPr>
          <w:rFonts w:hint="eastAsia" w:ascii="宋体" w:hAnsi="宋体"/>
          <w:szCs w:val="21"/>
        </w:rPr>
        <w:t>XX</w:t>
      </w:r>
      <w:r>
        <w:rPr>
          <w:rFonts w:hint="eastAsia" w:ascii="宋体" w:hAnsi="宋体"/>
        </w:rPr>
        <w:t>年</w:t>
      </w:r>
      <w:r>
        <w:rPr>
          <w:rFonts w:hint="eastAsia" w:ascii="宋体" w:hAnsi="宋体"/>
          <w:szCs w:val="21"/>
        </w:rPr>
        <w:t>XX</w:t>
      </w:r>
      <w:r>
        <w:rPr>
          <w:rFonts w:hint="eastAsia" w:ascii="宋体" w:hAnsi="宋体"/>
        </w:rPr>
        <w:t>月</w:t>
      </w:r>
      <w:r>
        <w:rPr>
          <w:rFonts w:hint="eastAsia" w:ascii="宋体" w:hAnsi="宋体"/>
          <w:szCs w:val="21"/>
        </w:rPr>
        <w:t>XX</w:t>
      </w:r>
      <w:r>
        <w:rPr>
          <w:rFonts w:hint="eastAsia" w:ascii="宋体" w:hAnsi="宋体"/>
        </w:rPr>
        <w:t>日前全部完成安装调试验收合格交付使用(如由于采购人的原因造成合同延迟签订或验收的，时间顺延)。交货验收时须提供产品质检部门从同类产品中抽样检查合格的检测报告。</w:t>
      </w:r>
    </w:p>
    <w:p>
      <w:pPr>
        <w:pStyle w:val="55"/>
        <w:spacing w:line="360" w:lineRule="exact"/>
        <w:ind w:firstLine="480"/>
        <w:rPr>
          <w:rFonts w:ascii="宋体" w:hAnsi="宋体"/>
        </w:rPr>
      </w:pPr>
      <w:r>
        <w:rPr>
          <w:rFonts w:hint="eastAsia" w:ascii="宋体" w:hAnsi="宋体"/>
        </w:rPr>
        <w:t>2、验收由甲方组织，乙方配合进行：</w:t>
      </w:r>
    </w:p>
    <w:p>
      <w:pPr>
        <w:pStyle w:val="55"/>
        <w:spacing w:line="360" w:lineRule="exact"/>
        <w:ind w:firstLine="480"/>
        <w:rPr>
          <w:rFonts w:ascii="宋体" w:hAnsi="宋体"/>
        </w:rPr>
      </w:pPr>
      <w:r>
        <w:rPr>
          <w:rFonts w:hint="eastAsia" w:ascii="宋体" w:hAnsi="宋体"/>
        </w:rPr>
        <w:t>(1) 货物在乙方通知安装调试完毕后日内初步验收。初步验收合格后，进入试用期；试用期间发生重大质量问题，修复后试用相应顺延；试用期结束后日内完成最终验收；</w:t>
      </w:r>
    </w:p>
    <w:p>
      <w:pPr>
        <w:pStyle w:val="55"/>
        <w:spacing w:line="360" w:lineRule="exact"/>
        <w:ind w:firstLine="480"/>
        <w:rPr>
          <w:rFonts w:ascii="宋体" w:hAnsi="宋体"/>
        </w:rPr>
      </w:pPr>
      <w:r>
        <w:rPr>
          <w:rFonts w:hint="eastAsia" w:ascii="宋体" w:hAnsi="宋体"/>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pPr>
        <w:pStyle w:val="55"/>
        <w:spacing w:line="360" w:lineRule="exact"/>
        <w:ind w:firstLine="480"/>
        <w:rPr>
          <w:rFonts w:ascii="宋体" w:hAnsi="宋体"/>
        </w:rPr>
      </w:pPr>
      <w:r>
        <w:rPr>
          <w:rFonts w:hint="eastAsia" w:ascii="宋体" w:hAnsi="宋体"/>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pPr>
        <w:pStyle w:val="55"/>
        <w:spacing w:line="360" w:lineRule="exact"/>
        <w:ind w:firstLine="480"/>
        <w:rPr>
          <w:rFonts w:ascii="宋体" w:hAnsi="宋体"/>
        </w:rPr>
      </w:pPr>
      <w:r>
        <w:rPr>
          <w:rFonts w:hint="eastAsia" w:ascii="宋体" w:hAnsi="宋体"/>
        </w:rPr>
        <w:t>(4) 如质量验收合格，双方签署质量验收报告。</w:t>
      </w:r>
    </w:p>
    <w:p>
      <w:pPr>
        <w:pStyle w:val="55"/>
        <w:spacing w:line="360" w:lineRule="exact"/>
        <w:ind w:firstLine="480"/>
        <w:rPr>
          <w:rFonts w:ascii="宋体" w:hAnsi="宋体"/>
        </w:rPr>
      </w:pPr>
      <w:r>
        <w:rPr>
          <w:rFonts w:hint="eastAsia" w:ascii="宋体" w:hAnsi="宋体"/>
        </w:rPr>
        <w:t>3、货物安装完成后日内，甲方无故不进行验收工作并已使用货物的，视同已安装调试完成并验收合格。</w:t>
      </w:r>
    </w:p>
    <w:p>
      <w:pPr>
        <w:pStyle w:val="55"/>
        <w:spacing w:line="360" w:lineRule="exact"/>
        <w:ind w:firstLine="480"/>
        <w:rPr>
          <w:rFonts w:ascii="宋体" w:hAnsi="宋体"/>
        </w:rPr>
      </w:pPr>
      <w:r>
        <w:rPr>
          <w:rFonts w:hint="eastAsia" w:ascii="宋体" w:hAnsi="宋体"/>
        </w:rPr>
        <w:t>4、乙方应将所提供货物的装箱清单、配件、随机工具、用户使用手册、原厂保修卡等资料交付给甲方；乙方不能完整交付货物及本款规定的单证和工具的，必须负责补齐，否则视为未按合同约定交货。</w:t>
      </w:r>
    </w:p>
    <w:p>
      <w:pPr>
        <w:pStyle w:val="55"/>
        <w:spacing w:line="360" w:lineRule="exact"/>
        <w:ind w:firstLine="480"/>
        <w:rPr>
          <w:rFonts w:ascii="宋体" w:hAnsi="宋体"/>
        </w:rPr>
      </w:pPr>
      <w:r>
        <w:rPr>
          <w:rFonts w:hint="eastAsia" w:ascii="宋体" w:hAnsi="宋体"/>
        </w:rPr>
        <w:t>5、如货物经乙方次维修仍不能达到合同约定的质量标准，甲方有权退货，并视作乙方不能交付货物而须支付违约赔偿金给甲方，甲方还可依法追究乙方的违约责任。</w:t>
      </w:r>
      <w:r>
        <w:rPr>
          <w:rFonts w:ascii="宋体" w:hAnsi="宋体" w:cs="Calibri"/>
        </w:rPr>
        <w:t> </w:t>
      </w:r>
    </w:p>
    <w:p>
      <w:pPr>
        <w:pStyle w:val="55"/>
        <w:spacing w:line="360" w:lineRule="exact"/>
        <w:ind w:firstLine="480"/>
        <w:rPr>
          <w:rFonts w:ascii="宋体" w:hAnsi="宋体"/>
        </w:rPr>
      </w:pPr>
      <w:r>
        <w:rPr>
          <w:rFonts w:hint="eastAsia" w:ascii="宋体" w:hAnsi="宋体"/>
        </w:rPr>
        <w:t>6、其他未尽事宜应严格按照《财政部关于进一步加强政府采购需求和履约验收管理的指导意见》（财库〔2016〕205号）等政府采购相关法律法规的要求进行。</w:t>
      </w:r>
    </w:p>
    <w:p>
      <w:pPr>
        <w:pStyle w:val="4"/>
        <w:spacing w:line="360" w:lineRule="exact"/>
        <w:ind w:firstLine="480" w:firstLineChars="200"/>
        <w:rPr>
          <w:rFonts w:ascii="宋体" w:hAnsi="宋体" w:eastAsia="宋体"/>
          <w:sz w:val="24"/>
          <w:szCs w:val="24"/>
        </w:rPr>
      </w:pPr>
      <w:bookmarkStart w:id="178" w:name="_Toc217446111"/>
      <w:r>
        <w:rPr>
          <w:rFonts w:hint="eastAsia" w:ascii="宋体" w:hAnsi="宋体" w:eastAsia="宋体"/>
          <w:sz w:val="24"/>
          <w:szCs w:val="24"/>
        </w:rPr>
        <w:t>五、付款方式</w:t>
      </w:r>
      <w:bookmarkEnd w:id="178"/>
    </w:p>
    <w:p>
      <w:pPr>
        <w:pStyle w:val="55"/>
        <w:spacing w:line="360" w:lineRule="exact"/>
        <w:ind w:firstLine="480"/>
        <w:rPr>
          <w:rFonts w:ascii="宋体" w:hAnsi="宋体"/>
        </w:rPr>
      </w:pPr>
      <w:r>
        <w:rPr>
          <w:rFonts w:hint="eastAsia" w:ascii="宋体" w:hAnsi="宋体"/>
        </w:rPr>
        <w:t>（一）适用于无预付款采购项目</w:t>
      </w:r>
    </w:p>
    <w:p>
      <w:pPr>
        <w:pStyle w:val="55"/>
        <w:spacing w:line="360" w:lineRule="exact"/>
        <w:ind w:firstLine="480"/>
        <w:rPr>
          <w:rFonts w:ascii="宋体" w:hAnsi="宋体"/>
        </w:rPr>
      </w:pPr>
      <w:r>
        <w:rPr>
          <w:rFonts w:hint="eastAsia" w:ascii="宋体" w:hAnsi="宋体"/>
        </w:rPr>
        <w:t>1、全部货物安装调试完毕并验收合格之日起，甲方接到乙方通知与票据凭证资料以后的日内，按照财政性资金支付有关规定，向乙方支付合同价款</w:t>
      </w:r>
      <w:r>
        <w:rPr>
          <w:rFonts w:hint="eastAsia" w:ascii="宋体" w:hAnsi="宋体"/>
          <w:u w:val="single"/>
        </w:rPr>
        <w:t xml:space="preserve">    </w:t>
      </w:r>
      <w:r>
        <w:rPr>
          <w:rFonts w:hint="eastAsia" w:ascii="宋体" w:hAnsi="宋体"/>
        </w:rPr>
        <w:t>￥元，人民币大写</w:t>
      </w:r>
      <w:r>
        <w:rPr>
          <w:rFonts w:hint="eastAsia" w:ascii="宋体" w:hAnsi="宋体"/>
          <w:u w:val="single"/>
        </w:rPr>
        <w:t xml:space="preserve">       </w:t>
      </w:r>
      <w:r>
        <w:rPr>
          <w:rFonts w:hint="eastAsia" w:ascii="宋体" w:hAnsi="宋体"/>
        </w:rPr>
        <w:t>元整；</w:t>
      </w:r>
    </w:p>
    <w:p>
      <w:pPr>
        <w:pStyle w:val="55"/>
        <w:spacing w:line="360" w:lineRule="exact"/>
        <w:ind w:firstLine="480"/>
        <w:rPr>
          <w:rFonts w:ascii="宋体" w:hAnsi="宋体"/>
        </w:rPr>
      </w:pPr>
      <w:r>
        <w:rPr>
          <w:rFonts w:hint="eastAsia" w:ascii="宋体" w:hAnsi="宋体"/>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pPr>
        <w:pStyle w:val="55"/>
        <w:spacing w:line="360" w:lineRule="exact"/>
        <w:ind w:firstLine="480"/>
        <w:rPr>
          <w:rFonts w:ascii="宋体" w:hAnsi="宋体"/>
        </w:rPr>
      </w:pPr>
      <w:r>
        <w:rPr>
          <w:rFonts w:hint="eastAsia" w:ascii="宋体" w:hAnsi="宋体"/>
        </w:rPr>
        <w:t>3、乙方须向甲方出具合法有效完整的完税发票及凭证资料进行支付结算。</w:t>
      </w:r>
    </w:p>
    <w:p>
      <w:pPr>
        <w:pStyle w:val="55"/>
        <w:spacing w:line="360" w:lineRule="exact"/>
        <w:ind w:firstLine="480"/>
        <w:rPr>
          <w:rFonts w:ascii="宋体" w:hAnsi="宋体"/>
        </w:rPr>
      </w:pPr>
      <w:r>
        <w:rPr>
          <w:rFonts w:hint="eastAsia" w:ascii="宋体" w:hAnsi="宋体"/>
        </w:rPr>
        <w:t>（二）适用于有预付款采购项目（预付款建议不超过政府采购合同金额的30%）</w:t>
      </w:r>
    </w:p>
    <w:p>
      <w:pPr>
        <w:pStyle w:val="55"/>
        <w:spacing w:line="360" w:lineRule="exact"/>
        <w:ind w:firstLine="480"/>
        <w:rPr>
          <w:rFonts w:ascii="宋体" w:hAnsi="宋体"/>
        </w:rPr>
      </w:pPr>
      <w:r>
        <w:rPr>
          <w:rFonts w:hint="eastAsia" w:ascii="宋体" w:hAnsi="宋体"/>
        </w:rPr>
        <w:t>1、甲方在本合同签订生效之日起接到乙方通知和票据凭证资料以及乙方交给甲方的合同履约保证金（按合同总价的百分之五计算款额￥元，人民币大写：元整）后的</w:t>
      </w:r>
      <w:r>
        <w:rPr>
          <w:rFonts w:hint="eastAsia" w:ascii="宋体" w:hAnsi="宋体"/>
          <w:lang w:val="en-US" w:eastAsia="zh-CN"/>
        </w:rPr>
        <w:t>5个工作日</w:t>
      </w:r>
      <w:r>
        <w:rPr>
          <w:rFonts w:hint="eastAsia" w:ascii="宋体" w:hAnsi="宋体"/>
        </w:rPr>
        <w:t>内支付合同金额百分之五十的价款；</w:t>
      </w:r>
    </w:p>
    <w:p>
      <w:pPr>
        <w:pStyle w:val="55"/>
        <w:spacing w:line="360" w:lineRule="exact"/>
        <w:ind w:firstLine="480"/>
        <w:rPr>
          <w:rFonts w:ascii="宋体" w:hAnsi="宋体"/>
        </w:rPr>
      </w:pPr>
      <w:r>
        <w:rPr>
          <w:rFonts w:hint="eastAsia" w:ascii="宋体" w:hAnsi="宋体"/>
        </w:rPr>
        <w:t>2、全部货物安装调试完毕并验收合格之日起，甲方接到乙方通知与票据凭证资料以后的15个日历日内，提交支付凭证资料给财政国库支付执行机构办理财政国库支付手续，并由其向乙方核拨合同总价的百分之五十款项：￥元，人民币大写元整；</w:t>
      </w:r>
    </w:p>
    <w:p>
      <w:pPr>
        <w:pStyle w:val="55"/>
        <w:spacing w:line="360" w:lineRule="exact"/>
        <w:ind w:firstLine="480"/>
        <w:rPr>
          <w:rFonts w:ascii="宋体" w:hAnsi="宋体"/>
        </w:rPr>
      </w:pPr>
      <w:r>
        <w:rPr>
          <w:rFonts w:hint="eastAsia" w:ascii="宋体" w:hAnsi="宋体"/>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pPr>
        <w:pStyle w:val="55"/>
        <w:spacing w:line="360" w:lineRule="exact"/>
        <w:ind w:firstLine="480"/>
        <w:rPr>
          <w:rFonts w:ascii="宋体" w:hAnsi="宋体"/>
        </w:rPr>
      </w:pPr>
      <w:r>
        <w:rPr>
          <w:rFonts w:hint="eastAsia" w:ascii="宋体" w:hAnsi="宋体"/>
        </w:rPr>
        <w:t>4、乙方须向甲方出具合法有效完整的完税发票及凭证资料进行支付结算。</w:t>
      </w:r>
    </w:p>
    <w:p>
      <w:pPr>
        <w:pStyle w:val="4"/>
        <w:spacing w:line="360" w:lineRule="exact"/>
        <w:ind w:firstLine="480" w:firstLineChars="200"/>
        <w:rPr>
          <w:rFonts w:ascii="宋体" w:hAnsi="宋体" w:eastAsia="宋体"/>
          <w:sz w:val="24"/>
          <w:szCs w:val="24"/>
        </w:rPr>
      </w:pPr>
      <w:bookmarkStart w:id="179" w:name="_Toc217446112"/>
      <w:r>
        <w:rPr>
          <w:rFonts w:hint="eastAsia" w:ascii="宋体" w:hAnsi="宋体" w:eastAsia="宋体"/>
          <w:sz w:val="24"/>
          <w:szCs w:val="24"/>
        </w:rPr>
        <w:t>六、售后服务</w:t>
      </w:r>
      <w:bookmarkEnd w:id="179"/>
    </w:p>
    <w:p>
      <w:pPr>
        <w:pStyle w:val="55"/>
        <w:spacing w:line="360" w:lineRule="exact"/>
        <w:ind w:firstLine="480"/>
        <w:rPr>
          <w:rFonts w:ascii="宋体" w:hAnsi="宋体"/>
        </w:rPr>
      </w:pPr>
      <w:r>
        <w:rPr>
          <w:rFonts w:hint="eastAsia" w:ascii="宋体" w:hAnsi="宋体"/>
        </w:rPr>
        <w:t>1、质保期为验收合格后</w:t>
      </w:r>
      <w:r>
        <w:rPr>
          <w:rFonts w:hint="eastAsia" w:ascii="宋体" w:hAnsi="宋体"/>
          <w:szCs w:val="21"/>
        </w:rPr>
        <w:t>XX</w:t>
      </w:r>
      <w:r>
        <w:rPr>
          <w:rFonts w:hint="eastAsia" w:ascii="宋体" w:hAnsi="宋体"/>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pPr>
        <w:pStyle w:val="55"/>
        <w:spacing w:line="360" w:lineRule="exact"/>
        <w:ind w:firstLine="480"/>
        <w:rPr>
          <w:rFonts w:ascii="宋体" w:hAnsi="宋体"/>
        </w:rPr>
      </w:pPr>
      <w:r>
        <w:rPr>
          <w:rFonts w:hint="eastAsia" w:ascii="宋体" w:hAnsi="宋体"/>
        </w:rPr>
        <w:t>2、乙方须指派专人负责与甲方联系售后服务事宜。</w:t>
      </w:r>
      <w:r>
        <w:rPr>
          <w:rFonts w:ascii="宋体" w:hAnsi="宋体" w:cs="Calibri"/>
        </w:rPr>
        <w:t> </w:t>
      </w:r>
    </w:p>
    <w:p>
      <w:pPr>
        <w:pStyle w:val="4"/>
        <w:spacing w:line="360" w:lineRule="exact"/>
        <w:ind w:firstLine="480" w:firstLineChars="200"/>
        <w:rPr>
          <w:rFonts w:ascii="宋体" w:hAnsi="宋体" w:eastAsia="宋体"/>
          <w:sz w:val="24"/>
          <w:szCs w:val="24"/>
        </w:rPr>
      </w:pPr>
      <w:bookmarkStart w:id="180" w:name="_Toc217446113"/>
      <w:r>
        <w:rPr>
          <w:rFonts w:hint="eastAsia" w:ascii="宋体" w:hAnsi="宋体" w:eastAsia="宋体"/>
          <w:sz w:val="24"/>
          <w:szCs w:val="24"/>
        </w:rPr>
        <w:t>七、违约责任</w:t>
      </w:r>
      <w:bookmarkEnd w:id="180"/>
    </w:p>
    <w:p>
      <w:pPr>
        <w:pStyle w:val="55"/>
        <w:spacing w:line="360" w:lineRule="exact"/>
        <w:ind w:firstLine="480"/>
        <w:rPr>
          <w:rFonts w:ascii="宋体" w:hAnsi="宋体"/>
        </w:rPr>
      </w:pPr>
      <w:r>
        <w:rPr>
          <w:rFonts w:hint="eastAsia" w:ascii="宋体" w:hAnsi="宋体"/>
        </w:rPr>
        <w:t>1、甲方违约责任</w:t>
      </w:r>
    </w:p>
    <w:p>
      <w:pPr>
        <w:pStyle w:val="55"/>
        <w:spacing w:line="360" w:lineRule="exact"/>
        <w:ind w:firstLine="480"/>
        <w:rPr>
          <w:rFonts w:ascii="宋体" w:hAnsi="宋体"/>
        </w:rPr>
      </w:pPr>
      <w:r>
        <w:rPr>
          <w:rFonts w:hint="eastAsia" w:ascii="宋体" w:hAnsi="宋体"/>
        </w:rPr>
        <w:t>（1） 甲方无正当理由拒收货物的，甲方应偿付合同总价百分之  的违约金；</w:t>
      </w:r>
    </w:p>
    <w:p>
      <w:pPr>
        <w:pStyle w:val="55"/>
        <w:spacing w:line="360" w:lineRule="exact"/>
        <w:ind w:firstLine="480"/>
        <w:rPr>
          <w:rFonts w:ascii="宋体" w:hAnsi="宋体"/>
        </w:rPr>
      </w:pPr>
      <w:r>
        <w:rPr>
          <w:rFonts w:hint="eastAsia" w:ascii="宋体" w:hAnsi="宋体"/>
        </w:rPr>
        <w:t>（2） 甲方逾期支付货款的，除应及时付足货款外，应向乙方偿付欠款总额万分之/天的违约金；逾期付款超过天的，乙方有权终止合同；</w:t>
      </w:r>
    </w:p>
    <w:p>
      <w:pPr>
        <w:pStyle w:val="55"/>
        <w:spacing w:line="360" w:lineRule="exact"/>
        <w:ind w:firstLine="480"/>
        <w:rPr>
          <w:rFonts w:ascii="宋体" w:hAnsi="宋体"/>
        </w:rPr>
      </w:pPr>
      <w:r>
        <w:rPr>
          <w:rFonts w:hint="eastAsia" w:ascii="宋体" w:hAnsi="宋体"/>
        </w:rPr>
        <w:t>（3） 甲方偿付的违约金不足以弥补乙方损失的，还应按乙方损失尚未弥补的部分，支付赔偿金给乙方。</w:t>
      </w:r>
    </w:p>
    <w:p>
      <w:pPr>
        <w:pStyle w:val="55"/>
        <w:spacing w:line="360" w:lineRule="exact"/>
        <w:ind w:firstLine="480"/>
        <w:rPr>
          <w:rFonts w:ascii="宋体" w:hAnsi="宋体"/>
        </w:rPr>
      </w:pPr>
      <w:r>
        <w:rPr>
          <w:rFonts w:hint="eastAsia" w:ascii="宋体" w:hAnsi="宋体"/>
        </w:rPr>
        <w:t>2、乙方违约责任</w:t>
      </w:r>
    </w:p>
    <w:p>
      <w:pPr>
        <w:pStyle w:val="55"/>
        <w:spacing w:line="360" w:lineRule="exact"/>
        <w:ind w:firstLine="480"/>
        <w:rPr>
          <w:rFonts w:ascii="宋体" w:hAnsi="宋体"/>
        </w:rPr>
      </w:pPr>
      <w:r>
        <w:rPr>
          <w:rFonts w:hint="eastAsia" w:ascii="宋体" w:hAnsi="宋体"/>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pPr>
        <w:pStyle w:val="55"/>
        <w:spacing w:line="360" w:lineRule="exact"/>
        <w:ind w:firstLine="480"/>
        <w:rPr>
          <w:rFonts w:ascii="宋体" w:hAnsi="宋体"/>
        </w:rPr>
      </w:pPr>
      <w:r>
        <w:rPr>
          <w:rFonts w:hint="eastAsia" w:ascii="宋体" w:hAnsi="宋体"/>
        </w:rPr>
        <w:t>（2）乙方不能交付货物或逾期交付货物而违约的，除应及时交足货物外，应向甲方偿付逾期交货部分货款总额的万分之/天的违约金；逾期交货超过</w:t>
      </w:r>
      <w:r>
        <w:rPr>
          <w:rFonts w:hint="eastAsia" w:ascii="宋体" w:hAnsi="宋体"/>
          <w:szCs w:val="21"/>
        </w:rPr>
        <w:t>XX</w:t>
      </w:r>
      <w:r>
        <w:rPr>
          <w:rFonts w:hint="eastAsia" w:ascii="宋体" w:hAnsi="宋体"/>
        </w:rPr>
        <w:t>天，甲方有权终止合同，乙方则应按合同总价的百分之的款额向甲方偿付赔偿金，并须全额退还甲方已经付给乙方的货款及其利息。</w:t>
      </w:r>
    </w:p>
    <w:p>
      <w:pPr>
        <w:pStyle w:val="55"/>
        <w:spacing w:line="360" w:lineRule="exact"/>
        <w:ind w:firstLine="480"/>
        <w:rPr>
          <w:rFonts w:ascii="宋体" w:hAnsi="宋体"/>
        </w:rPr>
      </w:pPr>
      <w:r>
        <w:rPr>
          <w:rFonts w:hint="eastAsia" w:ascii="宋体" w:hAnsi="宋体"/>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pPr>
        <w:pStyle w:val="55"/>
        <w:spacing w:line="360" w:lineRule="exact"/>
        <w:ind w:firstLine="480"/>
        <w:rPr>
          <w:rFonts w:ascii="宋体" w:hAnsi="宋体"/>
        </w:rPr>
      </w:pPr>
      <w:r>
        <w:rPr>
          <w:rFonts w:hint="eastAsia" w:ascii="宋体" w:hAnsi="宋体"/>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pPr>
        <w:pStyle w:val="55"/>
        <w:spacing w:line="360" w:lineRule="exact"/>
        <w:ind w:firstLine="480"/>
        <w:rPr>
          <w:rFonts w:ascii="宋体" w:hAnsi="宋体"/>
        </w:rPr>
      </w:pPr>
      <w:r>
        <w:rPr>
          <w:rFonts w:hint="eastAsia" w:ascii="宋体" w:hAnsi="宋体"/>
        </w:rPr>
        <w:t>（5）乙方偿付的违约金不足以弥补甲方损失的，还应按甲方损失尚未弥补的部分，支付赔偿金给甲方。</w:t>
      </w:r>
    </w:p>
    <w:p>
      <w:pPr>
        <w:pStyle w:val="4"/>
        <w:spacing w:line="360" w:lineRule="exact"/>
        <w:ind w:firstLine="480" w:firstLineChars="200"/>
        <w:rPr>
          <w:rFonts w:ascii="宋体" w:hAnsi="宋体" w:eastAsia="宋体"/>
          <w:sz w:val="24"/>
          <w:szCs w:val="24"/>
        </w:rPr>
      </w:pPr>
      <w:bookmarkStart w:id="181" w:name="_Toc217446114"/>
      <w:r>
        <w:rPr>
          <w:rFonts w:hint="eastAsia" w:ascii="宋体" w:hAnsi="宋体" w:eastAsia="宋体"/>
          <w:sz w:val="24"/>
          <w:szCs w:val="24"/>
        </w:rPr>
        <w:t>八、争议解决办法</w:t>
      </w:r>
      <w:bookmarkEnd w:id="181"/>
    </w:p>
    <w:p>
      <w:pPr>
        <w:pStyle w:val="55"/>
        <w:spacing w:line="360" w:lineRule="exact"/>
        <w:ind w:firstLine="480"/>
        <w:rPr>
          <w:rFonts w:ascii="宋体" w:hAnsi="宋体"/>
        </w:rPr>
      </w:pPr>
      <w:r>
        <w:rPr>
          <w:rFonts w:hint="eastAsia" w:ascii="宋体" w:hAnsi="宋体"/>
        </w:rPr>
        <w:t>1、因货物的质量问题发生争议，由质量技术监督部门或其指定的质量鉴定机构进行质量鉴定。货物符合标准的，鉴定费由甲方承担；货物不符合质量标准的，鉴定费由乙方承担。</w:t>
      </w:r>
    </w:p>
    <w:p>
      <w:pPr>
        <w:pStyle w:val="55"/>
        <w:spacing w:line="360" w:lineRule="exact"/>
        <w:ind w:firstLine="480"/>
        <w:rPr>
          <w:rFonts w:ascii="宋体" w:hAnsi="宋体"/>
        </w:rPr>
      </w:pPr>
      <w:r>
        <w:rPr>
          <w:rFonts w:hint="eastAsia" w:ascii="宋体" w:hAnsi="宋体"/>
        </w:rPr>
        <w:t>2、合同履行期间,若双方发生争议，可协商或由有关部门调解解决，协商或调解不成的，由当事人依法维护其合法权益。</w:t>
      </w:r>
    </w:p>
    <w:p>
      <w:pPr>
        <w:pStyle w:val="4"/>
        <w:spacing w:line="360" w:lineRule="exact"/>
        <w:ind w:firstLine="480" w:firstLineChars="200"/>
        <w:rPr>
          <w:rFonts w:ascii="宋体" w:hAnsi="宋体" w:eastAsia="宋体"/>
          <w:sz w:val="24"/>
          <w:szCs w:val="24"/>
        </w:rPr>
      </w:pPr>
      <w:bookmarkStart w:id="182" w:name="_Toc217446115"/>
      <w:r>
        <w:rPr>
          <w:rFonts w:hint="eastAsia" w:ascii="宋体" w:hAnsi="宋体" w:eastAsia="宋体"/>
          <w:sz w:val="24"/>
          <w:szCs w:val="24"/>
        </w:rPr>
        <w:t>九、其他</w:t>
      </w:r>
      <w:bookmarkEnd w:id="182"/>
    </w:p>
    <w:p>
      <w:pPr>
        <w:pStyle w:val="55"/>
        <w:spacing w:line="360" w:lineRule="exact"/>
        <w:ind w:firstLine="480"/>
        <w:rPr>
          <w:rFonts w:ascii="宋体" w:hAnsi="宋体"/>
        </w:rPr>
      </w:pPr>
      <w:r>
        <w:rPr>
          <w:rFonts w:hint="eastAsia" w:ascii="宋体" w:hAnsi="宋体"/>
        </w:rPr>
        <w:t>1、如有未尽事宜，由双方依法订立补充合同。</w:t>
      </w:r>
    </w:p>
    <w:p>
      <w:pPr>
        <w:pStyle w:val="55"/>
        <w:spacing w:line="360" w:lineRule="exact"/>
        <w:ind w:firstLine="480"/>
        <w:rPr>
          <w:rFonts w:ascii="宋体" w:hAnsi="宋体"/>
        </w:rPr>
      </w:pPr>
      <w:r>
        <w:rPr>
          <w:rFonts w:hint="eastAsia" w:ascii="宋体" w:hAnsi="宋体"/>
        </w:rPr>
        <w:t>2、本合同一式六份，自双方签章之日起生效。甲方三份，乙方、政府采购管理部门、采购代理机构各一份。</w:t>
      </w:r>
    </w:p>
    <w:p>
      <w:pPr>
        <w:spacing w:line="360" w:lineRule="exact"/>
        <w:ind w:firstLine="480" w:firstLineChars="200"/>
        <w:rPr>
          <w:rFonts w:ascii="宋体" w:hAnsi="宋体"/>
          <w:sz w:val="24"/>
        </w:rPr>
      </w:pPr>
    </w:p>
    <w:p>
      <w:pPr>
        <w:spacing w:line="360" w:lineRule="exact"/>
        <w:ind w:firstLine="480" w:firstLineChars="200"/>
        <w:rPr>
          <w:rFonts w:ascii="宋体" w:hAnsi="宋体"/>
          <w:sz w:val="24"/>
        </w:rPr>
      </w:pPr>
      <w:r>
        <w:rPr>
          <w:rFonts w:hint="eastAsia" w:ascii="宋体" w:hAnsi="宋体"/>
          <w:sz w:val="24"/>
        </w:rPr>
        <w:t xml:space="preserve">甲方：   （盖章）   </w:t>
      </w:r>
      <w:r>
        <w:rPr>
          <w:rFonts w:hint="eastAsia" w:ascii="宋体" w:hAnsi="宋体"/>
          <w:sz w:val="24"/>
        </w:rPr>
        <w:tab/>
      </w:r>
      <w:r>
        <w:rPr>
          <w:rFonts w:hint="eastAsia" w:ascii="宋体" w:hAnsi="宋体"/>
          <w:sz w:val="24"/>
        </w:rPr>
        <w:tab/>
      </w:r>
      <w:r>
        <w:rPr>
          <w:rFonts w:hint="eastAsia" w:ascii="宋体" w:hAnsi="宋体"/>
          <w:sz w:val="24"/>
        </w:rPr>
        <w:tab/>
      </w:r>
      <w:r>
        <w:rPr>
          <w:rFonts w:hint="eastAsia" w:ascii="宋体" w:hAnsi="宋体"/>
          <w:sz w:val="24"/>
        </w:rPr>
        <w:t xml:space="preserve">       乙方：   （盖章）</w:t>
      </w:r>
    </w:p>
    <w:p>
      <w:pPr>
        <w:spacing w:line="360" w:lineRule="exact"/>
        <w:ind w:firstLine="480" w:firstLineChars="200"/>
        <w:rPr>
          <w:rFonts w:ascii="宋体" w:hAnsi="宋体"/>
          <w:sz w:val="24"/>
        </w:rPr>
      </w:pPr>
      <w:r>
        <w:rPr>
          <w:rFonts w:hint="eastAsia" w:ascii="宋体" w:hAnsi="宋体"/>
          <w:sz w:val="24"/>
        </w:rPr>
        <w:t>法定代表人/单位负责人：            法定代表人/单位负责人：</w:t>
      </w:r>
    </w:p>
    <w:p>
      <w:pPr>
        <w:spacing w:line="360" w:lineRule="exact"/>
        <w:ind w:firstLine="480" w:firstLineChars="200"/>
        <w:rPr>
          <w:rFonts w:ascii="宋体" w:hAnsi="宋体"/>
          <w:sz w:val="24"/>
        </w:rPr>
      </w:pPr>
      <w:r>
        <w:rPr>
          <w:rFonts w:hint="eastAsia" w:ascii="宋体" w:hAnsi="宋体"/>
          <w:sz w:val="24"/>
        </w:rPr>
        <w:t>地    址：                         地    址：</w:t>
      </w:r>
    </w:p>
    <w:p>
      <w:pPr>
        <w:spacing w:line="360" w:lineRule="exact"/>
        <w:ind w:firstLine="480" w:firstLineChars="200"/>
        <w:rPr>
          <w:rFonts w:ascii="宋体" w:hAnsi="宋体"/>
          <w:sz w:val="24"/>
        </w:rPr>
      </w:pPr>
      <w:r>
        <w:rPr>
          <w:rFonts w:hint="eastAsia" w:ascii="宋体" w:hAnsi="宋体"/>
          <w:sz w:val="24"/>
        </w:rPr>
        <w:t>开户银行：                         开户银行：</w:t>
      </w:r>
    </w:p>
    <w:p>
      <w:pPr>
        <w:spacing w:line="360" w:lineRule="exact"/>
        <w:ind w:firstLine="480" w:firstLineChars="200"/>
        <w:rPr>
          <w:rFonts w:ascii="宋体" w:hAnsi="宋体"/>
          <w:sz w:val="24"/>
        </w:rPr>
      </w:pPr>
      <w:r>
        <w:rPr>
          <w:rFonts w:hint="eastAsia" w:ascii="宋体" w:hAnsi="宋体"/>
          <w:sz w:val="24"/>
        </w:rPr>
        <w:t>账号：                             账号：</w:t>
      </w:r>
    </w:p>
    <w:p>
      <w:pPr>
        <w:spacing w:line="360" w:lineRule="exact"/>
        <w:ind w:firstLine="480" w:firstLineChars="200"/>
        <w:rPr>
          <w:rFonts w:ascii="宋体" w:hAnsi="宋体"/>
          <w:sz w:val="24"/>
        </w:rPr>
      </w:pPr>
      <w:r>
        <w:rPr>
          <w:rFonts w:hint="eastAsia" w:ascii="宋体" w:hAnsi="宋体"/>
          <w:sz w:val="24"/>
        </w:rPr>
        <w:t>电    话：                         电    话：</w:t>
      </w:r>
    </w:p>
    <w:p>
      <w:pPr>
        <w:spacing w:line="360" w:lineRule="exact"/>
        <w:ind w:firstLine="480" w:firstLineChars="200"/>
        <w:rPr>
          <w:rFonts w:ascii="宋体" w:hAnsi="宋体"/>
          <w:sz w:val="24"/>
        </w:rPr>
      </w:pPr>
      <w:r>
        <w:rPr>
          <w:rFonts w:hint="eastAsia" w:ascii="宋体" w:hAnsi="宋体"/>
          <w:sz w:val="24"/>
        </w:rPr>
        <w:t>传    真：                         传    真：</w:t>
      </w:r>
    </w:p>
    <w:p>
      <w:pPr>
        <w:spacing w:line="360" w:lineRule="exact"/>
        <w:ind w:firstLine="420" w:firstLineChars="200"/>
        <w:rPr>
          <w:rFonts w:ascii="宋体" w:hAnsi="宋体"/>
          <w:szCs w:val="21"/>
        </w:rPr>
      </w:pPr>
      <w:r>
        <w:rPr>
          <w:rFonts w:hint="eastAsia" w:ascii="宋体" w:hAnsi="宋体"/>
        </w:rPr>
        <w:t>签约日期：</w:t>
      </w:r>
      <w:r>
        <w:rPr>
          <w:rFonts w:hint="eastAsia" w:ascii="宋体" w:hAnsi="宋体"/>
          <w:szCs w:val="21"/>
        </w:rPr>
        <w:t>XX</w:t>
      </w:r>
      <w:r>
        <w:rPr>
          <w:rFonts w:hint="eastAsia" w:ascii="宋体" w:hAnsi="宋体"/>
        </w:rPr>
        <w:t>年</w:t>
      </w:r>
      <w:r>
        <w:rPr>
          <w:rFonts w:hint="eastAsia" w:ascii="宋体" w:hAnsi="宋体"/>
          <w:szCs w:val="21"/>
        </w:rPr>
        <w:t>XX</w:t>
      </w:r>
      <w:r>
        <w:rPr>
          <w:rFonts w:hint="eastAsia" w:ascii="宋体" w:hAnsi="宋体"/>
        </w:rPr>
        <w:t>月</w:t>
      </w:r>
      <w:r>
        <w:rPr>
          <w:rFonts w:hint="eastAsia" w:ascii="宋体" w:hAnsi="宋体"/>
          <w:szCs w:val="21"/>
        </w:rPr>
        <w:t>XX</w:t>
      </w:r>
      <w:r>
        <w:rPr>
          <w:rFonts w:hint="eastAsia" w:ascii="宋体" w:hAnsi="宋体"/>
        </w:rPr>
        <w:t xml:space="preserve">日 </w:t>
      </w:r>
      <w:r>
        <w:rPr>
          <w:rFonts w:hint="eastAsia" w:ascii="宋体" w:hAnsi="宋体"/>
        </w:rPr>
        <w:tab/>
      </w:r>
      <w:r>
        <w:rPr>
          <w:rFonts w:hint="eastAsia" w:ascii="宋体" w:hAnsi="宋体"/>
        </w:rPr>
        <w:tab/>
      </w:r>
      <w:r>
        <w:rPr>
          <w:rFonts w:hint="eastAsia" w:ascii="宋体" w:hAnsi="宋体"/>
        </w:rPr>
        <w:tab/>
      </w:r>
      <w:r>
        <w:rPr>
          <w:rFonts w:hint="eastAsia" w:ascii="宋体" w:hAnsi="宋体"/>
        </w:rPr>
        <w:t>签约日期：</w:t>
      </w:r>
      <w:r>
        <w:rPr>
          <w:rFonts w:hint="eastAsia" w:ascii="宋体" w:hAnsi="宋体"/>
          <w:szCs w:val="21"/>
        </w:rPr>
        <w:t>XX</w:t>
      </w:r>
      <w:r>
        <w:rPr>
          <w:rFonts w:hint="eastAsia" w:ascii="宋体" w:hAnsi="宋体"/>
        </w:rPr>
        <w:t>年</w:t>
      </w:r>
      <w:r>
        <w:rPr>
          <w:rFonts w:hint="eastAsia" w:ascii="宋体" w:hAnsi="宋体"/>
          <w:szCs w:val="21"/>
        </w:rPr>
        <w:t>XX</w:t>
      </w:r>
      <w:r>
        <w:rPr>
          <w:rFonts w:hint="eastAsia" w:ascii="宋体" w:hAnsi="宋体"/>
        </w:rPr>
        <w:t>月</w:t>
      </w:r>
      <w:r>
        <w:rPr>
          <w:rFonts w:hint="eastAsia" w:ascii="宋体" w:hAnsi="宋体"/>
          <w:szCs w:val="21"/>
        </w:rPr>
        <w:t>XX日</w:t>
      </w:r>
    </w:p>
    <w:p>
      <w:pPr>
        <w:spacing w:line="360" w:lineRule="exact"/>
        <w:ind w:firstLine="420" w:firstLineChars="200"/>
        <w:rPr>
          <w:rFonts w:ascii="宋体" w:hAnsi="宋体"/>
          <w:szCs w:val="21"/>
        </w:rPr>
      </w:pPr>
    </w:p>
    <w:p>
      <w:r>
        <w:rPr>
          <w:rFonts w:hint="eastAsia" w:ascii="宋体" w:hAnsi="宋体"/>
          <w:szCs w:val="21"/>
        </w:rPr>
        <w:br w:type="page"/>
      </w:r>
      <w:r>
        <w:rPr>
          <w:rFonts w:hint="eastAsia" w:ascii="黑体" w:hAnsi="黑体" w:eastAsia="黑体" w:cs="宋体"/>
          <w:color w:val="000000"/>
          <w:kern w:val="0"/>
          <w:sz w:val="32"/>
          <w:szCs w:val="32"/>
        </w:rPr>
        <w:t>附表</w:t>
      </w:r>
    </w:p>
    <w:p>
      <w:pPr>
        <w:widowControl/>
        <w:spacing w:line="330" w:lineRule="atLeast"/>
        <w:jc w:val="center"/>
      </w:pPr>
      <w:r>
        <w:t>统计上大中小微型企业划分标准</w:t>
      </w:r>
    </w:p>
    <w:tbl>
      <w:tblPr>
        <w:tblStyle w:val="26"/>
        <w:tblW w:w="0" w:type="auto"/>
        <w:jc w:val="center"/>
        <w:tblLayout w:type="fixed"/>
        <w:tblCellMar>
          <w:top w:w="0" w:type="dxa"/>
          <w:left w:w="108" w:type="dxa"/>
          <w:bottom w:w="0" w:type="dxa"/>
          <w:right w:w="108" w:type="dxa"/>
        </w:tblCellMar>
      </w:tblPr>
      <w:tblGrid>
        <w:gridCol w:w="2115"/>
        <w:gridCol w:w="1369"/>
        <w:gridCol w:w="708"/>
        <w:gridCol w:w="1125"/>
        <w:gridCol w:w="1701"/>
        <w:gridCol w:w="1426"/>
        <w:gridCol w:w="992"/>
      </w:tblGrid>
      <w:tr>
        <w:tblPrEx>
          <w:tblCellMar>
            <w:top w:w="0" w:type="dxa"/>
            <w:left w:w="108" w:type="dxa"/>
            <w:bottom w:w="0" w:type="dxa"/>
            <w:right w:w="108" w:type="dxa"/>
          </w:tblCellMar>
        </w:tblPrEx>
        <w:trPr>
          <w:trHeight w:val="810" w:hRule="exact"/>
          <w:jc w:val="center"/>
        </w:trPr>
        <w:tc>
          <w:tcPr>
            <w:tcW w:w="2115" w:type="dxa"/>
            <w:tcBorders>
              <w:top w:val="single" w:color="000000" w:sz="4" w:space="0"/>
              <w:bottom w:val="single" w:color="000000" w:sz="4" w:space="0"/>
              <w:right w:val="single" w:color="000000" w:sz="4" w:space="0"/>
            </w:tcBorders>
            <w:vAlign w:val="center"/>
          </w:tcPr>
          <w:p>
            <w:pPr>
              <w:widowControl/>
              <w:spacing w:line="240" w:lineRule="exact"/>
              <w:jc w:val="center"/>
            </w:pPr>
            <w:r>
              <w:rPr>
                <w:rFonts w:hint="eastAsia" w:ascii="宋体" w:hAnsi="宋体" w:cs="宋体"/>
                <w:b/>
                <w:bCs/>
                <w:color w:val="000000"/>
                <w:kern w:val="0"/>
                <w:sz w:val="18"/>
                <w:szCs w:val="21"/>
              </w:rPr>
              <w:t>行业名称</w:t>
            </w:r>
          </w:p>
        </w:tc>
        <w:tc>
          <w:tcPr>
            <w:tcW w:w="1369" w:type="dxa"/>
            <w:tcBorders>
              <w:top w:val="single" w:color="000000" w:sz="4" w:space="0"/>
              <w:bottom w:val="single" w:color="000000" w:sz="4" w:space="0"/>
              <w:right w:val="single" w:color="000000" w:sz="4" w:space="0"/>
            </w:tcBorders>
            <w:vAlign w:val="center"/>
          </w:tcPr>
          <w:p>
            <w:pPr>
              <w:widowControl/>
              <w:jc w:val="center"/>
            </w:pPr>
            <w:r>
              <w:rPr>
                <w:rFonts w:hint="eastAsia" w:ascii="宋体" w:hAnsi="宋体" w:cs="宋体"/>
                <w:b/>
                <w:bCs/>
                <w:color w:val="000000"/>
                <w:kern w:val="0"/>
                <w:sz w:val="18"/>
                <w:szCs w:val="18"/>
              </w:rPr>
              <w:t>指标名称</w:t>
            </w:r>
          </w:p>
        </w:tc>
        <w:tc>
          <w:tcPr>
            <w:tcW w:w="708" w:type="dxa"/>
            <w:tcBorders>
              <w:top w:val="single" w:color="000000" w:sz="4" w:space="0"/>
              <w:bottom w:val="single" w:color="000000" w:sz="4" w:space="0"/>
              <w:right w:val="single" w:color="000000" w:sz="4" w:space="0"/>
            </w:tcBorders>
            <w:vAlign w:val="center"/>
          </w:tcPr>
          <w:p>
            <w:pPr>
              <w:widowControl/>
              <w:jc w:val="center"/>
            </w:pPr>
            <w:r>
              <w:rPr>
                <w:rFonts w:hint="eastAsia" w:ascii="宋体" w:hAnsi="宋体" w:cs="宋体"/>
                <w:b/>
                <w:bCs/>
                <w:color w:val="000000"/>
                <w:kern w:val="0"/>
                <w:sz w:val="18"/>
                <w:szCs w:val="18"/>
              </w:rPr>
              <w:t>计量</w:t>
            </w:r>
            <w:r>
              <w:rPr>
                <w:rFonts w:hint="eastAsia" w:ascii="宋体" w:hAnsi="宋体" w:cs="宋体"/>
                <w:b/>
                <w:bCs/>
                <w:color w:val="000000"/>
                <w:kern w:val="0"/>
                <w:sz w:val="18"/>
                <w:szCs w:val="18"/>
              </w:rPr>
              <w:br w:type="textWrapping"/>
            </w:r>
            <w:r>
              <w:rPr>
                <w:rFonts w:hint="eastAsia" w:ascii="宋体" w:hAnsi="宋体" w:cs="宋体"/>
                <w:b/>
                <w:bCs/>
                <w:color w:val="000000"/>
                <w:kern w:val="0"/>
                <w:sz w:val="18"/>
                <w:szCs w:val="18"/>
              </w:rPr>
              <w:t>单位</w:t>
            </w:r>
          </w:p>
        </w:tc>
        <w:tc>
          <w:tcPr>
            <w:tcW w:w="1125" w:type="dxa"/>
            <w:tcBorders>
              <w:top w:val="single" w:color="000000" w:sz="4" w:space="0"/>
              <w:bottom w:val="single" w:color="000000" w:sz="4" w:space="0"/>
              <w:right w:val="single" w:color="000000" w:sz="4" w:space="0"/>
            </w:tcBorders>
            <w:vAlign w:val="center"/>
          </w:tcPr>
          <w:p>
            <w:pPr>
              <w:widowControl/>
              <w:jc w:val="center"/>
            </w:pPr>
            <w:r>
              <w:rPr>
                <w:rFonts w:hint="eastAsia" w:ascii="宋体" w:hAnsi="宋体" w:cs="宋体"/>
                <w:b/>
                <w:bCs/>
                <w:color w:val="000000"/>
                <w:kern w:val="0"/>
                <w:sz w:val="18"/>
                <w:szCs w:val="18"/>
              </w:rPr>
              <w:t>大型</w:t>
            </w:r>
          </w:p>
        </w:tc>
        <w:tc>
          <w:tcPr>
            <w:tcW w:w="1701" w:type="dxa"/>
            <w:tcBorders>
              <w:top w:val="single" w:color="000000" w:sz="4" w:space="0"/>
              <w:bottom w:val="single" w:color="000000" w:sz="4" w:space="0"/>
              <w:right w:val="single" w:color="000000" w:sz="4" w:space="0"/>
            </w:tcBorders>
            <w:vAlign w:val="center"/>
          </w:tcPr>
          <w:p>
            <w:pPr>
              <w:widowControl/>
              <w:jc w:val="center"/>
            </w:pPr>
            <w:r>
              <w:rPr>
                <w:rFonts w:hint="eastAsia" w:ascii="宋体" w:hAnsi="宋体" w:cs="宋体"/>
                <w:b/>
                <w:bCs/>
                <w:color w:val="000000"/>
                <w:kern w:val="0"/>
                <w:sz w:val="18"/>
                <w:szCs w:val="18"/>
              </w:rPr>
              <w:t>中型</w:t>
            </w:r>
          </w:p>
        </w:tc>
        <w:tc>
          <w:tcPr>
            <w:tcW w:w="1426" w:type="dxa"/>
            <w:tcBorders>
              <w:top w:val="single" w:color="000000" w:sz="4" w:space="0"/>
              <w:bottom w:val="single" w:color="000000" w:sz="4" w:space="0"/>
              <w:right w:val="single" w:color="000000" w:sz="4" w:space="0"/>
            </w:tcBorders>
            <w:vAlign w:val="center"/>
          </w:tcPr>
          <w:p>
            <w:pPr>
              <w:widowControl/>
              <w:jc w:val="center"/>
            </w:pPr>
            <w:r>
              <w:rPr>
                <w:rFonts w:hint="eastAsia" w:ascii="宋体" w:hAnsi="宋体" w:cs="宋体"/>
                <w:b/>
                <w:bCs/>
                <w:color w:val="000000"/>
                <w:kern w:val="0"/>
                <w:sz w:val="18"/>
                <w:szCs w:val="18"/>
              </w:rPr>
              <w:t>小型</w:t>
            </w:r>
          </w:p>
        </w:tc>
        <w:tc>
          <w:tcPr>
            <w:tcW w:w="992" w:type="dxa"/>
            <w:tcBorders>
              <w:top w:val="single" w:color="000000" w:sz="4" w:space="0"/>
              <w:bottom w:val="single" w:color="000000" w:sz="4" w:space="0"/>
            </w:tcBorders>
            <w:vAlign w:val="center"/>
          </w:tcPr>
          <w:p>
            <w:pPr>
              <w:widowControl/>
              <w:jc w:val="center"/>
            </w:pPr>
            <w:r>
              <w:rPr>
                <w:rFonts w:hint="eastAsia" w:ascii="宋体" w:hAnsi="宋体" w:cs="宋体"/>
                <w:b/>
                <w:bCs/>
                <w:color w:val="000000"/>
                <w:kern w:val="0"/>
                <w:sz w:val="18"/>
                <w:szCs w:val="18"/>
              </w:rPr>
              <w:t>微型</w:t>
            </w:r>
          </w:p>
        </w:tc>
      </w:tr>
      <w:tr>
        <w:tblPrEx>
          <w:tblCellMar>
            <w:top w:w="0" w:type="dxa"/>
            <w:left w:w="108" w:type="dxa"/>
            <w:bottom w:w="0" w:type="dxa"/>
            <w:right w:w="108" w:type="dxa"/>
          </w:tblCellMar>
        </w:tblPrEx>
        <w:trPr>
          <w:trHeight w:val="366" w:hRule="exact"/>
          <w:jc w:val="center"/>
        </w:trPr>
        <w:tc>
          <w:tcPr>
            <w:tcW w:w="2115" w:type="dxa"/>
            <w:tcBorders>
              <w:bottom w:val="single" w:color="000000" w:sz="4" w:space="0"/>
              <w:right w:val="single" w:color="000000" w:sz="4" w:space="0"/>
            </w:tcBorders>
            <w:vAlign w:val="center"/>
          </w:tcPr>
          <w:p>
            <w:pPr>
              <w:widowControl/>
              <w:spacing w:line="240" w:lineRule="exact"/>
              <w:jc w:val="left"/>
            </w:pPr>
            <w:r>
              <w:rPr>
                <w:rFonts w:hint="eastAsia" w:ascii="宋体" w:hAnsi="宋体" w:cs="宋体"/>
                <w:color w:val="000000"/>
                <w:kern w:val="0"/>
                <w:sz w:val="18"/>
                <w:szCs w:val="18"/>
              </w:rPr>
              <w:t>农、林、牧、渔业</w:t>
            </w:r>
          </w:p>
        </w:tc>
        <w:tc>
          <w:tcPr>
            <w:tcW w:w="1369" w:type="dxa"/>
            <w:tcBorders>
              <w:bottom w:val="single" w:color="000000" w:sz="4" w:space="0"/>
              <w:right w:val="single" w:color="000000" w:sz="4" w:space="0"/>
            </w:tcBorders>
            <w:vAlign w:val="center"/>
          </w:tcPr>
          <w:p>
            <w:pPr>
              <w:widowControl/>
              <w:jc w:val="center"/>
            </w:pPr>
            <w:r>
              <w:rPr>
                <w:rFonts w:hint="eastAsia" w:ascii="宋体" w:hAnsi="宋体" w:cs="宋体"/>
                <w:color w:val="000000"/>
                <w:kern w:val="0"/>
                <w:sz w:val="18"/>
                <w:szCs w:val="18"/>
              </w:rPr>
              <w:t>营业收入(Y)</w:t>
            </w:r>
          </w:p>
        </w:tc>
        <w:tc>
          <w:tcPr>
            <w:tcW w:w="708" w:type="dxa"/>
            <w:tcBorders>
              <w:bottom w:val="single" w:color="000000" w:sz="4" w:space="0"/>
              <w:right w:val="single" w:color="000000" w:sz="4" w:space="0"/>
            </w:tcBorders>
            <w:vAlign w:val="center"/>
          </w:tcPr>
          <w:p>
            <w:pPr>
              <w:widowControl/>
              <w:jc w:val="center"/>
            </w:pPr>
            <w:r>
              <w:rPr>
                <w:rFonts w:hint="eastAsia" w:ascii="宋体" w:hAnsi="宋体" w:cs="宋体"/>
                <w:color w:val="000000"/>
                <w:kern w:val="0"/>
                <w:sz w:val="18"/>
                <w:szCs w:val="18"/>
              </w:rPr>
              <w:t>万元</w:t>
            </w:r>
          </w:p>
        </w:tc>
        <w:tc>
          <w:tcPr>
            <w:tcW w:w="1125" w:type="dxa"/>
            <w:tcBorders>
              <w:bottom w:val="single" w:color="000000" w:sz="4" w:space="0"/>
              <w:right w:val="single" w:color="000000" w:sz="4" w:space="0"/>
            </w:tcBorders>
            <w:vAlign w:val="center"/>
          </w:tcPr>
          <w:p>
            <w:pPr>
              <w:widowControl/>
              <w:jc w:val="center"/>
            </w:pPr>
            <w:r>
              <w:rPr>
                <w:rFonts w:hint="eastAsia" w:ascii="宋体" w:hAnsi="宋体" w:cs="宋体"/>
                <w:color w:val="000000"/>
                <w:kern w:val="0"/>
                <w:sz w:val="18"/>
                <w:szCs w:val="18"/>
              </w:rPr>
              <w:t>Y≥20000</w:t>
            </w:r>
          </w:p>
        </w:tc>
        <w:tc>
          <w:tcPr>
            <w:tcW w:w="1701" w:type="dxa"/>
            <w:tcBorders>
              <w:bottom w:val="single" w:color="000000" w:sz="4" w:space="0"/>
              <w:right w:val="single" w:color="000000" w:sz="4" w:space="0"/>
            </w:tcBorders>
            <w:vAlign w:val="center"/>
          </w:tcPr>
          <w:p>
            <w:pPr>
              <w:widowControl/>
              <w:jc w:val="center"/>
            </w:pPr>
            <w:r>
              <w:rPr>
                <w:rFonts w:hint="eastAsia" w:ascii="宋体" w:hAnsi="宋体" w:cs="宋体"/>
                <w:color w:val="000000"/>
                <w:kern w:val="0"/>
                <w:sz w:val="18"/>
                <w:szCs w:val="18"/>
              </w:rPr>
              <w:t xml:space="preserve"> 500≤Y＜20000</w:t>
            </w:r>
          </w:p>
        </w:tc>
        <w:tc>
          <w:tcPr>
            <w:tcW w:w="1426" w:type="dxa"/>
            <w:tcBorders>
              <w:bottom w:val="single" w:color="000000" w:sz="4" w:space="0"/>
              <w:right w:val="single" w:color="000000" w:sz="4" w:space="0"/>
            </w:tcBorders>
            <w:vAlign w:val="center"/>
          </w:tcPr>
          <w:p>
            <w:pPr>
              <w:widowControl/>
              <w:jc w:val="center"/>
            </w:pPr>
            <w:r>
              <w:rPr>
                <w:rFonts w:hint="eastAsia" w:ascii="宋体" w:hAnsi="宋体" w:cs="宋体"/>
                <w:color w:val="000000"/>
                <w:kern w:val="0"/>
                <w:sz w:val="18"/>
                <w:szCs w:val="18"/>
              </w:rPr>
              <w:t xml:space="preserve"> 50≤Y＜500</w:t>
            </w:r>
          </w:p>
        </w:tc>
        <w:tc>
          <w:tcPr>
            <w:tcW w:w="992" w:type="dxa"/>
            <w:tcBorders>
              <w:bottom w:val="single" w:color="000000" w:sz="4" w:space="0"/>
            </w:tcBorders>
            <w:vAlign w:val="center"/>
          </w:tcPr>
          <w:p>
            <w:pPr>
              <w:widowControl/>
              <w:jc w:val="center"/>
            </w:pPr>
            <w:r>
              <w:rPr>
                <w:rFonts w:hint="eastAsia" w:ascii="宋体" w:hAnsi="宋体" w:cs="宋体"/>
                <w:color w:val="000000"/>
                <w:kern w:val="0"/>
                <w:sz w:val="18"/>
                <w:szCs w:val="18"/>
              </w:rPr>
              <w:t>Y＜50</w:t>
            </w:r>
          </w:p>
        </w:tc>
      </w:tr>
      <w:tr>
        <w:tblPrEx>
          <w:tblCellMar>
            <w:top w:w="0" w:type="dxa"/>
            <w:left w:w="108" w:type="dxa"/>
            <w:bottom w:w="0" w:type="dxa"/>
            <w:right w:w="108" w:type="dxa"/>
          </w:tblCellMar>
        </w:tblPrEx>
        <w:trPr>
          <w:trHeight w:val="366" w:hRule="exact"/>
          <w:jc w:val="center"/>
        </w:trPr>
        <w:tc>
          <w:tcPr>
            <w:tcW w:w="2115" w:type="dxa"/>
            <w:vMerge w:val="restart"/>
            <w:tcBorders>
              <w:bottom w:val="single" w:color="000000" w:sz="4" w:space="0"/>
              <w:right w:val="single" w:color="000000" w:sz="4" w:space="0"/>
            </w:tcBorders>
            <w:vAlign w:val="center"/>
          </w:tcPr>
          <w:p>
            <w:pPr>
              <w:widowControl/>
              <w:spacing w:line="240" w:lineRule="exact"/>
              <w:jc w:val="left"/>
            </w:pPr>
            <w:r>
              <w:rPr>
                <w:rFonts w:hint="eastAsia" w:ascii="宋体" w:hAnsi="宋体" w:cs="宋体"/>
                <w:color w:val="000000"/>
                <w:kern w:val="0"/>
                <w:sz w:val="18"/>
                <w:szCs w:val="18"/>
              </w:rPr>
              <w:t>工业 *</w:t>
            </w:r>
          </w:p>
        </w:tc>
        <w:tc>
          <w:tcPr>
            <w:tcW w:w="1369" w:type="dxa"/>
            <w:tcBorders>
              <w:right w:val="single" w:color="000000" w:sz="4" w:space="0"/>
            </w:tcBorders>
            <w:vAlign w:val="center"/>
          </w:tcPr>
          <w:p>
            <w:pPr>
              <w:widowControl/>
              <w:jc w:val="center"/>
            </w:pPr>
            <w:r>
              <w:rPr>
                <w:rFonts w:hint="eastAsia" w:ascii="宋体" w:hAnsi="宋体" w:cs="宋体"/>
                <w:color w:val="000000"/>
                <w:kern w:val="0"/>
                <w:sz w:val="18"/>
                <w:szCs w:val="18"/>
              </w:rPr>
              <w:t>从业人员(X)</w:t>
            </w:r>
          </w:p>
        </w:tc>
        <w:tc>
          <w:tcPr>
            <w:tcW w:w="708" w:type="dxa"/>
            <w:tcBorders>
              <w:right w:val="single" w:color="000000" w:sz="4" w:space="0"/>
            </w:tcBorders>
            <w:vAlign w:val="center"/>
          </w:tcPr>
          <w:p>
            <w:pPr>
              <w:widowControl/>
              <w:jc w:val="center"/>
            </w:pPr>
            <w:r>
              <w:rPr>
                <w:rFonts w:hint="eastAsia" w:ascii="宋体" w:hAnsi="宋体" w:cs="宋体"/>
                <w:color w:val="000000"/>
                <w:kern w:val="0"/>
                <w:sz w:val="18"/>
                <w:szCs w:val="18"/>
              </w:rPr>
              <w:t>人</w:t>
            </w:r>
          </w:p>
        </w:tc>
        <w:tc>
          <w:tcPr>
            <w:tcW w:w="1125" w:type="dxa"/>
            <w:tcBorders>
              <w:right w:val="single" w:color="000000" w:sz="4" w:space="0"/>
            </w:tcBorders>
            <w:vAlign w:val="center"/>
          </w:tcPr>
          <w:p>
            <w:pPr>
              <w:widowControl/>
              <w:jc w:val="center"/>
            </w:pPr>
            <w:r>
              <w:rPr>
                <w:rFonts w:hint="eastAsia" w:ascii="宋体" w:hAnsi="宋体" w:cs="宋体"/>
                <w:color w:val="000000"/>
                <w:kern w:val="0"/>
                <w:sz w:val="18"/>
                <w:szCs w:val="18"/>
              </w:rPr>
              <w:t>X≥1000</w:t>
            </w:r>
          </w:p>
        </w:tc>
        <w:tc>
          <w:tcPr>
            <w:tcW w:w="1701" w:type="dxa"/>
            <w:tcBorders>
              <w:right w:val="single" w:color="000000" w:sz="4" w:space="0"/>
            </w:tcBorders>
            <w:vAlign w:val="center"/>
          </w:tcPr>
          <w:p>
            <w:pPr>
              <w:widowControl/>
              <w:jc w:val="center"/>
            </w:pPr>
            <w:r>
              <w:rPr>
                <w:rFonts w:hint="eastAsia" w:ascii="宋体" w:hAnsi="宋体" w:cs="宋体"/>
                <w:color w:val="000000"/>
                <w:kern w:val="0"/>
                <w:sz w:val="18"/>
                <w:szCs w:val="18"/>
              </w:rPr>
              <w:t>300≤X＜1000</w:t>
            </w:r>
          </w:p>
        </w:tc>
        <w:tc>
          <w:tcPr>
            <w:tcW w:w="1426" w:type="dxa"/>
            <w:tcBorders>
              <w:right w:val="single" w:color="000000" w:sz="4" w:space="0"/>
            </w:tcBorders>
            <w:vAlign w:val="center"/>
          </w:tcPr>
          <w:p>
            <w:pPr>
              <w:widowControl/>
              <w:jc w:val="center"/>
            </w:pPr>
            <w:r>
              <w:rPr>
                <w:rFonts w:hint="eastAsia" w:ascii="宋体" w:hAnsi="宋体" w:cs="宋体"/>
                <w:color w:val="000000"/>
                <w:kern w:val="0"/>
                <w:sz w:val="18"/>
                <w:szCs w:val="18"/>
              </w:rPr>
              <w:t xml:space="preserve"> 20≤X＜300</w:t>
            </w:r>
          </w:p>
        </w:tc>
        <w:tc>
          <w:tcPr>
            <w:tcW w:w="992" w:type="dxa"/>
            <w:vAlign w:val="center"/>
          </w:tcPr>
          <w:p>
            <w:pPr>
              <w:widowControl/>
              <w:jc w:val="center"/>
            </w:pPr>
            <w:r>
              <w:rPr>
                <w:rFonts w:hint="eastAsia" w:ascii="宋体" w:hAnsi="宋体" w:cs="宋体"/>
                <w:color w:val="000000"/>
                <w:kern w:val="0"/>
                <w:sz w:val="18"/>
                <w:szCs w:val="18"/>
              </w:rPr>
              <w:t>X＜20</w:t>
            </w:r>
          </w:p>
        </w:tc>
      </w:tr>
      <w:tr>
        <w:tblPrEx>
          <w:tblCellMar>
            <w:top w:w="0" w:type="dxa"/>
            <w:left w:w="108" w:type="dxa"/>
            <w:bottom w:w="0" w:type="dxa"/>
            <w:right w:w="108" w:type="dxa"/>
          </w:tblCellMar>
        </w:tblPrEx>
        <w:trPr>
          <w:trHeight w:val="366" w:hRule="exact"/>
          <w:jc w:val="center"/>
        </w:trPr>
        <w:tc>
          <w:tcPr>
            <w:tcW w:w="2115" w:type="dxa"/>
            <w:vMerge w:val="continue"/>
            <w:tcBorders>
              <w:bottom w:val="single" w:color="000000" w:sz="4" w:space="0"/>
              <w:right w:val="single" w:color="000000" w:sz="4" w:space="0"/>
            </w:tcBorders>
            <w:vAlign w:val="center"/>
          </w:tcPr>
          <w:p>
            <w:pPr>
              <w:widowControl/>
              <w:snapToGrid w:val="0"/>
              <w:jc w:val="left"/>
              <w:rPr>
                <w:rFonts w:ascii="宋体" w:hAnsi="宋体" w:cs="宋体"/>
                <w:color w:val="000000"/>
                <w:kern w:val="0"/>
                <w:sz w:val="18"/>
                <w:szCs w:val="18"/>
              </w:rPr>
            </w:pPr>
          </w:p>
        </w:tc>
        <w:tc>
          <w:tcPr>
            <w:tcW w:w="1369" w:type="dxa"/>
            <w:tcBorders>
              <w:bottom w:val="single" w:color="000000" w:sz="4" w:space="0"/>
              <w:right w:val="single" w:color="000000" w:sz="4" w:space="0"/>
            </w:tcBorders>
            <w:vAlign w:val="center"/>
          </w:tcPr>
          <w:p>
            <w:pPr>
              <w:widowControl/>
              <w:spacing w:line="240" w:lineRule="exact"/>
              <w:jc w:val="center"/>
            </w:pPr>
            <w:r>
              <w:rPr>
                <w:rFonts w:hint="eastAsia" w:ascii="宋体" w:hAnsi="宋体" w:cs="宋体"/>
                <w:color w:val="000000"/>
                <w:kern w:val="0"/>
                <w:sz w:val="18"/>
                <w:szCs w:val="18"/>
              </w:rPr>
              <w:t>营业收入(Y)</w:t>
            </w:r>
          </w:p>
        </w:tc>
        <w:tc>
          <w:tcPr>
            <w:tcW w:w="708" w:type="dxa"/>
            <w:tcBorders>
              <w:bottom w:val="single" w:color="000000" w:sz="4" w:space="0"/>
              <w:right w:val="single" w:color="000000" w:sz="4" w:space="0"/>
            </w:tcBorders>
            <w:vAlign w:val="center"/>
          </w:tcPr>
          <w:p>
            <w:pPr>
              <w:widowControl/>
              <w:jc w:val="center"/>
            </w:pPr>
            <w:r>
              <w:rPr>
                <w:rFonts w:hint="eastAsia" w:ascii="宋体" w:hAnsi="宋体" w:cs="宋体"/>
                <w:color w:val="000000"/>
                <w:kern w:val="0"/>
                <w:sz w:val="18"/>
                <w:szCs w:val="18"/>
              </w:rPr>
              <w:t>万元</w:t>
            </w:r>
          </w:p>
        </w:tc>
        <w:tc>
          <w:tcPr>
            <w:tcW w:w="1125" w:type="dxa"/>
            <w:tcBorders>
              <w:bottom w:val="single" w:color="000000" w:sz="4" w:space="0"/>
              <w:right w:val="single" w:color="000000" w:sz="4" w:space="0"/>
            </w:tcBorders>
            <w:vAlign w:val="center"/>
          </w:tcPr>
          <w:p>
            <w:pPr>
              <w:widowControl/>
              <w:jc w:val="center"/>
            </w:pPr>
            <w:r>
              <w:rPr>
                <w:rFonts w:hint="eastAsia" w:ascii="宋体" w:hAnsi="宋体" w:cs="宋体"/>
                <w:color w:val="000000"/>
                <w:kern w:val="0"/>
                <w:sz w:val="18"/>
                <w:szCs w:val="18"/>
              </w:rPr>
              <w:t>Y≥40000</w:t>
            </w:r>
          </w:p>
        </w:tc>
        <w:tc>
          <w:tcPr>
            <w:tcW w:w="1701" w:type="dxa"/>
            <w:tcBorders>
              <w:bottom w:val="single" w:color="000000" w:sz="4" w:space="0"/>
              <w:right w:val="single" w:color="000000" w:sz="4" w:space="0"/>
            </w:tcBorders>
            <w:vAlign w:val="center"/>
          </w:tcPr>
          <w:p>
            <w:pPr>
              <w:widowControl/>
              <w:jc w:val="center"/>
            </w:pPr>
            <w:r>
              <w:rPr>
                <w:rFonts w:hint="eastAsia" w:ascii="宋体" w:hAnsi="宋体" w:cs="宋体"/>
                <w:color w:val="000000"/>
                <w:kern w:val="0"/>
                <w:sz w:val="18"/>
                <w:szCs w:val="18"/>
              </w:rPr>
              <w:t>2000≤Y＜40000</w:t>
            </w:r>
          </w:p>
        </w:tc>
        <w:tc>
          <w:tcPr>
            <w:tcW w:w="1426" w:type="dxa"/>
            <w:tcBorders>
              <w:bottom w:val="single" w:color="000000" w:sz="4" w:space="0"/>
              <w:right w:val="single" w:color="000000" w:sz="4" w:space="0"/>
            </w:tcBorders>
            <w:vAlign w:val="center"/>
          </w:tcPr>
          <w:p>
            <w:pPr>
              <w:widowControl/>
              <w:jc w:val="center"/>
            </w:pPr>
            <w:r>
              <w:rPr>
                <w:rFonts w:hint="eastAsia" w:ascii="宋体" w:hAnsi="宋体" w:cs="宋体"/>
                <w:color w:val="000000"/>
                <w:kern w:val="0"/>
                <w:sz w:val="18"/>
                <w:szCs w:val="18"/>
              </w:rPr>
              <w:t xml:space="preserve"> 300≤Y＜2000</w:t>
            </w:r>
          </w:p>
        </w:tc>
        <w:tc>
          <w:tcPr>
            <w:tcW w:w="992" w:type="dxa"/>
            <w:tcBorders>
              <w:bottom w:val="single" w:color="000000" w:sz="4" w:space="0"/>
            </w:tcBorders>
            <w:vAlign w:val="center"/>
          </w:tcPr>
          <w:p>
            <w:pPr>
              <w:widowControl/>
              <w:jc w:val="center"/>
            </w:pPr>
            <w:r>
              <w:rPr>
                <w:rFonts w:hint="eastAsia" w:ascii="宋体" w:hAnsi="宋体" w:cs="宋体"/>
                <w:color w:val="000000"/>
                <w:kern w:val="0"/>
                <w:sz w:val="18"/>
                <w:szCs w:val="18"/>
              </w:rPr>
              <w:t>Y＜300</w:t>
            </w:r>
          </w:p>
        </w:tc>
      </w:tr>
      <w:tr>
        <w:tblPrEx>
          <w:tblCellMar>
            <w:top w:w="0" w:type="dxa"/>
            <w:left w:w="108" w:type="dxa"/>
            <w:bottom w:w="0" w:type="dxa"/>
            <w:right w:w="108" w:type="dxa"/>
          </w:tblCellMar>
        </w:tblPrEx>
        <w:trPr>
          <w:trHeight w:val="366" w:hRule="exact"/>
          <w:jc w:val="center"/>
        </w:trPr>
        <w:tc>
          <w:tcPr>
            <w:tcW w:w="2115" w:type="dxa"/>
            <w:vMerge w:val="restart"/>
            <w:tcBorders>
              <w:bottom w:val="single" w:color="000000" w:sz="4" w:space="0"/>
              <w:right w:val="single" w:color="000000" w:sz="4" w:space="0"/>
            </w:tcBorders>
            <w:vAlign w:val="center"/>
          </w:tcPr>
          <w:p>
            <w:pPr>
              <w:widowControl/>
              <w:spacing w:line="240" w:lineRule="exact"/>
              <w:jc w:val="left"/>
            </w:pPr>
            <w:r>
              <w:rPr>
                <w:rFonts w:hint="eastAsia" w:ascii="宋体" w:hAnsi="宋体" w:cs="宋体"/>
                <w:color w:val="000000"/>
                <w:kern w:val="0"/>
                <w:sz w:val="18"/>
                <w:szCs w:val="18"/>
              </w:rPr>
              <w:t>建筑业</w:t>
            </w:r>
          </w:p>
        </w:tc>
        <w:tc>
          <w:tcPr>
            <w:tcW w:w="1369" w:type="dxa"/>
            <w:tcBorders>
              <w:right w:val="single" w:color="000000" w:sz="4" w:space="0"/>
            </w:tcBorders>
            <w:vAlign w:val="center"/>
          </w:tcPr>
          <w:p>
            <w:pPr>
              <w:widowControl/>
              <w:jc w:val="center"/>
            </w:pPr>
            <w:r>
              <w:rPr>
                <w:rFonts w:hint="eastAsia" w:ascii="宋体" w:hAnsi="宋体" w:cs="宋体"/>
                <w:color w:val="000000"/>
                <w:kern w:val="0"/>
                <w:sz w:val="18"/>
                <w:szCs w:val="18"/>
              </w:rPr>
              <w:t>营业收入(Y)</w:t>
            </w:r>
          </w:p>
        </w:tc>
        <w:tc>
          <w:tcPr>
            <w:tcW w:w="708" w:type="dxa"/>
            <w:tcBorders>
              <w:right w:val="single" w:color="000000" w:sz="4" w:space="0"/>
            </w:tcBorders>
            <w:vAlign w:val="center"/>
          </w:tcPr>
          <w:p>
            <w:pPr>
              <w:widowControl/>
              <w:jc w:val="center"/>
            </w:pPr>
            <w:r>
              <w:rPr>
                <w:rFonts w:hint="eastAsia" w:ascii="宋体" w:hAnsi="宋体" w:cs="宋体"/>
                <w:color w:val="000000"/>
                <w:kern w:val="0"/>
                <w:sz w:val="18"/>
                <w:szCs w:val="18"/>
              </w:rPr>
              <w:t>万元</w:t>
            </w:r>
          </w:p>
        </w:tc>
        <w:tc>
          <w:tcPr>
            <w:tcW w:w="1125" w:type="dxa"/>
            <w:tcBorders>
              <w:right w:val="single" w:color="000000" w:sz="4" w:space="0"/>
            </w:tcBorders>
            <w:vAlign w:val="center"/>
          </w:tcPr>
          <w:p>
            <w:pPr>
              <w:widowControl/>
              <w:jc w:val="center"/>
            </w:pPr>
            <w:r>
              <w:rPr>
                <w:rFonts w:hint="eastAsia" w:ascii="宋体" w:hAnsi="宋体" w:cs="宋体"/>
                <w:color w:val="000000"/>
                <w:kern w:val="0"/>
                <w:sz w:val="18"/>
                <w:szCs w:val="18"/>
              </w:rPr>
              <w:t>Y≥80000</w:t>
            </w:r>
          </w:p>
        </w:tc>
        <w:tc>
          <w:tcPr>
            <w:tcW w:w="1701" w:type="dxa"/>
            <w:tcBorders>
              <w:right w:val="single" w:color="000000" w:sz="4" w:space="0"/>
            </w:tcBorders>
            <w:vAlign w:val="center"/>
          </w:tcPr>
          <w:p>
            <w:pPr>
              <w:widowControl/>
              <w:jc w:val="center"/>
            </w:pPr>
            <w:r>
              <w:rPr>
                <w:rFonts w:hint="eastAsia" w:ascii="宋体" w:hAnsi="宋体" w:cs="宋体"/>
                <w:color w:val="000000"/>
                <w:kern w:val="0"/>
                <w:sz w:val="18"/>
                <w:szCs w:val="18"/>
              </w:rPr>
              <w:t>6000≤Y＜80000</w:t>
            </w:r>
          </w:p>
        </w:tc>
        <w:tc>
          <w:tcPr>
            <w:tcW w:w="1426" w:type="dxa"/>
            <w:tcBorders>
              <w:right w:val="single" w:color="000000" w:sz="4" w:space="0"/>
            </w:tcBorders>
            <w:vAlign w:val="center"/>
          </w:tcPr>
          <w:p>
            <w:pPr>
              <w:widowControl/>
              <w:jc w:val="center"/>
            </w:pPr>
            <w:r>
              <w:rPr>
                <w:rFonts w:hint="eastAsia" w:ascii="宋体" w:hAnsi="宋体" w:cs="宋体"/>
                <w:color w:val="000000"/>
                <w:kern w:val="0"/>
                <w:sz w:val="18"/>
                <w:szCs w:val="18"/>
              </w:rPr>
              <w:t xml:space="preserve"> 300≤Y＜6000</w:t>
            </w:r>
          </w:p>
        </w:tc>
        <w:tc>
          <w:tcPr>
            <w:tcW w:w="992" w:type="dxa"/>
            <w:vAlign w:val="center"/>
          </w:tcPr>
          <w:p>
            <w:pPr>
              <w:widowControl/>
              <w:jc w:val="center"/>
            </w:pPr>
            <w:r>
              <w:rPr>
                <w:rFonts w:hint="eastAsia" w:ascii="宋体" w:hAnsi="宋体" w:cs="宋体"/>
                <w:color w:val="000000"/>
                <w:kern w:val="0"/>
                <w:sz w:val="18"/>
                <w:szCs w:val="18"/>
              </w:rPr>
              <w:t>Y＜300</w:t>
            </w:r>
          </w:p>
        </w:tc>
      </w:tr>
      <w:tr>
        <w:tblPrEx>
          <w:tblCellMar>
            <w:top w:w="0" w:type="dxa"/>
            <w:left w:w="108" w:type="dxa"/>
            <w:bottom w:w="0" w:type="dxa"/>
            <w:right w:w="108" w:type="dxa"/>
          </w:tblCellMar>
        </w:tblPrEx>
        <w:trPr>
          <w:trHeight w:val="366" w:hRule="exact"/>
          <w:jc w:val="center"/>
        </w:trPr>
        <w:tc>
          <w:tcPr>
            <w:tcW w:w="2115" w:type="dxa"/>
            <w:vMerge w:val="continue"/>
            <w:tcBorders>
              <w:bottom w:val="single" w:color="000000" w:sz="4" w:space="0"/>
              <w:right w:val="single" w:color="000000" w:sz="4" w:space="0"/>
            </w:tcBorders>
            <w:vAlign w:val="center"/>
          </w:tcPr>
          <w:p>
            <w:pPr>
              <w:widowControl/>
              <w:snapToGrid w:val="0"/>
              <w:jc w:val="left"/>
              <w:rPr>
                <w:rFonts w:ascii="宋体" w:hAnsi="宋体" w:cs="宋体"/>
                <w:color w:val="000000"/>
                <w:kern w:val="0"/>
                <w:sz w:val="18"/>
                <w:szCs w:val="18"/>
              </w:rPr>
            </w:pPr>
          </w:p>
        </w:tc>
        <w:tc>
          <w:tcPr>
            <w:tcW w:w="1369" w:type="dxa"/>
            <w:tcBorders>
              <w:bottom w:val="single" w:color="000000" w:sz="4" w:space="0"/>
              <w:right w:val="single" w:color="000000" w:sz="4" w:space="0"/>
            </w:tcBorders>
            <w:vAlign w:val="center"/>
          </w:tcPr>
          <w:p>
            <w:pPr>
              <w:widowControl/>
              <w:spacing w:line="240" w:lineRule="exact"/>
              <w:jc w:val="center"/>
            </w:pPr>
            <w:r>
              <w:rPr>
                <w:rFonts w:hint="eastAsia" w:ascii="宋体" w:hAnsi="宋体" w:cs="宋体"/>
                <w:color w:val="000000"/>
                <w:kern w:val="0"/>
                <w:sz w:val="18"/>
                <w:szCs w:val="18"/>
              </w:rPr>
              <w:t>资产总额(Z)</w:t>
            </w:r>
          </w:p>
        </w:tc>
        <w:tc>
          <w:tcPr>
            <w:tcW w:w="708" w:type="dxa"/>
            <w:tcBorders>
              <w:bottom w:val="single" w:color="000000" w:sz="4" w:space="0"/>
              <w:right w:val="single" w:color="000000" w:sz="4" w:space="0"/>
            </w:tcBorders>
            <w:vAlign w:val="center"/>
          </w:tcPr>
          <w:p>
            <w:pPr>
              <w:widowControl/>
              <w:jc w:val="center"/>
            </w:pPr>
            <w:r>
              <w:rPr>
                <w:rFonts w:hint="eastAsia" w:ascii="宋体" w:hAnsi="宋体" w:cs="宋体"/>
                <w:color w:val="000000"/>
                <w:kern w:val="0"/>
                <w:sz w:val="18"/>
                <w:szCs w:val="18"/>
              </w:rPr>
              <w:t>万元</w:t>
            </w:r>
          </w:p>
        </w:tc>
        <w:tc>
          <w:tcPr>
            <w:tcW w:w="1125" w:type="dxa"/>
            <w:tcBorders>
              <w:bottom w:val="single" w:color="000000" w:sz="4" w:space="0"/>
              <w:right w:val="single" w:color="000000" w:sz="4" w:space="0"/>
            </w:tcBorders>
            <w:vAlign w:val="center"/>
          </w:tcPr>
          <w:p>
            <w:pPr>
              <w:widowControl/>
              <w:jc w:val="center"/>
            </w:pPr>
            <w:r>
              <w:rPr>
                <w:rFonts w:hint="eastAsia" w:ascii="宋体" w:hAnsi="宋体" w:cs="宋体"/>
                <w:color w:val="000000"/>
                <w:kern w:val="0"/>
                <w:sz w:val="18"/>
                <w:szCs w:val="18"/>
              </w:rPr>
              <w:t>Z≥80000</w:t>
            </w:r>
          </w:p>
        </w:tc>
        <w:tc>
          <w:tcPr>
            <w:tcW w:w="1701" w:type="dxa"/>
            <w:tcBorders>
              <w:bottom w:val="single" w:color="000000" w:sz="4" w:space="0"/>
              <w:right w:val="single" w:color="000000" w:sz="4" w:space="0"/>
            </w:tcBorders>
            <w:vAlign w:val="center"/>
          </w:tcPr>
          <w:p>
            <w:pPr>
              <w:widowControl/>
              <w:jc w:val="center"/>
            </w:pPr>
            <w:r>
              <w:rPr>
                <w:rFonts w:hint="eastAsia" w:ascii="宋体" w:hAnsi="宋体" w:cs="宋体"/>
                <w:color w:val="000000"/>
                <w:kern w:val="0"/>
                <w:sz w:val="18"/>
                <w:szCs w:val="18"/>
              </w:rPr>
              <w:t>5000≤Z＜80000</w:t>
            </w:r>
          </w:p>
        </w:tc>
        <w:tc>
          <w:tcPr>
            <w:tcW w:w="1426" w:type="dxa"/>
            <w:tcBorders>
              <w:bottom w:val="single" w:color="000000" w:sz="4" w:space="0"/>
              <w:right w:val="single" w:color="000000" w:sz="4" w:space="0"/>
            </w:tcBorders>
            <w:vAlign w:val="center"/>
          </w:tcPr>
          <w:p>
            <w:pPr>
              <w:widowControl/>
              <w:jc w:val="center"/>
            </w:pPr>
            <w:r>
              <w:rPr>
                <w:rFonts w:hint="eastAsia" w:ascii="宋体" w:hAnsi="宋体" w:cs="宋体"/>
                <w:color w:val="000000"/>
                <w:kern w:val="0"/>
                <w:sz w:val="18"/>
                <w:szCs w:val="18"/>
              </w:rPr>
              <w:t xml:space="preserve"> 300≤Z＜5000</w:t>
            </w:r>
          </w:p>
        </w:tc>
        <w:tc>
          <w:tcPr>
            <w:tcW w:w="992" w:type="dxa"/>
            <w:tcBorders>
              <w:bottom w:val="single" w:color="000000" w:sz="4" w:space="0"/>
            </w:tcBorders>
            <w:vAlign w:val="center"/>
          </w:tcPr>
          <w:p>
            <w:pPr>
              <w:widowControl/>
              <w:jc w:val="center"/>
            </w:pPr>
            <w:r>
              <w:rPr>
                <w:rFonts w:hint="eastAsia" w:ascii="宋体" w:hAnsi="宋体" w:cs="宋体"/>
                <w:color w:val="000000"/>
                <w:kern w:val="0"/>
                <w:sz w:val="18"/>
                <w:szCs w:val="18"/>
              </w:rPr>
              <w:t>Z＜300</w:t>
            </w:r>
          </w:p>
        </w:tc>
      </w:tr>
      <w:tr>
        <w:tblPrEx>
          <w:tblCellMar>
            <w:top w:w="0" w:type="dxa"/>
            <w:left w:w="108" w:type="dxa"/>
            <w:bottom w:w="0" w:type="dxa"/>
            <w:right w:w="108" w:type="dxa"/>
          </w:tblCellMar>
        </w:tblPrEx>
        <w:trPr>
          <w:trHeight w:val="366" w:hRule="exact"/>
          <w:jc w:val="center"/>
        </w:trPr>
        <w:tc>
          <w:tcPr>
            <w:tcW w:w="2115" w:type="dxa"/>
            <w:vMerge w:val="restart"/>
            <w:tcBorders>
              <w:bottom w:val="single" w:color="000000" w:sz="4" w:space="0"/>
              <w:right w:val="single" w:color="000000" w:sz="4" w:space="0"/>
            </w:tcBorders>
            <w:vAlign w:val="center"/>
          </w:tcPr>
          <w:p>
            <w:pPr>
              <w:widowControl/>
              <w:spacing w:line="240" w:lineRule="exact"/>
              <w:jc w:val="left"/>
            </w:pPr>
            <w:r>
              <w:rPr>
                <w:rFonts w:hint="eastAsia" w:ascii="宋体" w:hAnsi="宋体" w:cs="宋体"/>
                <w:color w:val="000000"/>
                <w:kern w:val="0"/>
                <w:sz w:val="18"/>
                <w:szCs w:val="18"/>
              </w:rPr>
              <w:t>批发业</w:t>
            </w:r>
          </w:p>
        </w:tc>
        <w:tc>
          <w:tcPr>
            <w:tcW w:w="1369" w:type="dxa"/>
            <w:tcBorders>
              <w:right w:val="single" w:color="000000" w:sz="4" w:space="0"/>
            </w:tcBorders>
            <w:vAlign w:val="center"/>
          </w:tcPr>
          <w:p>
            <w:pPr>
              <w:widowControl/>
              <w:jc w:val="center"/>
            </w:pPr>
            <w:r>
              <w:rPr>
                <w:rFonts w:hint="eastAsia" w:ascii="宋体" w:hAnsi="宋体" w:cs="宋体"/>
                <w:color w:val="000000"/>
                <w:kern w:val="0"/>
                <w:sz w:val="18"/>
                <w:szCs w:val="18"/>
              </w:rPr>
              <w:t>从业人员(X)</w:t>
            </w:r>
          </w:p>
        </w:tc>
        <w:tc>
          <w:tcPr>
            <w:tcW w:w="708" w:type="dxa"/>
            <w:tcBorders>
              <w:right w:val="single" w:color="000000" w:sz="4" w:space="0"/>
            </w:tcBorders>
            <w:vAlign w:val="center"/>
          </w:tcPr>
          <w:p>
            <w:pPr>
              <w:widowControl/>
              <w:jc w:val="center"/>
            </w:pPr>
            <w:r>
              <w:rPr>
                <w:rFonts w:hint="eastAsia" w:ascii="宋体" w:hAnsi="宋体" w:cs="宋体"/>
                <w:color w:val="000000"/>
                <w:kern w:val="0"/>
                <w:sz w:val="18"/>
                <w:szCs w:val="18"/>
              </w:rPr>
              <w:t>人</w:t>
            </w:r>
          </w:p>
        </w:tc>
        <w:tc>
          <w:tcPr>
            <w:tcW w:w="1125" w:type="dxa"/>
            <w:tcBorders>
              <w:right w:val="single" w:color="000000" w:sz="4" w:space="0"/>
            </w:tcBorders>
            <w:vAlign w:val="center"/>
          </w:tcPr>
          <w:p>
            <w:pPr>
              <w:widowControl/>
              <w:jc w:val="center"/>
            </w:pPr>
            <w:r>
              <w:rPr>
                <w:rFonts w:hint="eastAsia" w:ascii="宋体" w:hAnsi="宋体" w:cs="宋体"/>
                <w:color w:val="000000"/>
                <w:kern w:val="0"/>
                <w:sz w:val="18"/>
                <w:szCs w:val="18"/>
              </w:rPr>
              <w:t>X≥200</w:t>
            </w:r>
          </w:p>
        </w:tc>
        <w:tc>
          <w:tcPr>
            <w:tcW w:w="1701" w:type="dxa"/>
            <w:tcBorders>
              <w:right w:val="single" w:color="000000" w:sz="4" w:space="0"/>
            </w:tcBorders>
            <w:vAlign w:val="center"/>
          </w:tcPr>
          <w:p>
            <w:pPr>
              <w:widowControl/>
              <w:jc w:val="center"/>
            </w:pPr>
            <w:r>
              <w:rPr>
                <w:rFonts w:hint="eastAsia" w:ascii="宋体" w:hAnsi="宋体" w:cs="宋体"/>
                <w:color w:val="000000"/>
                <w:kern w:val="0"/>
                <w:sz w:val="18"/>
                <w:szCs w:val="18"/>
              </w:rPr>
              <w:t>20≤X＜200</w:t>
            </w:r>
          </w:p>
        </w:tc>
        <w:tc>
          <w:tcPr>
            <w:tcW w:w="1426" w:type="dxa"/>
            <w:tcBorders>
              <w:right w:val="single" w:color="000000" w:sz="4" w:space="0"/>
            </w:tcBorders>
            <w:vAlign w:val="center"/>
          </w:tcPr>
          <w:p>
            <w:pPr>
              <w:widowControl/>
              <w:jc w:val="center"/>
            </w:pPr>
            <w:r>
              <w:rPr>
                <w:rFonts w:hint="eastAsia" w:ascii="宋体" w:hAnsi="宋体" w:cs="宋体"/>
                <w:color w:val="000000"/>
                <w:kern w:val="0"/>
                <w:sz w:val="18"/>
                <w:szCs w:val="18"/>
              </w:rPr>
              <w:t xml:space="preserve"> 5≤X＜20</w:t>
            </w:r>
          </w:p>
        </w:tc>
        <w:tc>
          <w:tcPr>
            <w:tcW w:w="992" w:type="dxa"/>
            <w:vAlign w:val="center"/>
          </w:tcPr>
          <w:p>
            <w:pPr>
              <w:widowControl/>
              <w:jc w:val="center"/>
            </w:pPr>
            <w:r>
              <w:rPr>
                <w:rFonts w:hint="eastAsia" w:ascii="宋体" w:hAnsi="宋体" w:cs="宋体"/>
                <w:color w:val="000000"/>
                <w:kern w:val="0"/>
                <w:sz w:val="18"/>
                <w:szCs w:val="18"/>
              </w:rPr>
              <w:t>X＜5</w:t>
            </w:r>
          </w:p>
        </w:tc>
      </w:tr>
      <w:tr>
        <w:tblPrEx>
          <w:tblCellMar>
            <w:top w:w="0" w:type="dxa"/>
            <w:left w:w="108" w:type="dxa"/>
            <w:bottom w:w="0" w:type="dxa"/>
            <w:right w:w="108" w:type="dxa"/>
          </w:tblCellMar>
        </w:tblPrEx>
        <w:trPr>
          <w:trHeight w:val="366" w:hRule="exact"/>
          <w:jc w:val="center"/>
        </w:trPr>
        <w:tc>
          <w:tcPr>
            <w:tcW w:w="2115" w:type="dxa"/>
            <w:vMerge w:val="continue"/>
            <w:tcBorders>
              <w:bottom w:val="single" w:color="000000" w:sz="4" w:space="0"/>
              <w:right w:val="single" w:color="000000" w:sz="4" w:space="0"/>
            </w:tcBorders>
            <w:vAlign w:val="center"/>
          </w:tcPr>
          <w:p>
            <w:pPr>
              <w:widowControl/>
              <w:snapToGrid w:val="0"/>
              <w:jc w:val="left"/>
              <w:rPr>
                <w:rFonts w:ascii="宋体" w:hAnsi="宋体" w:cs="宋体"/>
                <w:color w:val="000000"/>
                <w:kern w:val="0"/>
                <w:sz w:val="18"/>
                <w:szCs w:val="18"/>
              </w:rPr>
            </w:pPr>
          </w:p>
        </w:tc>
        <w:tc>
          <w:tcPr>
            <w:tcW w:w="1369" w:type="dxa"/>
            <w:tcBorders>
              <w:bottom w:val="single" w:color="000000" w:sz="4" w:space="0"/>
              <w:right w:val="single" w:color="000000" w:sz="4" w:space="0"/>
            </w:tcBorders>
            <w:vAlign w:val="center"/>
          </w:tcPr>
          <w:p>
            <w:pPr>
              <w:widowControl/>
              <w:spacing w:line="240" w:lineRule="exact"/>
              <w:jc w:val="center"/>
            </w:pPr>
            <w:r>
              <w:rPr>
                <w:rFonts w:hint="eastAsia" w:ascii="宋体" w:hAnsi="宋体" w:cs="宋体"/>
                <w:color w:val="000000"/>
                <w:kern w:val="0"/>
                <w:sz w:val="18"/>
                <w:szCs w:val="18"/>
              </w:rPr>
              <w:t>营业收入(Y)</w:t>
            </w:r>
          </w:p>
        </w:tc>
        <w:tc>
          <w:tcPr>
            <w:tcW w:w="708" w:type="dxa"/>
            <w:tcBorders>
              <w:bottom w:val="single" w:color="000000" w:sz="4" w:space="0"/>
              <w:right w:val="single" w:color="000000" w:sz="4" w:space="0"/>
            </w:tcBorders>
            <w:vAlign w:val="center"/>
          </w:tcPr>
          <w:p>
            <w:pPr>
              <w:widowControl/>
              <w:jc w:val="center"/>
            </w:pPr>
            <w:r>
              <w:rPr>
                <w:rFonts w:hint="eastAsia" w:ascii="宋体" w:hAnsi="宋体" w:cs="宋体"/>
                <w:color w:val="000000"/>
                <w:kern w:val="0"/>
                <w:sz w:val="18"/>
                <w:szCs w:val="18"/>
              </w:rPr>
              <w:t>万元</w:t>
            </w:r>
          </w:p>
        </w:tc>
        <w:tc>
          <w:tcPr>
            <w:tcW w:w="1125" w:type="dxa"/>
            <w:tcBorders>
              <w:bottom w:val="single" w:color="000000" w:sz="4" w:space="0"/>
              <w:right w:val="single" w:color="000000" w:sz="4" w:space="0"/>
            </w:tcBorders>
            <w:vAlign w:val="center"/>
          </w:tcPr>
          <w:p>
            <w:pPr>
              <w:widowControl/>
              <w:jc w:val="center"/>
            </w:pPr>
            <w:r>
              <w:rPr>
                <w:rFonts w:hint="eastAsia" w:ascii="宋体" w:hAnsi="宋体" w:cs="宋体"/>
                <w:color w:val="000000"/>
                <w:kern w:val="0"/>
                <w:sz w:val="18"/>
                <w:szCs w:val="18"/>
              </w:rPr>
              <w:t>Y≥40000</w:t>
            </w:r>
          </w:p>
        </w:tc>
        <w:tc>
          <w:tcPr>
            <w:tcW w:w="1701" w:type="dxa"/>
            <w:tcBorders>
              <w:bottom w:val="single" w:color="000000" w:sz="4" w:space="0"/>
              <w:right w:val="single" w:color="000000" w:sz="4" w:space="0"/>
            </w:tcBorders>
            <w:vAlign w:val="center"/>
          </w:tcPr>
          <w:p>
            <w:pPr>
              <w:widowControl/>
              <w:jc w:val="center"/>
            </w:pPr>
            <w:r>
              <w:rPr>
                <w:rFonts w:hint="eastAsia" w:ascii="宋体" w:hAnsi="宋体" w:cs="宋体"/>
                <w:color w:val="000000"/>
                <w:kern w:val="0"/>
                <w:sz w:val="18"/>
                <w:szCs w:val="18"/>
              </w:rPr>
              <w:t>5000≤Y＜40000</w:t>
            </w:r>
          </w:p>
        </w:tc>
        <w:tc>
          <w:tcPr>
            <w:tcW w:w="1426" w:type="dxa"/>
            <w:tcBorders>
              <w:bottom w:val="single" w:color="000000" w:sz="4" w:space="0"/>
              <w:right w:val="single" w:color="000000" w:sz="4" w:space="0"/>
            </w:tcBorders>
            <w:vAlign w:val="center"/>
          </w:tcPr>
          <w:p>
            <w:pPr>
              <w:widowControl/>
              <w:ind w:left="-1" w:hanging="1"/>
              <w:jc w:val="center"/>
            </w:pPr>
            <w:r>
              <w:rPr>
                <w:rFonts w:hint="eastAsia" w:ascii="宋体" w:hAnsi="宋体" w:cs="宋体"/>
                <w:color w:val="000000"/>
                <w:kern w:val="0"/>
                <w:sz w:val="18"/>
                <w:szCs w:val="18"/>
              </w:rPr>
              <w:t>1000≤Y＜5000</w:t>
            </w:r>
          </w:p>
        </w:tc>
        <w:tc>
          <w:tcPr>
            <w:tcW w:w="992" w:type="dxa"/>
            <w:tcBorders>
              <w:bottom w:val="single" w:color="000000" w:sz="4" w:space="0"/>
            </w:tcBorders>
            <w:vAlign w:val="center"/>
          </w:tcPr>
          <w:p>
            <w:pPr>
              <w:widowControl/>
              <w:jc w:val="center"/>
            </w:pPr>
            <w:r>
              <w:rPr>
                <w:rFonts w:hint="eastAsia" w:ascii="宋体" w:hAnsi="宋体" w:cs="宋体"/>
                <w:color w:val="000000"/>
                <w:kern w:val="0"/>
                <w:sz w:val="18"/>
                <w:szCs w:val="18"/>
              </w:rPr>
              <w:t>Y＜1000</w:t>
            </w:r>
          </w:p>
        </w:tc>
      </w:tr>
      <w:tr>
        <w:tblPrEx>
          <w:tblCellMar>
            <w:top w:w="0" w:type="dxa"/>
            <w:left w:w="108" w:type="dxa"/>
            <w:bottom w:w="0" w:type="dxa"/>
            <w:right w:w="108" w:type="dxa"/>
          </w:tblCellMar>
        </w:tblPrEx>
        <w:trPr>
          <w:trHeight w:val="366" w:hRule="exact"/>
          <w:jc w:val="center"/>
        </w:trPr>
        <w:tc>
          <w:tcPr>
            <w:tcW w:w="2115" w:type="dxa"/>
            <w:vMerge w:val="restart"/>
            <w:tcBorders>
              <w:bottom w:val="single" w:color="000000" w:sz="4" w:space="0"/>
              <w:right w:val="single" w:color="000000" w:sz="4" w:space="0"/>
            </w:tcBorders>
            <w:vAlign w:val="center"/>
          </w:tcPr>
          <w:p>
            <w:pPr>
              <w:widowControl/>
              <w:spacing w:line="240" w:lineRule="exact"/>
              <w:jc w:val="left"/>
            </w:pPr>
            <w:r>
              <w:rPr>
                <w:rFonts w:hint="eastAsia" w:ascii="宋体" w:hAnsi="宋体" w:cs="宋体"/>
                <w:color w:val="000000"/>
                <w:kern w:val="0"/>
                <w:sz w:val="18"/>
                <w:szCs w:val="18"/>
              </w:rPr>
              <w:t>零售业</w:t>
            </w:r>
          </w:p>
        </w:tc>
        <w:tc>
          <w:tcPr>
            <w:tcW w:w="1369" w:type="dxa"/>
            <w:tcBorders>
              <w:right w:val="single" w:color="000000" w:sz="4" w:space="0"/>
            </w:tcBorders>
            <w:vAlign w:val="center"/>
          </w:tcPr>
          <w:p>
            <w:pPr>
              <w:widowControl/>
              <w:jc w:val="center"/>
            </w:pPr>
            <w:r>
              <w:rPr>
                <w:rFonts w:hint="eastAsia" w:ascii="宋体" w:hAnsi="宋体" w:cs="宋体"/>
                <w:color w:val="000000"/>
                <w:kern w:val="0"/>
                <w:sz w:val="18"/>
                <w:szCs w:val="18"/>
              </w:rPr>
              <w:t>从业人员(X)</w:t>
            </w:r>
          </w:p>
        </w:tc>
        <w:tc>
          <w:tcPr>
            <w:tcW w:w="708" w:type="dxa"/>
            <w:tcBorders>
              <w:right w:val="single" w:color="000000" w:sz="4" w:space="0"/>
            </w:tcBorders>
            <w:vAlign w:val="center"/>
          </w:tcPr>
          <w:p>
            <w:pPr>
              <w:widowControl/>
              <w:jc w:val="center"/>
            </w:pPr>
            <w:r>
              <w:rPr>
                <w:rFonts w:hint="eastAsia" w:ascii="宋体" w:hAnsi="宋体" w:cs="宋体"/>
                <w:color w:val="000000"/>
                <w:kern w:val="0"/>
                <w:sz w:val="18"/>
                <w:szCs w:val="18"/>
              </w:rPr>
              <w:t>人</w:t>
            </w:r>
          </w:p>
        </w:tc>
        <w:tc>
          <w:tcPr>
            <w:tcW w:w="1125" w:type="dxa"/>
            <w:tcBorders>
              <w:right w:val="single" w:color="000000" w:sz="4" w:space="0"/>
            </w:tcBorders>
            <w:vAlign w:val="center"/>
          </w:tcPr>
          <w:p>
            <w:pPr>
              <w:widowControl/>
              <w:jc w:val="center"/>
            </w:pPr>
            <w:r>
              <w:rPr>
                <w:rFonts w:hint="eastAsia" w:ascii="宋体" w:hAnsi="宋体" w:cs="宋体"/>
                <w:color w:val="000000"/>
                <w:kern w:val="0"/>
                <w:sz w:val="18"/>
                <w:szCs w:val="18"/>
              </w:rPr>
              <w:t>X≥300</w:t>
            </w:r>
          </w:p>
        </w:tc>
        <w:tc>
          <w:tcPr>
            <w:tcW w:w="1701" w:type="dxa"/>
            <w:tcBorders>
              <w:right w:val="single" w:color="000000" w:sz="4" w:space="0"/>
            </w:tcBorders>
            <w:vAlign w:val="center"/>
          </w:tcPr>
          <w:p>
            <w:pPr>
              <w:widowControl/>
              <w:jc w:val="center"/>
            </w:pPr>
            <w:r>
              <w:rPr>
                <w:rFonts w:hint="eastAsia" w:ascii="宋体" w:hAnsi="宋体" w:cs="宋体"/>
                <w:color w:val="000000"/>
                <w:kern w:val="0"/>
                <w:sz w:val="18"/>
                <w:szCs w:val="18"/>
              </w:rPr>
              <w:t>50≤X＜300</w:t>
            </w:r>
          </w:p>
        </w:tc>
        <w:tc>
          <w:tcPr>
            <w:tcW w:w="1426" w:type="dxa"/>
            <w:tcBorders>
              <w:right w:val="single" w:color="000000" w:sz="4" w:space="0"/>
            </w:tcBorders>
            <w:vAlign w:val="center"/>
          </w:tcPr>
          <w:p>
            <w:pPr>
              <w:widowControl/>
              <w:ind w:left="-1" w:hanging="1"/>
              <w:jc w:val="center"/>
            </w:pPr>
            <w:r>
              <w:rPr>
                <w:rFonts w:hint="eastAsia" w:ascii="宋体" w:hAnsi="宋体" w:cs="宋体"/>
                <w:color w:val="000000"/>
                <w:kern w:val="0"/>
                <w:sz w:val="18"/>
                <w:szCs w:val="18"/>
              </w:rPr>
              <w:t xml:space="preserve">10≤X＜50 </w:t>
            </w:r>
          </w:p>
        </w:tc>
        <w:tc>
          <w:tcPr>
            <w:tcW w:w="992" w:type="dxa"/>
            <w:vAlign w:val="center"/>
          </w:tcPr>
          <w:p>
            <w:pPr>
              <w:widowControl/>
              <w:jc w:val="center"/>
            </w:pPr>
            <w:r>
              <w:rPr>
                <w:rFonts w:hint="eastAsia" w:ascii="宋体" w:hAnsi="宋体" w:cs="宋体"/>
                <w:color w:val="000000"/>
                <w:kern w:val="0"/>
                <w:sz w:val="18"/>
                <w:szCs w:val="18"/>
              </w:rPr>
              <w:t>X＜10</w:t>
            </w:r>
          </w:p>
        </w:tc>
      </w:tr>
      <w:tr>
        <w:tblPrEx>
          <w:tblCellMar>
            <w:top w:w="0" w:type="dxa"/>
            <w:left w:w="108" w:type="dxa"/>
            <w:bottom w:w="0" w:type="dxa"/>
            <w:right w:w="108" w:type="dxa"/>
          </w:tblCellMar>
        </w:tblPrEx>
        <w:trPr>
          <w:trHeight w:val="366" w:hRule="exact"/>
          <w:jc w:val="center"/>
        </w:trPr>
        <w:tc>
          <w:tcPr>
            <w:tcW w:w="2115" w:type="dxa"/>
            <w:vMerge w:val="continue"/>
            <w:tcBorders>
              <w:bottom w:val="single" w:color="000000" w:sz="4" w:space="0"/>
              <w:right w:val="single" w:color="000000" w:sz="4" w:space="0"/>
            </w:tcBorders>
            <w:vAlign w:val="center"/>
          </w:tcPr>
          <w:p>
            <w:pPr>
              <w:widowControl/>
              <w:snapToGrid w:val="0"/>
              <w:jc w:val="left"/>
              <w:rPr>
                <w:rFonts w:ascii="宋体" w:hAnsi="宋体" w:cs="宋体"/>
                <w:color w:val="000000"/>
                <w:kern w:val="0"/>
                <w:sz w:val="18"/>
                <w:szCs w:val="18"/>
              </w:rPr>
            </w:pPr>
          </w:p>
        </w:tc>
        <w:tc>
          <w:tcPr>
            <w:tcW w:w="1369" w:type="dxa"/>
            <w:tcBorders>
              <w:bottom w:val="single" w:color="000000" w:sz="4" w:space="0"/>
              <w:right w:val="single" w:color="000000" w:sz="4" w:space="0"/>
            </w:tcBorders>
            <w:vAlign w:val="center"/>
          </w:tcPr>
          <w:p>
            <w:pPr>
              <w:widowControl/>
              <w:spacing w:line="240" w:lineRule="exact"/>
              <w:jc w:val="center"/>
            </w:pPr>
            <w:r>
              <w:rPr>
                <w:rFonts w:hint="eastAsia" w:ascii="宋体" w:hAnsi="宋体" w:cs="宋体"/>
                <w:color w:val="000000"/>
                <w:kern w:val="0"/>
                <w:sz w:val="18"/>
                <w:szCs w:val="18"/>
              </w:rPr>
              <w:t>营业收入(Y)</w:t>
            </w:r>
          </w:p>
        </w:tc>
        <w:tc>
          <w:tcPr>
            <w:tcW w:w="708" w:type="dxa"/>
            <w:tcBorders>
              <w:bottom w:val="single" w:color="000000" w:sz="4" w:space="0"/>
              <w:right w:val="single" w:color="000000" w:sz="4" w:space="0"/>
            </w:tcBorders>
            <w:vAlign w:val="center"/>
          </w:tcPr>
          <w:p>
            <w:pPr>
              <w:widowControl/>
              <w:jc w:val="center"/>
            </w:pPr>
            <w:r>
              <w:rPr>
                <w:rFonts w:hint="eastAsia" w:ascii="宋体" w:hAnsi="宋体" w:cs="宋体"/>
                <w:color w:val="000000"/>
                <w:kern w:val="0"/>
                <w:sz w:val="18"/>
                <w:szCs w:val="18"/>
              </w:rPr>
              <w:t>万元</w:t>
            </w:r>
          </w:p>
        </w:tc>
        <w:tc>
          <w:tcPr>
            <w:tcW w:w="1125" w:type="dxa"/>
            <w:tcBorders>
              <w:bottom w:val="single" w:color="000000" w:sz="4" w:space="0"/>
              <w:right w:val="single" w:color="000000" w:sz="4" w:space="0"/>
            </w:tcBorders>
            <w:vAlign w:val="center"/>
          </w:tcPr>
          <w:p>
            <w:pPr>
              <w:widowControl/>
              <w:jc w:val="center"/>
            </w:pPr>
            <w:r>
              <w:rPr>
                <w:rFonts w:hint="eastAsia" w:ascii="宋体" w:hAnsi="宋体" w:cs="宋体"/>
                <w:color w:val="000000"/>
                <w:kern w:val="0"/>
                <w:sz w:val="18"/>
                <w:szCs w:val="18"/>
              </w:rPr>
              <w:t>Y≥20000</w:t>
            </w:r>
          </w:p>
        </w:tc>
        <w:tc>
          <w:tcPr>
            <w:tcW w:w="1701" w:type="dxa"/>
            <w:tcBorders>
              <w:bottom w:val="single" w:color="000000" w:sz="4" w:space="0"/>
              <w:right w:val="single" w:color="000000" w:sz="4" w:space="0"/>
            </w:tcBorders>
            <w:vAlign w:val="center"/>
          </w:tcPr>
          <w:p>
            <w:pPr>
              <w:widowControl/>
              <w:jc w:val="center"/>
            </w:pPr>
            <w:r>
              <w:rPr>
                <w:rFonts w:hint="eastAsia" w:ascii="宋体" w:hAnsi="宋体" w:cs="宋体"/>
                <w:color w:val="000000"/>
                <w:kern w:val="0"/>
                <w:sz w:val="18"/>
                <w:szCs w:val="18"/>
              </w:rPr>
              <w:t xml:space="preserve"> 500≤Y＜20000</w:t>
            </w:r>
          </w:p>
        </w:tc>
        <w:tc>
          <w:tcPr>
            <w:tcW w:w="1426" w:type="dxa"/>
            <w:tcBorders>
              <w:bottom w:val="single" w:color="000000" w:sz="4" w:space="0"/>
              <w:right w:val="single" w:color="000000" w:sz="4" w:space="0"/>
            </w:tcBorders>
            <w:vAlign w:val="center"/>
          </w:tcPr>
          <w:p>
            <w:pPr>
              <w:widowControl/>
              <w:ind w:left="-1" w:hanging="1"/>
              <w:jc w:val="center"/>
            </w:pPr>
            <w:r>
              <w:rPr>
                <w:rFonts w:hint="eastAsia" w:ascii="宋体" w:hAnsi="宋体" w:cs="宋体"/>
                <w:color w:val="000000"/>
                <w:kern w:val="0"/>
                <w:sz w:val="18"/>
                <w:szCs w:val="18"/>
              </w:rPr>
              <w:t xml:space="preserve">100≤Y＜500 </w:t>
            </w:r>
          </w:p>
        </w:tc>
        <w:tc>
          <w:tcPr>
            <w:tcW w:w="992" w:type="dxa"/>
            <w:tcBorders>
              <w:bottom w:val="single" w:color="000000" w:sz="4" w:space="0"/>
            </w:tcBorders>
            <w:vAlign w:val="center"/>
          </w:tcPr>
          <w:p>
            <w:pPr>
              <w:widowControl/>
              <w:jc w:val="center"/>
            </w:pPr>
            <w:r>
              <w:rPr>
                <w:rFonts w:hint="eastAsia" w:ascii="宋体" w:hAnsi="宋体" w:cs="宋体"/>
                <w:color w:val="000000"/>
                <w:kern w:val="0"/>
                <w:sz w:val="18"/>
                <w:szCs w:val="18"/>
              </w:rPr>
              <w:t>Y＜100</w:t>
            </w:r>
          </w:p>
        </w:tc>
      </w:tr>
      <w:tr>
        <w:tblPrEx>
          <w:tblCellMar>
            <w:top w:w="0" w:type="dxa"/>
            <w:left w:w="108" w:type="dxa"/>
            <w:bottom w:w="0" w:type="dxa"/>
            <w:right w:w="108" w:type="dxa"/>
          </w:tblCellMar>
        </w:tblPrEx>
        <w:trPr>
          <w:trHeight w:val="366" w:hRule="exact"/>
          <w:jc w:val="center"/>
        </w:trPr>
        <w:tc>
          <w:tcPr>
            <w:tcW w:w="2115" w:type="dxa"/>
            <w:vMerge w:val="restart"/>
            <w:tcBorders>
              <w:bottom w:val="single" w:color="000000" w:sz="4" w:space="0"/>
              <w:right w:val="single" w:color="000000" w:sz="4" w:space="0"/>
            </w:tcBorders>
            <w:vAlign w:val="center"/>
          </w:tcPr>
          <w:p>
            <w:pPr>
              <w:widowControl/>
              <w:spacing w:line="240" w:lineRule="exact"/>
              <w:jc w:val="left"/>
            </w:pPr>
            <w:r>
              <w:rPr>
                <w:rFonts w:hint="eastAsia" w:ascii="宋体" w:hAnsi="宋体" w:cs="宋体"/>
                <w:color w:val="000000"/>
                <w:kern w:val="0"/>
                <w:sz w:val="18"/>
                <w:szCs w:val="18"/>
              </w:rPr>
              <w:t>交通运输业 *</w:t>
            </w:r>
          </w:p>
        </w:tc>
        <w:tc>
          <w:tcPr>
            <w:tcW w:w="1369" w:type="dxa"/>
            <w:tcBorders>
              <w:right w:val="single" w:color="000000" w:sz="4" w:space="0"/>
            </w:tcBorders>
            <w:vAlign w:val="center"/>
          </w:tcPr>
          <w:p>
            <w:pPr>
              <w:widowControl/>
              <w:jc w:val="center"/>
            </w:pPr>
            <w:r>
              <w:rPr>
                <w:rFonts w:hint="eastAsia" w:ascii="宋体" w:hAnsi="宋体" w:cs="宋体"/>
                <w:color w:val="000000"/>
                <w:kern w:val="0"/>
                <w:sz w:val="18"/>
                <w:szCs w:val="18"/>
              </w:rPr>
              <w:t>从业人员(X)</w:t>
            </w:r>
          </w:p>
        </w:tc>
        <w:tc>
          <w:tcPr>
            <w:tcW w:w="708" w:type="dxa"/>
            <w:tcBorders>
              <w:right w:val="single" w:color="000000" w:sz="4" w:space="0"/>
            </w:tcBorders>
            <w:vAlign w:val="center"/>
          </w:tcPr>
          <w:p>
            <w:pPr>
              <w:widowControl/>
              <w:jc w:val="center"/>
            </w:pPr>
            <w:r>
              <w:rPr>
                <w:rFonts w:hint="eastAsia" w:ascii="宋体" w:hAnsi="宋体" w:cs="宋体"/>
                <w:color w:val="000000"/>
                <w:kern w:val="0"/>
                <w:sz w:val="18"/>
                <w:szCs w:val="18"/>
              </w:rPr>
              <w:t>人</w:t>
            </w:r>
          </w:p>
        </w:tc>
        <w:tc>
          <w:tcPr>
            <w:tcW w:w="1125" w:type="dxa"/>
            <w:tcBorders>
              <w:right w:val="single" w:color="000000" w:sz="4" w:space="0"/>
            </w:tcBorders>
            <w:vAlign w:val="center"/>
          </w:tcPr>
          <w:p>
            <w:pPr>
              <w:widowControl/>
              <w:jc w:val="center"/>
            </w:pPr>
            <w:r>
              <w:rPr>
                <w:rFonts w:hint="eastAsia" w:ascii="宋体" w:hAnsi="宋体" w:cs="宋体"/>
                <w:color w:val="000000"/>
                <w:kern w:val="0"/>
                <w:sz w:val="18"/>
                <w:szCs w:val="18"/>
              </w:rPr>
              <w:t>X≥1000</w:t>
            </w:r>
          </w:p>
        </w:tc>
        <w:tc>
          <w:tcPr>
            <w:tcW w:w="1701" w:type="dxa"/>
            <w:tcBorders>
              <w:right w:val="single" w:color="000000" w:sz="4" w:space="0"/>
            </w:tcBorders>
            <w:vAlign w:val="center"/>
          </w:tcPr>
          <w:p>
            <w:pPr>
              <w:widowControl/>
              <w:jc w:val="center"/>
            </w:pPr>
            <w:r>
              <w:rPr>
                <w:rFonts w:hint="eastAsia" w:ascii="宋体" w:hAnsi="宋体" w:cs="宋体"/>
                <w:color w:val="000000"/>
                <w:kern w:val="0"/>
                <w:sz w:val="18"/>
                <w:szCs w:val="18"/>
              </w:rPr>
              <w:t>300≤X＜1000</w:t>
            </w:r>
          </w:p>
        </w:tc>
        <w:tc>
          <w:tcPr>
            <w:tcW w:w="1426" w:type="dxa"/>
            <w:tcBorders>
              <w:right w:val="single" w:color="000000" w:sz="4" w:space="0"/>
            </w:tcBorders>
            <w:vAlign w:val="center"/>
          </w:tcPr>
          <w:p>
            <w:pPr>
              <w:widowControl/>
              <w:jc w:val="center"/>
            </w:pPr>
            <w:r>
              <w:rPr>
                <w:rFonts w:hint="eastAsia" w:ascii="宋体" w:hAnsi="宋体" w:cs="宋体"/>
                <w:color w:val="000000"/>
                <w:kern w:val="0"/>
                <w:sz w:val="18"/>
                <w:szCs w:val="18"/>
              </w:rPr>
              <w:t xml:space="preserve"> 20≤X＜300</w:t>
            </w:r>
          </w:p>
        </w:tc>
        <w:tc>
          <w:tcPr>
            <w:tcW w:w="992" w:type="dxa"/>
            <w:vAlign w:val="center"/>
          </w:tcPr>
          <w:p>
            <w:pPr>
              <w:widowControl/>
              <w:jc w:val="center"/>
            </w:pPr>
            <w:r>
              <w:rPr>
                <w:rFonts w:hint="eastAsia" w:ascii="宋体" w:hAnsi="宋体" w:cs="宋体"/>
                <w:color w:val="000000"/>
                <w:kern w:val="0"/>
                <w:sz w:val="18"/>
                <w:szCs w:val="18"/>
              </w:rPr>
              <w:t>X＜20</w:t>
            </w:r>
          </w:p>
        </w:tc>
      </w:tr>
      <w:tr>
        <w:tblPrEx>
          <w:tblCellMar>
            <w:top w:w="0" w:type="dxa"/>
            <w:left w:w="108" w:type="dxa"/>
            <w:bottom w:w="0" w:type="dxa"/>
            <w:right w:w="108" w:type="dxa"/>
          </w:tblCellMar>
        </w:tblPrEx>
        <w:trPr>
          <w:trHeight w:val="366" w:hRule="exact"/>
          <w:jc w:val="center"/>
        </w:trPr>
        <w:tc>
          <w:tcPr>
            <w:tcW w:w="2115" w:type="dxa"/>
            <w:vMerge w:val="continue"/>
            <w:tcBorders>
              <w:bottom w:val="single" w:color="000000" w:sz="4" w:space="0"/>
              <w:right w:val="single" w:color="000000" w:sz="4" w:space="0"/>
            </w:tcBorders>
            <w:vAlign w:val="center"/>
          </w:tcPr>
          <w:p>
            <w:pPr>
              <w:widowControl/>
              <w:snapToGrid w:val="0"/>
              <w:jc w:val="left"/>
              <w:rPr>
                <w:rFonts w:ascii="宋体" w:hAnsi="宋体" w:cs="宋体"/>
                <w:color w:val="000000"/>
                <w:kern w:val="0"/>
                <w:sz w:val="18"/>
                <w:szCs w:val="18"/>
              </w:rPr>
            </w:pPr>
          </w:p>
        </w:tc>
        <w:tc>
          <w:tcPr>
            <w:tcW w:w="1369" w:type="dxa"/>
            <w:tcBorders>
              <w:bottom w:val="single" w:color="000000" w:sz="4" w:space="0"/>
              <w:right w:val="single" w:color="000000" w:sz="4" w:space="0"/>
            </w:tcBorders>
            <w:vAlign w:val="center"/>
          </w:tcPr>
          <w:p>
            <w:pPr>
              <w:widowControl/>
              <w:spacing w:line="240" w:lineRule="exact"/>
              <w:jc w:val="center"/>
            </w:pPr>
            <w:r>
              <w:rPr>
                <w:rFonts w:hint="eastAsia" w:ascii="宋体" w:hAnsi="宋体" w:cs="宋体"/>
                <w:color w:val="000000"/>
                <w:kern w:val="0"/>
                <w:sz w:val="18"/>
                <w:szCs w:val="18"/>
              </w:rPr>
              <w:t>营业收入(Y)</w:t>
            </w:r>
          </w:p>
        </w:tc>
        <w:tc>
          <w:tcPr>
            <w:tcW w:w="708" w:type="dxa"/>
            <w:tcBorders>
              <w:bottom w:val="single" w:color="000000" w:sz="4" w:space="0"/>
              <w:right w:val="single" w:color="000000" w:sz="4" w:space="0"/>
            </w:tcBorders>
            <w:vAlign w:val="center"/>
          </w:tcPr>
          <w:p>
            <w:pPr>
              <w:widowControl/>
              <w:jc w:val="center"/>
            </w:pPr>
            <w:r>
              <w:rPr>
                <w:rFonts w:hint="eastAsia" w:ascii="宋体" w:hAnsi="宋体" w:cs="宋体"/>
                <w:color w:val="000000"/>
                <w:kern w:val="0"/>
                <w:sz w:val="18"/>
                <w:szCs w:val="18"/>
              </w:rPr>
              <w:t>万元</w:t>
            </w:r>
          </w:p>
        </w:tc>
        <w:tc>
          <w:tcPr>
            <w:tcW w:w="1125" w:type="dxa"/>
            <w:tcBorders>
              <w:bottom w:val="single" w:color="000000" w:sz="4" w:space="0"/>
              <w:right w:val="single" w:color="000000" w:sz="4" w:space="0"/>
            </w:tcBorders>
            <w:vAlign w:val="center"/>
          </w:tcPr>
          <w:p>
            <w:pPr>
              <w:widowControl/>
              <w:jc w:val="center"/>
            </w:pPr>
            <w:r>
              <w:rPr>
                <w:rFonts w:hint="eastAsia" w:ascii="宋体" w:hAnsi="宋体" w:cs="宋体"/>
                <w:color w:val="000000"/>
                <w:kern w:val="0"/>
                <w:sz w:val="18"/>
                <w:szCs w:val="18"/>
              </w:rPr>
              <w:t>Y≥30000</w:t>
            </w:r>
          </w:p>
        </w:tc>
        <w:tc>
          <w:tcPr>
            <w:tcW w:w="1701" w:type="dxa"/>
            <w:tcBorders>
              <w:bottom w:val="single" w:color="000000" w:sz="4" w:space="0"/>
              <w:right w:val="single" w:color="000000" w:sz="4" w:space="0"/>
            </w:tcBorders>
            <w:vAlign w:val="center"/>
          </w:tcPr>
          <w:p>
            <w:pPr>
              <w:widowControl/>
              <w:jc w:val="center"/>
            </w:pPr>
            <w:r>
              <w:rPr>
                <w:rFonts w:hint="eastAsia" w:ascii="宋体" w:hAnsi="宋体" w:cs="宋体"/>
                <w:color w:val="000000"/>
                <w:kern w:val="0"/>
                <w:sz w:val="18"/>
                <w:szCs w:val="18"/>
              </w:rPr>
              <w:t>3000≤Y＜30000</w:t>
            </w:r>
          </w:p>
        </w:tc>
        <w:tc>
          <w:tcPr>
            <w:tcW w:w="1426" w:type="dxa"/>
            <w:tcBorders>
              <w:bottom w:val="single" w:color="000000" w:sz="4" w:space="0"/>
              <w:right w:val="single" w:color="000000" w:sz="4" w:space="0"/>
            </w:tcBorders>
            <w:vAlign w:val="center"/>
          </w:tcPr>
          <w:p>
            <w:pPr>
              <w:widowControl/>
              <w:jc w:val="center"/>
            </w:pPr>
            <w:r>
              <w:rPr>
                <w:rFonts w:hint="eastAsia" w:ascii="宋体" w:hAnsi="宋体" w:cs="宋体"/>
                <w:color w:val="000000"/>
                <w:kern w:val="0"/>
                <w:sz w:val="18"/>
                <w:szCs w:val="18"/>
              </w:rPr>
              <w:t xml:space="preserve"> 200≤Y＜3000</w:t>
            </w:r>
          </w:p>
        </w:tc>
        <w:tc>
          <w:tcPr>
            <w:tcW w:w="992" w:type="dxa"/>
            <w:tcBorders>
              <w:bottom w:val="single" w:color="000000" w:sz="4" w:space="0"/>
            </w:tcBorders>
            <w:vAlign w:val="center"/>
          </w:tcPr>
          <w:p>
            <w:pPr>
              <w:widowControl/>
              <w:jc w:val="center"/>
            </w:pPr>
            <w:r>
              <w:rPr>
                <w:rFonts w:hint="eastAsia" w:ascii="宋体" w:hAnsi="宋体" w:cs="宋体"/>
                <w:color w:val="000000"/>
                <w:kern w:val="0"/>
                <w:sz w:val="18"/>
                <w:szCs w:val="18"/>
              </w:rPr>
              <w:t>Y＜200</w:t>
            </w:r>
          </w:p>
        </w:tc>
      </w:tr>
      <w:tr>
        <w:tblPrEx>
          <w:tblCellMar>
            <w:top w:w="0" w:type="dxa"/>
            <w:left w:w="108" w:type="dxa"/>
            <w:bottom w:w="0" w:type="dxa"/>
            <w:right w:w="108" w:type="dxa"/>
          </w:tblCellMar>
        </w:tblPrEx>
        <w:trPr>
          <w:trHeight w:val="366" w:hRule="exact"/>
          <w:jc w:val="center"/>
        </w:trPr>
        <w:tc>
          <w:tcPr>
            <w:tcW w:w="2115" w:type="dxa"/>
            <w:vMerge w:val="restart"/>
            <w:tcBorders>
              <w:bottom w:val="single" w:color="000000" w:sz="4" w:space="0"/>
              <w:right w:val="single" w:color="000000" w:sz="4" w:space="0"/>
            </w:tcBorders>
            <w:vAlign w:val="center"/>
          </w:tcPr>
          <w:p>
            <w:pPr>
              <w:widowControl/>
              <w:spacing w:line="240" w:lineRule="exact"/>
              <w:jc w:val="left"/>
            </w:pPr>
            <w:r>
              <w:rPr>
                <w:rFonts w:hint="eastAsia" w:ascii="宋体" w:hAnsi="宋体" w:cs="宋体"/>
                <w:color w:val="000000"/>
                <w:kern w:val="0"/>
                <w:sz w:val="18"/>
                <w:szCs w:val="18"/>
              </w:rPr>
              <w:t>仓储业*</w:t>
            </w:r>
          </w:p>
        </w:tc>
        <w:tc>
          <w:tcPr>
            <w:tcW w:w="1369" w:type="dxa"/>
            <w:tcBorders>
              <w:right w:val="single" w:color="000000" w:sz="4" w:space="0"/>
            </w:tcBorders>
            <w:vAlign w:val="center"/>
          </w:tcPr>
          <w:p>
            <w:pPr>
              <w:widowControl/>
              <w:jc w:val="center"/>
            </w:pPr>
            <w:r>
              <w:rPr>
                <w:rFonts w:hint="eastAsia" w:ascii="宋体" w:hAnsi="宋体" w:cs="宋体"/>
                <w:color w:val="000000"/>
                <w:kern w:val="0"/>
                <w:sz w:val="18"/>
                <w:szCs w:val="18"/>
              </w:rPr>
              <w:t>从业人员(X)</w:t>
            </w:r>
          </w:p>
        </w:tc>
        <w:tc>
          <w:tcPr>
            <w:tcW w:w="708" w:type="dxa"/>
            <w:tcBorders>
              <w:right w:val="single" w:color="000000" w:sz="4" w:space="0"/>
            </w:tcBorders>
            <w:vAlign w:val="center"/>
          </w:tcPr>
          <w:p>
            <w:pPr>
              <w:widowControl/>
              <w:jc w:val="center"/>
            </w:pPr>
            <w:r>
              <w:rPr>
                <w:rFonts w:hint="eastAsia" w:ascii="宋体" w:hAnsi="宋体" w:cs="宋体"/>
                <w:color w:val="000000"/>
                <w:kern w:val="0"/>
                <w:sz w:val="18"/>
                <w:szCs w:val="18"/>
              </w:rPr>
              <w:t>人</w:t>
            </w:r>
          </w:p>
        </w:tc>
        <w:tc>
          <w:tcPr>
            <w:tcW w:w="1125" w:type="dxa"/>
            <w:tcBorders>
              <w:right w:val="single" w:color="000000" w:sz="4" w:space="0"/>
            </w:tcBorders>
            <w:vAlign w:val="center"/>
          </w:tcPr>
          <w:p>
            <w:pPr>
              <w:widowControl/>
              <w:jc w:val="center"/>
            </w:pPr>
            <w:r>
              <w:rPr>
                <w:rFonts w:hint="eastAsia" w:ascii="宋体" w:hAnsi="宋体" w:cs="宋体"/>
                <w:color w:val="000000"/>
                <w:kern w:val="0"/>
                <w:sz w:val="18"/>
                <w:szCs w:val="18"/>
              </w:rPr>
              <w:t>X≥200</w:t>
            </w:r>
          </w:p>
        </w:tc>
        <w:tc>
          <w:tcPr>
            <w:tcW w:w="1701" w:type="dxa"/>
            <w:tcBorders>
              <w:right w:val="single" w:color="000000" w:sz="4" w:space="0"/>
            </w:tcBorders>
            <w:vAlign w:val="center"/>
          </w:tcPr>
          <w:p>
            <w:pPr>
              <w:widowControl/>
              <w:ind w:left="1" w:hanging="108"/>
              <w:jc w:val="center"/>
            </w:pPr>
            <w:r>
              <w:rPr>
                <w:rFonts w:hint="eastAsia" w:ascii="宋体" w:hAnsi="宋体" w:cs="宋体"/>
                <w:color w:val="000000"/>
                <w:kern w:val="0"/>
                <w:sz w:val="18"/>
                <w:szCs w:val="18"/>
              </w:rPr>
              <w:t>100≤X＜200</w:t>
            </w:r>
          </w:p>
        </w:tc>
        <w:tc>
          <w:tcPr>
            <w:tcW w:w="1426" w:type="dxa"/>
            <w:tcBorders>
              <w:right w:val="single" w:color="000000" w:sz="4" w:space="0"/>
            </w:tcBorders>
            <w:vAlign w:val="center"/>
          </w:tcPr>
          <w:p>
            <w:pPr>
              <w:widowControl/>
              <w:jc w:val="center"/>
            </w:pPr>
            <w:r>
              <w:rPr>
                <w:rFonts w:hint="eastAsia" w:ascii="宋体" w:hAnsi="宋体" w:cs="宋体"/>
                <w:color w:val="000000"/>
                <w:kern w:val="0"/>
                <w:sz w:val="18"/>
                <w:szCs w:val="18"/>
              </w:rPr>
              <w:t xml:space="preserve"> 20≤X＜100</w:t>
            </w:r>
          </w:p>
        </w:tc>
        <w:tc>
          <w:tcPr>
            <w:tcW w:w="992" w:type="dxa"/>
            <w:vAlign w:val="center"/>
          </w:tcPr>
          <w:p>
            <w:pPr>
              <w:widowControl/>
              <w:jc w:val="center"/>
            </w:pPr>
            <w:r>
              <w:rPr>
                <w:rFonts w:hint="eastAsia" w:ascii="宋体" w:hAnsi="宋体" w:cs="宋体"/>
                <w:color w:val="000000"/>
                <w:kern w:val="0"/>
                <w:sz w:val="18"/>
                <w:szCs w:val="18"/>
              </w:rPr>
              <w:t>X＜20</w:t>
            </w:r>
          </w:p>
        </w:tc>
      </w:tr>
      <w:tr>
        <w:tblPrEx>
          <w:tblCellMar>
            <w:top w:w="0" w:type="dxa"/>
            <w:left w:w="108" w:type="dxa"/>
            <w:bottom w:w="0" w:type="dxa"/>
            <w:right w:w="108" w:type="dxa"/>
          </w:tblCellMar>
        </w:tblPrEx>
        <w:trPr>
          <w:trHeight w:val="366" w:hRule="exact"/>
          <w:jc w:val="center"/>
        </w:trPr>
        <w:tc>
          <w:tcPr>
            <w:tcW w:w="2115" w:type="dxa"/>
            <w:vMerge w:val="continue"/>
            <w:tcBorders>
              <w:bottom w:val="single" w:color="000000" w:sz="4" w:space="0"/>
              <w:right w:val="single" w:color="000000" w:sz="4" w:space="0"/>
            </w:tcBorders>
            <w:vAlign w:val="center"/>
          </w:tcPr>
          <w:p>
            <w:pPr>
              <w:widowControl/>
              <w:snapToGrid w:val="0"/>
              <w:jc w:val="left"/>
              <w:rPr>
                <w:rFonts w:ascii="宋体" w:hAnsi="宋体" w:cs="宋体"/>
                <w:color w:val="000000"/>
                <w:kern w:val="0"/>
                <w:sz w:val="18"/>
                <w:szCs w:val="18"/>
              </w:rPr>
            </w:pPr>
          </w:p>
        </w:tc>
        <w:tc>
          <w:tcPr>
            <w:tcW w:w="1369" w:type="dxa"/>
            <w:tcBorders>
              <w:bottom w:val="single" w:color="000000" w:sz="4" w:space="0"/>
              <w:right w:val="single" w:color="000000" w:sz="4" w:space="0"/>
            </w:tcBorders>
            <w:vAlign w:val="center"/>
          </w:tcPr>
          <w:p>
            <w:pPr>
              <w:widowControl/>
              <w:spacing w:line="240" w:lineRule="exact"/>
              <w:jc w:val="center"/>
            </w:pPr>
            <w:r>
              <w:rPr>
                <w:rFonts w:hint="eastAsia" w:ascii="宋体" w:hAnsi="宋体" w:cs="宋体"/>
                <w:color w:val="000000"/>
                <w:kern w:val="0"/>
                <w:sz w:val="18"/>
                <w:szCs w:val="18"/>
              </w:rPr>
              <w:t>营业收入(Y)</w:t>
            </w:r>
          </w:p>
        </w:tc>
        <w:tc>
          <w:tcPr>
            <w:tcW w:w="708" w:type="dxa"/>
            <w:tcBorders>
              <w:bottom w:val="single" w:color="000000" w:sz="4" w:space="0"/>
              <w:right w:val="single" w:color="000000" w:sz="4" w:space="0"/>
            </w:tcBorders>
            <w:vAlign w:val="center"/>
          </w:tcPr>
          <w:p>
            <w:pPr>
              <w:widowControl/>
              <w:jc w:val="center"/>
            </w:pPr>
            <w:r>
              <w:rPr>
                <w:rFonts w:hint="eastAsia" w:ascii="宋体" w:hAnsi="宋体" w:cs="宋体"/>
                <w:color w:val="000000"/>
                <w:kern w:val="0"/>
                <w:sz w:val="18"/>
                <w:szCs w:val="18"/>
              </w:rPr>
              <w:t>万元</w:t>
            </w:r>
          </w:p>
        </w:tc>
        <w:tc>
          <w:tcPr>
            <w:tcW w:w="1125" w:type="dxa"/>
            <w:tcBorders>
              <w:bottom w:val="single" w:color="000000" w:sz="4" w:space="0"/>
              <w:right w:val="single" w:color="000000" w:sz="4" w:space="0"/>
            </w:tcBorders>
            <w:vAlign w:val="center"/>
          </w:tcPr>
          <w:p>
            <w:pPr>
              <w:widowControl/>
              <w:jc w:val="center"/>
            </w:pPr>
            <w:r>
              <w:rPr>
                <w:rFonts w:hint="eastAsia" w:ascii="宋体" w:hAnsi="宋体" w:cs="宋体"/>
                <w:color w:val="000000"/>
                <w:kern w:val="0"/>
                <w:sz w:val="18"/>
                <w:szCs w:val="18"/>
              </w:rPr>
              <w:t>Y≥30000</w:t>
            </w:r>
          </w:p>
        </w:tc>
        <w:tc>
          <w:tcPr>
            <w:tcW w:w="1701" w:type="dxa"/>
            <w:tcBorders>
              <w:bottom w:val="single" w:color="000000" w:sz="4" w:space="0"/>
              <w:right w:val="single" w:color="000000" w:sz="4" w:space="0"/>
            </w:tcBorders>
            <w:vAlign w:val="center"/>
          </w:tcPr>
          <w:p>
            <w:pPr>
              <w:widowControl/>
              <w:jc w:val="center"/>
            </w:pPr>
            <w:r>
              <w:rPr>
                <w:rFonts w:hint="eastAsia" w:ascii="宋体" w:hAnsi="宋体" w:cs="宋体"/>
                <w:color w:val="000000"/>
                <w:kern w:val="0"/>
                <w:sz w:val="18"/>
                <w:szCs w:val="18"/>
              </w:rPr>
              <w:t>1000≤Y＜30000</w:t>
            </w:r>
          </w:p>
        </w:tc>
        <w:tc>
          <w:tcPr>
            <w:tcW w:w="1426" w:type="dxa"/>
            <w:tcBorders>
              <w:bottom w:val="single" w:color="000000" w:sz="4" w:space="0"/>
              <w:right w:val="single" w:color="000000" w:sz="4" w:space="0"/>
            </w:tcBorders>
            <w:vAlign w:val="center"/>
          </w:tcPr>
          <w:p>
            <w:pPr>
              <w:widowControl/>
              <w:jc w:val="center"/>
            </w:pPr>
            <w:r>
              <w:rPr>
                <w:rFonts w:hint="eastAsia" w:ascii="宋体" w:hAnsi="宋体" w:cs="宋体"/>
                <w:color w:val="000000"/>
                <w:kern w:val="0"/>
                <w:sz w:val="18"/>
                <w:szCs w:val="18"/>
              </w:rPr>
              <w:t xml:space="preserve"> 100≤Y＜1000</w:t>
            </w:r>
          </w:p>
        </w:tc>
        <w:tc>
          <w:tcPr>
            <w:tcW w:w="992" w:type="dxa"/>
            <w:tcBorders>
              <w:bottom w:val="single" w:color="000000" w:sz="4" w:space="0"/>
            </w:tcBorders>
            <w:vAlign w:val="center"/>
          </w:tcPr>
          <w:p>
            <w:pPr>
              <w:widowControl/>
              <w:jc w:val="center"/>
            </w:pPr>
            <w:r>
              <w:rPr>
                <w:rFonts w:hint="eastAsia" w:ascii="宋体" w:hAnsi="宋体" w:cs="宋体"/>
                <w:color w:val="000000"/>
                <w:kern w:val="0"/>
                <w:sz w:val="18"/>
                <w:szCs w:val="18"/>
              </w:rPr>
              <w:t>Y＜100</w:t>
            </w:r>
          </w:p>
        </w:tc>
      </w:tr>
      <w:tr>
        <w:tblPrEx>
          <w:tblCellMar>
            <w:top w:w="0" w:type="dxa"/>
            <w:left w:w="108" w:type="dxa"/>
            <w:bottom w:w="0" w:type="dxa"/>
            <w:right w:w="108" w:type="dxa"/>
          </w:tblCellMar>
        </w:tblPrEx>
        <w:trPr>
          <w:trHeight w:val="366" w:hRule="exact"/>
          <w:jc w:val="center"/>
        </w:trPr>
        <w:tc>
          <w:tcPr>
            <w:tcW w:w="2115" w:type="dxa"/>
            <w:vMerge w:val="restart"/>
            <w:tcBorders>
              <w:bottom w:val="single" w:color="000000" w:sz="4" w:space="0"/>
              <w:right w:val="single" w:color="000000" w:sz="4" w:space="0"/>
            </w:tcBorders>
            <w:vAlign w:val="center"/>
          </w:tcPr>
          <w:p>
            <w:pPr>
              <w:widowControl/>
              <w:spacing w:line="240" w:lineRule="exact"/>
              <w:jc w:val="left"/>
            </w:pPr>
            <w:r>
              <w:rPr>
                <w:rFonts w:hint="eastAsia" w:ascii="宋体" w:hAnsi="宋体" w:cs="宋体"/>
                <w:color w:val="000000"/>
                <w:kern w:val="0"/>
                <w:sz w:val="18"/>
                <w:szCs w:val="18"/>
              </w:rPr>
              <w:t>邮政业</w:t>
            </w:r>
          </w:p>
        </w:tc>
        <w:tc>
          <w:tcPr>
            <w:tcW w:w="1369" w:type="dxa"/>
            <w:tcBorders>
              <w:right w:val="single" w:color="000000" w:sz="4" w:space="0"/>
            </w:tcBorders>
            <w:vAlign w:val="center"/>
          </w:tcPr>
          <w:p>
            <w:pPr>
              <w:widowControl/>
              <w:jc w:val="center"/>
            </w:pPr>
            <w:r>
              <w:rPr>
                <w:rFonts w:hint="eastAsia" w:ascii="宋体" w:hAnsi="宋体" w:cs="宋体"/>
                <w:color w:val="000000"/>
                <w:kern w:val="0"/>
                <w:sz w:val="18"/>
                <w:szCs w:val="18"/>
              </w:rPr>
              <w:t>从业人员(X)</w:t>
            </w:r>
          </w:p>
        </w:tc>
        <w:tc>
          <w:tcPr>
            <w:tcW w:w="708" w:type="dxa"/>
            <w:tcBorders>
              <w:right w:val="single" w:color="000000" w:sz="4" w:space="0"/>
            </w:tcBorders>
            <w:vAlign w:val="center"/>
          </w:tcPr>
          <w:p>
            <w:pPr>
              <w:widowControl/>
              <w:jc w:val="center"/>
            </w:pPr>
            <w:r>
              <w:rPr>
                <w:rFonts w:hint="eastAsia" w:ascii="宋体" w:hAnsi="宋体" w:cs="宋体"/>
                <w:color w:val="000000"/>
                <w:kern w:val="0"/>
                <w:sz w:val="18"/>
                <w:szCs w:val="18"/>
              </w:rPr>
              <w:t>人</w:t>
            </w:r>
          </w:p>
        </w:tc>
        <w:tc>
          <w:tcPr>
            <w:tcW w:w="1125" w:type="dxa"/>
            <w:tcBorders>
              <w:right w:val="single" w:color="000000" w:sz="4" w:space="0"/>
            </w:tcBorders>
            <w:vAlign w:val="center"/>
          </w:tcPr>
          <w:p>
            <w:pPr>
              <w:widowControl/>
              <w:jc w:val="center"/>
            </w:pPr>
            <w:r>
              <w:rPr>
                <w:rFonts w:hint="eastAsia" w:ascii="宋体" w:hAnsi="宋体" w:cs="宋体"/>
                <w:color w:val="000000"/>
                <w:kern w:val="0"/>
                <w:sz w:val="18"/>
                <w:szCs w:val="18"/>
              </w:rPr>
              <w:t>X≥1000</w:t>
            </w:r>
          </w:p>
        </w:tc>
        <w:tc>
          <w:tcPr>
            <w:tcW w:w="1701" w:type="dxa"/>
            <w:tcBorders>
              <w:right w:val="single" w:color="000000" w:sz="4" w:space="0"/>
            </w:tcBorders>
            <w:vAlign w:val="center"/>
          </w:tcPr>
          <w:p>
            <w:pPr>
              <w:widowControl/>
              <w:jc w:val="center"/>
            </w:pPr>
            <w:r>
              <w:rPr>
                <w:rFonts w:hint="eastAsia" w:ascii="宋体" w:hAnsi="宋体" w:cs="宋体"/>
                <w:color w:val="000000"/>
                <w:kern w:val="0"/>
                <w:sz w:val="18"/>
                <w:szCs w:val="18"/>
              </w:rPr>
              <w:t>300≤X＜1000</w:t>
            </w:r>
          </w:p>
        </w:tc>
        <w:tc>
          <w:tcPr>
            <w:tcW w:w="1426" w:type="dxa"/>
            <w:tcBorders>
              <w:right w:val="single" w:color="000000" w:sz="4" w:space="0"/>
            </w:tcBorders>
            <w:vAlign w:val="center"/>
          </w:tcPr>
          <w:p>
            <w:pPr>
              <w:widowControl/>
              <w:jc w:val="center"/>
            </w:pPr>
            <w:r>
              <w:rPr>
                <w:rFonts w:hint="eastAsia" w:ascii="宋体" w:hAnsi="宋体" w:cs="宋体"/>
                <w:color w:val="000000"/>
                <w:kern w:val="0"/>
                <w:sz w:val="18"/>
                <w:szCs w:val="18"/>
              </w:rPr>
              <w:t xml:space="preserve"> 20≤X＜300</w:t>
            </w:r>
          </w:p>
        </w:tc>
        <w:tc>
          <w:tcPr>
            <w:tcW w:w="992" w:type="dxa"/>
            <w:vAlign w:val="center"/>
          </w:tcPr>
          <w:p>
            <w:pPr>
              <w:widowControl/>
              <w:jc w:val="center"/>
            </w:pPr>
            <w:r>
              <w:rPr>
                <w:rFonts w:hint="eastAsia" w:ascii="宋体" w:hAnsi="宋体" w:cs="宋体"/>
                <w:color w:val="000000"/>
                <w:kern w:val="0"/>
                <w:sz w:val="18"/>
                <w:szCs w:val="18"/>
              </w:rPr>
              <w:t>X＜20</w:t>
            </w:r>
          </w:p>
        </w:tc>
      </w:tr>
      <w:tr>
        <w:tblPrEx>
          <w:tblCellMar>
            <w:top w:w="0" w:type="dxa"/>
            <w:left w:w="108" w:type="dxa"/>
            <w:bottom w:w="0" w:type="dxa"/>
            <w:right w:w="108" w:type="dxa"/>
          </w:tblCellMar>
        </w:tblPrEx>
        <w:trPr>
          <w:trHeight w:val="366" w:hRule="exact"/>
          <w:jc w:val="center"/>
        </w:trPr>
        <w:tc>
          <w:tcPr>
            <w:tcW w:w="2115" w:type="dxa"/>
            <w:vMerge w:val="continue"/>
            <w:tcBorders>
              <w:bottom w:val="single" w:color="000000" w:sz="4" w:space="0"/>
              <w:right w:val="single" w:color="000000" w:sz="4" w:space="0"/>
            </w:tcBorders>
            <w:vAlign w:val="center"/>
          </w:tcPr>
          <w:p>
            <w:pPr>
              <w:widowControl/>
              <w:snapToGrid w:val="0"/>
              <w:jc w:val="left"/>
              <w:rPr>
                <w:rFonts w:ascii="宋体" w:hAnsi="宋体" w:cs="宋体"/>
                <w:color w:val="000000"/>
                <w:kern w:val="0"/>
                <w:sz w:val="18"/>
                <w:szCs w:val="18"/>
              </w:rPr>
            </w:pPr>
          </w:p>
        </w:tc>
        <w:tc>
          <w:tcPr>
            <w:tcW w:w="1369" w:type="dxa"/>
            <w:tcBorders>
              <w:bottom w:val="single" w:color="000000" w:sz="4" w:space="0"/>
              <w:right w:val="single" w:color="000000" w:sz="4" w:space="0"/>
            </w:tcBorders>
            <w:vAlign w:val="center"/>
          </w:tcPr>
          <w:p>
            <w:pPr>
              <w:widowControl/>
              <w:spacing w:line="240" w:lineRule="exact"/>
              <w:jc w:val="center"/>
            </w:pPr>
            <w:r>
              <w:rPr>
                <w:rFonts w:hint="eastAsia" w:ascii="宋体" w:hAnsi="宋体" w:cs="宋体"/>
                <w:color w:val="000000"/>
                <w:kern w:val="0"/>
                <w:sz w:val="18"/>
                <w:szCs w:val="18"/>
              </w:rPr>
              <w:t>营业收入(Y)</w:t>
            </w:r>
          </w:p>
        </w:tc>
        <w:tc>
          <w:tcPr>
            <w:tcW w:w="708" w:type="dxa"/>
            <w:tcBorders>
              <w:bottom w:val="single" w:color="000000" w:sz="4" w:space="0"/>
              <w:right w:val="single" w:color="000000" w:sz="4" w:space="0"/>
            </w:tcBorders>
            <w:vAlign w:val="center"/>
          </w:tcPr>
          <w:p>
            <w:pPr>
              <w:widowControl/>
              <w:jc w:val="center"/>
            </w:pPr>
            <w:r>
              <w:rPr>
                <w:rFonts w:hint="eastAsia" w:ascii="宋体" w:hAnsi="宋体" w:cs="宋体"/>
                <w:color w:val="000000"/>
                <w:kern w:val="0"/>
                <w:sz w:val="18"/>
                <w:szCs w:val="18"/>
              </w:rPr>
              <w:t>万元</w:t>
            </w:r>
          </w:p>
        </w:tc>
        <w:tc>
          <w:tcPr>
            <w:tcW w:w="1125" w:type="dxa"/>
            <w:tcBorders>
              <w:bottom w:val="single" w:color="000000" w:sz="4" w:space="0"/>
              <w:right w:val="single" w:color="000000" w:sz="4" w:space="0"/>
            </w:tcBorders>
            <w:vAlign w:val="center"/>
          </w:tcPr>
          <w:p>
            <w:pPr>
              <w:widowControl/>
              <w:jc w:val="center"/>
            </w:pPr>
            <w:r>
              <w:rPr>
                <w:rFonts w:hint="eastAsia" w:ascii="宋体" w:hAnsi="宋体" w:cs="宋体"/>
                <w:color w:val="000000"/>
                <w:kern w:val="0"/>
                <w:sz w:val="18"/>
                <w:szCs w:val="18"/>
              </w:rPr>
              <w:t>Y≥30000</w:t>
            </w:r>
          </w:p>
        </w:tc>
        <w:tc>
          <w:tcPr>
            <w:tcW w:w="1701" w:type="dxa"/>
            <w:tcBorders>
              <w:bottom w:val="single" w:color="000000" w:sz="4" w:space="0"/>
              <w:right w:val="single" w:color="000000" w:sz="4" w:space="0"/>
            </w:tcBorders>
            <w:vAlign w:val="center"/>
          </w:tcPr>
          <w:p>
            <w:pPr>
              <w:widowControl/>
              <w:jc w:val="center"/>
            </w:pPr>
            <w:r>
              <w:rPr>
                <w:rFonts w:hint="eastAsia" w:ascii="宋体" w:hAnsi="宋体" w:cs="宋体"/>
                <w:color w:val="000000"/>
                <w:kern w:val="0"/>
                <w:sz w:val="18"/>
                <w:szCs w:val="18"/>
              </w:rPr>
              <w:t>2000≤Y＜30000</w:t>
            </w:r>
          </w:p>
        </w:tc>
        <w:tc>
          <w:tcPr>
            <w:tcW w:w="1426" w:type="dxa"/>
            <w:tcBorders>
              <w:bottom w:val="single" w:color="000000" w:sz="4" w:space="0"/>
              <w:right w:val="single" w:color="000000" w:sz="4" w:space="0"/>
            </w:tcBorders>
            <w:vAlign w:val="center"/>
          </w:tcPr>
          <w:p>
            <w:pPr>
              <w:widowControl/>
              <w:jc w:val="center"/>
            </w:pPr>
            <w:r>
              <w:rPr>
                <w:rFonts w:hint="eastAsia" w:ascii="宋体" w:hAnsi="宋体" w:cs="宋体"/>
                <w:color w:val="000000"/>
                <w:kern w:val="0"/>
                <w:sz w:val="18"/>
                <w:szCs w:val="18"/>
              </w:rPr>
              <w:t xml:space="preserve"> 100≤Y＜2000</w:t>
            </w:r>
          </w:p>
        </w:tc>
        <w:tc>
          <w:tcPr>
            <w:tcW w:w="992" w:type="dxa"/>
            <w:tcBorders>
              <w:bottom w:val="single" w:color="000000" w:sz="4" w:space="0"/>
            </w:tcBorders>
            <w:vAlign w:val="center"/>
          </w:tcPr>
          <w:p>
            <w:pPr>
              <w:widowControl/>
              <w:jc w:val="center"/>
            </w:pPr>
            <w:r>
              <w:rPr>
                <w:rFonts w:hint="eastAsia" w:ascii="宋体" w:hAnsi="宋体" w:cs="宋体"/>
                <w:color w:val="000000"/>
                <w:kern w:val="0"/>
                <w:sz w:val="18"/>
                <w:szCs w:val="18"/>
              </w:rPr>
              <w:t>Y＜100</w:t>
            </w:r>
          </w:p>
        </w:tc>
      </w:tr>
      <w:tr>
        <w:tblPrEx>
          <w:tblCellMar>
            <w:top w:w="0" w:type="dxa"/>
            <w:left w:w="108" w:type="dxa"/>
            <w:bottom w:w="0" w:type="dxa"/>
            <w:right w:w="108" w:type="dxa"/>
          </w:tblCellMar>
        </w:tblPrEx>
        <w:trPr>
          <w:trHeight w:val="366" w:hRule="exact"/>
          <w:jc w:val="center"/>
        </w:trPr>
        <w:tc>
          <w:tcPr>
            <w:tcW w:w="2115" w:type="dxa"/>
            <w:vMerge w:val="restart"/>
            <w:tcBorders>
              <w:bottom w:val="single" w:color="000000" w:sz="4" w:space="0"/>
              <w:right w:val="single" w:color="000000" w:sz="4" w:space="0"/>
            </w:tcBorders>
            <w:vAlign w:val="center"/>
          </w:tcPr>
          <w:p>
            <w:pPr>
              <w:widowControl/>
              <w:spacing w:line="240" w:lineRule="exact"/>
              <w:jc w:val="left"/>
            </w:pPr>
            <w:r>
              <w:rPr>
                <w:rFonts w:hint="eastAsia" w:ascii="宋体" w:hAnsi="宋体" w:cs="宋体"/>
                <w:color w:val="000000"/>
                <w:kern w:val="0"/>
                <w:sz w:val="18"/>
                <w:szCs w:val="18"/>
              </w:rPr>
              <w:t>住宿业</w:t>
            </w:r>
          </w:p>
        </w:tc>
        <w:tc>
          <w:tcPr>
            <w:tcW w:w="1369" w:type="dxa"/>
            <w:tcBorders>
              <w:right w:val="single" w:color="000000" w:sz="4" w:space="0"/>
            </w:tcBorders>
            <w:vAlign w:val="center"/>
          </w:tcPr>
          <w:p>
            <w:pPr>
              <w:widowControl/>
              <w:jc w:val="center"/>
            </w:pPr>
            <w:r>
              <w:rPr>
                <w:rFonts w:hint="eastAsia" w:ascii="宋体" w:hAnsi="宋体" w:cs="宋体"/>
                <w:color w:val="000000"/>
                <w:kern w:val="0"/>
                <w:sz w:val="18"/>
                <w:szCs w:val="18"/>
              </w:rPr>
              <w:t>从业人员(X)</w:t>
            </w:r>
          </w:p>
        </w:tc>
        <w:tc>
          <w:tcPr>
            <w:tcW w:w="708" w:type="dxa"/>
            <w:tcBorders>
              <w:right w:val="single" w:color="000000" w:sz="4" w:space="0"/>
            </w:tcBorders>
            <w:vAlign w:val="center"/>
          </w:tcPr>
          <w:p>
            <w:pPr>
              <w:widowControl/>
              <w:jc w:val="center"/>
            </w:pPr>
            <w:r>
              <w:rPr>
                <w:rFonts w:hint="eastAsia" w:ascii="宋体" w:hAnsi="宋体" w:cs="宋体"/>
                <w:color w:val="000000"/>
                <w:kern w:val="0"/>
                <w:sz w:val="18"/>
                <w:szCs w:val="18"/>
              </w:rPr>
              <w:t>人</w:t>
            </w:r>
          </w:p>
        </w:tc>
        <w:tc>
          <w:tcPr>
            <w:tcW w:w="1125" w:type="dxa"/>
            <w:tcBorders>
              <w:right w:val="single" w:color="000000" w:sz="4" w:space="0"/>
            </w:tcBorders>
            <w:vAlign w:val="center"/>
          </w:tcPr>
          <w:p>
            <w:pPr>
              <w:widowControl/>
              <w:jc w:val="center"/>
            </w:pPr>
            <w:r>
              <w:rPr>
                <w:rFonts w:hint="eastAsia" w:ascii="宋体" w:hAnsi="宋体" w:cs="宋体"/>
                <w:color w:val="000000"/>
                <w:kern w:val="0"/>
                <w:sz w:val="18"/>
                <w:szCs w:val="18"/>
              </w:rPr>
              <w:t>X≥300</w:t>
            </w:r>
          </w:p>
        </w:tc>
        <w:tc>
          <w:tcPr>
            <w:tcW w:w="1701" w:type="dxa"/>
            <w:tcBorders>
              <w:right w:val="single" w:color="000000" w:sz="4" w:space="0"/>
            </w:tcBorders>
            <w:vAlign w:val="center"/>
          </w:tcPr>
          <w:p>
            <w:pPr>
              <w:widowControl/>
              <w:ind w:left="1" w:hanging="108"/>
              <w:jc w:val="center"/>
            </w:pPr>
            <w:r>
              <w:rPr>
                <w:rFonts w:hint="eastAsia" w:ascii="宋体" w:hAnsi="宋体" w:cs="宋体"/>
                <w:color w:val="000000"/>
                <w:kern w:val="0"/>
                <w:sz w:val="18"/>
                <w:szCs w:val="18"/>
              </w:rPr>
              <w:t xml:space="preserve">100≤X＜300 </w:t>
            </w:r>
          </w:p>
        </w:tc>
        <w:tc>
          <w:tcPr>
            <w:tcW w:w="1426" w:type="dxa"/>
            <w:tcBorders>
              <w:right w:val="single" w:color="000000" w:sz="4" w:space="0"/>
            </w:tcBorders>
            <w:vAlign w:val="center"/>
          </w:tcPr>
          <w:p>
            <w:pPr>
              <w:widowControl/>
              <w:jc w:val="center"/>
            </w:pPr>
            <w:r>
              <w:rPr>
                <w:rFonts w:hint="eastAsia" w:ascii="宋体" w:hAnsi="宋体" w:cs="宋体"/>
                <w:color w:val="000000"/>
                <w:kern w:val="0"/>
                <w:sz w:val="18"/>
                <w:szCs w:val="18"/>
              </w:rPr>
              <w:t xml:space="preserve"> 10≤X＜100</w:t>
            </w:r>
          </w:p>
        </w:tc>
        <w:tc>
          <w:tcPr>
            <w:tcW w:w="992" w:type="dxa"/>
            <w:vAlign w:val="center"/>
          </w:tcPr>
          <w:p>
            <w:pPr>
              <w:widowControl/>
              <w:jc w:val="center"/>
            </w:pPr>
            <w:r>
              <w:rPr>
                <w:rFonts w:hint="eastAsia" w:ascii="宋体" w:hAnsi="宋体" w:cs="宋体"/>
                <w:color w:val="000000"/>
                <w:kern w:val="0"/>
                <w:sz w:val="18"/>
                <w:szCs w:val="18"/>
              </w:rPr>
              <w:t>X＜10</w:t>
            </w:r>
          </w:p>
        </w:tc>
      </w:tr>
      <w:tr>
        <w:tblPrEx>
          <w:tblCellMar>
            <w:top w:w="0" w:type="dxa"/>
            <w:left w:w="108" w:type="dxa"/>
            <w:bottom w:w="0" w:type="dxa"/>
            <w:right w:w="108" w:type="dxa"/>
          </w:tblCellMar>
        </w:tblPrEx>
        <w:trPr>
          <w:trHeight w:val="366" w:hRule="exact"/>
          <w:jc w:val="center"/>
        </w:trPr>
        <w:tc>
          <w:tcPr>
            <w:tcW w:w="2115" w:type="dxa"/>
            <w:vMerge w:val="continue"/>
            <w:tcBorders>
              <w:bottom w:val="single" w:color="000000" w:sz="4" w:space="0"/>
              <w:right w:val="single" w:color="000000" w:sz="4" w:space="0"/>
            </w:tcBorders>
            <w:vAlign w:val="center"/>
          </w:tcPr>
          <w:p>
            <w:pPr>
              <w:widowControl/>
              <w:snapToGrid w:val="0"/>
              <w:jc w:val="left"/>
              <w:rPr>
                <w:rFonts w:ascii="宋体" w:hAnsi="宋体" w:cs="宋体"/>
                <w:color w:val="000000"/>
                <w:kern w:val="0"/>
                <w:sz w:val="18"/>
                <w:szCs w:val="18"/>
              </w:rPr>
            </w:pPr>
          </w:p>
        </w:tc>
        <w:tc>
          <w:tcPr>
            <w:tcW w:w="1369" w:type="dxa"/>
            <w:tcBorders>
              <w:bottom w:val="single" w:color="000000" w:sz="4" w:space="0"/>
              <w:right w:val="single" w:color="000000" w:sz="4" w:space="0"/>
            </w:tcBorders>
            <w:vAlign w:val="center"/>
          </w:tcPr>
          <w:p>
            <w:pPr>
              <w:widowControl/>
              <w:spacing w:line="240" w:lineRule="exact"/>
              <w:jc w:val="center"/>
            </w:pPr>
            <w:r>
              <w:rPr>
                <w:rFonts w:hint="eastAsia" w:ascii="宋体" w:hAnsi="宋体" w:cs="宋体"/>
                <w:color w:val="000000"/>
                <w:kern w:val="0"/>
                <w:sz w:val="18"/>
                <w:szCs w:val="18"/>
              </w:rPr>
              <w:t>营业收入(Y)</w:t>
            </w:r>
          </w:p>
        </w:tc>
        <w:tc>
          <w:tcPr>
            <w:tcW w:w="708" w:type="dxa"/>
            <w:tcBorders>
              <w:bottom w:val="single" w:color="000000" w:sz="4" w:space="0"/>
              <w:right w:val="single" w:color="000000" w:sz="4" w:space="0"/>
            </w:tcBorders>
            <w:vAlign w:val="center"/>
          </w:tcPr>
          <w:p>
            <w:pPr>
              <w:widowControl/>
              <w:jc w:val="center"/>
            </w:pPr>
            <w:r>
              <w:rPr>
                <w:rFonts w:hint="eastAsia" w:ascii="宋体" w:hAnsi="宋体" w:cs="宋体"/>
                <w:color w:val="000000"/>
                <w:kern w:val="0"/>
                <w:sz w:val="18"/>
                <w:szCs w:val="18"/>
              </w:rPr>
              <w:t>万元</w:t>
            </w:r>
          </w:p>
        </w:tc>
        <w:tc>
          <w:tcPr>
            <w:tcW w:w="1125" w:type="dxa"/>
            <w:tcBorders>
              <w:bottom w:val="single" w:color="000000" w:sz="4" w:space="0"/>
              <w:right w:val="single" w:color="000000" w:sz="4" w:space="0"/>
            </w:tcBorders>
            <w:vAlign w:val="center"/>
          </w:tcPr>
          <w:p>
            <w:pPr>
              <w:widowControl/>
              <w:jc w:val="center"/>
            </w:pPr>
            <w:r>
              <w:rPr>
                <w:rFonts w:hint="eastAsia" w:ascii="宋体" w:hAnsi="宋体" w:cs="宋体"/>
                <w:color w:val="000000"/>
                <w:kern w:val="0"/>
                <w:sz w:val="18"/>
                <w:szCs w:val="18"/>
              </w:rPr>
              <w:t>Y≥10000</w:t>
            </w:r>
          </w:p>
        </w:tc>
        <w:tc>
          <w:tcPr>
            <w:tcW w:w="1701" w:type="dxa"/>
            <w:tcBorders>
              <w:bottom w:val="single" w:color="000000" w:sz="4" w:space="0"/>
              <w:right w:val="single" w:color="000000" w:sz="4" w:space="0"/>
            </w:tcBorders>
            <w:vAlign w:val="center"/>
          </w:tcPr>
          <w:p>
            <w:pPr>
              <w:widowControl/>
              <w:jc w:val="center"/>
            </w:pPr>
            <w:r>
              <w:rPr>
                <w:rFonts w:hint="eastAsia" w:ascii="宋体" w:hAnsi="宋体" w:cs="宋体"/>
                <w:color w:val="000000"/>
                <w:kern w:val="0"/>
                <w:sz w:val="18"/>
                <w:szCs w:val="18"/>
              </w:rPr>
              <w:t>2000≤Y＜10000</w:t>
            </w:r>
          </w:p>
        </w:tc>
        <w:tc>
          <w:tcPr>
            <w:tcW w:w="1426" w:type="dxa"/>
            <w:tcBorders>
              <w:bottom w:val="single" w:color="000000" w:sz="4" w:space="0"/>
              <w:right w:val="single" w:color="000000" w:sz="4" w:space="0"/>
            </w:tcBorders>
            <w:vAlign w:val="center"/>
          </w:tcPr>
          <w:p>
            <w:pPr>
              <w:widowControl/>
              <w:jc w:val="center"/>
            </w:pPr>
            <w:r>
              <w:rPr>
                <w:rFonts w:hint="eastAsia" w:ascii="宋体" w:hAnsi="宋体" w:cs="宋体"/>
                <w:color w:val="000000"/>
                <w:kern w:val="0"/>
                <w:sz w:val="18"/>
                <w:szCs w:val="18"/>
              </w:rPr>
              <w:t xml:space="preserve"> 100≤Y＜2000</w:t>
            </w:r>
          </w:p>
        </w:tc>
        <w:tc>
          <w:tcPr>
            <w:tcW w:w="992" w:type="dxa"/>
            <w:tcBorders>
              <w:bottom w:val="single" w:color="000000" w:sz="4" w:space="0"/>
            </w:tcBorders>
            <w:vAlign w:val="center"/>
          </w:tcPr>
          <w:p>
            <w:pPr>
              <w:widowControl/>
              <w:jc w:val="center"/>
            </w:pPr>
            <w:r>
              <w:rPr>
                <w:rFonts w:hint="eastAsia" w:ascii="宋体" w:hAnsi="宋体" w:cs="宋体"/>
                <w:color w:val="000000"/>
                <w:kern w:val="0"/>
                <w:sz w:val="18"/>
                <w:szCs w:val="18"/>
              </w:rPr>
              <w:t>Y＜100</w:t>
            </w:r>
          </w:p>
        </w:tc>
      </w:tr>
      <w:tr>
        <w:tblPrEx>
          <w:tblCellMar>
            <w:top w:w="0" w:type="dxa"/>
            <w:left w:w="108" w:type="dxa"/>
            <w:bottom w:w="0" w:type="dxa"/>
            <w:right w:w="108" w:type="dxa"/>
          </w:tblCellMar>
        </w:tblPrEx>
        <w:trPr>
          <w:trHeight w:val="366" w:hRule="exact"/>
          <w:jc w:val="center"/>
        </w:trPr>
        <w:tc>
          <w:tcPr>
            <w:tcW w:w="2115" w:type="dxa"/>
            <w:vMerge w:val="restart"/>
            <w:tcBorders>
              <w:bottom w:val="single" w:color="000000" w:sz="4" w:space="0"/>
              <w:right w:val="single" w:color="000000" w:sz="4" w:space="0"/>
            </w:tcBorders>
            <w:vAlign w:val="center"/>
          </w:tcPr>
          <w:p>
            <w:pPr>
              <w:widowControl/>
              <w:spacing w:line="240" w:lineRule="exact"/>
              <w:jc w:val="left"/>
            </w:pPr>
            <w:r>
              <w:rPr>
                <w:rFonts w:hint="eastAsia" w:ascii="宋体" w:hAnsi="宋体" w:cs="宋体"/>
                <w:color w:val="000000"/>
                <w:kern w:val="0"/>
                <w:sz w:val="18"/>
                <w:szCs w:val="18"/>
              </w:rPr>
              <w:t>餐饮业</w:t>
            </w:r>
          </w:p>
        </w:tc>
        <w:tc>
          <w:tcPr>
            <w:tcW w:w="1369" w:type="dxa"/>
            <w:tcBorders>
              <w:right w:val="single" w:color="000000" w:sz="4" w:space="0"/>
            </w:tcBorders>
            <w:vAlign w:val="center"/>
          </w:tcPr>
          <w:p>
            <w:pPr>
              <w:widowControl/>
              <w:jc w:val="center"/>
            </w:pPr>
            <w:r>
              <w:rPr>
                <w:rFonts w:hint="eastAsia" w:ascii="宋体" w:hAnsi="宋体" w:cs="宋体"/>
                <w:color w:val="000000"/>
                <w:kern w:val="0"/>
                <w:sz w:val="18"/>
                <w:szCs w:val="18"/>
              </w:rPr>
              <w:t>从业人员(X)</w:t>
            </w:r>
          </w:p>
        </w:tc>
        <w:tc>
          <w:tcPr>
            <w:tcW w:w="708" w:type="dxa"/>
            <w:tcBorders>
              <w:right w:val="single" w:color="000000" w:sz="4" w:space="0"/>
            </w:tcBorders>
            <w:vAlign w:val="center"/>
          </w:tcPr>
          <w:p>
            <w:pPr>
              <w:widowControl/>
              <w:jc w:val="center"/>
            </w:pPr>
            <w:r>
              <w:rPr>
                <w:rFonts w:hint="eastAsia" w:ascii="宋体" w:hAnsi="宋体" w:cs="宋体"/>
                <w:color w:val="000000"/>
                <w:kern w:val="0"/>
                <w:sz w:val="18"/>
                <w:szCs w:val="18"/>
              </w:rPr>
              <w:t>人</w:t>
            </w:r>
          </w:p>
        </w:tc>
        <w:tc>
          <w:tcPr>
            <w:tcW w:w="1125" w:type="dxa"/>
            <w:tcBorders>
              <w:right w:val="single" w:color="000000" w:sz="4" w:space="0"/>
            </w:tcBorders>
            <w:vAlign w:val="center"/>
          </w:tcPr>
          <w:p>
            <w:pPr>
              <w:widowControl/>
              <w:jc w:val="center"/>
            </w:pPr>
            <w:r>
              <w:rPr>
                <w:rFonts w:hint="eastAsia" w:ascii="宋体" w:hAnsi="宋体" w:cs="宋体"/>
                <w:color w:val="000000"/>
                <w:kern w:val="0"/>
                <w:sz w:val="18"/>
                <w:szCs w:val="18"/>
              </w:rPr>
              <w:t>X≥300</w:t>
            </w:r>
          </w:p>
        </w:tc>
        <w:tc>
          <w:tcPr>
            <w:tcW w:w="1701" w:type="dxa"/>
            <w:tcBorders>
              <w:right w:val="single" w:color="000000" w:sz="4" w:space="0"/>
            </w:tcBorders>
            <w:vAlign w:val="center"/>
          </w:tcPr>
          <w:p>
            <w:pPr>
              <w:widowControl/>
              <w:ind w:left="1" w:hanging="108"/>
              <w:jc w:val="center"/>
            </w:pPr>
            <w:r>
              <w:rPr>
                <w:rFonts w:hint="eastAsia" w:ascii="宋体" w:hAnsi="宋体" w:cs="宋体"/>
                <w:color w:val="000000"/>
                <w:kern w:val="0"/>
                <w:sz w:val="18"/>
                <w:szCs w:val="18"/>
              </w:rPr>
              <w:t xml:space="preserve">100≤X＜300 </w:t>
            </w:r>
          </w:p>
        </w:tc>
        <w:tc>
          <w:tcPr>
            <w:tcW w:w="1426" w:type="dxa"/>
            <w:tcBorders>
              <w:right w:val="single" w:color="000000" w:sz="4" w:space="0"/>
            </w:tcBorders>
            <w:vAlign w:val="center"/>
          </w:tcPr>
          <w:p>
            <w:pPr>
              <w:widowControl/>
              <w:jc w:val="center"/>
            </w:pPr>
            <w:r>
              <w:rPr>
                <w:rFonts w:hint="eastAsia" w:ascii="宋体" w:hAnsi="宋体" w:cs="宋体"/>
                <w:color w:val="000000"/>
                <w:kern w:val="0"/>
                <w:sz w:val="18"/>
                <w:szCs w:val="18"/>
              </w:rPr>
              <w:t xml:space="preserve"> 10≤X＜100</w:t>
            </w:r>
          </w:p>
        </w:tc>
        <w:tc>
          <w:tcPr>
            <w:tcW w:w="992" w:type="dxa"/>
            <w:vAlign w:val="center"/>
          </w:tcPr>
          <w:p>
            <w:pPr>
              <w:widowControl/>
              <w:jc w:val="center"/>
            </w:pPr>
            <w:r>
              <w:rPr>
                <w:rFonts w:hint="eastAsia" w:ascii="宋体" w:hAnsi="宋体" w:cs="宋体"/>
                <w:color w:val="000000"/>
                <w:kern w:val="0"/>
                <w:sz w:val="18"/>
                <w:szCs w:val="18"/>
              </w:rPr>
              <w:t>X＜10</w:t>
            </w:r>
          </w:p>
        </w:tc>
      </w:tr>
      <w:tr>
        <w:tblPrEx>
          <w:tblCellMar>
            <w:top w:w="0" w:type="dxa"/>
            <w:left w:w="108" w:type="dxa"/>
            <w:bottom w:w="0" w:type="dxa"/>
            <w:right w:w="108" w:type="dxa"/>
          </w:tblCellMar>
        </w:tblPrEx>
        <w:trPr>
          <w:trHeight w:val="366" w:hRule="exact"/>
          <w:jc w:val="center"/>
        </w:trPr>
        <w:tc>
          <w:tcPr>
            <w:tcW w:w="2115" w:type="dxa"/>
            <w:vMerge w:val="continue"/>
            <w:tcBorders>
              <w:bottom w:val="single" w:color="000000" w:sz="4" w:space="0"/>
              <w:right w:val="single" w:color="000000" w:sz="4" w:space="0"/>
            </w:tcBorders>
            <w:vAlign w:val="center"/>
          </w:tcPr>
          <w:p>
            <w:pPr>
              <w:widowControl/>
              <w:snapToGrid w:val="0"/>
              <w:jc w:val="left"/>
              <w:rPr>
                <w:rFonts w:ascii="宋体" w:hAnsi="宋体" w:cs="宋体"/>
                <w:color w:val="000000"/>
                <w:kern w:val="0"/>
                <w:sz w:val="18"/>
                <w:szCs w:val="18"/>
              </w:rPr>
            </w:pPr>
          </w:p>
        </w:tc>
        <w:tc>
          <w:tcPr>
            <w:tcW w:w="1369" w:type="dxa"/>
            <w:tcBorders>
              <w:bottom w:val="single" w:color="000000" w:sz="4" w:space="0"/>
              <w:right w:val="single" w:color="000000" w:sz="4" w:space="0"/>
            </w:tcBorders>
            <w:vAlign w:val="center"/>
          </w:tcPr>
          <w:p>
            <w:pPr>
              <w:widowControl/>
              <w:spacing w:line="240" w:lineRule="exact"/>
              <w:jc w:val="center"/>
            </w:pPr>
            <w:r>
              <w:rPr>
                <w:rFonts w:hint="eastAsia" w:ascii="宋体" w:hAnsi="宋体" w:cs="宋体"/>
                <w:color w:val="000000"/>
                <w:kern w:val="0"/>
                <w:sz w:val="18"/>
                <w:szCs w:val="18"/>
              </w:rPr>
              <w:t>营业收入(Y)</w:t>
            </w:r>
          </w:p>
        </w:tc>
        <w:tc>
          <w:tcPr>
            <w:tcW w:w="708" w:type="dxa"/>
            <w:tcBorders>
              <w:bottom w:val="single" w:color="000000" w:sz="4" w:space="0"/>
              <w:right w:val="single" w:color="000000" w:sz="4" w:space="0"/>
            </w:tcBorders>
            <w:vAlign w:val="center"/>
          </w:tcPr>
          <w:p>
            <w:pPr>
              <w:widowControl/>
              <w:jc w:val="center"/>
            </w:pPr>
            <w:r>
              <w:rPr>
                <w:rFonts w:hint="eastAsia" w:ascii="宋体" w:hAnsi="宋体" w:cs="宋体"/>
                <w:color w:val="000000"/>
                <w:kern w:val="0"/>
                <w:sz w:val="18"/>
                <w:szCs w:val="18"/>
              </w:rPr>
              <w:t>万元</w:t>
            </w:r>
          </w:p>
        </w:tc>
        <w:tc>
          <w:tcPr>
            <w:tcW w:w="1125" w:type="dxa"/>
            <w:tcBorders>
              <w:bottom w:val="single" w:color="000000" w:sz="4" w:space="0"/>
              <w:right w:val="single" w:color="000000" w:sz="4" w:space="0"/>
            </w:tcBorders>
            <w:vAlign w:val="center"/>
          </w:tcPr>
          <w:p>
            <w:pPr>
              <w:widowControl/>
              <w:jc w:val="center"/>
            </w:pPr>
            <w:r>
              <w:rPr>
                <w:rFonts w:hint="eastAsia" w:ascii="宋体" w:hAnsi="宋体" w:cs="宋体"/>
                <w:color w:val="000000"/>
                <w:kern w:val="0"/>
                <w:sz w:val="18"/>
                <w:szCs w:val="18"/>
              </w:rPr>
              <w:t>Y≥10000</w:t>
            </w:r>
          </w:p>
        </w:tc>
        <w:tc>
          <w:tcPr>
            <w:tcW w:w="1701" w:type="dxa"/>
            <w:tcBorders>
              <w:bottom w:val="single" w:color="000000" w:sz="4" w:space="0"/>
              <w:right w:val="single" w:color="000000" w:sz="4" w:space="0"/>
            </w:tcBorders>
            <w:vAlign w:val="center"/>
          </w:tcPr>
          <w:p>
            <w:pPr>
              <w:widowControl/>
              <w:jc w:val="center"/>
            </w:pPr>
            <w:r>
              <w:rPr>
                <w:rFonts w:hint="eastAsia" w:ascii="宋体" w:hAnsi="宋体" w:cs="宋体"/>
                <w:color w:val="000000"/>
                <w:kern w:val="0"/>
                <w:sz w:val="18"/>
                <w:szCs w:val="18"/>
              </w:rPr>
              <w:t>2000≤Y＜10000</w:t>
            </w:r>
          </w:p>
        </w:tc>
        <w:tc>
          <w:tcPr>
            <w:tcW w:w="1426" w:type="dxa"/>
            <w:tcBorders>
              <w:bottom w:val="single" w:color="000000" w:sz="4" w:space="0"/>
              <w:right w:val="single" w:color="000000" w:sz="4" w:space="0"/>
            </w:tcBorders>
            <w:vAlign w:val="center"/>
          </w:tcPr>
          <w:p>
            <w:pPr>
              <w:widowControl/>
              <w:jc w:val="center"/>
            </w:pPr>
            <w:r>
              <w:rPr>
                <w:rFonts w:hint="eastAsia" w:ascii="宋体" w:hAnsi="宋体" w:cs="宋体"/>
                <w:color w:val="000000"/>
                <w:kern w:val="0"/>
                <w:sz w:val="18"/>
                <w:szCs w:val="18"/>
              </w:rPr>
              <w:t xml:space="preserve"> 100≤Y＜2000</w:t>
            </w:r>
          </w:p>
        </w:tc>
        <w:tc>
          <w:tcPr>
            <w:tcW w:w="992" w:type="dxa"/>
            <w:tcBorders>
              <w:bottom w:val="single" w:color="000000" w:sz="4" w:space="0"/>
            </w:tcBorders>
            <w:vAlign w:val="center"/>
          </w:tcPr>
          <w:p>
            <w:pPr>
              <w:widowControl/>
              <w:jc w:val="center"/>
            </w:pPr>
            <w:r>
              <w:rPr>
                <w:rFonts w:hint="eastAsia" w:ascii="宋体" w:hAnsi="宋体" w:cs="宋体"/>
                <w:color w:val="000000"/>
                <w:kern w:val="0"/>
                <w:sz w:val="18"/>
                <w:szCs w:val="18"/>
              </w:rPr>
              <w:t>Y＜100</w:t>
            </w:r>
          </w:p>
        </w:tc>
      </w:tr>
      <w:tr>
        <w:tblPrEx>
          <w:tblCellMar>
            <w:top w:w="0" w:type="dxa"/>
            <w:left w:w="108" w:type="dxa"/>
            <w:bottom w:w="0" w:type="dxa"/>
            <w:right w:w="108" w:type="dxa"/>
          </w:tblCellMar>
        </w:tblPrEx>
        <w:trPr>
          <w:trHeight w:val="366" w:hRule="exact"/>
          <w:jc w:val="center"/>
        </w:trPr>
        <w:tc>
          <w:tcPr>
            <w:tcW w:w="2115" w:type="dxa"/>
            <w:vMerge w:val="restart"/>
            <w:tcBorders>
              <w:bottom w:val="single" w:color="000000" w:sz="4" w:space="0"/>
              <w:right w:val="single" w:color="000000" w:sz="4" w:space="0"/>
            </w:tcBorders>
            <w:vAlign w:val="center"/>
          </w:tcPr>
          <w:p>
            <w:pPr>
              <w:widowControl/>
              <w:spacing w:line="240" w:lineRule="exact"/>
              <w:jc w:val="left"/>
            </w:pPr>
            <w:r>
              <w:rPr>
                <w:rFonts w:hint="eastAsia" w:ascii="宋体" w:hAnsi="宋体" w:cs="宋体"/>
                <w:color w:val="000000"/>
                <w:kern w:val="0"/>
                <w:sz w:val="18"/>
                <w:szCs w:val="18"/>
              </w:rPr>
              <w:t>信息传输业 *</w:t>
            </w:r>
          </w:p>
        </w:tc>
        <w:tc>
          <w:tcPr>
            <w:tcW w:w="1369" w:type="dxa"/>
            <w:tcBorders>
              <w:right w:val="single" w:color="000000" w:sz="4" w:space="0"/>
            </w:tcBorders>
            <w:vAlign w:val="center"/>
          </w:tcPr>
          <w:p>
            <w:pPr>
              <w:widowControl/>
              <w:jc w:val="center"/>
            </w:pPr>
            <w:r>
              <w:rPr>
                <w:rFonts w:hint="eastAsia" w:ascii="宋体" w:hAnsi="宋体" w:cs="宋体"/>
                <w:color w:val="000000"/>
                <w:kern w:val="0"/>
                <w:sz w:val="18"/>
                <w:szCs w:val="18"/>
              </w:rPr>
              <w:t>从业人员(X)</w:t>
            </w:r>
          </w:p>
        </w:tc>
        <w:tc>
          <w:tcPr>
            <w:tcW w:w="708" w:type="dxa"/>
            <w:tcBorders>
              <w:right w:val="single" w:color="000000" w:sz="4" w:space="0"/>
            </w:tcBorders>
            <w:vAlign w:val="center"/>
          </w:tcPr>
          <w:p>
            <w:pPr>
              <w:widowControl/>
              <w:jc w:val="center"/>
            </w:pPr>
            <w:r>
              <w:rPr>
                <w:rFonts w:hint="eastAsia" w:ascii="宋体" w:hAnsi="宋体" w:cs="宋体"/>
                <w:color w:val="000000"/>
                <w:kern w:val="0"/>
                <w:sz w:val="18"/>
                <w:szCs w:val="18"/>
              </w:rPr>
              <w:t>人</w:t>
            </w:r>
          </w:p>
        </w:tc>
        <w:tc>
          <w:tcPr>
            <w:tcW w:w="1125" w:type="dxa"/>
            <w:tcBorders>
              <w:right w:val="single" w:color="000000" w:sz="4" w:space="0"/>
            </w:tcBorders>
            <w:vAlign w:val="center"/>
          </w:tcPr>
          <w:p>
            <w:pPr>
              <w:widowControl/>
              <w:jc w:val="center"/>
            </w:pPr>
            <w:r>
              <w:rPr>
                <w:rFonts w:hint="eastAsia" w:ascii="宋体" w:hAnsi="宋体" w:cs="宋体"/>
                <w:color w:val="000000"/>
                <w:kern w:val="0"/>
                <w:sz w:val="18"/>
                <w:szCs w:val="18"/>
              </w:rPr>
              <w:t>X≥2000</w:t>
            </w:r>
          </w:p>
        </w:tc>
        <w:tc>
          <w:tcPr>
            <w:tcW w:w="1701" w:type="dxa"/>
            <w:tcBorders>
              <w:right w:val="single" w:color="000000" w:sz="4" w:space="0"/>
            </w:tcBorders>
            <w:vAlign w:val="center"/>
          </w:tcPr>
          <w:p>
            <w:pPr>
              <w:widowControl/>
              <w:jc w:val="center"/>
            </w:pPr>
            <w:r>
              <w:rPr>
                <w:rFonts w:hint="eastAsia" w:ascii="宋体" w:hAnsi="宋体" w:cs="宋体"/>
                <w:color w:val="000000"/>
                <w:kern w:val="0"/>
                <w:sz w:val="18"/>
                <w:szCs w:val="18"/>
              </w:rPr>
              <w:t>100≤X＜2000</w:t>
            </w:r>
          </w:p>
        </w:tc>
        <w:tc>
          <w:tcPr>
            <w:tcW w:w="1426" w:type="dxa"/>
            <w:tcBorders>
              <w:right w:val="single" w:color="000000" w:sz="4" w:space="0"/>
            </w:tcBorders>
            <w:vAlign w:val="center"/>
          </w:tcPr>
          <w:p>
            <w:pPr>
              <w:widowControl/>
              <w:jc w:val="center"/>
            </w:pPr>
            <w:r>
              <w:rPr>
                <w:rFonts w:hint="eastAsia" w:ascii="宋体" w:hAnsi="宋体" w:cs="宋体"/>
                <w:color w:val="000000"/>
                <w:kern w:val="0"/>
                <w:sz w:val="18"/>
                <w:szCs w:val="18"/>
              </w:rPr>
              <w:t xml:space="preserve"> 10≤X＜100</w:t>
            </w:r>
          </w:p>
        </w:tc>
        <w:tc>
          <w:tcPr>
            <w:tcW w:w="992" w:type="dxa"/>
            <w:vAlign w:val="center"/>
          </w:tcPr>
          <w:p>
            <w:pPr>
              <w:widowControl/>
              <w:jc w:val="center"/>
            </w:pPr>
            <w:r>
              <w:rPr>
                <w:rFonts w:hint="eastAsia" w:ascii="宋体" w:hAnsi="宋体" w:cs="宋体"/>
                <w:color w:val="000000"/>
                <w:kern w:val="0"/>
                <w:sz w:val="18"/>
                <w:szCs w:val="18"/>
              </w:rPr>
              <w:t>X＜10</w:t>
            </w:r>
          </w:p>
        </w:tc>
      </w:tr>
      <w:tr>
        <w:tblPrEx>
          <w:tblCellMar>
            <w:top w:w="0" w:type="dxa"/>
            <w:left w:w="108" w:type="dxa"/>
            <w:bottom w:w="0" w:type="dxa"/>
            <w:right w:w="108" w:type="dxa"/>
          </w:tblCellMar>
        </w:tblPrEx>
        <w:trPr>
          <w:trHeight w:val="366" w:hRule="exact"/>
          <w:jc w:val="center"/>
        </w:trPr>
        <w:tc>
          <w:tcPr>
            <w:tcW w:w="2115" w:type="dxa"/>
            <w:vMerge w:val="continue"/>
            <w:tcBorders>
              <w:bottom w:val="single" w:color="000000" w:sz="4" w:space="0"/>
              <w:right w:val="single" w:color="000000" w:sz="4" w:space="0"/>
            </w:tcBorders>
            <w:vAlign w:val="center"/>
          </w:tcPr>
          <w:p>
            <w:pPr>
              <w:widowControl/>
              <w:snapToGrid w:val="0"/>
              <w:jc w:val="left"/>
              <w:rPr>
                <w:rFonts w:ascii="宋体" w:hAnsi="宋体" w:cs="宋体"/>
                <w:color w:val="000000"/>
                <w:kern w:val="0"/>
                <w:sz w:val="18"/>
                <w:szCs w:val="18"/>
              </w:rPr>
            </w:pPr>
          </w:p>
        </w:tc>
        <w:tc>
          <w:tcPr>
            <w:tcW w:w="1369" w:type="dxa"/>
            <w:tcBorders>
              <w:bottom w:val="single" w:color="000000" w:sz="4" w:space="0"/>
              <w:right w:val="single" w:color="000000" w:sz="4" w:space="0"/>
            </w:tcBorders>
            <w:vAlign w:val="center"/>
          </w:tcPr>
          <w:p>
            <w:pPr>
              <w:widowControl/>
              <w:spacing w:line="240" w:lineRule="exact"/>
              <w:jc w:val="center"/>
            </w:pPr>
            <w:r>
              <w:rPr>
                <w:rFonts w:hint="eastAsia" w:ascii="宋体" w:hAnsi="宋体" w:cs="宋体"/>
                <w:color w:val="000000"/>
                <w:kern w:val="0"/>
                <w:sz w:val="18"/>
                <w:szCs w:val="18"/>
              </w:rPr>
              <w:t>营业收入(Y)</w:t>
            </w:r>
          </w:p>
        </w:tc>
        <w:tc>
          <w:tcPr>
            <w:tcW w:w="708" w:type="dxa"/>
            <w:tcBorders>
              <w:bottom w:val="single" w:color="000000" w:sz="4" w:space="0"/>
              <w:right w:val="single" w:color="000000" w:sz="4" w:space="0"/>
            </w:tcBorders>
            <w:vAlign w:val="center"/>
          </w:tcPr>
          <w:p>
            <w:pPr>
              <w:widowControl/>
              <w:jc w:val="center"/>
            </w:pPr>
            <w:r>
              <w:rPr>
                <w:rFonts w:hint="eastAsia" w:ascii="宋体" w:hAnsi="宋体" w:cs="宋体"/>
                <w:color w:val="000000"/>
                <w:kern w:val="0"/>
                <w:sz w:val="18"/>
                <w:szCs w:val="18"/>
              </w:rPr>
              <w:t>万元</w:t>
            </w:r>
          </w:p>
        </w:tc>
        <w:tc>
          <w:tcPr>
            <w:tcW w:w="1125" w:type="dxa"/>
            <w:tcBorders>
              <w:bottom w:val="single" w:color="000000" w:sz="4" w:space="0"/>
              <w:right w:val="single" w:color="000000" w:sz="4" w:space="0"/>
            </w:tcBorders>
            <w:vAlign w:val="center"/>
          </w:tcPr>
          <w:p>
            <w:pPr>
              <w:widowControl/>
              <w:jc w:val="center"/>
            </w:pPr>
            <w:r>
              <w:rPr>
                <w:rFonts w:hint="eastAsia" w:ascii="宋体" w:hAnsi="宋体" w:cs="宋体"/>
                <w:color w:val="000000"/>
                <w:kern w:val="0"/>
                <w:sz w:val="18"/>
                <w:szCs w:val="18"/>
              </w:rPr>
              <w:t>Y≥100000</w:t>
            </w:r>
          </w:p>
        </w:tc>
        <w:tc>
          <w:tcPr>
            <w:tcW w:w="1701" w:type="dxa"/>
            <w:tcBorders>
              <w:bottom w:val="single" w:color="000000" w:sz="4" w:space="0"/>
              <w:right w:val="single" w:color="000000" w:sz="4" w:space="0"/>
            </w:tcBorders>
            <w:vAlign w:val="center"/>
          </w:tcPr>
          <w:p>
            <w:pPr>
              <w:widowControl/>
              <w:jc w:val="center"/>
            </w:pPr>
            <w:r>
              <w:rPr>
                <w:rFonts w:hint="eastAsia" w:ascii="宋体" w:hAnsi="宋体" w:cs="宋体"/>
                <w:color w:val="000000"/>
                <w:kern w:val="0"/>
                <w:sz w:val="18"/>
                <w:szCs w:val="18"/>
              </w:rPr>
              <w:t xml:space="preserve"> 1000≤Y＜100000</w:t>
            </w:r>
          </w:p>
        </w:tc>
        <w:tc>
          <w:tcPr>
            <w:tcW w:w="1426" w:type="dxa"/>
            <w:tcBorders>
              <w:bottom w:val="single" w:color="000000" w:sz="4" w:space="0"/>
              <w:right w:val="single" w:color="000000" w:sz="4" w:space="0"/>
            </w:tcBorders>
            <w:vAlign w:val="center"/>
          </w:tcPr>
          <w:p>
            <w:pPr>
              <w:widowControl/>
              <w:jc w:val="center"/>
            </w:pPr>
            <w:r>
              <w:rPr>
                <w:rFonts w:hint="eastAsia" w:ascii="宋体" w:hAnsi="宋体" w:cs="宋体"/>
                <w:color w:val="000000"/>
                <w:kern w:val="0"/>
                <w:sz w:val="18"/>
                <w:szCs w:val="18"/>
              </w:rPr>
              <w:t xml:space="preserve"> 100≤Y＜1000</w:t>
            </w:r>
          </w:p>
        </w:tc>
        <w:tc>
          <w:tcPr>
            <w:tcW w:w="992" w:type="dxa"/>
            <w:tcBorders>
              <w:bottom w:val="single" w:color="000000" w:sz="4" w:space="0"/>
            </w:tcBorders>
            <w:vAlign w:val="center"/>
          </w:tcPr>
          <w:p>
            <w:pPr>
              <w:widowControl/>
              <w:jc w:val="center"/>
            </w:pPr>
            <w:r>
              <w:rPr>
                <w:rFonts w:hint="eastAsia" w:ascii="宋体" w:hAnsi="宋体" w:cs="宋体"/>
                <w:color w:val="000000"/>
                <w:kern w:val="0"/>
                <w:sz w:val="18"/>
                <w:szCs w:val="18"/>
              </w:rPr>
              <w:t>Y＜100</w:t>
            </w:r>
          </w:p>
        </w:tc>
      </w:tr>
      <w:tr>
        <w:tblPrEx>
          <w:tblCellMar>
            <w:top w:w="0" w:type="dxa"/>
            <w:left w:w="108" w:type="dxa"/>
            <w:bottom w:w="0" w:type="dxa"/>
            <w:right w:w="108" w:type="dxa"/>
          </w:tblCellMar>
        </w:tblPrEx>
        <w:trPr>
          <w:trHeight w:val="314" w:hRule="exact"/>
          <w:jc w:val="center"/>
        </w:trPr>
        <w:tc>
          <w:tcPr>
            <w:tcW w:w="2115" w:type="dxa"/>
            <w:vMerge w:val="restart"/>
            <w:tcBorders>
              <w:top w:val="single" w:color="000000" w:sz="4" w:space="0"/>
              <w:bottom w:val="single" w:color="000000" w:sz="4" w:space="0"/>
              <w:right w:val="single" w:color="000000" w:sz="4" w:space="0"/>
            </w:tcBorders>
            <w:vAlign w:val="center"/>
          </w:tcPr>
          <w:p>
            <w:pPr>
              <w:widowControl/>
              <w:spacing w:line="240" w:lineRule="exact"/>
              <w:jc w:val="left"/>
            </w:pPr>
            <w:r>
              <w:rPr>
                <w:rFonts w:hint="eastAsia" w:ascii="宋体" w:hAnsi="宋体" w:cs="宋体"/>
                <w:color w:val="000000"/>
                <w:spacing w:val="-12"/>
                <w:kern w:val="0"/>
                <w:sz w:val="18"/>
                <w:szCs w:val="18"/>
              </w:rPr>
              <w:t>软件和信息技术服</w:t>
            </w:r>
            <w:r>
              <w:rPr>
                <w:rFonts w:hint="eastAsia" w:ascii="宋体" w:hAnsi="宋体" w:cs="宋体"/>
                <w:color w:val="000000"/>
                <w:kern w:val="0"/>
                <w:sz w:val="18"/>
                <w:szCs w:val="18"/>
              </w:rPr>
              <w:t>务业</w:t>
            </w:r>
          </w:p>
        </w:tc>
        <w:tc>
          <w:tcPr>
            <w:tcW w:w="1369" w:type="dxa"/>
            <w:tcBorders>
              <w:right w:val="single" w:color="000000" w:sz="4" w:space="0"/>
            </w:tcBorders>
            <w:vAlign w:val="center"/>
          </w:tcPr>
          <w:p>
            <w:pPr>
              <w:widowControl/>
              <w:jc w:val="center"/>
            </w:pPr>
            <w:r>
              <w:rPr>
                <w:rFonts w:hint="eastAsia" w:ascii="宋体" w:hAnsi="宋体" w:cs="宋体"/>
                <w:color w:val="000000"/>
                <w:kern w:val="0"/>
                <w:sz w:val="18"/>
                <w:szCs w:val="18"/>
              </w:rPr>
              <w:t>从业人员(X)</w:t>
            </w:r>
          </w:p>
        </w:tc>
        <w:tc>
          <w:tcPr>
            <w:tcW w:w="708" w:type="dxa"/>
            <w:tcBorders>
              <w:right w:val="single" w:color="000000" w:sz="4" w:space="0"/>
            </w:tcBorders>
            <w:vAlign w:val="center"/>
          </w:tcPr>
          <w:p>
            <w:pPr>
              <w:widowControl/>
              <w:jc w:val="center"/>
            </w:pPr>
            <w:r>
              <w:rPr>
                <w:rFonts w:hint="eastAsia" w:ascii="宋体" w:hAnsi="宋体" w:cs="宋体"/>
                <w:color w:val="000000"/>
                <w:kern w:val="0"/>
                <w:sz w:val="18"/>
                <w:szCs w:val="18"/>
              </w:rPr>
              <w:t>人</w:t>
            </w:r>
          </w:p>
        </w:tc>
        <w:tc>
          <w:tcPr>
            <w:tcW w:w="1125" w:type="dxa"/>
            <w:tcBorders>
              <w:right w:val="single" w:color="000000" w:sz="4" w:space="0"/>
            </w:tcBorders>
            <w:vAlign w:val="center"/>
          </w:tcPr>
          <w:p>
            <w:pPr>
              <w:widowControl/>
              <w:jc w:val="center"/>
            </w:pPr>
            <w:r>
              <w:rPr>
                <w:rFonts w:hint="eastAsia" w:ascii="宋体" w:hAnsi="宋体" w:cs="宋体"/>
                <w:color w:val="000000"/>
                <w:kern w:val="0"/>
                <w:sz w:val="18"/>
                <w:szCs w:val="18"/>
              </w:rPr>
              <w:t>X≥300</w:t>
            </w:r>
          </w:p>
        </w:tc>
        <w:tc>
          <w:tcPr>
            <w:tcW w:w="1701" w:type="dxa"/>
            <w:tcBorders>
              <w:right w:val="single" w:color="000000" w:sz="4" w:space="0"/>
            </w:tcBorders>
            <w:vAlign w:val="center"/>
          </w:tcPr>
          <w:p>
            <w:pPr>
              <w:widowControl/>
              <w:ind w:left="1" w:hanging="108"/>
              <w:jc w:val="center"/>
            </w:pPr>
            <w:r>
              <w:rPr>
                <w:rFonts w:hint="eastAsia" w:ascii="宋体" w:hAnsi="宋体" w:cs="宋体"/>
                <w:color w:val="000000"/>
                <w:kern w:val="0"/>
                <w:sz w:val="18"/>
                <w:szCs w:val="18"/>
              </w:rPr>
              <w:t xml:space="preserve">100≤X＜300 </w:t>
            </w:r>
          </w:p>
        </w:tc>
        <w:tc>
          <w:tcPr>
            <w:tcW w:w="1426" w:type="dxa"/>
            <w:tcBorders>
              <w:right w:val="single" w:color="000000" w:sz="4" w:space="0"/>
            </w:tcBorders>
            <w:vAlign w:val="center"/>
          </w:tcPr>
          <w:p>
            <w:pPr>
              <w:widowControl/>
              <w:jc w:val="center"/>
            </w:pPr>
            <w:r>
              <w:rPr>
                <w:rFonts w:hint="eastAsia" w:ascii="宋体" w:hAnsi="宋体" w:cs="宋体"/>
                <w:color w:val="000000"/>
                <w:kern w:val="0"/>
                <w:sz w:val="18"/>
                <w:szCs w:val="18"/>
              </w:rPr>
              <w:t xml:space="preserve"> 10≤X＜100</w:t>
            </w:r>
          </w:p>
        </w:tc>
        <w:tc>
          <w:tcPr>
            <w:tcW w:w="992" w:type="dxa"/>
            <w:vAlign w:val="center"/>
          </w:tcPr>
          <w:p>
            <w:pPr>
              <w:widowControl/>
              <w:jc w:val="center"/>
            </w:pPr>
            <w:r>
              <w:rPr>
                <w:rFonts w:hint="eastAsia" w:ascii="宋体" w:hAnsi="宋体" w:cs="宋体"/>
                <w:color w:val="000000"/>
                <w:kern w:val="0"/>
                <w:sz w:val="18"/>
                <w:szCs w:val="18"/>
              </w:rPr>
              <w:t>X＜10</w:t>
            </w:r>
          </w:p>
        </w:tc>
      </w:tr>
      <w:tr>
        <w:tblPrEx>
          <w:tblCellMar>
            <w:top w:w="0" w:type="dxa"/>
            <w:left w:w="108" w:type="dxa"/>
            <w:bottom w:w="0" w:type="dxa"/>
            <w:right w:w="108" w:type="dxa"/>
          </w:tblCellMar>
        </w:tblPrEx>
        <w:trPr>
          <w:trHeight w:val="314" w:hRule="exact"/>
          <w:jc w:val="center"/>
        </w:trPr>
        <w:tc>
          <w:tcPr>
            <w:tcW w:w="2115" w:type="dxa"/>
            <w:vMerge w:val="continue"/>
            <w:tcBorders>
              <w:top w:val="single" w:color="000000" w:sz="4" w:space="0"/>
              <w:bottom w:val="single" w:color="000000" w:sz="4" w:space="0"/>
              <w:right w:val="single" w:color="000000" w:sz="4" w:space="0"/>
            </w:tcBorders>
            <w:vAlign w:val="center"/>
          </w:tcPr>
          <w:p>
            <w:pPr>
              <w:widowControl/>
              <w:snapToGrid w:val="0"/>
              <w:jc w:val="left"/>
              <w:rPr>
                <w:rFonts w:ascii="宋体" w:hAnsi="宋体" w:cs="宋体"/>
                <w:color w:val="000000"/>
                <w:spacing w:val="-12"/>
                <w:kern w:val="0"/>
                <w:sz w:val="18"/>
                <w:szCs w:val="18"/>
              </w:rPr>
            </w:pPr>
          </w:p>
        </w:tc>
        <w:tc>
          <w:tcPr>
            <w:tcW w:w="1369" w:type="dxa"/>
            <w:tcBorders>
              <w:bottom w:val="single" w:color="000000" w:sz="4" w:space="0"/>
              <w:right w:val="single" w:color="000000" w:sz="4" w:space="0"/>
            </w:tcBorders>
            <w:vAlign w:val="center"/>
          </w:tcPr>
          <w:p>
            <w:pPr>
              <w:widowControl/>
              <w:jc w:val="center"/>
            </w:pPr>
            <w:r>
              <w:rPr>
                <w:rFonts w:hint="eastAsia" w:ascii="宋体" w:hAnsi="宋体" w:cs="宋体"/>
                <w:color w:val="000000"/>
                <w:kern w:val="0"/>
                <w:sz w:val="18"/>
                <w:szCs w:val="18"/>
              </w:rPr>
              <w:t>营业收入(Y)</w:t>
            </w:r>
          </w:p>
        </w:tc>
        <w:tc>
          <w:tcPr>
            <w:tcW w:w="708" w:type="dxa"/>
            <w:tcBorders>
              <w:bottom w:val="single" w:color="000000" w:sz="4" w:space="0"/>
              <w:right w:val="single" w:color="000000" w:sz="4" w:space="0"/>
            </w:tcBorders>
            <w:vAlign w:val="center"/>
          </w:tcPr>
          <w:p>
            <w:pPr>
              <w:widowControl/>
              <w:jc w:val="center"/>
            </w:pPr>
            <w:r>
              <w:rPr>
                <w:rFonts w:hint="eastAsia" w:ascii="宋体" w:hAnsi="宋体" w:cs="宋体"/>
                <w:color w:val="000000"/>
                <w:kern w:val="0"/>
                <w:sz w:val="18"/>
                <w:szCs w:val="18"/>
              </w:rPr>
              <w:t>万元</w:t>
            </w:r>
          </w:p>
        </w:tc>
        <w:tc>
          <w:tcPr>
            <w:tcW w:w="1125" w:type="dxa"/>
            <w:tcBorders>
              <w:bottom w:val="single" w:color="000000" w:sz="4" w:space="0"/>
              <w:right w:val="single" w:color="000000" w:sz="4" w:space="0"/>
            </w:tcBorders>
            <w:vAlign w:val="center"/>
          </w:tcPr>
          <w:p>
            <w:pPr>
              <w:widowControl/>
              <w:jc w:val="center"/>
            </w:pPr>
            <w:r>
              <w:rPr>
                <w:rFonts w:hint="eastAsia" w:ascii="宋体" w:hAnsi="宋体" w:cs="宋体"/>
                <w:color w:val="000000"/>
                <w:kern w:val="0"/>
                <w:sz w:val="18"/>
                <w:szCs w:val="18"/>
              </w:rPr>
              <w:t>Y≥10000</w:t>
            </w:r>
          </w:p>
        </w:tc>
        <w:tc>
          <w:tcPr>
            <w:tcW w:w="1701" w:type="dxa"/>
            <w:tcBorders>
              <w:bottom w:val="single" w:color="000000" w:sz="4" w:space="0"/>
              <w:right w:val="single" w:color="000000" w:sz="4" w:space="0"/>
            </w:tcBorders>
            <w:vAlign w:val="center"/>
          </w:tcPr>
          <w:p>
            <w:pPr>
              <w:widowControl/>
              <w:jc w:val="center"/>
            </w:pPr>
            <w:r>
              <w:rPr>
                <w:rFonts w:hint="eastAsia" w:ascii="宋体" w:hAnsi="宋体" w:cs="宋体"/>
                <w:color w:val="000000"/>
                <w:kern w:val="0"/>
                <w:sz w:val="18"/>
                <w:szCs w:val="18"/>
              </w:rPr>
              <w:t>1000≤Y＜10000</w:t>
            </w:r>
          </w:p>
        </w:tc>
        <w:tc>
          <w:tcPr>
            <w:tcW w:w="1426" w:type="dxa"/>
            <w:tcBorders>
              <w:bottom w:val="single" w:color="000000" w:sz="4" w:space="0"/>
              <w:right w:val="single" w:color="000000" w:sz="4" w:space="0"/>
            </w:tcBorders>
            <w:vAlign w:val="center"/>
          </w:tcPr>
          <w:p>
            <w:pPr>
              <w:widowControl/>
              <w:jc w:val="center"/>
            </w:pPr>
            <w:r>
              <w:rPr>
                <w:rFonts w:hint="eastAsia" w:ascii="宋体" w:hAnsi="宋体" w:cs="宋体"/>
                <w:color w:val="000000"/>
                <w:kern w:val="0"/>
                <w:sz w:val="18"/>
                <w:szCs w:val="18"/>
              </w:rPr>
              <w:t xml:space="preserve">  50≤Y＜1000</w:t>
            </w:r>
          </w:p>
        </w:tc>
        <w:tc>
          <w:tcPr>
            <w:tcW w:w="992" w:type="dxa"/>
            <w:tcBorders>
              <w:bottom w:val="single" w:color="000000" w:sz="4" w:space="0"/>
            </w:tcBorders>
            <w:vAlign w:val="center"/>
          </w:tcPr>
          <w:p>
            <w:pPr>
              <w:widowControl/>
              <w:jc w:val="center"/>
            </w:pPr>
            <w:r>
              <w:rPr>
                <w:rFonts w:hint="eastAsia" w:ascii="宋体" w:hAnsi="宋体" w:cs="宋体"/>
                <w:color w:val="000000"/>
                <w:kern w:val="0"/>
                <w:sz w:val="18"/>
                <w:szCs w:val="18"/>
              </w:rPr>
              <w:t>Y＜50</w:t>
            </w:r>
          </w:p>
        </w:tc>
      </w:tr>
      <w:tr>
        <w:tblPrEx>
          <w:tblCellMar>
            <w:top w:w="0" w:type="dxa"/>
            <w:left w:w="108" w:type="dxa"/>
            <w:bottom w:w="0" w:type="dxa"/>
            <w:right w:w="108" w:type="dxa"/>
          </w:tblCellMar>
        </w:tblPrEx>
        <w:trPr>
          <w:trHeight w:val="314" w:hRule="exact"/>
          <w:jc w:val="center"/>
        </w:trPr>
        <w:tc>
          <w:tcPr>
            <w:tcW w:w="2115" w:type="dxa"/>
            <w:vMerge w:val="restart"/>
            <w:tcBorders>
              <w:bottom w:val="single" w:color="000000" w:sz="4" w:space="0"/>
              <w:right w:val="single" w:color="000000" w:sz="4" w:space="0"/>
            </w:tcBorders>
            <w:vAlign w:val="center"/>
          </w:tcPr>
          <w:p>
            <w:pPr>
              <w:widowControl/>
              <w:spacing w:line="240" w:lineRule="exact"/>
              <w:jc w:val="left"/>
            </w:pPr>
            <w:r>
              <w:rPr>
                <w:rFonts w:hint="eastAsia" w:ascii="宋体" w:hAnsi="宋体" w:cs="宋体"/>
                <w:color w:val="000000"/>
                <w:kern w:val="0"/>
                <w:sz w:val="18"/>
                <w:szCs w:val="18"/>
              </w:rPr>
              <w:t>房地产开发经营</w:t>
            </w:r>
          </w:p>
        </w:tc>
        <w:tc>
          <w:tcPr>
            <w:tcW w:w="1369" w:type="dxa"/>
            <w:tcBorders>
              <w:right w:val="single" w:color="000000" w:sz="4" w:space="0"/>
            </w:tcBorders>
            <w:vAlign w:val="center"/>
          </w:tcPr>
          <w:p>
            <w:pPr>
              <w:widowControl/>
              <w:jc w:val="center"/>
            </w:pPr>
            <w:r>
              <w:rPr>
                <w:rFonts w:hint="eastAsia" w:ascii="宋体" w:hAnsi="宋体" w:cs="宋体"/>
                <w:color w:val="000000"/>
                <w:kern w:val="0"/>
                <w:sz w:val="18"/>
                <w:szCs w:val="18"/>
              </w:rPr>
              <w:t>营业收入(Y)</w:t>
            </w:r>
          </w:p>
        </w:tc>
        <w:tc>
          <w:tcPr>
            <w:tcW w:w="708" w:type="dxa"/>
            <w:tcBorders>
              <w:right w:val="single" w:color="000000" w:sz="4" w:space="0"/>
            </w:tcBorders>
            <w:vAlign w:val="center"/>
          </w:tcPr>
          <w:p>
            <w:pPr>
              <w:widowControl/>
              <w:jc w:val="center"/>
            </w:pPr>
            <w:r>
              <w:rPr>
                <w:rFonts w:hint="eastAsia" w:ascii="宋体" w:hAnsi="宋体" w:cs="宋体"/>
                <w:color w:val="000000"/>
                <w:kern w:val="0"/>
                <w:sz w:val="18"/>
                <w:szCs w:val="18"/>
              </w:rPr>
              <w:t>万元</w:t>
            </w:r>
          </w:p>
        </w:tc>
        <w:tc>
          <w:tcPr>
            <w:tcW w:w="1125" w:type="dxa"/>
            <w:tcBorders>
              <w:right w:val="single" w:color="000000" w:sz="4" w:space="0"/>
            </w:tcBorders>
            <w:vAlign w:val="center"/>
          </w:tcPr>
          <w:p>
            <w:pPr>
              <w:widowControl/>
              <w:jc w:val="center"/>
            </w:pPr>
            <w:r>
              <w:rPr>
                <w:rFonts w:hint="eastAsia" w:ascii="宋体" w:hAnsi="宋体" w:cs="宋体"/>
                <w:color w:val="000000"/>
                <w:kern w:val="0"/>
                <w:sz w:val="18"/>
                <w:szCs w:val="18"/>
              </w:rPr>
              <w:t>Y≥200000</w:t>
            </w:r>
          </w:p>
        </w:tc>
        <w:tc>
          <w:tcPr>
            <w:tcW w:w="1701" w:type="dxa"/>
            <w:tcBorders>
              <w:right w:val="single" w:color="000000" w:sz="4" w:space="0"/>
            </w:tcBorders>
            <w:vAlign w:val="center"/>
          </w:tcPr>
          <w:p>
            <w:pPr>
              <w:widowControl/>
              <w:jc w:val="center"/>
            </w:pPr>
            <w:r>
              <w:rPr>
                <w:rFonts w:hint="eastAsia" w:ascii="宋体" w:hAnsi="宋体" w:cs="宋体"/>
                <w:color w:val="000000"/>
                <w:kern w:val="0"/>
                <w:sz w:val="18"/>
                <w:szCs w:val="18"/>
              </w:rPr>
              <w:t xml:space="preserve"> 1000≤Y＜200000</w:t>
            </w:r>
          </w:p>
        </w:tc>
        <w:tc>
          <w:tcPr>
            <w:tcW w:w="1426" w:type="dxa"/>
            <w:tcBorders>
              <w:right w:val="single" w:color="000000" w:sz="4" w:space="0"/>
            </w:tcBorders>
            <w:vAlign w:val="center"/>
          </w:tcPr>
          <w:p>
            <w:pPr>
              <w:widowControl/>
              <w:jc w:val="center"/>
            </w:pPr>
            <w:r>
              <w:rPr>
                <w:rFonts w:hint="eastAsia" w:ascii="宋体" w:hAnsi="宋体" w:cs="宋体"/>
                <w:color w:val="000000"/>
                <w:kern w:val="0"/>
                <w:sz w:val="18"/>
                <w:szCs w:val="18"/>
              </w:rPr>
              <w:t xml:space="preserve"> 100≤Y＜1000</w:t>
            </w:r>
          </w:p>
        </w:tc>
        <w:tc>
          <w:tcPr>
            <w:tcW w:w="992" w:type="dxa"/>
            <w:vAlign w:val="center"/>
          </w:tcPr>
          <w:p>
            <w:pPr>
              <w:widowControl/>
              <w:jc w:val="center"/>
            </w:pPr>
            <w:r>
              <w:rPr>
                <w:rFonts w:hint="eastAsia" w:ascii="宋体" w:hAnsi="宋体" w:cs="宋体"/>
                <w:color w:val="000000"/>
                <w:kern w:val="0"/>
                <w:sz w:val="18"/>
                <w:szCs w:val="18"/>
              </w:rPr>
              <w:t>Y＜100</w:t>
            </w:r>
          </w:p>
        </w:tc>
      </w:tr>
      <w:tr>
        <w:tblPrEx>
          <w:tblCellMar>
            <w:top w:w="0" w:type="dxa"/>
            <w:left w:w="108" w:type="dxa"/>
            <w:bottom w:w="0" w:type="dxa"/>
            <w:right w:w="108" w:type="dxa"/>
          </w:tblCellMar>
        </w:tblPrEx>
        <w:trPr>
          <w:trHeight w:val="314" w:hRule="exact"/>
          <w:jc w:val="center"/>
        </w:trPr>
        <w:tc>
          <w:tcPr>
            <w:tcW w:w="2115" w:type="dxa"/>
            <w:vMerge w:val="continue"/>
            <w:tcBorders>
              <w:bottom w:val="single" w:color="000000" w:sz="4" w:space="0"/>
              <w:right w:val="single" w:color="000000" w:sz="4" w:space="0"/>
            </w:tcBorders>
            <w:vAlign w:val="center"/>
          </w:tcPr>
          <w:p>
            <w:pPr>
              <w:widowControl/>
              <w:snapToGrid w:val="0"/>
              <w:jc w:val="left"/>
              <w:rPr>
                <w:rFonts w:ascii="宋体" w:hAnsi="宋体" w:cs="宋体"/>
                <w:color w:val="000000"/>
                <w:kern w:val="0"/>
                <w:sz w:val="18"/>
                <w:szCs w:val="18"/>
              </w:rPr>
            </w:pPr>
          </w:p>
        </w:tc>
        <w:tc>
          <w:tcPr>
            <w:tcW w:w="1369" w:type="dxa"/>
            <w:tcBorders>
              <w:bottom w:val="single" w:color="000000" w:sz="4" w:space="0"/>
              <w:right w:val="single" w:color="000000" w:sz="4" w:space="0"/>
            </w:tcBorders>
            <w:vAlign w:val="center"/>
          </w:tcPr>
          <w:p>
            <w:pPr>
              <w:widowControl/>
              <w:spacing w:line="240" w:lineRule="exact"/>
              <w:jc w:val="center"/>
            </w:pPr>
            <w:r>
              <w:rPr>
                <w:rFonts w:hint="eastAsia" w:ascii="宋体" w:hAnsi="宋体" w:cs="宋体"/>
                <w:color w:val="000000"/>
                <w:kern w:val="0"/>
                <w:sz w:val="18"/>
                <w:szCs w:val="18"/>
              </w:rPr>
              <w:t>资产总额(Z)</w:t>
            </w:r>
          </w:p>
        </w:tc>
        <w:tc>
          <w:tcPr>
            <w:tcW w:w="708" w:type="dxa"/>
            <w:tcBorders>
              <w:bottom w:val="single" w:color="000000" w:sz="4" w:space="0"/>
              <w:right w:val="single" w:color="000000" w:sz="4" w:space="0"/>
            </w:tcBorders>
            <w:vAlign w:val="center"/>
          </w:tcPr>
          <w:p>
            <w:pPr>
              <w:widowControl/>
              <w:jc w:val="center"/>
            </w:pPr>
            <w:r>
              <w:rPr>
                <w:rFonts w:hint="eastAsia" w:ascii="宋体" w:hAnsi="宋体" w:cs="宋体"/>
                <w:color w:val="000000"/>
                <w:kern w:val="0"/>
                <w:sz w:val="18"/>
                <w:szCs w:val="18"/>
              </w:rPr>
              <w:t>万元</w:t>
            </w:r>
          </w:p>
        </w:tc>
        <w:tc>
          <w:tcPr>
            <w:tcW w:w="1125" w:type="dxa"/>
            <w:tcBorders>
              <w:bottom w:val="single" w:color="000000" w:sz="4" w:space="0"/>
              <w:right w:val="single" w:color="000000" w:sz="4" w:space="0"/>
            </w:tcBorders>
            <w:vAlign w:val="center"/>
          </w:tcPr>
          <w:p>
            <w:pPr>
              <w:widowControl/>
              <w:jc w:val="center"/>
            </w:pPr>
            <w:r>
              <w:rPr>
                <w:rFonts w:hint="eastAsia" w:ascii="宋体" w:hAnsi="宋体" w:cs="宋体"/>
                <w:color w:val="000000"/>
                <w:kern w:val="0"/>
                <w:sz w:val="18"/>
                <w:szCs w:val="18"/>
              </w:rPr>
              <w:t>Z≥10000</w:t>
            </w:r>
          </w:p>
        </w:tc>
        <w:tc>
          <w:tcPr>
            <w:tcW w:w="1701" w:type="dxa"/>
            <w:tcBorders>
              <w:bottom w:val="single" w:color="000000" w:sz="4" w:space="0"/>
              <w:right w:val="single" w:color="000000" w:sz="4" w:space="0"/>
            </w:tcBorders>
            <w:vAlign w:val="center"/>
          </w:tcPr>
          <w:p>
            <w:pPr>
              <w:widowControl/>
              <w:jc w:val="center"/>
            </w:pPr>
            <w:r>
              <w:rPr>
                <w:rFonts w:hint="eastAsia" w:ascii="宋体" w:hAnsi="宋体" w:cs="宋体"/>
                <w:color w:val="000000"/>
                <w:kern w:val="0"/>
                <w:sz w:val="18"/>
                <w:szCs w:val="18"/>
              </w:rPr>
              <w:t>5000≤Z＜10000</w:t>
            </w:r>
          </w:p>
        </w:tc>
        <w:tc>
          <w:tcPr>
            <w:tcW w:w="1426" w:type="dxa"/>
            <w:tcBorders>
              <w:bottom w:val="single" w:color="000000" w:sz="4" w:space="0"/>
              <w:right w:val="single" w:color="000000" w:sz="4" w:space="0"/>
            </w:tcBorders>
            <w:vAlign w:val="center"/>
          </w:tcPr>
          <w:p>
            <w:pPr>
              <w:widowControl/>
              <w:jc w:val="center"/>
            </w:pPr>
            <w:r>
              <w:rPr>
                <w:rFonts w:hint="eastAsia" w:ascii="宋体" w:hAnsi="宋体" w:cs="宋体"/>
                <w:color w:val="000000"/>
                <w:kern w:val="0"/>
                <w:sz w:val="18"/>
                <w:szCs w:val="18"/>
              </w:rPr>
              <w:t xml:space="preserve">2000≤Z＜5000   </w:t>
            </w:r>
          </w:p>
        </w:tc>
        <w:tc>
          <w:tcPr>
            <w:tcW w:w="992" w:type="dxa"/>
            <w:tcBorders>
              <w:bottom w:val="single" w:color="000000" w:sz="4" w:space="0"/>
            </w:tcBorders>
            <w:vAlign w:val="center"/>
          </w:tcPr>
          <w:p>
            <w:pPr>
              <w:widowControl/>
              <w:jc w:val="center"/>
            </w:pPr>
            <w:r>
              <w:rPr>
                <w:rFonts w:hint="eastAsia" w:ascii="宋体" w:hAnsi="宋体" w:cs="宋体"/>
                <w:color w:val="000000"/>
                <w:kern w:val="0"/>
                <w:sz w:val="18"/>
                <w:szCs w:val="18"/>
              </w:rPr>
              <w:t>Z＜2000</w:t>
            </w:r>
          </w:p>
        </w:tc>
      </w:tr>
      <w:tr>
        <w:tblPrEx>
          <w:tblCellMar>
            <w:top w:w="0" w:type="dxa"/>
            <w:left w:w="108" w:type="dxa"/>
            <w:bottom w:w="0" w:type="dxa"/>
            <w:right w:w="108" w:type="dxa"/>
          </w:tblCellMar>
        </w:tblPrEx>
        <w:trPr>
          <w:trHeight w:val="314" w:hRule="exact"/>
          <w:jc w:val="center"/>
        </w:trPr>
        <w:tc>
          <w:tcPr>
            <w:tcW w:w="2115" w:type="dxa"/>
            <w:vMerge w:val="restart"/>
            <w:tcBorders>
              <w:bottom w:val="single" w:color="000000" w:sz="4" w:space="0"/>
              <w:right w:val="single" w:color="000000" w:sz="4" w:space="0"/>
            </w:tcBorders>
            <w:vAlign w:val="center"/>
          </w:tcPr>
          <w:p>
            <w:pPr>
              <w:widowControl/>
              <w:spacing w:line="240" w:lineRule="exact"/>
              <w:jc w:val="left"/>
            </w:pPr>
            <w:r>
              <w:rPr>
                <w:rFonts w:hint="eastAsia" w:ascii="宋体" w:hAnsi="宋体" w:cs="宋体"/>
                <w:color w:val="000000"/>
                <w:kern w:val="0"/>
                <w:sz w:val="18"/>
                <w:szCs w:val="18"/>
              </w:rPr>
              <w:t>物业管理</w:t>
            </w:r>
          </w:p>
        </w:tc>
        <w:tc>
          <w:tcPr>
            <w:tcW w:w="1369" w:type="dxa"/>
            <w:tcBorders>
              <w:right w:val="single" w:color="000000" w:sz="4" w:space="0"/>
            </w:tcBorders>
            <w:vAlign w:val="center"/>
          </w:tcPr>
          <w:p>
            <w:pPr>
              <w:widowControl/>
              <w:jc w:val="center"/>
            </w:pPr>
            <w:r>
              <w:rPr>
                <w:rFonts w:hint="eastAsia" w:ascii="宋体" w:hAnsi="宋体" w:cs="宋体"/>
                <w:color w:val="000000"/>
                <w:kern w:val="0"/>
                <w:sz w:val="18"/>
                <w:szCs w:val="18"/>
              </w:rPr>
              <w:t>从业人员(X)</w:t>
            </w:r>
          </w:p>
        </w:tc>
        <w:tc>
          <w:tcPr>
            <w:tcW w:w="708" w:type="dxa"/>
            <w:tcBorders>
              <w:right w:val="single" w:color="000000" w:sz="4" w:space="0"/>
            </w:tcBorders>
            <w:vAlign w:val="center"/>
          </w:tcPr>
          <w:p>
            <w:pPr>
              <w:widowControl/>
              <w:jc w:val="center"/>
            </w:pPr>
            <w:r>
              <w:rPr>
                <w:rFonts w:hint="eastAsia" w:ascii="宋体" w:hAnsi="宋体" w:cs="宋体"/>
                <w:color w:val="000000"/>
                <w:kern w:val="0"/>
                <w:sz w:val="18"/>
                <w:szCs w:val="18"/>
              </w:rPr>
              <w:t>人</w:t>
            </w:r>
          </w:p>
        </w:tc>
        <w:tc>
          <w:tcPr>
            <w:tcW w:w="1125" w:type="dxa"/>
            <w:tcBorders>
              <w:right w:val="single" w:color="000000" w:sz="4" w:space="0"/>
            </w:tcBorders>
            <w:vAlign w:val="center"/>
          </w:tcPr>
          <w:p>
            <w:pPr>
              <w:widowControl/>
              <w:jc w:val="center"/>
            </w:pPr>
            <w:r>
              <w:rPr>
                <w:rFonts w:hint="eastAsia" w:ascii="宋体" w:hAnsi="宋体" w:cs="宋体"/>
                <w:color w:val="000000"/>
                <w:kern w:val="0"/>
                <w:sz w:val="18"/>
                <w:szCs w:val="18"/>
              </w:rPr>
              <w:t>X≥1000</w:t>
            </w:r>
          </w:p>
        </w:tc>
        <w:tc>
          <w:tcPr>
            <w:tcW w:w="1701" w:type="dxa"/>
            <w:tcBorders>
              <w:right w:val="single" w:color="000000" w:sz="4" w:space="0"/>
            </w:tcBorders>
            <w:vAlign w:val="center"/>
          </w:tcPr>
          <w:p>
            <w:pPr>
              <w:widowControl/>
              <w:jc w:val="center"/>
            </w:pPr>
            <w:r>
              <w:rPr>
                <w:rFonts w:hint="eastAsia" w:ascii="宋体" w:hAnsi="宋体" w:cs="宋体"/>
                <w:color w:val="000000"/>
                <w:kern w:val="0"/>
                <w:sz w:val="18"/>
                <w:szCs w:val="18"/>
              </w:rPr>
              <w:t>300≤X＜1000</w:t>
            </w:r>
          </w:p>
        </w:tc>
        <w:tc>
          <w:tcPr>
            <w:tcW w:w="1426" w:type="dxa"/>
            <w:tcBorders>
              <w:right w:val="single" w:color="000000" w:sz="4" w:space="0"/>
            </w:tcBorders>
            <w:vAlign w:val="center"/>
          </w:tcPr>
          <w:p>
            <w:pPr>
              <w:widowControl/>
              <w:jc w:val="center"/>
            </w:pPr>
            <w:r>
              <w:rPr>
                <w:rFonts w:hint="eastAsia" w:ascii="宋体" w:hAnsi="宋体" w:cs="宋体"/>
                <w:color w:val="000000"/>
                <w:kern w:val="0"/>
                <w:sz w:val="18"/>
                <w:szCs w:val="18"/>
              </w:rPr>
              <w:t xml:space="preserve">100≤X＜300 </w:t>
            </w:r>
          </w:p>
        </w:tc>
        <w:tc>
          <w:tcPr>
            <w:tcW w:w="992" w:type="dxa"/>
            <w:vAlign w:val="center"/>
          </w:tcPr>
          <w:p>
            <w:pPr>
              <w:widowControl/>
              <w:jc w:val="center"/>
            </w:pPr>
            <w:r>
              <w:rPr>
                <w:rFonts w:hint="eastAsia" w:ascii="宋体" w:hAnsi="宋体" w:cs="宋体"/>
                <w:color w:val="000000"/>
                <w:kern w:val="0"/>
                <w:sz w:val="18"/>
                <w:szCs w:val="18"/>
              </w:rPr>
              <w:t>X＜100</w:t>
            </w:r>
          </w:p>
        </w:tc>
      </w:tr>
      <w:tr>
        <w:tblPrEx>
          <w:tblCellMar>
            <w:top w:w="0" w:type="dxa"/>
            <w:left w:w="108" w:type="dxa"/>
            <w:bottom w:w="0" w:type="dxa"/>
            <w:right w:w="108" w:type="dxa"/>
          </w:tblCellMar>
        </w:tblPrEx>
        <w:trPr>
          <w:trHeight w:val="314" w:hRule="exact"/>
          <w:jc w:val="center"/>
        </w:trPr>
        <w:tc>
          <w:tcPr>
            <w:tcW w:w="2115" w:type="dxa"/>
            <w:vMerge w:val="continue"/>
            <w:tcBorders>
              <w:bottom w:val="single" w:color="000000" w:sz="4" w:space="0"/>
              <w:right w:val="single" w:color="000000" w:sz="4" w:space="0"/>
            </w:tcBorders>
            <w:vAlign w:val="center"/>
          </w:tcPr>
          <w:p>
            <w:pPr>
              <w:widowControl/>
              <w:snapToGrid w:val="0"/>
              <w:jc w:val="left"/>
              <w:rPr>
                <w:rFonts w:ascii="宋体" w:hAnsi="宋体" w:cs="宋体"/>
                <w:color w:val="000000"/>
                <w:kern w:val="0"/>
                <w:sz w:val="18"/>
                <w:szCs w:val="18"/>
              </w:rPr>
            </w:pPr>
          </w:p>
        </w:tc>
        <w:tc>
          <w:tcPr>
            <w:tcW w:w="1369" w:type="dxa"/>
            <w:tcBorders>
              <w:bottom w:val="single" w:color="000000" w:sz="4" w:space="0"/>
              <w:right w:val="single" w:color="000000" w:sz="4" w:space="0"/>
            </w:tcBorders>
            <w:vAlign w:val="center"/>
          </w:tcPr>
          <w:p>
            <w:pPr>
              <w:widowControl/>
              <w:spacing w:line="240" w:lineRule="exact"/>
              <w:jc w:val="center"/>
            </w:pPr>
            <w:r>
              <w:rPr>
                <w:rFonts w:hint="eastAsia" w:ascii="宋体" w:hAnsi="宋体" w:cs="宋体"/>
                <w:color w:val="000000"/>
                <w:kern w:val="0"/>
                <w:sz w:val="18"/>
                <w:szCs w:val="18"/>
              </w:rPr>
              <w:t>营业收入(Y)</w:t>
            </w:r>
          </w:p>
        </w:tc>
        <w:tc>
          <w:tcPr>
            <w:tcW w:w="708" w:type="dxa"/>
            <w:tcBorders>
              <w:bottom w:val="single" w:color="000000" w:sz="4" w:space="0"/>
              <w:right w:val="single" w:color="000000" w:sz="4" w:space="0"/>
            </w:tcBorders>
            <w:vAlign w:val="center"/>
          </w:tcPr>
          <w:p>
            <w:pPr>
              <w:widowControl/>
              <w:jc w:val="center"/>
            </w:pPr>
            <w:r>
              <w:rPr>
                <w:rFonts w:hint="eastAsia" w:ascii="宋体" w:hAnsi="宋体" w:cs="宋体"/>
                <w:color w:val="000000"/>
                <w:kern w:val="0"/>
                <w:sz w:val="18"/>
                <w:szCs w:val="18"/>
              </w:rPr>
              <w:t>万元</w:t>
            </w:r>
          </w:p>
        </w:tc>
        <w:tc>
          <w:tcPr>
            <w:tcW w:w="1125" w:type="dxa"/>
            <w:tcBorders>
              <w:bottom w:val="single" w:color="000000" w:sz="4" w:space="0"/>
              <w:right w:val="single" w:color="000000" w:sz="4" w:space="0"/>
            </w:tcBorders>
            <w:vAlign w:val="center"/>
          </w:tcPr>
          <w:p>
            <w:pPr>
              <w:widowControl/>
              <w:jc w:val="center"/>
            </w:pPr>
            <w:r>
              <w:rPr>
                <w:rFonts w:hint="eastAsia" w:ascii="宋体" w:hAnsi="宋体" w:cs="宋体"/>
                <w:color w:val="000000"/>
                <w:kern w:val="0"/>
                <w:sz w:val="18"/>
                <w:szCs w:val="18"/>
              </w:rPr>
              <w:t>Y≥5000</w:t>
            </w:r>
          </w:p>
        </w:tc>
        <w:tc>
          <w:tcPr>
            <w:tcW w:w="1701" w:type="dxa"/>
            <w:tcBorders>
              <w:bottom w:val="single" w:color="000000" w:sz="4" w:space="0"/>
              <w:right w:val="single" w:color="000000" w:sz="4" w:space="0"/>
            </w:tcBorders>
            <w:vAlign w:val="center"/>
          </w:tcPr>
          <w:p>
            <w:pPr>
              <w:widowControl/>
              <w:ind w:left="1" w:hanging="108"/>
              <w:jc w:val="center"/>
            </w:pPr>
            <w:r>
              <w:rPr>
                <w:rFonts w:hint="eastAsia" w:ascii="宋体" w:hAnsi="宋体" w:cs="宋体"/>
                <w:color w:val="000000"/>
                <w:kern w:val="0"/>
                <w:sz w:val="18"/>
                <w:szCs w:val="18"/>
              </w:rPr>
              <w:t xml:space="preserve">1000≤Y＜5000 </w:t>
            </w:r>
          </w:p>
        </w:tc>
        <w:tc>
          <w:tcPr>
            <w:tcW w:w="1426" w:type="dxa"/>
            <w:tcBorders>
              <w:bottom w:val="single" w:color="000000" w:sz="4" w:space="0"/>
              <w:right w:val="single" w:color="000000" w:sz="4" w:space="0"/>
            </w:tcBorders>
            <w:vAlign w:val="center"/>
          </w:tcPr>
          <w:p>
            <w:pPr>
              <w:widowControl/>
              <w:jc w:val="center"/>
            </w:pPr>
            <w:r>
              <w:rPr>
                <w:rFonts w:hint="eastAsia" w:ascii="宋体" w:hAnsi="宋体" w:cs="宋体"/>
                <w:color w:val="000000"/>
                <w:kern w:val="0"/>
                <w:sz w:val="18"/>
                <w:szCs w:val="18"/>
              </w:rPr>
              <w:t xml:space="preserve"> 500≤Y＜1000</w:t>
            </w:r>
          </w:p>
        </w:tc>
        <w:tc>
          <w:tcPr>
            <w:tcW w:w="992" w:type="dxa"/>
            <w:tcBorders>
              <w:bottom w:val="single" w:color="000000" w:sz="4" w:space="0"/>
            </w:tcBorders>
            <w:vAlign w:val="center"/>
          </w:tcPr>
          <w:p>
            <w:pPr>
              <w:widowControl/>
              <w:jc w:val="center"/>
            </w:pPr>
            <w:r>
              <w:rPr>
                <w:rFonts w:hint="eastAsia" w:ascii="宋体" w:hAnsi="宋体" w:cs="宋体"/>
                <w:color w:val="000000"/>
                <w:kern w:val="0"/>
                <w:sz w:val="18"/>
                <w:szCs w:val="18"/>
              </w:rPr>
              <w:t>Y＜500</w:t>
            </w:r>
          </w:p>
        </w:tc>
      </w:tr>
      <w:tr>
        <w:tblPrEx>
          <w:tblCellMar>
            <w:top w:w="0" w:type="dxa"/>
            <w:left w:w="108" w:type="dxa"/>
            <w:bottom w:w="0" w:type="dxa"/>
            <w:right w:w="108" w:type="dxa"/>
          </w:tblCellMar>
        </w:tblPrEx>
        <w:trPr>
          <w:trHeight w:val="314" w:hRule="exact"/>
          <w:jc w:val="center"/>
        </w:trPr>
        <w:tc>
          <w:tcPr>
            <w:tcW w:w="2115" w:type="dxa"/>
            <w:vMerge w:val="restart"/>
            <w:tcBorders>
              <w:bottom w:val="single" w:color="000000" w:sz="4" w:space="0"/>
              <w:right w:val="single" w:color="000000" w:sz="4" w:space="0"/>
            </w:tcBorders>
            <w:vAlign w:val="center"/>
          </w:tcPr>
          <w:p>
            <w:pPr>
              <w:widowControl/>
              <w:spacing w:line="240" w:lineRule="exact"/>
              <w:jc w:val="left"/>
            </w:pPr>
            <w:r>
              <w:rPr>
                <w:rFonts w:hint="eastAsia" w:ascii="宋体" w:hAnsi="宋体" w:cs="宋体"/>
                <w:color w:val="000000"/>
                <w:kern w:val="0"/>
                <w:sz w:val="18"/>
                <w:szCs w:val="18"/>
              </w:rPr>
              <w:t>租赁和商务服务业</w:t>
            </w:r>
          </w:p>
        </w:tc>
        <w:tc>
          <w:tcPr>
            <w:tcW w:w="1369" w:type="dxa"/>
            <w:tcBorders>
              <w:right w:val="single" w:color="000000" w:sz="4" w:space="0"/>
            </w:tcBorders>
            <w:vAlign w:val="center"/>
          </w:tcPr>
          <w:p>
            <w:pPr>
              <w:widowControl/>
              <w:jc w:val="center"/>
            </w:pPr>
            <w:r>
              <w:rPr>
                <w:rFonts w:hint="eastAsia" w:ascii="宋体" w:hAnsi="宋体" w:cs="宋体"/>
                <w:color w:val="000000"/>
                <w:kern w:val="0"/>
                <w:sz w:val="18"/>
                <w:szCs w:val="18"/>
              </w:rPr>
              <w:t>从业人员(X)</w:t>
            </w:r>
          </w:p>
        </w:tc>
        <w:tc>
          <w:tcPr>
            <w:tcW w:w="708" w:type="dxa"/>
            <w:tcBorders>
              <w:right w:val="single" w:color="000000" w:sz="4" w:space="0"/>
            </w:tcBorders>
            <w:vAlign w:val="center"/>
          </w:tcPr>
          <w:p>
            <w:pPr>
              <w:widowControl/>
              <w:jc w:val="center"/>
            </w:pPr>
            <w:r>
              <w:rPr>
                <w:rFonts w:hint="eastAsia" w:ascii="宋体" w:hAnsi="宋体" w:cs="宋体"/>
                <w:color w:val="000000"/>
                <w:kern w:val="0"/>
                <w:sz w:val="18"/>
                <w:szCs w:val="18"/>
              </w:rPr>
              <w:t>人</w:t>
            </w:r>
          </w:p>
        </w:tc>
        <w:tc>
          <w:tcPr>
            <w:tcW w:w="1125" w:type="dxa"/>
            <w:tcBorders>
              <w:right w:val="single" w:color="000000" w:sz="4" w:space="0"/>
            </w:tcBorders>
            <w:vAlign w:val="center"/>
          </w:tcPr>
          <w:p>
            <w:pPr>
              <w:widowControl/>
              <w:jc w:val="center"/>
            </w:pPr>
            <w:r>
              <w:rPr>
                <w:rFonts w:hint="eastAsia" w:ascii="宋体" w:hAnsi="宋体" w:cs="宋体"/>
                <w:color w:val="000000"/>
                <w:kern w:val="0"/>
                <w:sz w:val="18"/>
                <w:szCs w:val="18"/>
              </w:rPr>
              <w:t>X≥300</w:t>
            </w:r>
          </w:p>
        </w:tc>
        <w:tc>
          <w:tcPr>
            <w:tcW w:w="1701" w:type="dxa"/>
            <w:tcBorders>
              <w:right w:val="single" w:color="000000" w:sz="4" w:space="0"/>
            </w:tcBorders>
            <w:vAlign w:val="center"/>
          </w:tcPr>
          <w:p>
            <w:pPr>
              <w:widowControl/>
              <w:ind w:left="1" w:hanging="108"/>
              <w:jc w:val="center"/>
            </w:pPr>
            <w:r>
              <w:rPr>
                <w:rFonts w:hint="eastAsia" w:ascii="宋体" w:hAnsi="宋体" w:cs="宋体"/>
                <w:color w:val="000000"/>
                <w:kern w:val="0"/>
                <w:sz w:val="18"/>
                <w:szCs w:val="18"/>
              </w:rPr>
              <w:t xml:space="preserve">100≤X＜300 </w:t>
            </w:r>
          </w:p>
        </w:tc>
        <w:tc>
          <w:tcPr>
            <w:tcW w:w="1426" w:type="dxa"/>
            <w:tcBorders>
              <w:right w:val="single" w:color="000000" w:sz="4" w:space="0"/>
            </w:tcBorders>
            <w:vAlign w:val="center"/>
          </w:tcPr>
          <w:p>
            <w:pPr>
              <w:widowControl/>
              <w:jc w:val="center"/>
            </w:pPr>
            <w:r>
              <w:rPr>
                <w:rFonts w:hint="eastAsia" w:ascii="宋体" w:hAnsi="宋体" w:cs="宋体"/>
                <w:color w:val="000000"/>
                <w:kern w:val="0"/>
                <w:sz w:val="18"/>
                <w:szCs w:val="18"/>
              </w:rPr>
              <w:t xml:space="preserve"> 10≤X＜100</w:t>
            </w:r>
          </w:p>
        </w:tc>
        <w:tc>
          <w:tcPr>
            <w:tcW w:w="992" w:type="dxa"/>
            <w:vAlign w:val="center"/>
          </w:tcPr>
          <w:p>
            <w:pPr>
              <w:widowControl/>
              <w:jc w:val="center"/>
            </w:pPr>
            <w:r>
              <w:rPr>
                <w:rFonts w:hint="eastAsia" w:ascii="宋体" w:hAnsi="宋体" w:cs="宋体"/>
                <w:color w:val="000000"/>
                <w:kern w:val="0"/>
                <w:sz w:val="18"/>
                <w:szCs w:val="18"/>
              </w:rPr>
              <w:t>X＜10</w:t>
            </w:r>
          </w:p>
        </w:tc>
      </w:tr>
      <w:tr>
        <w:tblPrEx>
          <w:tblCellMar>
            <w:top w:w="0" w:type="dxa"/>
            <w:left w:w="108" w:type="dxa"/>
            <w:bottom w:w="0" w:type="dxa"/>
            <w:right w:w="108" w:type="dxa"/>
          </w:tblCellMar>
        </w:tblPrEx>
        <w:trPr>
          <w:trHeight w:val="314" w:hRule="exact"/>
          <w:jc w:val="center"/>
        </w:trPr>
        <w:tc>
          <w:tcPr>
            <w:tcW w:w="2115" w:type="dxa"/>
            <w:vMerge w:val="continue"/>
            <w:tcBorders>
              <w:bottom w:val="single" w:color="000000" w:sz="4" w:space="0"/>
              <w:right w:val="single" w:color="000000" w:sz="4" w:space="0"/>
            </w:tcBorders>
            <w:vAlign w:val="center"/>
          </w:tcPr>
          <w:p>
            <w:pPr>
              <w:widowControl/>
              <w:snapToGrid w:val="0"/>
              <w:jc w:val="left"/>
              <w:rPr>
                <w:rFonts w:ascii="宋体" w:hAnsi="宋体" w:cs="宋体"/>
                <w:color w:val="000000"/>
                <w:kern w:val="0"/>
                <w:sz w:val="18"/>
                <w:szCs w:val="18"/>
              </w:rPr>
            </w:pPr>
          </w:p>
        </w:tc>
        <w:tc>
          <w:tcPr>
            <w:tcW w:w="1369" w:type="dxa"/>
            <w:tcBorders>
              <w:bottom w:val="single" w:color="000000" w:sz="4" w:space="0"/>
              <w:right w:val="single" w:color="000000" w:sz="4" w:space="0"/>
            </w:tcBorders>
            <w:vAlign w:val="center"/>
          </w:tcPr>
          <w:p>
            <w:pPr>
              <w:widowControl/>
              <w:spacing w:line="240" w:lineRule="exact"/>
              <w:jc w:val="center"/>
            </w:pPr>
            <w:r>
              <w:rPr>
                <w:rFonts w:hint="eastAsia" w:ascii="宋体" w:hAnsi="宋体" w:cs="宋体"/>
                <w:color w:val="000000"/>
                <w:kern w:val="0"/>
                <w:sz w:val="18"/>
                <w:szCs w:val="18"/>
              </w:rPr>
              <w:t>资产总额(Z)</w:t>
            </w:r>
          </w:p>
        </w:tc>
        <w:tc>
          <w:tcPr>
            <w:tcW w:w="708" w:type="dxa"/>
            <w:tcBorders>
              <w:bottom w:val="single" w:color="000000" w:sz="4" w:space="0"/>
              <w:right w:val="single" w:color="000000" w:sz="4" w:space="0"/>
            </w:tcBorders>
            <w:vAlign w:val="center"/>
          </w:tcPr>
          <w:p>
            <w:pPr>
              <w:widowControl/>
              <w:jc w:val="center"/>
            </w:pPr>
            <w:r>
              <w:rPr>
                <w:rFonts w:hint="eastAsia" w:ascii="宋体" w:hAnsi="宋体" w:cs="宋体"/>
                <w:color w:val="000000"/>
                <w:kern w:val="0"/>
                <w:sz w:val="18"/>
                <w:szCs w:val="18"/>
              </w:rPr>
              <w:t>万元</w:t>
            </w:r>
          </w:p>
        </w:tc>
        <w:tc>
          <w:tcPr>
            <w:tcW w:w="1125" w:type="dxa"/>
            <w:tcBorders>
              <w:bottom w:val="single" w:color="000000" w:sz="4" w:space="0"/>
              <w:right w:val="single" w:color="000000" w:sz="4" w:space="0"/>
            </w:tcBorders>
            <w:vAlign w:val="center"/>
          </w:tcPr>
          <w:p>
            <w:pPr>
              <w:widowControl/>
              <w:jc w:val="center"/>
            </w:pPr>
            <w:r>
              <w:rPr>
                <w:rFonts w:hint="eastAsia" w:ascii="宋体" w:hAnsi="宋体" w:cs="宋体"/>
                <w:color w:val="000000"/>
                <w:kern w:val="0"/>
                <w:sz w:val="18"/>
                <w:szCs w:val="18"/>
              </w:rPr>
              <w:t>Z≥120000</w:t>
            </w:r>
          </w:p>
        </w:tc>
        <w:tc>
          <w:tcPr>
            <w:tcW w:w="1701" w:type="dxa"/>
            <w:tcBorders>
              <w:bottom w:val="single" w:color="000000" w:sz="4" w:space="0"/>
              <w:right w:val="single" w:color="000000" w:sz="4" w:space="0"/>
            </w:tcBorders>
            <w:vAlign w:val="center"/>
          </w:tcPr>
          <w:p>
            <w:pPr>
              <w:widowControl/>
              <w:jc w:val="center"/>
            </w:pPr>
            <w:r>
              <w:rPr>
                <w:rFonts w:hint="eastAsia" w:ascii="宋体" w:hAnsi="宋体" w:cs="宋体"/>
                <w:color w:val="000000"/>
                <w:kern w:val="0"/>
                <w:sz w:val="18"/>
                <w:szCs w:val="18"/>
              </w:rPr>
              <w:t xml:space="preserve"> 8000≤Z＜120000</w:t>
            </w:r>
          </w:p>
        </w:tc>
        <w:tc>
          <w:tcPr>
            <w:tcW w:w="1426" w:type="dxa"/>
            <w:tcBorders>
              <w:bottom w:val="single" w:color="000000" w:sz="4" w:space="0"/>
              <w:right w:val="single" w:color="000000" w:sz="4" w:space="0"/>
            </w:tcBorders>
            <w:vAlign w:val="center"/>
          </w:tcPr>
          <w:p>
            <w:pPr>
              <w:widowControl/>
              <w:jc w:val="center"/>
            </w:pPr>
            <w:r>
              <w:rPr>
                <w:rFonts w:hint="eastAsia" w:ascii="宋体" w:hAnsi="宋体" w:cs="宋体"/>
                <w:color w:val="000000"/>
                <w:kern w:val="0"/>
                <w:sz w:val="18"/>
                <w:szCs w:val="18"/>
              </w:rPr>
              <w:t xml:space="preserve"> 100≤Z＜8000</w:t>
            </w:r>
          </w:p>
        </w:tc>
        <w:tc>
          <w:tcPr>
            <w:tcW w:w="992" w:type="dxa"/>
            <w:tcBorders>
              <w:bottom w:val="single" w:color="000000" w:sz="4" w:space="0"/>
            </w:tcBorders>
            <w:vAlign w:val="center"/>
          </w:tcPr>
          <w:p>
            <w:pPr>
              <w:widowControl/>
              <w:jc w:val="center"/>
            </w:pPr>
            <w:r>
              <w:rPr>
                <w:rFonts w:hint="eastAsia" w:ascii="宋体" w:hAnsi="宋体" w:cs="宋体"/>
                <w:color w:val="000000"/>
                <w:kern w:val="0"/>
                <w:sz w:val="18"/>
                <w:szCs w:val="18"/>
              </w:rPr>
              <w:t>Z＜100</w:t>
            </w:r>
          </w:p>
        </w:tc>
      </w:tr>
      <w:tr>
        <w:tblPrEx>
          <w:tblCellMar>
            <w:top w:w="0" w:type="dxa"/>
            <w:left w:w="108" w:type="dxa"/>
            <w:bottom w:w="0" w:type="dxa"/>
            <w:right w:w="108" w:type="dxa"/>
          </w:tblCellMar>
        </w:tblPrEx>
        <w:trPr>
          <w:trHeight w:val="421" w:hRule="exact"/>
          <w:jc w:val="center"/>
        </w:trPr>
        <w:tc>
          <w:tcPr>
            <w:tcW w:w="2115" w:type="dxa"/>
            <w:tcBorders>
              <w:bottom w:val="single" w:color="000000" w:sz="4" w:space="0"/>
              <w:right w:val="single" w:color="000000" w:sz="4" w:space="0"/>
            </w:tcBorders>
            <w:vAlign w:val="center"/>
          </w:tcPr>
          <w:p>
            <w:pPr>
              <w:widowControl/>
              <w:spacing w:line="240" w:lineRule="exact"/>
              <w:jc w:val="left"/>
            </w:pPr>
            <w:r>
              <w:rPr>
                <w:rFonts w:hint="eastAsia" w:ascii="宋体" w:hAnsi="宋体" w:cs="宋体"/>
                <w:color w:val="000000"/>
                <w:kern w:val="0"/>
                <w:sz w:val="18"/>
                <w:szCs w:val="18"/>
              </w:rPr>
              <w:t>其他未列明行业 *</w:t>
            </w:r>
          </w:p>
        </w:tc>
        <w:tc>
          <w:tcPr>
            <w:tcW w:w="1369" w:type="dxa"/>
            <w:tcBorders>
              <w:bottom w:val="single" w:color="000000" w:sz="4" w:space="0"/>
              <w:right w:val="single" w:color="000000" w:sz="4" w:space="0"/>
            </w:tcBorders>
            <w:vAlign w:val="center"/>
          </w:tcPr>
          <w:p>
            <w:pPr>
              <w:widowControl/>
              <w:jc w:val="center"/>
            </w:pPr>
            <w:r>
              <w:rPr>
                <w:rFonts w:hint="eastAsia" w:ascii="宋体" w:hAnsi="宋体" w:cs="宋体"/>
                <w:color w:val="000000"/>
                <w:kern w:val="0"/>
                <w:sz w:val="18"/>
                <w:szCs w:val="18"/>
              </w:rPr>
              <w:t>从业人员(X)</w:t>
            </w:r>
          </w:p>
        </w:tc>
        <w:tc>
          <w:tcPr>
            <w:tcW w:w="708" w:type="dxa"/>
            <w:tcBorders>
              <w:bottom w:val="single" w:color="000000" w:sz="4" w:space="0"/>
              <w:right w:val="single" w:color="000000" w:sz="4" w:space="0"/>
            </w:tcBorders>
            <w:vAlign w:val="center"/>
          </w:tcPr>
          <w:p>
            <w:pPr>
              <w:widowControl/>
              <w:jc w:val="center"/>
            </w:pPr>
            <w:r>
              <w:rPr>
                <w:rFonts w:hint="eastAsia" w:ascii="宋体" w:hAnsi="宋体" w:cs="宋体"/>
                <w:color w:val="000000"/>
                <w:kern w:val="0"/>
                <w:sz w:val="18"/>
                <w:szCs w:val="18"/>
              </w:rPr>
              <w:t>人</w:t>
            </w:r>
          </w:p>
        </w:tc>
        <w:tc>
          <w:tcPr>
            <w:tcW w:w="1125" w:type="dxa"/>
            <w:tcBorders>
              <w:bottom w:val="single" w:color="000000" w:sz="4" w:space="0"/>
              <w:right w:val="single" w:color="000000" w:sz="4" w:space="0"/>
            </w:tcBorders>
            <w:vAlign w:val="center"/>
          </w:tcPr>
          <w:p>
            <w:pPr>
              <w:widowControl/>
              <w:jc w:val="center"/>
            </w:pPr>
            <w:r>
              <w:rPr>
                <w:rFonts w:hint="eastAsia" w:ascii="宋体" w:hAnsi="宋体" w:cs="宋体"/>
                <w:color w:val="000000"/>
                <w:kern w:val="0"/>
                <w:sz w:val="18"/>
                <w:szCs w:val="18"/>
              </w:rPr>
              <w:t>X≥300</w:t>
            </w:r>
          </w:p>
        </w:tc>
        <w:tc>
          <w:tcPr>
            <w:tcW w:w="1701" w:type="dxa"/>
            <w:tcBorders>
              <w:bottom w:val="single" w:color="000000" w:sz="4" w:space="0"/>
              <w:right w:val="single" w:color="000000" w:sz="4" w:space="0"/>
            </w:tcBorders>
            <w:vAlign w:val="center"/>
          </w:tcPr>
          <w:p>
            <w:pPr>
              <w:widowControl/>
              <w:ind w:left="1" w:hanging="108"/>
              <w:jc w:val="center"/>
            </w:pPr>
            <w:r>
              <w:rPr>
                <w:rFonts w:hint="eastAsia" w:ascii="宋体" w:hAnsi="宋体" w:cs="宋体"/>
                <w:color w:val="000000"/>
                <w:kern w:val="0"/>
                <w:sz w:val="18"/>
                <w:szCs w:val="18"/>
              </w:rPr>
              <w:t xml:space="preserve">100≤X＜300 </w:t>
            </w:r>
          </w:p>
        </w:tc>
        <w:tc>
          <w:tcPr>
            <w:tcW w:w="1426" w:type="dxa"/>
            <w:tcBorders>
              <w:bottom w:val="single" w:color="000000" w:sz="4" w:space="0"/>
              <w:right w:val="single" w:color="000000" w:sz="4" w:space="0"/>
            </w:tcBorders>
            <w:vAlign w:val="center"/>
          </w:tcPr>
          <w:p>
            <w:pPr>
              <w:widowControl/>
              <w:jc w:val="center"/>
            </w:pPr>
            <w:r>
              <w:rPr>
                <w:rFonts w:hint="eastAsia" w:ascii="宋体" w:hAnsi="宋体" w:cs="宋体"/>
                <w:color w:val="000000"/>
                <w:kern w:val="0"/>
                <w:sz w:val="18"/>
                <w:szCs w:val="18"/>
              </w:rPr>
              <w:t xml:space="preserve"> 10≤X＜100</w:t>
            </w:r>
          </w:p>
        </w:tc>
        <w:tc>
          <w:tcPr>
            <w:tcW w:w="992" w:type="dxa"/>
            <w:tcBorders>
              <w:bottom w:val="single" w:color="000000" w:sz="4" w:space="0"/>
            </w:tcBorders>
            <w:vAlign w:val="center"/>
          </w:tcPr>
          <w:p>
            <w:pPr>
              <w:widowControl/>
              <w:jc w:val="center"/>
            </w:pPr>
            <w:r>
              <w:rPr>
                <w:rFonts w:hint="eastAsia" w:ascii="宋体" w:hAnsi="宋体" w:cs="宋体"/>
                <w:color w:val="000000"/>
                <w:kern w:val="0"/>
                <w:sz w:val="18"/>
                <w:szCs w:val="18"/>
              </w:rPr>
              <w:t>X＜10</w:t>
            </w:r>
          </w:p>
        </w:tc>
      </w:tr>
    </w:tbl>
    <w:p>
      <w:pPr>
        <w:widowControl/>
        <w:spacing w:line="540" w:lineRule="exact"/>
        <w:rPr>
          <w:rFonts w:ascii="仿宋_GB2312" w:hAnsi="仿宋_GB2312" w:eastAsia="仿宋_GB2312" w:cs="宋体"/>
          <w:color w:val="000000"/>
          <w:spacing w:val="8"/>
          <w:kern w:val="0"/>
          <w:sz w:val="32"/>
          <w:szCs w:val="32"/>
        </w:rPr>
      </w:pPr>
      <w:bookmarkStart w:id="183" w:name="__RefHeading___Toc14071"/>
      <w:bookmarkEnd w:id="183"/>
    </w:p>
    <w:p>
      <w:pPr>
        <w:widowControl/>
        <w:spacing w:line="540" w:lineRule="exact"/>
        <w:rPr>
          <w:rFonts w:ascii="仿宋_GB2312" w:hAnsi="仿宋_GB2312" w:eastAsia="仿宋_GB2312" w:cs="宋体"/>
          <w:color w:val="000000"/>
          <w:spacing w:val="8"/>
          <w:kern w:val="0"/>
          <w:sz w:val="32"/>
          <w:szCs w:val="32"/>
        </w:rPr>
      </w:pPr>
    </w:p>
    <w:p>
      <w:pPr>
        <w:widowControl/>
        <w:spacing w:line="540" w:lineRule="exact"/>
      </w:pPr>
      <w:r>
        <w:rPr>
          <w:rFonts w:hint="eastAsia" w:ascii="仿宋_GB2312" w:hAnsi="仿宋_GB2312" w:eastAsia="仿宋_GB2312" w:cs="宋体"/>
          <w:color w:val="000000"/>
          <w:spacing w:val="8"/>
          <w:kern w:val="0"/>
          <w:sz w:val="32"/>
          <w:szCs w:val="32"/>
        </w:rPr>
        <w:t>说明：</w:t>
      </w:r>
    </w:p>
    <w:p>
      <w:pPr>
        <w:spacing w:line="540" w:lineRule="exact"/>
      </w:pPr>
      <w:r>
        <w:rPr>
          <w:rFonts w:hint="eastAsia" w:ascii="仿宋_GB2312" w:hAnsi="仿宋_GB2312" w:eastAsia="仿宋_GB2312" w:cs="宋体"/>
          <w:color w:val="000000"/>
          <w:spacing w:val="8"/>
          <w:kern w:val="0"/>
          <w:sz w:val="32"/>
          <w:szCs w:val="32"/>
        </w:rPr>
        <w:t>　　</w:t>
      </w:r>
      <w:r>
        <w:rPr>
          <w:rFonts w:hint="eastAsia" w:ascii="仿宋_GB2312" w:hAnsi="仿宋_GB2312" w:eastAsia="仿宋_GB2312" w:cs="仿宋_GB2312"/>
          <w:color w:val="000000"/>
          <w:spacing w:val="8"/>
          <w:kern w:val="0"/>
          <w:sz w:val="32"/>
          <w:szCs w:val="32"/>
        </w:rPr>
        <w:t>1.</w:t>
      </w:r>
      <w:r>
        <w:rPr>
          <w:rFonts w:hint="eastAsia" w:ascii="仿宋_GB2312" w:hAnsi="仿宋_GB2312" w:eastAsia="仿宋_GB2312" w:cs="宋体"/>
          <w:color w:val="000000"/>
          <w:spacing w:val="8"/>
          <w:kern w:val="0"/>
          <w:sz w:val="32"/>
          <w:szCs w:val="32"/>
        </w:rPr>
        <w:t>大型、中型和小型企业须同时满足所列指标的下限，否则下划一档；微型企业只须满足所列指标中的一项即可。</w:t>
      </w:r>
    </w:p>
    <w:p>
      <w:pPr>
        <w:spacing w:line="540" w:lineRule="exact"/>
      </w:pPr>
      <w:r>
        <w:rPr>
          <w:rFonts w:hint="eastAsia" w:ascii="仿宋_GB2312" w:hAnsi="仿宋_GB2312" w:eastAsia="仿宋_GB2312" w:cs="宋体"/>
          <w:color w:val="000000"/>
          <w:spacing w:val="8"/>
          <w:kern w:val="0"/>
          <w:sz w:val="32"/>
          <w:szCs w:val="32"/>
        </w:rPr>
        <w:t>　　</w:t>
      </w:r>
      <w:r>
        <w:rPr>
          <w:rFonts w:hint="eastAsia" w:ascii="仿宋_GB2312" w:hAnsi="仿宋_GB2312" w:eastAsia="仿宋_GB2312" w:cs="仿宋_GB2312"/>
          <w:color w:val="000000"/>
          <w:spacing w:val="8"/>
          <w:kern w:val="0"/>
          <w:sz w:val="32"/>
          <w:szCs w:val="32"/>
        </w:rPr>
        <w:t>2.</w:t>
      </w:r>
      <w:r>
        <w:rPr>
          <w:rFonts w:hint="eastAsia" w:ascii="仿宋_GB2312" w:hAnsi="仿宋_GB2312" w:eastAsia="仿宋_GB2312" w:cs="宋体"/>
          <w:color w:val="000000"/>
          <w:spacing w:val="8"/>
          <w:kern w:val="0"/>
          <w:sz w:val="32"/>
          <w:szCs w:val="32"/>
        </w:rPr>
        <w:t>附表中各行业的范围以《国民经济行业分类》（</w:t>
      </w:r>
      <w:r>
        <w:rPr>
          <w:rFonts w:hint="eastAsia" w:ascii="仿宋_GB2312" w:hAnsi="仿宋_GB2312" w:eastAsia="仿宋_GB2312" w:cs="仿宋_GB2312"/>
          <w:color w:val="000000"/>
          <w:spacing w:val="8"/>
          <w:kern w:val="0"/>
          <w:sz w:val="32"/>
          <w:szCs w:val="32"/>
        </w:rPr>
        <w:t>GB/T4754-2017</w:t>
      </w:r>
      <w:r>
        <w:rPr>
          <w:rFonts w:hint="eastAsia" w:ascii="仿宋_GB2312" w:hAnsi="仿宋_GB2312" w:eastAsia="仿宋_GB2312" w:cs="宋体"/>
          <w:color w:val="000000"/>
          <w:spacing w:val="8"/>
          <w:kern w:val="0"/>
          <w:sz w:val="32"/>
          <w:szCs w:val="32"/>
        </w:rPr>
        <w:t>）为准。带</w:t>
      </w:r>
      <w:r>
        <w:rPr>
          <w:rFonts w:hint="eastAsia" w:ascii="仿宋_GB2312" w:hAnsi="仿宋_GB2312" w:eastAsia="仿宋_GB2312" w:cs="仿宋_GB2312"/>
          <w:color w:val="000000"/>
          <w:spacing w:val="8"/>
          <w:kern w:val="0"/>
          <w:sz w:val="32"/>
          <w:szCs w:val="32"/>
        </w:rPr>
        <w:t>*</w:t>
      </w:r>
      <w:r>
        <w:rPr>
          <w:rFonts w:hint="eastAsia" w:ascii="仿宋_GB2312" w:hAnsi="仿宋_GB2312" w:eastAsia="仿宋_GB2312" w:cs="宋体"/>
          <w:color w:val="000000"/>
          <w:spacing w:val="8"/>
          <w:kern w:val="0"/>
          <w:sz w:val="32"/>
          <w:szCs w:val="32"/>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w:t>
      </w:r>
      <w:r>
        <w:rPr>
          <w:rFonts w:hint="eastAsia" w:ascii="仿宋_GB2312" w:hAnsi="仿宋_GB2312" w:eastAsia="仿宋_GB2312" w:cs="仿宋_GB2312"/>
          <w:color w:val="000000"/>
          <w:spacing w:val="8"/>
          <w:kern w:val="0"/>
          <w:sz w:val="32"/>
          <w:szCs w:val="32"/>
        </w:rPr>
        <w:t>;</w:t>
      </w:r>
      <w:r>
        <w:rPr>
          <w:rFonts w:hint="eastAsia" w:ascii="仿宋_GB2312" w:hAnsi="仿宋_GB2312" w:eastAsia="仿宋_GB2312" w:cs="宋体"/>
          <w:color w:val="000000"/>
          <w:spacing w:val="8"/>
          <w:kern w:val="0"/>
          <w:sz w:val="32"/>
          <w:szCs w:val="32"/>
        </w:rPr>
        <w:t>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pPr>
        <w:spacing w:line="540" w:lineRule="exact"/>
      </w:pPr>
      <w:r>
        <w:rPr>
          <w:rFonts w:hint="eastAsia" w:ascii="仿宋_GB2312" w:hAnsi="仿宋_GB2312" w:eastAsia="仿宋_GB2312" w:cs="宋体"/>
          <w:color w:val="000000"/>
          <w:spacing w:val="8"/>
          <w:kern w:val="0"/>
          <w:sz w:val="32"/>
          <w:szCs w:val="32"/>
        </w:rPr>
        <w:t>　　</w:t>
      </w:r>
      <w:r>
        <w:rPr>
          <w:rFonts w:hint="eastAsia" w:ascii="仿宋_GB2312" w:hAnsi="仿宋_GB2312" w:eastAsia="仿宋_GB2312" w:cs="仿宋_GB2312"/>
          <w:color w:val="000000"/>
          <w:spacing w:val="8"/>
          <w:kern w:val="0"/>
          <w:sz w:val="32"/>
          <w:szCs w:val="32"/>
        </w:rPr>
        <w:t>3.</w:t>
      </w:r>
      <w:r>
        <w:rPr>
          <w:rFonts w:hint="eastAsia" w:ascii="仿宋_GB2312" w:hAnsi="仿宋_GB2312" w:eastAsia="仿宋_GB2312" w:cs="宋体"/>
          <w:color w:val="000000"/>
          <w:spacing w:val="8"/>
          <w:kern w:val="0"/>
          <w:sz w:val="32"/>
          <w:szCs w:val="32"/>
        </w:rPr>
        <w:t>企业划分指标以现行统计制度为准。（</w:t>
      </w:r>
      <w:r>
        <w:rPr>
          <w:rFonts w:hint="eastAsia" w:ascii="仿宋_GB2312" w:hAnsi="仿宋_GB2312" w:eastAsia="仿宋_GB2312" w:cs="仿宋_GB2312"/>
          <w:color w:val="000000"/>
          <w:spacing w:val="8"/>
          <w:kern w:val="0"/>
          <w:sz w:val="32"/>
          <w:szCs w:val="32"/>
        </w:rPr>
        <w:t>1</w:t>
      </w:r>
      <w:r>
        <w:rPr>
          <w:rFonts w:hint="eastAsia" w:ascii="仿宋_GB2312" w:hAnsi="仿宋_GB2312" w:eastAsia="仿宋_GB2312" w:cs="宋体"/>
          <w:color w:val="000000"/>
          <w:spacing w:val="8"/>
          <w:kern w:val="0"/>
          <w:sz w:val="32"/>
          <w:szCs w:val="32"/>
        </w:rPr>
        <w:t>）从业人员，是指期末从业人员数，没有期末从业人员数的，采用全年平均人员数代替。（</w:t>
      </w:r>
      <w:r>
        <w:rPr>
          <w:rFonts w:hint="eastAsia" w:ascii="仿宋_GB2312" w:hAnsi="仿宋_GB2312" w:eastAsia="仿宋_GB2312" w:cs="仿宋_GB2312"/>
          <w:color w:val="000000"/>
          <w:spacing w:val="8"/>
          <w:kern w:val="0"/>
          <w:sz w:val="32"/>
          <w:szCs w:val="32"/>
        </w:rPr>
        <w:t>2</w:t>
      </w:r>
      <w:r>
        <w:rPr>
          <w:rFonts w:hint="eastAsia" w:ascii="仿宋_GB2312" w:hAnsi="仿宋_GB2312" w:eastAsia="仿宋_GB2312" w:cs="宋体"/>
          <w:color w:val="000000"/>
          <w:spacing w:val="8"/>
          <w:kern w:val="0"/>
          <w:sz w:val="32"/>
          <w:szCs w:val="32"/>
        </w:rPr>
        <w:t>）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hint="eastAsia" w:ascii="仿宋_GB2312" w:hAnsi="仿宋_GB2312" w:eastAsia="仿宋_GB2312" w:cs="仿宋_GB2312"/>
          <w:color w:val="000000"/>
          <w:spacing w:val="8"/>
          <w:kern w:val="0"/>
          <w:sz w:val="32"/>
          <w:szCs w:val="32"/>
        </w:rPr>
        <w:t>3</w:t>
      </w:r>
      <w:r>
        <w:rPr>
          <w:rFonts w:hint="eastAsia" w:ascii="仿宋_GB2312" w:hAnsi="仿宋_GB2312" w:eastAsia="仿宋_GB2312" w:cs="宋体"/>
          <w:color w:val="000000"/>
          <w:spacing w:val="8"/>
          <w:kern w:val="0"/>
          <w:sz w:val="32"/>
          <w:szCs w:val="32"/>
        </w:rPr>
        <w:t>）资产总额，采用资产总计代替。</w:t>
      </w:r>
    </w:p>
    <w:p>
      <w:pPr>
        <w:rPr>
          <w:rFonts w:ascii="宋体" w:hAnsi="宋体" w:cs="宋体"/>
          <w:b/>
          <w:bCs/>
          <w:szCs w:val="21"/>
        </w:rPr>
      </w:pPr>
    </w:p>
    <w:p>
      <w:pPr>
        <w:rPr>
          <w:rFonts w:ascii="宋体" w:hAnsi="宋体" w:cs="宋体"/>
          <w:szCs w:val="21"/>
        </w:rPr>
      </w:pPr>
      <w:r>
        <w:rPr>
          <w:rFonts w:hint="eastAsia" w:ascii="宋体" w:hAnsi="宋体" w:cs="宋体"/>
          <w:b/>
          <w:bCs/>
          <w:szCs w:val="21"/>
        </w:rPr>
        <w:t>附件一：《四川省财政厅关于推进四川省政府采购供应商信用融资工作的通知》</w:t>
      </w:r>
      <w:bookmarkEnd w:id="156"/>
    </w:p>
    <w:p>
      <w:pPr>
        <w:spacing w:line="360" w:lineRule="auto"/>
        <w:rPr>
          <w:rFonts w:ascii="宋体" w:hAnsi="宋体"/>
        </w:rPr>
      </w:pPr>
      <w:r>
        <w:rPr>
          <w:rFonts w:ascii="宋体" w:hAnsi="宋体"/>
        </w:rPr>
        <w:drawing>
          <wp:inline distT="0" distB="0" distL="114300" distR="114300">
            <wp:extent cx="5270500" cy="7487285"/>
            <wp:effectExtent l="0" t="0" r="0" b="5715"/>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pic:cNvPicPr>
                  </pic:nvPicPr>
                  <pic:blipFill>
                    <a:blip r:embed="rId19"/>
                    <a:stretch>
                      <a:fillRect/>
                    </a:stretch>
                  </pic:blipFill>
                  <pic:spPr>
                    <a:xfrm>
                      <a:off x="0" y="0"/>
                      <a:ext cx="5270500" cy="7487285"/>
                    </a:xfrm>
                    <a:prstGeom prst="rect">
                      <a:avLst/>
                    </a:prstGeom>
                    <a:noFill/>
                    <a:ln>
                      <a:noFill/>
                    </a:ln>
                  </pic:spPr>
                </pic:pic>
              </a:graphicData>
            </a:graphic>
          </wp:inline>
        </w:drawing>
      </w:r>
    </w:p>
    <w:p>
      <w:pPr>
        <w:rPr>
          <w:rFonts w:ascii="宋体" w:hAnsi="宋体"/>
        </w:rPr>
      </w:pPr>
      <w:r>
        <w:rPr>
          <w:rFonts w:ascii="宋体" w:hAnsi="宋体"/>
        </w:rPr>
        <w:drawing>
          <wp:inline distT="0" distB="0" distL="114300" distR="114300">
            <wp:extent cx="5796915" cy="8134985"/>
            <wp:effectExtent l="0" t="0" r="6985" b="5715"/>
            <wp:docPr id="2"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C:\Users\Administrator\AppData\Roaming\DingTalk\18198513_v2\ImageFiles\8a\lALPDgQ9qzkdtwTNA4XNAoI_642_901.png"/>
                    <pic:cNvPicPr>
                      <a:picLocks noChangeAspect="1"/>
                    </pic:cNvPicPr>
                  </pic:nvPicPr>
                  <pic:blipFill>
                    <a:blip r:embed="rId20"/>
                    <a:stretch>
                      <a:fillRect/>
                    </a:stretch>
                  </pic:blipFill>
                  <pic:spPr>
                    <a:xfrm>
                      <a:off x="0" y="0"/>
                      <a:ext cx="5796915" cy="8134985"/>
                    </a:xfrm>
                    <a:prstGeom prst="rect">
                      <a:avLst/>
                    </a:prstGeom>
                    <a:noFill/>
                    <a:ln>
                      <a:noFill/>
                    </a:ln>
                  </pic:spPr>
                </pic:pic>
              </a:graphicData>
            </a:graphic>
          </wp:inline>
        </w:drawing>
      </w:r>
      <w:r>
        <w:rPr>
          <w:rFonts w:ascii="宋体" w:hAnsi="宋体"/>
        </w:rPr>
        <w:br w:type="page"/>
      </w:r>
    </w:p>
    <w:p>
      <w:pPr>
        <w:rPr>
          <w:rFonts w:ascii="宋体" w:hAnsi="宋体"/>
        </w:rPr>
      </w:pPr>
      <w:r>
        <w:rPr>
          <w:rFonts w:ascii="宋体" w:hAnsi="宋体"/>
        </w:rPr>
        <w:drawing>
          <wp:inline distT="0" distB="0" distL="114300" distR="114300">
            <wp:extent cx="5941060" cy="8237220"/>
            <wp:effectExtent l="0" t="0" r="2540" b="5080"/>
            <wp:docPr id="3"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C:\Users\Administrator\AppData\Roaming\DingTalk\18198513_v2\ImageFiles\36\lALPDgQ9qzkb_mjNA3bNAn8_639_886.png"/>
                    <pic:cNvPicPr>
                      <a:picLocks noChangeAspect="1"/>
                    </pic:cNvPicPr>
                  </pic:nvPicPr>
                  <pic:blipFill>
                    <a:blip r:embed="rId21"/>
                    <a:stretch>
                      <a:fillRect/>
                    </a:stretch>
                  </pic:blipFill>
                  <pic:spPr>
                    <a:xfrm>
                      <a:off x="0" y="0"/>
                      <a:ext cx="5941060" cy="8237220"/>
                    </a:xfrm>
                    <a:prstGeom prst="rect">
                      <a:avLst/>
                    </a:prstGeom>
                    <a:noFill/>
                    <a:ln>
                      <a:noFill/>
                    </a:ln>
                  </pic:spPr>
                </pic:pic>
              </a:graphicData>
            </a:graphic>
          </wp:inline>
        </w:drawing>
      </w:r>
    </w:p>
    <w:p>
      <w:pPr>
        <w:rPr>
          <w:rFonts w:ascii="宋体" w:hAnsi="宋体"/>
        </w:rPr>
      </w:pPr>
      <w:r>
        <w:rPr>
          <w:rFonts w:ascii="宋体" w:hAnsi="宋体"/>
        </w:rPr>
        <w:drawing>
          <wp:inline distT="0" distB="0" distL="114300" distR="114300">
            <wp:extent cx="5941060" cy="8303895"/>
            <wp:effectExtent l="0" t="0" r="2540" b="1905"/>
            <wp:docPr id="4"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C:\Users\Administrator\AppData\Roaming\DingTalk\18198513_v2\ImageFiles\78\lALPDgQ9qzkb4yrNA3LNAnc_631_882.png"/>
                    <pic:cNvPicPr>
                      <a:picLocks noChangeAspect="1"/>
                    </pic:cNvPicPr>
                  </pic:nvPicPr>
                  <pic:blipFill>
                    <a:blip r:embed="rId22"/>
                    <a:stretch>
                      <a:fillRect/>
                    </a:stretch>
                  </pic:blipFill>
                  <pic:spPr>
                    <a:xfrm>
                      <a:off x="0" y="0"/>
                      <a:ext cx="5941060" cy="8303895"/>
                    </a:xfrm>
                    <a:prstGeom prst="rect">
                      <a:avLst/>
                    </a:prstGeom>
                    <a:noFill/>
                    <a:ln>
                      <a:noFill/>
                    </a:ln>
                  </pic:spPr>
                </pic:pic>
              </a:graphicData>
            </a:graphic>
          </wp:inline>
        </w:drawing>
      </w:r>
      <w:r>
        <w:rPr>
          <w:rFonts w:ascii="宋体" w:hAnsi="宋体"/>
        </w:rPr>
        <w:br w:type="page"/>
      </w:r>
    </w:p>
    <w:p>
      <w:pPr>
        <w:rPr>
          <w:rFonts w:ascii="宋体" w:hAnsi="宋体"/>
        </w:rPr>
      </w:pPr>
      <w:r>
        <w:rPr>
          <w:rFonts w:ascii="宋体" w:hAnsi="宋体"/>
        </w:rPr>
        <w:drawing>
          <wp:inline distT="0" distB="0" distL="114300" distR="114300">
            <wp:extent cx="5941060" cy="8076565"/>
            <wp:effectExtent l="0" t="0" r="2540" b="635"/>
            <wp:docPr id="5"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C:\Users\Administrator\AppData\Roaming\DingTalk\18198513_v2\ImageFiles\72\lALPDgQ9qzkdtwHNA2LNAn0_637_866.png"/>
                    <pic:cNvPicPr>
                      <a:picLocks noChangeAspect="1"/>
                    </pic:cNvPicPr>
                  </pic:nvPicPr>
                  <pic:blipFill>
                    <a:blip r:embed="rId23"/>
                    <a:stretch>
                      <a:fillRect/>
                    </a:stretch>
                  </pic:blipFill>
                  <pic:spPr>
                    <a:xfrm>
                      <a:off x="0" y="0"/>
                      <a:ext cx="5941060" cy="8076565"/>
                    </a:xfrm>
                    <a:prstGeom prst="rect">
                      <a:avLst/>
                    </a:prstGeom>
                    <a:noFill/>
                    <a:ln>
                      <a:noFill/>
                    </a:ln>
                  </pic:spPr>
                </pic:pic>
              </a:graphicData>
            </a:graphic>
          </wp:inline>
        </w:drawing>
      </w:r>
    </w:p>
    <w:p>
      <w:pPr>
        <w:rPr>
          <w:rFonts w:ascii="宋体" w:hAnsi="宋体"/>
        </w:rPr>
      </w:pPr>
      <w:r>
        <w:rPr>
          <w:rFonts w:ascii="宋体" w:hAnsi="宋体"/>
        </w:rPr>
        <w:drawing>
          <wp:inline distT="0" distB="0" distL="114300" distR="114300">
            <wp:extent cx="5941060" cy="8279765"/>
            <wp:effectExtent l="0" t="0" r="2540" b="635"/>
            <wp:docPr id="6"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C:\Users\Administrator\AppData\Roaming\DingTalk\18198513_v2\ImageFiles\65\lALPDgQ9qzkb_mnNA3zNAoA_640_892.png"/>
                    <pic:cNvPicPr>
                      <a:picLocks noChangeAspect="1"/>
                    </pic:cNvPicPr>
                  </pic:nvPicPr>
                  <pic:blipFill>
                    <a:blip r:embed="rId24"/>
                    <a:stretch>
                      <a:fillRect/>
                    </a:stretch>
                  </pic:blipFill>
                  <pic:spPr>
                    <a:xfrm>
                      <a:off x="0" y="0"/>
                      <a:ext cx="5941060" cy="8279765"/>
                    </a:xfrm>
                    <a:prstGeom prst="rect">
                      <a:avLst/>
                    </a:prstGeom>
                    <a:noFill/>
                    <a:ln>
                      <a:noFill/>
                    </a:ln>
                  </pic:spPr>
                </pic:pic>
              </a:graphicData>
            </a:graphic>
          </wp:inline>
        </w:drawing>
      </w:r>
      <w:r>
        <w:rPr>
          <w:rFonts w:ascii="宋体" w:hAnsi="宋体"/>
        </w:rPr>
        <w:br w:type="page"/>
      </w:r>
    </w:p>
    <w:p>
      <w:pPr>
        <w:rPr>
          <w:rFonts w:ascii="宋体" w:hAnsi="宋体"/>
        </w:rPr>
      </w:pPr>
      <w:r>
        <w:rPr>
          <w:rFonts w:ascii="宋体" w:hAnsi="宋体"/>
        </w:rPr>
        <w:drawing>
          <wp:inline distT="0" distB="0" distL="114300" distR="114300">
            <wp:extent cx="5941060" cy="8360410"/>
            <wp:effectExtent l="0" t="0" r="2540" b="8890"/>
            <wp:docPr id="7"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C:\Users\Administrator\AppData\Roaming\DingTalk\18198513_v2\ImageFiles\97\lALPDgQ9qzkb4yzNA3_NAnw_636_895.png"/>
                    <pic:cNvPicPr>
                      <a:picLocks noChangeAspect="1"/>
                    </pic:cNvPicPr>
                  </pic:nvPicPr>
                  <pic:blipFill>
                    <a:blip r:embed="rId25"/>
                    <a:stretch>
                      <a:fillRect/>
                    </a:stretch>
                  </pic:blipFill>
                  <pic:spPr>
                    <a:xfrm>
                      <a:off x="0" y="0"/>
                      <a:ext cx="5941060" cy="8360410"/>
                    </a:xfrm>
                    <a:prstGeom prst="rect">
                      <a:avLst/>
                    </a:prstGeom>
                    <a:noFill/>
                    <a:ln>
                      <a:noFill/>
                    </a:ln>
                  </pic:spPr>
                </pic:pic>
              </a:graphicData>
            </a:graphic>
          </wp:inline>
        </w:drawing>
      </w:r>
    </w:p>
    <w:p>
      <w:pPr>
        <w:rPr>
          <w:rFonts w:ascii="宋体" w:hAnsi="宋体"/>
        </w:rPr>
      </w:pPr>
      <w:r>
        <w:rPr>
          <w:rFonts w:ascii="宋体" w:hAnsi="宋体"/>
        </w:rPr>
        <w:drawing>
          <wp:inline distT="0" distB="0" distL="114300" distR="114300">
            <wp:extent cx="5941060" cy="8354695"/>
            <wp:effectExtent l="0" t="0" r="2540" b="1905"/>
            <wp:docPr id="8"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C:\Users\Administrator\AppData\Roaming\DingTalk\18198513_v2\ImageFiles\e8\lALPDgQ9qzkdtwPNA3bNAnY_630_886.png"/>
                    <pic:cNvPicPr>
                      <a:picLocks noChangeAspect="1"/>
                    </pic:cNvPicPr>
                  </pic:nvPicPr>
                  <pic:blipFill>
                    <a:blip r:embed="rId26"/>
                    <a:stretch>
                      <a:fillRect/>
                    </a:stretch>
                  </pic:blipFill>
                  <pic:spPr>
                    <a:xfrm>
                      <a:off x="0" y="0"/>
                      <a:ext cx="5941060" cy="8354695"/>
                    </a:xfrm>
                    <a:prstGeom prst="rect">
                      <a:avLst/>
                    </a:prstGeom>
                    <a:noFill/>
                    <a:ln>
                      <a:noFill/>
                    </a:ln>
                  </pic:spPr>
                </pic:pic>
              </a:graphicData>
            </a:graphic>
          </wp:inline>
        </w:drawing>
      </w:r>
      <w:r>
        <w:rPr>
          <w:rFonts w:ascii="宋体" w:hAnsi="宋体"/>
        </w:rPr>
        <w:br w:type="page"/>
      </w:r>
    </w:p>
    <w:p>
      <w:pPr>
        <w:rPr>
          <w:rFonts w:ascii="宋体" w:hAnsi="宋体"/>
        </w:rPr>
      </w:pPr>
      <w:r>
        <w:rPr>
          <w:rFonts w:ascii="宋体" w:hAnsi="宋体"/>
        </w:rPr>
        <w:drawing>
          <wp:inline distT="0" distB="0" distL="114300" distR="114300">
            <wp:extent cx="5941060" cy="8089265"/>
            <wp:effectExtent l="0" t="0" r="2540" b="635"/>
            <wp:docPr id="9"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descr="C:\Users\Administrator\AppData\Roaming\DingTalk\18198513_v2\ImageFiles\43\lALPDgQ9qzkb_mrNA2LNAnw_636_866.png"/>
                    <pic:cNvPicPr>
                      <a:picLocks noChangeAspect="1"/>
                    </pic:cNvPicPr>
                  </pic:nvPicPr>
                  <pic:blipFill>
                    <a:blip r:embed="rId27"/>
                    <a:stretch>
                      <a:fillRect/>
                    </a:stretch>
                  </pic:blipFill>
                  <pic:spPr>
                    <a:xfrm>
                      <a:off x="0" y="0"/>
                      <a:ext cx="5941060" cy="8089265"/>
                    </a:xfrm>
                    <a:prstGeom prst="rect">
                      <a:avLst/>
                    </a:prstGeom>
                    <a:noFill/>
                    <a:ln>
                      <a:noFill/>
                    </a:ln>
                  </pic:spPr>
                </pic:pic>
              </a:graphicData>
            </a:graphic>
          </wp:inline>
        </w:drawing>
      </w:r>
    </w:p>
    <w:p>
      <w:pPr>
        <w:rPr>
          <w:rFonts w:ascii="宋体" w:hAnsi="宋体"/>
        </w:rPr>
      </w:pPr>
      <w:r>
        <w:rPr>
          <w:rFonts w:ascii="宋体" w:hAnsi="宋体"/>
        </w:rPr>
        <w:drawing>
          <wp:inline distT="0" distB="0" distL="114300" distR="114300">
            <wp:extent cx="5941060" cy="8197850"/>
            <wp:effectExtent l="0" t="0" r="2540" b="6350"/>
            <wp:docPr id="10"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descr="C:\Users\Administrator\AppData\Roaming\DingTalk\18198513_v2\ImageFiles\5e\lALPDgQ9qzkb4yvNA2TNAnU_629_868.png"/>
                    <pic:cNvPicPr>
                      <a:picLocks noChangeAspect="1"/>
                    </pic:cNvPicPr>
                  </pic:nvPicPr>
                  <pic:blipFill>
                    <a:blip r:embed="rId28"/>
                    <a:stretch>
                      <a:fillRect/>
                    </a:stretch>
                  </pic:blipFill>
                  <pic:spPr>
                    <a:xfrm>
                      <a:off x="0" y="0"/>
                      <a:ext cx="5941060" cy="8197850"/>
                    </a:xfrm>
                    <a:prstGeom prst="rect">
                      <a:avLst/>
                    </a:prstGeom>
                    <a:noFill/>
                    <a:ln>
                      <a:noFill/>
                    </a:ln>
                  </pic:spPr>
                </pic:pic>
              </a:graphicData>
            </a:graphic>
          </wp:inline>
        </w:drawing>
      </w:r>
      <w:r>
        <w:rPr>
          <w:rFonts w:ascii="宋体" w:hAnsi="宋体"/>
        </w:rPr>
        <w:drawing>
          <wp:inline distT="0" distB="0" distL="114300" distR="114300">
            <wp:extent cx="5941060" cy="8289290"/>
            <wp:effectExtent l="0" t="0" r="2540" b="3810"/>
            <wp:docPr id="11"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descr="C:\Users\Administrator\AppData\Roaming\DingTalk\18198513_v2\ImageFiles\bb\lALPDgQ9qzkdtwLNA33NAoA_640_893.png"/>
                    <pic:cNvPicPr>
                      <a:picLocks noChangeAspect="1"/>
                    </pic:cNvPicPr>
                  </pic:nvPicPr>
                  <pic:blipFill>
                    <a:blip r:embed="rId29"/>
                    <a:stretch>
                      <a:fillRect/>
                    </a:stretch>
                  </pic:blipFill>
                  <pic:spPr>
                    <a:xfrm>
                      <a:off x="0" y="0"/>
                      <a:ext cx="5941060" cy="8289290"/>
                    </a:xfrm>
                    <a:prstGeom prst="rect">
                      <a:avLst/>
                    </a:prstGeom>
                    <a:noFill/>
                    <a:ln>
                      <a:noFill/>
                    </a:ln>
                  </pic:spPr>
                </pic:pic>
              </a:graphicData>
            </a:graphic>
          </wp:inline>
        </w:drawing>
      </w:r>
    </w:p>
    <w:p>
      <w:pPr>
        <w:spacing w:line="400" w:lineRule="exact"/>
        <w:rPr>
          <w:rFonts w:ascii="宋体" w:hAnsi="宋体" w:cs="Tahoma"/>
          <w:b/>
          <w:sz w:val="30"/>
          <w:szCs w:val="30"/>
        </w:rPr>
      </w:pPr>
    </w:p>
    <w:p>
      <w:pPr>
        <w:spacing w:line="400" w:lineRule="exact"/>
        <w:outlineLvl w:val="1"/>
        <w:rPr>
          <w:rFonts w:ascii="宋体" w:hAnsi="宋体" w:cs="仿宋_GB2312"/>
          <w:b/>
          <w:szCs w:val="21"/>
        </w:rPr>
      </w:pPr>
      <w:r>
        <w:rPr>
          <w:rFonts w:hint="eastAsia" w:ascii="宋体" w:hAnsi="宋体" w:cs="宋体"/>
          <w:b/>
          <w:szCs w:val="21"/>
        </w:rPr>
        <w:t>附件二：《成都市中小企业政府采购信用融资暂行办法》和《成都市级支持中小企业政府采购信用融资实施方案》</w:t>
      </w:r>
    </w:p>
    <w:p>
      <w:pPr>
        <w:rPr>
          <w:rFonts w:ascii="宋体" w:hAnsi="宋体"/>
        </w:rPr>
      </w:pPr>
      <w:r>
        <w:rPr>
          <w:rFonts w:hint="eastAsia" w:ascii="宋体" w:hAnsi="宋体"/>
        </w:rPr>
        <w:drawing>
          <wp:inline distT="0" distB="0" distL="114300" distR="114300">
            <wp:extent cx="5184775" cy="6944995"/>
            <wp:effectExtent l="0" t="0" r="9525" b="1905"/>
            <wp:docPr id="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pic:cNvPicPr>
                      <a:picLocks noChangeAspect="1"/>
                    </pic:cNvPicPr>
                  </pic:nvPicPr>
                  <pic:blipFill>
                    <a:blip r:embed="rId30"/>
                    <a:stretch>
                      <a:fillRect/>
                    </a:stretch>
                  </pic:blipFill>
                  <pic:spPr>
                    <a:xfrm>
                      <a:off x="0" y="0"/>
                      <a:ext cx="5184775" cy="6944995"/>
                    </a:xfrm>
                    <a:prstGeom prst="rect">
                      <a:avLst/>
                    </a:prstGeom>
                    <a:noFill/>
                    <a:ln>
                      <a:noFill/>
                    </a:ln>
                  </pic:spPr>
                </pic:pic>
              </a:graphicData>
            </a:graphic>
          </wp:inline>
        </w:drawing>
      </w:r>
    </w:p>
    <w:p>
      <w:pPr>
        <w:rPr>
          <w:rFonts w:ascii="宋体" w:hAnsi="宋体"/>
        </w:rPr>
      </w:pPr>
    </w:p>
    <w:p>
      <w:pPr>
        <w:rPr>
          <w:rFonts w:ascii="宋体" w:hAnsi="宋体"/>
        </w:rPr>
      </w:pPr>
      <w:r>
        <w:rPr>
          <w:rFonts w:hint="eastAsia" w:ascii="宋体" w:hAnsi="宋体"/>
        </w:rPr>
        <w:drawing>
          <wp:inline distT="0" distB="0" distL="114300" distR="114300">
            <wp:extent cx="5910580" cy="8364220"/>
            <wp:effectExtent l="0" t="0" r="7620" b="5080"/>
            <wp:docPr id="1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pic:cNvPicPr>
                      <a:picLocks noChangeAspect="1"/>
                    </pic:cNvPicPr>
                  </pic:nvPicPr>
                  <pic:blipFill>
                    <a:blip r:embed="rId31"/>
                    <a:stretch>
                      <a:fillRect/>
                    </a:stretch>
                  </pic:blipFill>
                  <pic:spPr>
                    <a:xfrm>
                      <a:off x="0" y="0"/>
                      <a:ext cx="5910580" cy="8364220"/>
                    </a:xfrm>
                    <a:prstGeom prst="rect">
                      <a:avLst/>
                    </a:prstGeom>
                    <a:noFill/>
                    <a:ln>
                      <a:noFill/>
                    </a:ln>
                  </pic:spPr>
                </pic:pic>
              </a:graphicData>
            </a:graphic>
          </wp:inline>
        </w:drawing>
      </w:r>
    </w:p>
    <w:p>
      <w:pPr>
        <w:rPr>
          <w:rFonts w:ascii="宋体" w:hAnsi="宋体"/>
        </w:rPr>
      </w:pPr>
    </w:p>
    <w:p>
      <w:pPr>
        <w:rPr>
          <w:rFonts w:ascii="宋体" w:hAnsi="宋体"/>
        </w:rPr>
      </w:pPr>
      <w:r>
        <w:rPr>
          <w:rFonts w:hint="eastAsia" w:ascii="宋体" w:hAnsi="宋体"/>
        </w:rPr>
        <w:drawing>
          <wp:inline distT="0" distB="0" distL="114300" distR="114300">
            <wp:extent cx="5930900" cy="7664450"/>
            <wp:effectExtent l="0" t="0" r="0" b="6350"/>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
                    <pic:cNvPicPr>
                      <a:picLocks noChangeAspect="1"/>
                    </pic:cNvPicPr>
                  </pic:nvPicPr>
                  <pic:blipFill>
                    <a:blip r:embed="rId32"/>
                    <a:stretch>
                      <a:fillRect/>
                    </a:stretch>
                  </pic:blipFill>
                  <pic:spPr>
                    <a:xfrm>
                      <a:off x="0" y="0"/>
                      <a:ext cx="5930900" cy="7664450"/>
                    </a:xfrm>
                    <a:prstGeom prst="rect">
                      <a:avLst/>
                    </a:prstGeom>
                    <a:noFill/>
                    <a:ln>
                      <a:noFill/>
                    </a:ln>
                  </pic:spPr>
                </pic:pic>
              </a:graphicData>
            </a:graphic>
          </wp:inline>
        </w:drawing>
      </w:r>
    </w:p>
    <w:p>
      <w:pPr>
        <w:rPr>
          <w:rFonts w:ascii="宋体" w:hAnsi="宋体"/>
        </w:rPr>
      </w:pPr>
    </w:p>
    <w:p>
      <w:pPr>
        <w:rPr>
          <w:rFonts w:ascii="宋体" w:hAnsi="宋体"/>
        </w:rPr>
      </w:pPr>
      <w:r>
        <w:rPr>
          <w:rFonts w:hint="eastAsia" w:ascii="宋体" w:hAnsi="宋体"/>
        </w:rPr>
        <w:drawing>
          <wp:inline distT="0" distB="0" distL="114300" distR="114300">
            <wp:extent cx="5882640" cy="8324850"/>
            <wp:effectExtent l="0" t="0" r="10160" b="6350"/>
            <wp:docPr id="1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
                    <pic:cNvPicPr>
                      <a:picLocks noChangeAspect="1"/>
                    </pic:cNvPicPr>
                  </pic:nvPicPr>
                  <pic:blipFill>
                    <a:blip r:embed="rId33"/>
                    <a:stretch>
                      <a:fillRect/>
                    </a:stretch>
                  </pic:blipFill>
                  <pic:spPr>
                    <a:xfrm>
                      <a:off x="0" y="0"/>
                      <a:ext cx="5882640" cy="8324850"/>
                    </a:xfrm>
                    <a:prstGeom prst="rect">
                      <a:avLst/>
                    </a:prstGeom>
                    <a:noFill/>
                    <a:ln>
                      <a:noFill/>
                    </a:ln>
                  </pic:spPr>
                </pic:pic>
              </a:graphicData>
            </a:graphic>
          </wp:inline>
        </w:drawing>
      </w:r>
    </w:p>
    <w:p>
      <w:pPr>
        <w:rPr>
          <w:rFonts w:ascii="宋体" w:hAnsi="宋体"/>
        </w:rPr>
      </w:pPr>
    </w:p>
    <w:p>
      <w:pPr>
        <w:rPr>
          <w:rFonts w:ascii="宋体" w:hAnsi="宋体"/>
        </w:rPr>
      </w:pPr>
      <w:r>
        <w:rPr>
          <w:rFonts w:hint="eastAsia" w:ascii="宋体" w:hAnsi="宋体"/>
        </w:rPr>
        <w:drawing>
          <wp:inline distT="0" distB="0" distL="114300" distR="114300">
            <wp:extent cx="5860415" cy="7603490"/>
            <wp:effectExtent l="0" t="0" r="6985" b="3810"/>
            <wp:docPr id="1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7"/>
                    <pic:cNvPicPr>
                      <a:picLocks noChangeAspect="1"/>
                    </pic:cNvPicPr>
                  </pic:nvPicPr>
                  <pic:blipFill>
                    <a:blip r:embed="rId34"/>
                    <a:stretch>
                      <a:fillRect/>
                    </a:stretch>
                  </pic:blipFill>
                  <pic:spPr>
                    <a:xfrm>
                      <a:off x="0" y="0"/>
                      <a:ext cx="5860415" cy="7603490"/>
                    </a:xfrm>
                    <a:prstGeom prst="rect">
                      <a:avLst/>
                    </a:prstGeom>
                    <a:noFill/>
                    <a:ln>
                      <a:noFill/>
                    </a:ln>
                  </pic:spPr>
                </pic:pic>
              </a:graphicData>
            </a:graphic>
          </wp:inline>
        </w:drawing>
      </w:r>
    </w:p>
    <w:p>
      <w:pPr>
        <w:rPr>
          <w:rFonts w:ascii="宋体" w:hAnsi="宋体"/>
        </w:rPr>
      </w:pPr>
    </w:p>
    <w:p>
      <w:pPr>
        <w:rPr>
          <w:rFonts w:ascii="宋体" w:hAnsi="宋体"/>
        </w:rPr>
      </w:pPr>
      <w:r>
        <w:rPr>
          <w:rFonts w:hint="eastAsia" w:ascii="宋体" w:hAnsi="宋体"/>
        </w:rPr>
        <w:drawing>
          <wp:inline distT="0" distB="0" distL="114300" distR="114300">
            <wp:extent cx="5875655" cy="8314690"/>
            <wp:effectExtent l="0" t="0" r="4445" b="3810"/>
            <wp:docPr id="1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8"/>
                    <pic:cNvPicPr>
                      <a:picLocks noChangeAspect="1"/>
                    </pic:cNvPicPr>
                  </pic:nvPicPr>
                  <pic:blipFill>
                    <a:blip r:embed="rId35"/>
                    <a:stretch>
                      <a:fillRect/>
                    </a:stretch>
                  </pic:blipFill>
                  <pic:spPr>
                    <a:xfrm>
                      <a:off x="0" y="0"/>
                      <a:ext cx="5875655" cy="8314690"/>
                    </a:xfrm>
                    <a:prstGeom prst="rect">
                      <a:avLst/>
                    </a:prstGeom>
                    <a:noFill/>
                    <a:ln>
                      <a:noFill/>
                    </a:ln>
                  </pic:spPr>
                </pic:pic>
              </a:graphicData>
            </a:graphic>
          </wp:inline>
        </w:drawing>
      </w:r>
    </w:p>
    <w:p>
      <w:pPr>
        <w:rPr>
          <w:rFonts w:ascii="宋体" w:hAnsi="宋体"/>
        </w:rPr>
      </w:pPr>
    </w:p>
    <w:p>
      <w:pPr>
        <w:rPr>
          <w:rFonts w:ascii="宋体" w:hAnsi="宋体"/>
        </w:rPr>
      </w:pPr>
      <w:r>
        <w:rPr>
          <w:rFonts w:hint="eastAsia" w:ascii="宋体" w:hAnsi="宋体"/>
        </w:rPr>
        <w:drawing>
          <wp:inline distT="0" distB="0" distL="114300" distR="114300">
            <wp:extent cx="5970905" cy="8053705"/>
            <wp:effectExtent l="0" t="0" r="10795" b="10795"/>
            <wp:docPr id="1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9"/>
                    <pic:cNvPicPr>
                      <a:picLocks noChangeAspect="1"/>
                    </pic:cNvPicPr>
                  </pic:nvPicPr>
                  <pic:blipFill>
                    <a:blip r:embed="rId36"/>
                    <a:stretch>
                      <a:fillRect/>
                    </a:stretch>
                  </pic:blipFill>
                  <pic:spPr>
                    <a:xfrm>
                      <a:off x="0" y="0"/>
                      <a:ext cx="5970905" cy="8053705"/>
                    </a:xfrm>
                    <a:prstGeom prst="rect">
                      <a:avLst/>
                    </a:prstGeom>
                    <a:noFill/>
                    <a:ln>
                      <a:noFill/>
                    </a:ln>
                  </pic:spPr>
                </pic:pic>
              </a:graphicData>
            </a:graphic>
          </wp:inline>
        </w:drawing>
      </w:r>
    </w:p>
    <w:p>
      <w:pPr>
        <w:rPr>
          <w:rFonts w:ascii="宋体" w:hAnsi="宋体"/>
        </w:rPr>
      </w:pPr>
    </w:p>
    <w:p>
      <w:pPr>
        <w:rPr>
          <w:rFonts w:ascii="宋体" w:hAnsi="宋体"/>
        </w:rPr>
      </w:pPr>
      <w:r>
        <w:rPr>
          <w:rFonts w:hint="eastAsia" w:ascii="宋体" w:hAnsi="宋体"/>
        </w:rPr>
        <w:drawing>
          <wp:inline distT="0" distB="0" distL="114300" distR="114300">
            <wp:extent cx="5920105" cy="8364220"/>
            <wp:effectExtent l="0" t="0" r="10795" b="5080"/>
            <wp:docPr id="1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0"/>
                    <pic:cNvPicPr>
                      <a:picLocks noChangeAspect="1"/>
                    </pic:cNvPicPr>
                  </pic:nvPicPr>
                  <pic:blipFill>
                    <a:blip r:embed="rId37"/>
                    <a:stretch>
                      <a:fillRect/>
                    </a:stretch>
                  </pic:blipFill>
                  <pic:spPr>
                    <a:xfrm>
                      <a:off x="0" y="0"/>
                      <a:ext cx="5920105" cy="8364220"/>
                    </a:xfrm>
                    <a:prstGeom prst="rect">
                      <a:avLst/>
                    </a:prstGeom>
                    <a:noFill/>
                    <a:ln>
                      <a:noFill/>
                    </a:ln>
                  </pic:spPr>
                </pic:pic>
              </a:graphicData>
            </a:graphic>
          </wp:inline>
        </w:drawing>
      </w:r>
    </w:p>
    <w:p>
      <w:pPr>
        <w:rPr>
          <w:rFonts w:ascii="宋体" w:hAnsi="宋体"/>
        </w:rPr>
      </w:pPr>
    </w:p>
    <w:p>
      <w:pPr>
        <w:rPr>
          <w:rFonts w:ascii="宋体" w:hAnsi="宋体"/>
        </w:rPr>
      </w:pPr>
      <w:r>
        <w:rPr>
          <w:rFonts w:hint="eastAsia" w:ascii="宋体" w:hAnsi="宋体"/>
        </w:rPr>
        <w:drawing>
          <wp:inline distT="0" distB="0" distL="114300" distR="114300">
            <wp:extent cx="5868035" cy="7672705"/>
            <wp:effectExtent l="0" t="0" r="12065" b="10795"/>
            <wp:docPr id="2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1"/>
                    <pic:cNvPicPr>
                      <a:picLocks noChangeAspect="1"/>
                    </pic:cNvPicPr>
                  </pic:nvPicPr>
                  <pic:blipFill>
                    <a:blip r:embed="rId38"/>
                    <a:stretch>
                      <a:fillRect/>
                    </a:stretch>
                  </pic:blipFill>
                  <pic:spPr>
                    <a:xfrm>
                      <a:off x="0" y="0"/>
                      <a:ext cx="5868035" cy="7672705"/>
                    </a:xfrm>
                    <a:prstGeom prst="rect">
                      <a:avLst/>
                    </a:prstGeom>
                    <a:noFill/>
                    <a:ln>
                      <a:noFill/>
                    </a:ln>
                  </pic:spPr>
                </pic:pic>
              </a:graphicData>
            </a:graphic>
          </wp:inline>
        </w:drawing>
      </w:r>
    </w:p>
    <w:p>
      <w:pPr>
        <w:rPr>
          <w:rFonts w:ascii="宋体" w:hAnsi="宋体"/>
        </w:rPr>
      </w:pPr>
    </w:p>
    <w:p>
      <w:pPr>
        <w:rPr>
          <w:rFonts w:ascii="宋体" w:hAnsi="宋体"/>
        </w:rPr>
      </w:pPr>
      <w:r>
        <w:rPr>
          <w:rFonts w:hint="eastAsia" w:ascii="宋体" w:hAnsi="宋体"/>
        </w:rPr>
        <w:drawing>
          <wp:inline distT="0" distB="0" distL="114300" distR="114300">
            <wp:extent cx="5899785" cy="8348980"/>
            <wp:effectExtent l="0" t="0" r="5715" b="7620"/>
            <wp:docPr id="2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2"/>
                    <pic:cNvPicPr>
                      <a:picLocks noChangeAspect="1"/>
                    </pic:cNvPicPr>
                  </pic:nvPicPr>
                  <pic:blipFill>
                    <a:blip r:embed="rId39"/>
                    <a:stretch>
                      <a:fillRect/>
                    </a:stretch>
                  </pic:blipFill>
                  <pic:spPr>
                    <a:xfrm>
                      <a:off x="0" y="0"/>
                      <a:ext cx="5899785" cy="8348980"/>
                    </a:xfrm>
                    <a:prstGeom prst="rect">
                      <a:avLst/>
                    </a:prstGeom>
                    <a:noFill/>
                    <a:ln>
                      <a:noFill/>
                    </a:ln>
                  </pic:spPr>
                </pic:pic>
              </a:graphicData>
            </a:graphic>
          </wp:inline>
        </w:drawing>
      </w:r>
    </w:p>
    <w:p>
      <w:pPr>
        <w:rPr>
          <w:rFonts w:ascii="宋体" w:hAnsi="宋体"/>
        </w:rPr>
      </w:pPr>
    </w:p>
    <w:p>
      <w:pPr>
        <w:rPr>
          <w:rFonts w:ascii="宋体" w:hAnsi="宋体"/>
        </w:rPr>
      </w:pPr>
      <w:r>
        <w:rPr>
          <w:rFonts w:hint="eastAsia" w:ascii="宋体" w:hAnsi="宋体"/>
        </w:rPr>
        <w:drawing>
          <wp:inline distT="0" distB="0" distL="114300" distR="114300">
            <wp:extent cx="5923280" cy="7786370"/>
            <wp:effectExtent l="0" t="0" r="7620" b="11430"/>
            <wp:docPr id="2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3"/>
                    <pic:cNvPicPr>
                      <a:picLocks noChangeAspect="1"/>
                    </pic:cNvPicPr>
                  </pic:nvPicPr>
                  <pic:blipFill>
                    <a:blip r:embed="rId40"/>
                    <a:stretch>
                      <a:fillRect/>
                    </a:stretch>
                  </pic:blipFill>
                  <pic:spPr>
                    <a:xfrm>
                      <a:off x="0" y="0"/>
                      <a:ext cx="5923280" cy="7786370"/>
                    </a:xfrm>
                    <a:prstGeom prst="rect">
                      <a:avLst/>
                    </a:prstGeom>
                    <a:noFill/>
                    <a:ln>
                      <a:noFill/>
                    </a:ln>
                  </pic:spPr>
                </pic:pic>
              </a:graphicData>
            </a:graphic>
          </wp:inline>
        </w:drawing>
      </w:r>
    </w:p>
    <w:p>
      <w:pPr>
        <w:rPr>
          <w:rFonts w:ascii="宋体" w:hAnsi="宋体"/>
        </w:rPr>
      </w:pPr>
    </w:p>
    <w:p>
      <w:pPr>
        <w:rPr>
          <w:rFonts w:ascii="宋体" w:hAnsi="宋体"/>
        </w:rPr>
      </w:pPr>
      <w:r>
        <w:rPr>
          <w:rFonts w:hint="eastAsia" w:ascii="宋体" w:hAnsi="宋体"/>
        </w:rPr>
        <w:drawing>
          <wp:inline distT="0" distB="0" distL="114300" distR="114300">
            <wp:extent cx="5899785" cy="8335010"/>
            <wp:effectExtent l="0" t="0" r="5715" b="8890"/>
            <wp:docPr id="2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4"/>
                    <pic:cNvPicPr>
                      <a:picLocks noChangeAspect="1"/>
                    </pic:cNvPicPr>
                  </pic:nvPicPr>
                  <pic:blipFill>
                    <a:blip r:embed="rId41"/>
                    <a:stretch>
                      <a:fillRect/>
                    </a:stretch>
                  </pic:blipFill>
                  <pic:spPr>
                    <a:xfrm>
                      <a:off x="0" y="0"/>
                      <a:ext cx="5899785" cy="8335010"/>
                    </a:xfrm>
                    <a:prstGeom prst="rect">
                      <a:avLst/>
                    </a:prstGeom>
                    <a:noFill/>
                    <a:ln>
                      <a:noFill/>
                    </a:ln>
                  </pic:spPr>
                </pic:pic>
              </a:graphicData>
            </a:graphic>
          </wp:inline>
        </w:drawing>
      </w:r>
    </w:p>
    <w:p>
      <w:pPr>
        <w:rPr>
          <w:rFonts w:ascii="宋体" w:hAnsi="宋体"/>
        </w:rPr>
      </w:pPr>
    </w:p>
    <w:p>
      <w:pPr>
        <w:rPr>
          <w:rFonts w:ascii="宋体" w:hAnsi="宋体"/>
        </w:rPr>
      </w:pPr>
      <w:r>
        <w:rPr>
          <w:rFonts w:hint="eastAsia" w:ascii="宋体" w:hAnsi="宋体"/>
        </w:rPr>
        <w:drawing>
          <wp:inline distT="0" distB="0" distL="114300" distR="114300">
            <wp:extent cx="6011545" cy="7740015"/>
            <wp:effectExtent l="0" t="0" r="8255" b="6985"/>
            <wp:docPr id="2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5"/>
                    <pic:cNvPicPr>
                      <a:picLocks noChangeAspect="1"/>
                    </pic:cNvPicPr>
                  </pic:nvPicPr>
                  <pic:blipFill>
                    <a:blip r:embed="rId42"/>
                    <a:stretch>
                      <a:fillRect/>
                    </a:stretch>
                  </pic:blipFill>
                  <pic:spPr>
                    <a:xfrm>
                      <a:off x="0" y="0"/>
                      <a:ext cx="6011545" cy="7740015"/>
                    </a:xfrm>
                    <a:prstGeom prst="rect">
                      <a:avLst/>
                    </a:prstGeom>
                    <a:noFill/>
                    <a:ln>
                      <a:noFill/>
                    </a:ln>
                  </pic:spPr>
                </pic:pic>
              </a:graphicData>
            </a:graphic>
          </wp:inline>
        </w:drawing>
      </w:r>
    </w:p>
    <w:p>
      <w:pPr>
        <w:rPr>
          <w:rFonts w:ascii="宋体" w:hAnsi="宋体"/>
        </w:rPr>
      </w:pPr>
    </w:p>
    <w:p>
      <w:pPr>
        <w:rPr>
          <w:rFonts w:ascii="宋体" w:hAnsi="宋体"/>
        </w:rPr>
      </w:pPr>
      <w:r>
        <w:rPr>
          <w:rFonts w:hint="eastAsia" w:ascii="宋体" w:hAnsi="宋体"/>
        </w:rPr>
        <w:drawing>
          <wp:inline distT="0" distB="0" distL="114300" distR="114300">
            <wp:extent cx="5899785" cy="8348980"/>
            <wp:effectExtent l="0" t="0" r="5715" b="7620"/>
            <wp:docPr id="2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6"/>
                    <pic:cNvPicPr>
                      <a:picLocks noChangeAspect="1"/>
                    </pic:cNvPicPr>
                  </pic:nvPicPr>
                  <pic:blipFill>
                    <a:blip r:embed="rId43"/>
                    <a:stretch>
                      <a:fillRect/>
                    </a:stretch>
                  </pic:blipFill>
                  <pic:spPr>
                    <a:xfrm>
                      <a:off x="0" y="0"/>
                      <a:ext cx="5899785" cy="8348980"/>
                    </a:xfrm>
                    <a:prstGeom prst="rect">
                      <a:avLst/>
                    </a:prstGeom>
                    <a:noFill/>
                    <a:ln>
                      <a:noFill/>
                    </a:ln>
                  </pic:spPr>
                </pic:pic>
              </a:graphicData>
            </a:graphic>
          </wp:inline>
        </w:drawing>
      </w:r>
    </w:p>
    <w:p>
      <w:pPr>
        <w:rPr>
          <w:rFonts w:ascii="宋体" w:hAnsi="宋体"/>
        </w:rPr>
      </w:pPr>
    </w:p>
    <w:p>
      <w:pPr>
        <w:rPr>
          <w:rFonts w:ascii="宋体" w:hAnsi="宋体"/>
        </w:rPr>
      </w:pPr>
    </w:p>
    <w:p>
      <w:pPr>
        <w:rPr>
          <w:rFonts w:ascii="宋体" w:hAnsi="宋体"/>
        </w:rPr>
      </w:pPr>
      <w:r>
        <w:rPr>
          <w:rFonts w:hint="eastAsia" w:ascii="宋体" w:hAnsi="宋体"/>
        </w:rPr>
        <w:drawing>
          <wp:inline distT="0" distB="0" distL="114300" distR="114300">
            <wp:extent cx="5970905" cy="7463790"/>
            <wp:effectExtent l="0" t="0" r="10795" b="3810"/>
            <wp:docPr id="2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7"/>
                    <pic:cNvPicPr>
                      <a:picLocks noChangeAspect="1"/>
                    </pic:cNvPicPr>
                  </pic:nvPicPr>
                  <pic:blipFill>
                    <a:blip r:embed="rId44"/>
                    <a:stretch>
                      <a:fillRect/>
                    </a:stretch>
                  </pic:blipFill>
                  <pic:spPr>
                    <a:xfrm>
                      <a:off x="0" y="0"/>
                      <a:ext cx="5970905" cy="7463790"/>
                    </a:xfrm>
                    <a:prstGeom prst="rect">
                      <a:avLst/>
                    </a:prstGeom>
                    <a:noFill/>
                    <a:ln>
                      <a:noFill/>
                    </a:ln>
                  </pic:spPr>
                </pic:pic>
              </a:graphicData>
            </a:graphic>
          </wp:inline>
        </w:drawing>
      </w:r>
    </w:p>
    <w:p>
      <w:pPr>
        <w:rPr>
          <w:rFonts w:ascii="宋体" w:hAnsi="宋体"/>
        </w:rPr>
      </w:pPr>
    </w:p>
    <w:p>
      <w:pPr>
        <w:rPr>
          <w:rFonts w:ascii="宋体" w:hAnsi="宋体"/>
        </w:rPr>
      </w:pPr>
      <w:r>
        <w:rPr>
          <w:rFonts w:ascii="宋体" w:hAnsi="宋体"/>
        </w:rPr>
        <w:drawing>
          <wp:inline distT="0" distB="0" distL="114300" distR="114300">
            <wp:extent cx="5629275" cy="7543800"/>
            <wp:effectExtent l="0" t="0" r="9525" b="0"/>
            <wp:docPr id="2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9"/>
                    <pic:cNvPicPr>
                      <a:picLocks noChangeAspect="1"/>
                    </pic:cNvPicPr>
                  </pic:nvPicPr>
                  <pic:blipFill>
                    <a:blip r:embed="rId45"/>
                    <a:stretch>
                      <a:fillRect/>
                    </a:stretch>
                  </pic:blipFill>
                  <pic:spPr>
                    <a:xfrm>
                      <a:off x="0" y="0"/>
                      <a:ext cx="5629275" cy="7543800"/>
                    </a:xfrm>
                    <a:prstGeom prst="rect">
                      <a:avLst/>
                    </a:prstGeom>
                    <a:noFill/>
                    <a:ln>
                      <a:noFill/>
                    </a:ln>
                  </pic:spPr>
                </pic:pic>
              </a:graphicData>
            </a:graphic>
          </wp:inline>
        </w:drawing>
      </w:r>
    </w:p>
    <w:p>
      <w:pPr>
        <w:rPr>
          <w:rFonts w:ascii="宋体" w:hAnsi="宋体"/>
        </w:rPr>
      </w:pPr>
      <w:r>
        <w:rPr>
          <w:rFonts w:ascii="宋体" w:hAnsi="宋体"/>
        </w:rPr>
        <w:drawing>
          <wp:inline distT="0" distB="0" distL="114300" distR="11430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6"/>
                    <a:stretch>
                      <a:fillRect/>
                    </a:stretch>
                  </pic:blipFill>
                  <pic:spPr>
                    <a:xfrm>
                      <a:off x="0" y="0"/>
                      <a:ext cx="5591175" cy="8143875"/>
                    </a:xfrm>
                    <a:prstGeom prst="rect">
                      <a:avLst/>
                    </a:prstGeom>
                    <a:noFill/>
                    <a:ln>
                      <a:noFill/>
                    </a:ln>
                  </pic:spPr>
                </pic:pic>
              </a:graphicData>
            </a:graphic>
          </wp:inline>
        </w:drawing>
      </w:r>
    </w:p>
    <w:p>
      <w:pPr>
        <w:rPr>
          <w:rFonts w:ascii="宋体" w:hAnsi="宋体"/>
        </w:rPr>
      </w:pPr>
      <w:r>
        <w:rPr>
          <w:rFonts w:ascii="宋体" w:hAnsi="宋体"/>
        </w:rPr>
        <w:drawing>
          <wp:inline distT="0" distB="0" distL="114300" distR="114300">
            <wp:extent cx="5941060" cy="3790950"/>
            <wp:effectExtent l="0" t="0" r="2540" b="6350"/>
            <wp:docPr id="2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0"/>
                    <pic:cNvPicPr>
                      <a:picLocks noChangeAspect="1"/>
                    </pic:cNvPicPr>
                  </pic:nvPicPr>
                  <pic:blipFill>
                    <a:blip r:embed="rId47"/>
                    <a:stretch>
                      <a:fillRect/>
                    </a:stretch>
                  </pic:blipFill>
                  <pic:spPr>
                    <a:xfrm>
                      <a:off x="0" y="0"/>
                      <a:ext cx="5941060" cy="3790950"/>
                    </a:xfrm>
                    <a:prstGeom prst="rect">
                      <a:avLst/>
                    </a:prstGeom>
                    <a:noFill/>
                    <a:ln>
                      <a:noFill/>
                    </a:ln>
                  </pic:spPr>
                </pic:pic>
              </a:graphicData>
            </a:graphic>
          </wp:inline>
        </w:drawing>
      </w:r>
    </w:p>
    <w:p>
      <w:pPr>
        <w:spacing w:line="540" w:lineRule="exact"/>
      </w:pPr>
      <w:r>
        <w:rPr>
          <w:rFonts w:ascii="宋体" w:hAnsi="宋体"/>
        </w:rPr>
        <w:br w:type="page"/>
      </w:r>
    </w:p>
    <w:p>
      <w:pPr>
        <w:rPr>
          <w:rFonts w:ascii="宋体" w:hAnsi="宋体" w:eastAsia="仿宋_GB2312" w:cs="宋体"/>
          <w:color w:val="000000"/>
          <w:sz w:val="32"/>
          <w:szCs w:val="21"/>
        </w:rPr>
      </w:pPr>
    </w:p>
    <w:p>
      <w:pPr>
        <w:rPr>
          <w:rFonts w:ascii="宋体" w:hAnsi="宋体" w:eastAsia="仿宋_GB2312" w:cs="宋体"/>
          <w:color w:val="000000"/>
          <w:sz w:val="32"/>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rPr>
        <w:sectPr>
          <w:footerReference r:id="rId16" w:type="default"/>
          <w:footerReference r:id="rId17" w:type="even"/>
          <w:pgSz w:w="11906" w:h="16838"/>
          <w:pgMar w:top="720" w:right="1274" w:bottom="720" w:left="1276" w:header="851" w:footer="992" w:gutter="0"/>
          <w:cols w:space="720" w:num="1"/>
          <w:docGrid w:type="linesAndChars" w:linePitch="312" w:charSpace="0"/>
        </w:sectPr>
      </w:pPr>
    </w:p>
    <w:p>
      <w:pPr>
        <w:outlineLvl w:val="1"/>
        <w:rPr>
          <w:rFonts w:ascii="宋体" w:hAnsi="宋体" w:cs="宋体"/>
          <w:b/>
          <w:bCs/>
          <w:sz w:val="24"/>
          <w:szCs w:val="32"/>
        </w:rPr>
      </w:pPr>
      <w:r>
        <w:rPr>
          <w:rFonts w:hint="eastAsia" w:ascii="宋体" w:hAnsi="宋体" w:cs="宋体"/>
          <w:b/>
          <w:bCs/>
          <w:sz w:val="24"/>
          <w:szCs w:val="32"/>
        </w:rPr>
        <w:t>附件三：政府采购云平台使用介绍</w:t>
      </w:r>
    </w:p>
    <w:p>
      <w:pPr>
        <w:rPr>
          <w:rFonts w:ascii="宋体" w:hAnsi="宋体" w:cs="宋体"/>
          <w:b/>
          <w:bCs/>
          <w:sz w:val="24"/>
          <w:szCs w:val="32"/>
        </w:rPr>
      </w:pPr>
      <w:r>
        <w:rPr>
          <w:rFonts w:hint="eastAsia" w:ascii="宋体" w:hAnsi="宋体" w:cs="宋体"/>
          <w:b/>
          <w:bCs/>
          <w:sz w:val="24"/>
          <w:szCs w:val="32"/>
        </w:rPr>
        <w:t>1.输入网址：</w:t>
      </w:r>
      <w:r>
        <w:fldChar w:fldCharType="begin"/>
      </w:r>
      <w:r>
        <w:instrText xml:space="preserve"> HYPERLINK "https://www.zcygov.cn" </w:instrText>
      </w:r>
      <w:r>
        <w:fldChar w:fldCharType="separate"/>
      </w:r>
      <w:r>
        <w:rPr>
          <w:rStyle w:val="32"/>
          <w:rFonts w:hint="eastAsia" w:ascii="宋体" w:hAnsi="宋体" w:cs="宋体"/>
          <w:b/>
          <w:bCs/>
          <w:color w:val="auto"/>
          <w:sz w:val="24"/>
          <w:szCs w:val="32"/>
        </w:rPr>
        <w:t>https://www.zcygov.cn</w:t>
      </w:r>
      <w:r>
        <w:rPr>
          <w:rStyle w:val="32"/>
          <w:rFonts w:hint="eastAsia" w:ascii="宋体" w:hAnsi="宋体" w:cs="宋体"/>
          <w:b/>
          <w:bCs/>
          <w:color w:val="auto"/>
          <w:sz w:val="24"/>
          <w:szCs w:val="32"/>
        </w:rPr>
        <w:fldChar w:fldCharType="end"/>
      </w:r>
    </w:p>
    <w:p>
      <w:pPr>
        <w:rPr>
          <w:rFonts w:ascii="宋体" w:hAnsi="宋体" w:cs="宋体"/>
          <w:b/>
          <w:bCs/>
          <w:sz w:val="24"/>
          <w:szCs w:val="32"/>
        </w:rPr>
      </w:pPr>
      <w:r>
        <w:rPr>
          <w:rFonts w:hint="eastAsia" w:ascii="宋体" w:hAnsi="宋体" w:cs="宋体"/>
          <w:b/>
          <w:bCs/>
          <w:sz w:val="24"/>
          <w:szCs w:val="32"/>
        </w:rPr>
        <w:t>2.选择与项目对应的行政区域如：四川省-成都市-成都市本级</w:t>
      </w:r>
    </w:p>
    <w:p>
      <w:pPr>
        <w:rPr>
          <w:rFonts w:ascii="宋体" w:hAnsi="宋体"/>
        </w:rPr>
      </w:pPr>
      <w:r>
        <w:rPr>
          <w:rFonts w:ascii="宋体" w:hAnsi="宋体"/>
        </w:rPr>
        <w:drawing>
          <wp:inline distT="0" distB="0" distL="114300" distR="114300">
            <wp:extent cx="4653915" cy="2910840"/>
            <wp:effectExtent l="0" t="0" r="6985" b="1016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48"/>
                    <a:stretch>
                      <a:fillRect/>
                    </a:stretch>
                  </pic:blipFill>
                  <pic:spPr>
                    <a:xfrm>
                      <a:off x="0" y="0"/>
                      <a:ext cx="4653915" cy="2910840"/>
                    </a:xfrm>
                    <a:prstGeom prst="rect">
                      <a:avLst/>
                    </a:prstGeom>
                    <a:noFill/>
                    <a:ln>
                      <a:noFill/>
                    </a:ln>
                  </pic:spPr>
                </pic:pic>
              </a:graphicData>
            </a:graphic>
          </wp:inline>
        </w:drawing>
      </w:r>
    </w:p>
    <w:p>
      <w:pPr>
        <w:rPr>
          <w:rFonts w:ascii="宋体" w:hAnsi="宋体"/>
        </w:rPr>
      </w:pPr>
    </w:p>
    <w:p>
      <w:pPr>
        <w:numPr>
          <w:ilvl w:val="0"/>
          <w:numId w:val="10"/>
        </w:numPr>
        <w:rPr>
          <w:rFonts w:ascii="宋体" w:hAnsi="宋体" w:cs="宋体"/>
          <w:b/>
          <w:bCs/>
          <w:sz w:val="24"/>
          <w:szCs w:val="32"/>
        </w:rPr>
      </w:pPr>
      <w:r>
        <w:rPr>
          <w:rFonts w:hint="eastAsia" w:ascii="宋体" w:hAnsi="宋体" w:cs="宋体"/>
          <w:b/>
          <w:bCs/>
          <w:sz w:val="24"/>
          <w:szCs w:val="32"/>
        </w:rPr>
        <w:t>点击操作指南-供应商</w:t>
      </w:r>
    </w:p>
    <w:p>
      <w:pPr>
        <w:rPr>
          <w:rFonts w:ascii="宋体" w:hAnsi="宋体"/>
          <w:b/>
          <w:bCs/>
        </w:rPr>
      </w:pPr>
      <w:r>
        <w:rPr>
          <w:rFonts w:ascii="宋体" w:hAnsi="宋体"/>
        </w:rPr>
        <w:drawing>
          <wp:inline distT="0" distB="0" distL="114300" distR="114300">
            <wp:extent cx="8854440" cy="4585335"/>
            <wp:effectExtent l="0" t="0" r="10160" b="12065"/>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49"/>
                    <a:stretch>
                      <a:fillRect/>
                    </a:stretch>
                  </pic:blipFill>
                  <pic:spPr>
                    <a:xfrm>
                      <a:off x="0" y="0"/>
                      <a:ext cx="8854440" cy="4585335"/>
                    </a:xfrm>
                    <a:prstGeom prst="rect">
                      <a:avLst/>
                    </a:prstGeom>
                    <a:noFill/>
                    <a:ln>
                      <a:noFill/>
                    </a:ln>
                  </pic:spPr>
                </pic:pic>
              </a:graphicData>
            </a:graphic>
          </wp:inline>
        </w:drawing>
      </w:r>
      <w:r>
        <w:rPr>
          <w:rFonts w:ascii="宋体" w:hAnsi="宋体"/>
        </w:rPr>
        <w:br w:type="page"/>
      </w:r>
      <w:r>
        <w:rPr>
          <w:rFonts w:hint="eastAsia" w:ascii="宋体" w:hAnsi="宋体" w:cs="宋体"/>
          <w:b/>
          <w:bCs/>
          <w:sz w:val="24"/>
          <w:szCs w:val="32"/>
        </w:rPr>
        <w:t>4.进入政采云供应商学习专题页面</w:t>
      </w:r>
      <w:r>
        <w:rPr>
          <w:rFonts w:hint="eastAsia" w:ascii="宋体" w:hAnsi="宋体"/>
          <w:b/>
          <w:bCs/>
        </w:rPr>
        <w:t>（https://edu.zcygov.cn/luban/xxzt-chengdu-gys?utm=a0017.b1347.cl50.5.0917bc90b7bb11eb807c353645758db6）</w:t>
      </w:r>
    </w:p>
    <w:p>
      <w:pPr>
        <w:rPr>
          <w:rFonts w:ascii="宋体" w:hAnsi="宋体"/>
        </w:rPr>
      </w:pPr>
      <w:r>
        <w:rPr>
          <w:rFonts w:ascii="宋体" w:hAnsi="宋体"/>
        </w:rPr>
        <w:drawing>
          <wp:inline distT="0" distB="0" distL="114300" distR="114300">
            <wp:extent cx="7841615" cy="3902710"/>
            <wp:effectExtent l="0" t="0" r="6985" b="8890"/>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pic:cNvPicPr>
                      <a:picLocks noChangeAspect="1"/>
                    </pic:cNvPicPr>
                  </pic:nvPicPr>
                  <pic:blipFill>
                    <a:blip r:embed="rId50"/>
                    <a:stretch>
                      <a:fillRect/>
                    </a:stretch>
                  </pic:blipFill>
                  <pic:spPr>
                    <a:xfrm>
                      <a:off x="0" y="0"/>
                      <a:ext cx="7841615" cy="3902710"/>
                    </a:xfrm>
                    <a:prstGeom prst="rect">
                      <a:avLst/>
                    </a:prstGeom>
                    <a:noFill/>
                    <a:ln>
                      <a:noFill/>
                    </a:ln>
                  </pic:spPr>
                </pic:pic>
              </a:graphicData>
            </a:graphic>
          </wp:inline>
        </w:drawing>
      </w:r>
    </w:p>
    <w:p>
      <w:pPr>
        <w:rPr>
          <w:rFonts w:ascii="宋体" w:hAnsi="宋体" w:cs="宋体"/>
          <w:b/>
          <w:bCs/>
          <w:sz w:val="24"/>
          <w:szCs w:val="32"/>
        </w:rPr>
      </w:pPr>
      <w:r>
        <w:rPr>
          <w:rFonts w:hint="eastAsia" w:ascii="宋体" w:hAnsi="宋体"/>
        </w:rPr>
        <w:br w:type="page"/>
      </w:r>
      <w:r>
        <w:rPr>
          <w:rFonts w:hint="eastAsia" w:ascii="宋体" w:hAnsi="宋体" w:cs="宋体"/>
          <w:b/>
          <w:bCs/>
          <w:sz w:val="24"/>
          <w:szCs w:val="32"/>
        </w:rPr>
        <w:t>5.供应商资讯服务渠道</w:t>
      </w:r>
    </w:p>
    <w:p>
      <w:pPr>
        <w:rPr>
          <w:rFonts w:ascii="宋体" w:hAnsi="宋体"/>
        </w:rPr>
      </w:pPr>
      <w:r>
        <w:rPr>
          <w:rFonts w:ascii="宋体" w:hAnsi="宋体"/>
        </w:rPr>
        <w:drawing>
          <wp:inline distT="0" distB="0" distL="114300" distR="114300">
            <wp:extent cx="9380855" cy="3362960"/>
            <wp:effectExtent l="0" t="0" r="4445" b="2540"/>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pic:cNvPicPr>
                  </pic:nvPicPr>
                  <pic:blipFill>
                    <a:blip r:embed="rId51"/>
                    <a:stretch>
                      <a:fillRect/>
                    </a:stretch>
                  </pic:blipFill>
                  <pic:spPr>
                    <a:xfrm>
                      <a:off x="0" y="0"/>
                      <a:ext cx="9380855" cy="3362960"/>
                    </a:xfrm>
                    <a:prstGeom prst="rect">
                      <a:avLst/>
                    </a:prstGeom>
                    <a:noFill/>
                    <a:ln>
                      <a:noFill/>
                    </a:ln>
                  </pic:spPr>
                </pic:pic>
              </a:graphicData>
            </a:graphic>
          </wp:inline>
        </w:drawing>
      </w:r>
    </w:p>
    <w:p>
      <w:pPr>
        <w:rPr>
          <w:rFonts w:ascii="宋体" w:hAnsi="宋体"/>
        </w:rPr>
      </w:pPr>
      <w:r>
        <w:rPr>
          <w:rFonts w:ascii="宋体" w:hAnsi="宋体"/>
        </w:rPr>
        <w:br w:type="page"/>
      </w:r>
      <w:r>
        <w:rPr>
          <w:rFonts w:hint="eastAsia" w:ascii="宋体" w:hAnsi="宋体" w:cs="宋体"/>
          <w:b/>
          <w:bCs/>
          <w:sz w:val="24"/>
          <w:szCs w:val="32"/>
        </w:rPr>
        <w:t>6.入驻政府采购云平台（注册）</w:t>
      </w:r>
    </w:p>
    <w:p>
      <w:pPr>
        <w:rPr>
          <w:rFonts w:ascii="宋体" w:hAnsi="宋体"/>
        </w:rPr>
      </w:pPr>
      <w:r>
        <w:rPr>
          <w:rFonts w:ascii="宋体" w:hAnsi="宋体"/>
        </w:rPr>
        <w:drawing>
          <wp:inline distT="0" distB="0" distL="114300" distR="114300">
            <wp:extent cx="8853805" cy="3604895"/>
            <wp:effectExtent l="0" t="0" r="10795" b="1905"/>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pic:cNvPicPr>
                  </pic:nvPicPr>
                  <pic:blipFill>
                    <a:blip r:embed="rId52"/>
                    <a:stretch>
                      <a:fillRect/>
                    </a:stretch>
                  </pic:blipFill>
                  <pic:spPr>
                    <a:xfrm>
                      <a:off x="0" y="0"/>
                      <a:ext cx="8853805" cy="3604895"/>
                    </a:xfrm>
                    <a:prstGeom prst="rect">
                      <a:avLst/>
                    </a:prstGeom>
                    <a:noFill/>
                    <a:ln>
                      <a:noFill/>
                    </a:ln>
                  </pic:spPr>
                </pic:pic>
              </a:graphicData>
            </a:graphic>
          </wp:inline>
        </w:drawing>
      </w:r>
    </w:p>
    <w:p>
      <w:pPr>
        <w:rPr>
          <w:rFonts w:ascii="宋体" w:hAnsi="宋体"/>
        </w:rPr>
      </w:pPr>
      <w:r>
        <w:rPr>
          <w:rFonts w:ascii="宋体" w:hAnsi="宋体"/>
        </w:rPr>
        <w:br w:type="page"/>
      </w:r>
      <w:r>
        <w:rPr>
          <w:rFonts w:hint="eastAsia" w:ascii="宋体" w:hAnsi="宋体" w:cs="宋体"/>
          <w:b/>
          <w:bCs/>
          <w:sz w:val="24"/>
          <w:szCs w:val="32"/>
        </w:rPr>
        <w:t>7.下载《供应商政府采购项目电子交易操作指南》</w:t>
      </w:r>
    </w:p>
    <w:p>
      <w:pPr>
        <w:rPr>
          <w:rFonts w:ascii="宋体" w:hAnsi="宋体"/>
        </w:rPr>
      </w:pPr>
      <w:r>
        <w:rPr>
          <w:rFonts w:ascii="宋体" w:hAnsi="宋体"/>
        </w:rPr>
        <w:drawing>
          <wp:inline distT="0" distB="0" distL="114300" distR="114300">
            <wp:extent cx="8860155" cy="4909185"/>
            <wp:effectExtent l="0" t="0" r="4445" b="5715"/>
            <wp:docPr id="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pic:cNvPicPr>
                      <a:picLocks noChangeAspect="1"/>
                    </pic:cNvPicPr>
                  </pic:nvPicPr>
                  <pic:blipFill>
                    <a:blip r:embed="rId53"/>
                    <a:stretch>
                      <a:fillRect/>
                    </a:stretch>
                  </pic:blipFill>
                  <pic:spPr>
                    <a:xfrm>
                      <a:off x="0" y="0"/>
                      <a:ext cx="8860155" cy="4909185"/>
                    </a:xfrm>
                    <a:prstGeom prst="rect">
                      <a:avLst/>
                    </a:prstGeom>
                    <a:noFill/>
                    <a:ln>
                      <a:noFill/>
                    </a:ln>
                  </pic:spPr>
                </pic:pic>
              </a:graphicData>
            </a:graphic>
          </wp:inline>
        </w:drawing>
      </w:r>
    </w:p>
    <w:sectPr>
      <w:pgSz w:w="16838" w:h="11906" w:orient="landscape"/>
      <w:pgMar w:top="1800" w:right="1440" w:bottom="1800" w:left="1440"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宋?">
    <w:altName w:val="宋体"/>
    <w:panose1 w:val="00000000000000000000"/>
    <w:charset w:val="81"/>
    <w:family w:val="auto"/>
    <w:pitch w:val="default"/>
    <w:sig w:usb0="00000000" w:usb1="00000000" w:usb2="00000010" w:usb3="00000000" w:csb0="00080000" w:csb1="00000000"/>
  </w:font>
  <w:font w:name="Eʩ">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pPr>
                          <w:r>
                            <w:fldChar w:fldCharType="begin"/>
                          </w:r>
                          <w:r>
                            <w:instrText xml:space="preserve"> PAGE  \* MERGEFORMAT </w:instrText>
                          </w:r>
                          <w:r>
                            <w:fldChar w:fldCharType="separate"/>
                          </w:r>
                          <w:r>
                            <w:t>1</w:t>
                          </w:r>
                          <w:r>
                            <w:fldChar w:fldCharType="end"/>
                          </w:r>
                        </w:p>
                      </w:txbxContent>
                    </wps:txbx>
                    <wps:bodyPr vert="horz" wrap="none" lIns="0" tIns="0" rIns="0" bIns="0" anchor="t" anchorCtr="0">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M6pebnPAAAABQEAAA8AAAAAAAAAAQAgAAAAIgAA&#10;AGRycy9kb3ducmV2LnhtbFBLAQIUABQAAAAIAIdO4kDGSZhR2AEAALMDAAAOAAAAAAAAAAEAIAAA&#10;AB4BAABkcnMvZTJvRG9jLnhtbFBLBQYAAAAABgAGAFkBAABoBQAAAAA=&#10;">
              <v:fill on="f" focussize="0,0"/>
              <v:stroke on="f"/>
              <v:imagedata o:title=""/>
              <o:lock v:ext="edit" aspectratio="f"/>
              <v:textbox inset="0mm,0mm,0mm,0mm" style="mso-fit-shape-to-text:t;">
                <w:txbxContent>
                  <w:p>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pPr>
                          <w:r>
                            <w:fldChar w:fldCharType="begin"/>
                          </w:r>
                          <w:r>
                            <w:instrText xml:space="preserve"> PAGE  \* MERGEFORMAT </w:instrText>
                          </w:r>
                          <w:r>
                            <w:fldChar w:fldCharType="separate"/>
                          </w:r>
                          <w:r>
                            <w:t>43</w:t>
                          </w:r>
                          <w:r>
                            <w:fldChar w:fldCharType="end"/>
                          </w:r>
                        </w:p>
                      </w:txbxContent>
                    </wps:txbx>
                    <wps:bodyPr vert="horz" wrap="none" lIns="0" tIns="0" rIns="0" bIns="0" anchor="t" anchorCtr="0">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OqXm5zwAAAAUBAAAPAAAAAAAAAAEAIAAAACIA&#10;AABkcnMvZG93bnJldi54bWxQSwECFAAUAAAACACHTuJAPhBPVNkBAAC0AwAADgAAAAAAAAABACAA&#10;AAAeAQAAZHJzL2Uyb0RvYy54bWxQSwUGAAAAAAYABgBZAQAAaQUAAAAA&#10;">
              <v:fill on="f" focussize="0,0"/>
              <v:stroke on="f"/>
              <v:imagedata o:title=""/>
              <o:lock v:ext="edit" aspectratio="f"/>
              <v:textbox inset="0mm,0mm,0mm,0mm" style="mso-fit-shape-to-text:t;">
                <w:txbxContent>
                  <w:p>
                    <w:pPr>
                      <w:pStyle w:val="16"/>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pPr>
                          <w:r>
                            <w:fldChar w:fldCharType="begin"/>
                          </w:r>
                          <w:r>
                            <w:instrText xml:space="preserve"> PAGE  \* MERGEFORMAT </w:instrText>
                          </w:r>
                          <w:r>
                            <w:fldChar w:fldCharType="separate"/>
                          </w:r>
                          <w:r>
                            <w:t>44</w:t>
                          </w:r>
                          <w:r>
                            <w:fldChar w:fldCharType="end"/>
                          </w:r>
                        </w:p>
                      </w:txbxContent>
                    </wps:txbx>
                    <wps:bodyPr vert="horz" wrap="none" lIns="0" tIns="0" rIns="0" bIns="0" anchor="t" anchorCtr="0">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OqXm5zwAAAAUBAAAPAAAAAAAAAAEAIAAAACIA&#10;AABkcnMvZG93bnJldi54bWxQSwECFAAUAAAACACHTuJA20u+FNkBAAC0AwAADgAAAAAAAAABACAA&#10;AAAeAQAAZHJzL2Uyb0RvYy54bWxQSwUGAAAAAAYABgBZAQAAaQUAAAAA&#10;">
              <v:fill on="f" focussize="0,0"/>
              <v:stroke on="f"/>
              <v:imagedata o:title=""/>
              <o:lock v:ext="edit" aspectratio="f"/>
              <v:textbox inset="0mm,0mm,0mm,0mm" style="mso-fit-shape-to-text:t;">
                <w:txbxContent>
                  <w:p>
                    <w:pPr>
                      <w:pStyle w:val="16"/>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pPr>
                          <w:r>
                            <w:fldChar w:fldCharType="begin"/>
                          </w:r>
                          <w:r>
                            <w:instrText xml:space="preserve"> PAGE  \* MERGEFORMAT </w:instrText>
                          </w:r>
                          <w:r>
                            <w:fldChar w:fldCharType="separate"/>
                          </w:r>
                          <w:r>
                            <w:t>1</w:t>
                          </w:r>
                          <w:r>
                            <w:fldChar w:fldCharType="end"/>
                          </w:r>
                        </w:p>
                      </w:txbxContent>
                    </wps:txbx>
                    <wps:bodyPr vert="horz" wrap="none" lIns="0" tIns="0" rIns="0" bIns="0" anchor="t" anchorCtr="0">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M6pebnPAAAABQEAAA8AAAAAAAAAAQAgAAAAIgAA&#10;AGRycy9kb3ducmV2LnhtbFBLAQIUABQAAAAIAIdO4kAqn5gD2AEAALMDAAAOAAAAAAAAAAEAIAAA&#10;AB4BAABkcnMvZTJvRG9jLnhtbFBLBQYAAAAABgAGAFkBAABoBQAAAAA=&#10;">
              <v:fill on="f" focussize="0,0"/>
              <v:stroke on="f"/>
              <v:imagedata o:title=""/>
              <o:lock v:ext="edit" aspectratio="f"/>
              <v:textbox inset="0mm,0mm,0mm,0mm" style="mso-fit-shape-to-text:t;">
                <w:txbxContent>
                  <w:p>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pPr>
                          <w:r>
                            <w:fldChar w:fldCharType="begin"/>
                          </w:r>
                          <w:r>
                            <w:instrText xml:space="preserve"> PAGE  \* MERGEFORMAT </w:instrText>
                          </w:r>
                          <w:r>
                            <w:fldChar w:fldCharType="separate"/>
                          </w:r>
                          <w:r>
                            <w:t>1</w:t>
                          </w:r>
                          <w:r>
                            <w:fldChar w:fldCharType="end"/>
                          </w:r>
                        </w:p>
                      </w:txbxContent>
                    </wps:txbx>
                    <wps:bodyPr vert="horz" wrap="none" lIns="0" tIns="0" rIns="0" bIns="0" anchor="t" anchorCtr="0">
                      <a:spAutoFit/>
                    </wps:bodyPr>
                  </wps:wsp>
                </a:graphicData>
              </a:graphic>
            </wp:anchor>
          </w:drawing>
        </mc:Choice>
        <mc:Fallback>
          <w:pict>
            <v:shape id="文本框 9"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M6pebnPAAAABQEAAA8AAAAAAAAAAQAgAAAAIgAA&#10;AGRycy9kb3ducmV2LnhtbFBLAQIUABQAAAAIAIdO4kD5IjJv2AEAALMDAAAOAAAAAAAAAAEAIAAA&#10;AB4BAABkcnMvZTJvRG9jLnhtbFBLBQYAAAAABgAGAFkBAABoBQAAAAA=&#10;">
              <v:fill on="f" focussize="0,0"/>
              <v:stroke on="f"/>
              <v:imagedata o:title=""/>
              <o:lock v:ext="edit" aspectratio="f"/>
              <v:textbox inset="0mm,0mm,0mm,0mm" style="mso-fit-shape-to-text:t;">
                <w:txbxContent>
                  <w:p>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pPr>
                          <w:r>
                            <w:fldChar w:fldCharType="begin"/>
                          </w:r>
                          <w:r>
                            <w:instrText xml:space="preserve"> PAGE  \* MERGEFORMAT </w:instrText>
                          </w:r>
                          <w:r>
                            <w:fldChar w:fldCharType="separate"/>
                          </w:r>
                          <w:r>
                            <w:t>1</w:t>
                          </w:r>
                          <w:r>
                            <w:fldChar w:fldCharType="end"/>
                          </w:r>
                        </w:p>
                      </w:txbxContent>
                    </wps:txbx>
                    <wps:bodyPr vert="horz" wrap="none" lIns="0" tIns="0" rIns="0" bIns="0" anchor="t" anchorCtr="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M6pebnPAAAABQEAAA8AAAAAAAAAAQAgAAAAIgAA&#10;AGRycy9kb3ducmV2LnhtbFBLAQIUABQAAAAIAIdO4kBTgU2q2AEAALQDAAAOAAAAAAAAAAEAIAAA&#10;AB4BAABkcnMvZTJvRG9jLnhtbFBLBQYAAAAABgAGAFkBAABoBQAAAAA=&#10;">
              <v:fill on="f" focussize="0,0"/>
              <v:stroke on="f"/>
              <v:imagedata o:title=""/>
              <o:lock v:ext="edit" aspectratio="f"/>
              <v:textbox inset="0mm,0mm,0mm,0mm" style="mso-fit-shape-to-text:t;">
                <w:txbxContent>
                  <w:p>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pPr>
                          <w:r>
                            <w:fldChar w:fldCharType="begin"/>
                          </w:r>
                          <w:r>
                            <w:instrText xml:space="preserve"> PAGE  \* MERGEFORMAT </w:instrText>
                          </w:r>
                          <w:r>
                            <w:fldChar w:fldCharType="separate"/>
                          </w:r>
                          <w:r>
                            <w:t>2</w:t>
                          </w:r>
                          <w:r>
                            <w:fldChar w:fldCharType="end"/>
                          </w:r>
                        </w:p>
                      </w:txbxContent>
                    </wps:txbx>
                    <wps:bodyPr vert="horz" wrap="none" lIns="0" tIns="0" rIns="0" bIns="0" anchor="t" anchorCtr="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zql5uc8AAAAFAQAADwAAAAAAAAABACAAAAAiAAAA&#10;ZHJzL2Rvd25yZXYueG1sUEsBAhQAFAAAAAgAh07iQB0my1bXAQAAtAMAAA4AAAAAAAAAAQAgAAAA&#10;HgEAAGRycy9lMm9Eb2MueG1sUEsFBgAAAAAGAAYAWQEAAGcFAAAAAA==&#10;">
              <v:fill on="f" focussize="0,0"/>
              <v:stroke on="f"/>
              <v:imagedata o:title=""/>
              <o:lock v:ext="edit" aspectratio="f"/>
              <v:textbox inset="0mm,0mm,0mm,0mm" style="mso-fit-shape-to-text:t;">
                <w:txbxContent>
                  <w:p>
                    <w:pPr>
                      <w:pStyle w:val="1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pPr>
                          <w:r>
                            <w:fldChar w:fldCharType="begin"/>
                          </w:r>
                          <w:r>
                            <w:instrText xml:space="preserve"> PAGE  \* MERGEFORMAT </w:instrText>
                          </w:r>
                          <w:r>
                            <w:fldChar w:fldCharType="separate"/>
                          </w:r>
                          <w:r>
                            <w:t>1</w:t>
                          </w:r>
                          <w:r>
                            <w:fldChar w:fldCharType="end"/>
                          </w:r>
                        </w:p>
                      </w:txbxContent>
                    </wps:txbx>
                    <wps:bodyPr vert="horz" wrap="none" lIns="0" tIns="0" rIns="0" bIns="0" anchor="t" anchorCtr="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M6pebnPAAAABQEAAA8AAAAAAAAAAQAgAAAAIgAA&#10;AGRycy9kb3ducmV2LnhtbFBLAQIUABQAAAAIAIdO4kC6phYo2AEAALQDAAAOAAAAAAAAAAEAIAAA&#10;AB4BAABkcnMvZTJvRG9jLnhtbFBLBQYAAAAABgAGAFkBAABoBQAAAAA=&#10;">
              <v:fill on="f" focussize="0,0"/>
              <v:stroke on="f"/>
              <v:imagedata o:title=""/>
              <o:lock v:ext="edit" aspectratio="f"/>
              <v:textbox inset="0mm,0mm,0mm,0mm" style="mso-fit-shape-to-text:t;">
                <w:txbxContent>
                  <w:p>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pPr>
                          <w:r>
                            <w:fldChar w:fldCharType="begin"/>
                          </w:r>
                          <w:r>
                            <w:instrText xml:space="preserve"> PAGE  \* MERGEFORMAT </w:instrText>
                          </w:r>
                          <w:r>
                            <w:fldChar w:fldCharType="separate"/>
                          </w:r>
                          <w:r>
                            <w:t>2</w:t>
                          </w:r>
                          <w:r>
                            <w:fldChar w:fldCharType="end"/>
                          </w:r>
                        </w:p>
                      </w:txbxContent>
                    </wps:txbx>
                    <wps:bodyPr vert="horz" wrap="none" lIns="0" tIns="0" rIns="0" bIns="0" anchor="t" anchorCtr="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OqXm5zwAAAAUBAAAPAAAAAAAAAAEAIAAAACIA&#10;AABkcnMvZG93bnJldi54bWxQSwECFAAUAAAACACHTuJAX/3naNkBAAC0AwAADgAAAAAAAAABACAA&#10;AAAeAQAAZHJzL2Uyb0RvYy54bWxQSwUGAAAAAAYABgBZAQAAaQUAAAAA&#10;">
              <v:fill on="f" focussize="0,0"/>
              <v:stroke on="f"/>
              <v:imagedata o:title=""/>
              <o:lock v:ext="edit" aspectratio="f"/>
              <v:textbox inset="0mm,0mm,0mm,0mm" style="mso-fit-shape-to-text:t;">
                <w:txbxContent>
                  <w:p>
                    <w:pPr>
                      <w:pStyle w:val="1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pPr>
                          <w:r>
                            <w:fldChar w:fldCharType="begin"/>
                          </w:r>
                          <w:r>
                            <w:instrText xml:space="preserve"> PAGE  \* MERGEFORMAT </w:instrText>
                          </w:r>
                          <w:r>
                            <w:fldChar w:fldCharType="separate"/>
                          </w:r>
                          <w:r>
                            <w:t>31</w:t>
                          </w:r>
                          <w:r>
                            <w:fldChar w:fldCharType="end"/>
                          </w:r>
                        </w:p>
                      </w:txbxContent>
                    </wps:txbx>
                    <wps:bodyPr vert="horz" wrap="none" lIns="0" tIns="0" rIns="0" bIns="0" anchor="t" anchorCtr="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OqXm5zwAAAAUBAAAPAAAAAAAAAAEAIAAAACIA&#10;AABkcnMvZG93bnJldi54bWxQSwECFAAUAAAACACHTuJA9Ket1dkBAAC0AwAADgAAAAAAAAABACAA&#10;AAAeAQAAZHJzL2Uyb0RvYy54bWxQSwUGAAAAAAYABgBZAQAAaQUAAAAA&#10;">
              <v:fill on="f" focussize="0,0"/>
              <v:stroke on="f"/>
              <v:imagedata o:title=""/>
              <o:lock v:ext="edit" aspectratio="f"/>
              <v:textbox inset="0mm,0mm,0mm,0mm" style="mso-fit-shape-to-text:t;">
                <w:txbxContent>
                  <w:p>
                    <w:pPr>
                      <w:pStyle w:val="16"/>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pPr>
                          <w:r>
                            <w:fldChar w:fldCharType="begin"/>
                          </w:r>
                          <w:r>
                            <w:instrText xml:space="preserve"> PAGE  \* MERGEFORMAT </w:instrText>
                          </w:r>
                          <w:r>
                            <w:fldChar w:fldCharType="separate"/>
                          </w:r>
                          <w:r>
                            <w:t>39</w:t>
                          </w:r>
                          <w:r>
                            <w:fldChar w:fldCharType="end"/>
                          </w:r>
                        </w:p>
                      </w:txbxContent>
                    </wps:txbx>
                    <wps:bodyPr vert="horz" wrap="none" lIns="0" tIns="0" rIns="0" bIns="0" anchor="t" anchorCtr="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OqXm5zwAAAAUBAAAPAAAAAAAAAAEAIAAAACIA&#10;AABkcnMvZG93bnJldi54bWxQSwECFAAUAAAACACHTuJAmZCSKtkBAAC0AwAADgAAAAAAAAABACAA&#10;AAAeAQAAZHJzL2Uyb0RvYy54bWxQSwUGAAAAAAYABgBZAQAAaQUAAAAA&#10;">
              <v:fill on="f" focussize="0,0"/>
              <v:stroke on="f"/>
              <v:imagedata o:title=""/>
              <o:lock v:ext="edit" aspectratio="f"/>
              <v:textbox inset="0mm,0mm,0mm,0mm" style="mso-fit-shape-to-text:t;">
                <w:txbxContent>
                  <w:p>
                    <w:pPr>
                      <w:pStyle w:val="16"/>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left" w:pos="1190"/>
      </w:tabs>
      <w:jc w:val="both"/>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left" w:pos="1190"/>
      </w:tabs>
      <w:jc w:val="both"/>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EADDD9"/>
    <w:multiLevelType w:val="singleLevel"/>
    <w:tmpl w:val="95EADDD9"/>
    <w:lvl w:ilvl="0" w:tentative="0">
      <w:start w:val="5"/>
      <w:numFmt w:val="decimal"/>
      <w:suff w:val="space"/>
      <w:lvlText w:val="%1."/>
      <w:lvlJc w:val="left"/>
    </w:lvl>
  </w:abstractNum>
  <w:abstractNum w:abstractNumId="1">
    <w:nsid w:val="96FEAC2A"/>
    <w:multiLevelType w:val="singleLevel"/>
    <w:tmpl w:val="96FEAC2A"/>
    <w:lvl w:ilvl="0" w:tentative="0">
      <w:start w:val="1"/>
      <w:numFmt w:val="chineseCounting"/>
      <w:suff w:val="nothing"/>
      <w:lvlText w:val="%1、"/>
      <w:lvlJc w:val="left"/>
      <w:pPr>
        <w:ind w:left="-140"/>
      </w:pPr>
      <w:rPr>
        <w:rFonts w:hint="eastAsia"/>
      </w:rPr>
    </w:lvl>
  </w:abstractNum>
  <w:abstractNum w:abstractNumId="2">
    <w:nsid w:val="A8180E79"/>
    <w:multiLevelType w:val="singleLevel"/>
    <w:tmpl w:val="A8180E79"/>
    <w:lvl w:ilvl="0" w:tentative="0">
      <w:start w:val="3"/>
      <w:numFmt w:val="decimal"/>
      <w:lvlText w:val="%1."/>
      <w:lvlJc w:val="left"/>
      <w:pPr>
        <w:tabs>
          <w:tab w:val="left" w:pos="312"/>
        </w:tabs>
      </w:pPr>
    </w:lvl>
  </w:abstractNum>
  <w:abstractNum w:abstractNumId="3">
    <w:nsid w:val="DD24C3E0"/>
    <w:multiLevelType w:val="singleLevel"/>
    <w:tmpl w:val="DD24C3E0"/>
    <w:lvl w:ilvl="0" w:tentative="0">
      <w:start w:val="2"/>
      <w:numFmt w:val="decimal"/>
      <w:suff w:val="nothing"/>
      <w:lvlText w:val="%1、"/>
      <w:lvlJc w:val="left"/>
      <w:pPr>
        <w:ind w:left="420" w:firstLine="0"/>
      </w:pPr>
    </w:lvl>
  </w:abstractNum>
  <w:abstractNum w:abstractNumId="4">
    <w:nsid w:val="1517B247"/>
    <w:multiLevelType w:val="singleLevel"/>
    <w:tmpl w:val="1517B247"/>
    <w:lvl w:ilvl="0" w:tentative="0">
      <w:start w:val="3"/>
      <w:numFmt w:val="decimal"/>
      <w:lvlText w:val="%1."/>
      <w:lvlJc w:val="left"/>
      <w:pPr>
        <w:tabs>
          <w:tab w:val="left" w:pos="312"/>
        </w:tabs>
      </w:pPr>
    </w:lvl>
  </w:abstractNum>
  <w:abstractNum w:abstractNumId="5">
    <w:nsid w:val="207D6FBD"/>
    <w:multiLevelType w:val="singleLevel"/>
    <w:tmpl w:val="207D6FBD"/>
    <w:lvl w:ilvl="0" w:tentative="0">
      <w:start w:val="2"/>
      <w:numFmt w:val="decimal"/>
      <w:suff w:val="nothing"/>
      <w:lvlText w:val="%1、"/>
      <w:lvlJc w:val="left"/>
    </w:lvl>
  </w:abstractNum>
  <w:abstractNum w:abstractNumId="6">
    <w:nsid w:val="2145FAB0"/>
    <w:multiLevelType w:val="singleLevel"/>
    <w:tmpl w:val="2145FAB0"/>
    <w:lvl w:ilvl="0" w:tentative="0">
      <w:start w:val="1"/>
      <w:numFmt w:val="decimal"/>
      <w:lvlText w:val="%1."/>
      <w:lvlJc w:val="left"/>
      <w:pPr>
        <w:tabs>
          <w:tab w:val="left" w:pos="312"/>
        </w:tabs>
      </w:pPr>
    </w:lvl>
  </w:abstractNum>
  <w:abstractNum w:abstractNumId="7">
    <w:nsid w:val="597C3AB9"/>
    <w:multiLevelType w:val="multilevel"/>
    <w:tmpl w:val="597C3AB9"/>
    <w:lvl w:ilvl="0" w:tentative="0">
      <w:start w:val="1"/>
      <w:numFmt w:val="japaneseCounting"/>
      <w:lvlText w:val="（%1）"/>
      <w:lvlJc w:val="left"/>
      <w:pPr>
        <w:ind w:left="1247" w:hanging="765"/>
      </w:pPr>
      <w:rPr>
        <w:rFonts w:hint="default"/>
      </w:rPr>
    </w:lvl>
    <w:lvl w:ilvl="1" w:tentative="0">
      <w:start w:val="1"/>
      <w:numFmt w:val="decimal"/>
      <w:lvlText w:val="%2、"/>
      <w:lvlJc w:val="left"/>
      <w:pPr>
        <w:ind w:left="1262" w:hanging="360"/>
      </w:pPr>
      <w:rPr>
        <w:rFonts w:hint="default"/>
      </w:r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8">
    <w:nsid w:val="59C07086"/>
    <w:multiLevelType w:val="singleLevel"/>
    <w:tmpl w:val="59C07086"/>
    <w:lvl w:ilvl="0" w:tentative="0">
      <w:start w:val="1"/>
      <w:numFmt w:val="decimal"/>
      <w:suff w:val="nothing"/>
      <w:lvlText w:val="%1、"/>
      <w:lvlJc w:val="left"/>
    </w:lvl>
  </w:abstractNum>
  <w:abstractNum w:abstractNumId="9">
    <w:nsid w:val="7E9F563D"/>
    <w:multiLevelType w:val="singleLevel"/>
    <w:tmpl w:val="7E9F563D"/>
    <w:lvl w:ilvl="0" w:tentative="0">
      <w:start w:val="1"/>
      <w:numFmt w:val="chineseCounting"/>
      <w:suff w:val="nothing"/>
      <w:lvlText w:val="（%1）"/>
      <w:lvlJc w:val="left"/>
      <w:rPr>
        <w:rFonts w:hint="eastAsia"/>
      </w:rPr>
    </w:lvl>
  </w:abstractNum>
  <w:num w:numId="1">
    <w:abstractNumId w:val="3"/>
  </w:num>
  <w:num w:numId="2">
    <w:abstractNumId w:val="7"/>
  </w:num>
  <w:num w:numId="3">
    <w:abstractNumId w:val="8"/>
  </w:num>
  <w:num w:numId="4">
    <w:abstractNumId w:val="1"/>
  </w:num>
  <w:num w:numId="5">
    <w:abstractNumId w:val="5"/>
  </w:num>
  <w:num w:numId="6">
    <w:abstractNumId w:val="9"/>
  </w:num>
  <w:num w:numId="7">
    <w:abstractNumId w:val="2"/>
  </w:num>
  <w:num w:numId="8">
    <w:abstractNumId w:val="6"/>
  </w:num>
  <w:num w:numId="9">
    <w:abstractNumId w:val="0"/>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evenAndOddHeaders w:val="1"/>
  <w:drawingGridHorizontalSpacing w:val="105"/>
  <w:drawingGridVerticalSpacing w:val="319"/>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1F1A"/>
    <w:rsid w:val="0001226E"/>
    <w:rsid w:val="00017150"/>
    <w:rsid w:val="00022E18"/>
    <w:rsid w:val="00026152"/>
    <w:rsid w:val="00027DC9"/>
    <w:rsid w:val="00031B04"/>
    <w:rsid w:val="00034908"/>
    <w:rsid w:val="00036751"/>
    <w:rsid w:val="00036EEF"/>
    <w:rsid w:val="00060755"/>
    <w:rsid w:val="00060BF7"/>
    <w:rsid w:val="00062AA7"/>
    <w:rsid w:val="00063B2E"/>
    <w:rsid w:val="000705EB"/>
    <w:rsid w:val="00072E9C"/>
    <w:rsid w:val="00075C5E"/>
    <w:rsid w:val="000760E2"/>
    <w:rsid w:val="0008757B"/>
    <w:rsid w:val="00090339"/>
    <w:rsid w:val="00090B42"/>
    <w:rsid w:val="000912B1"/>
    <w:rsid w:val="00091401"/>
    <w:rsid w:val="00091BAB"/>
    <w:rsid w:val="00093327"/>
    <w:rsid w:val="00095107"/>
    <w:rsid w:val="000965E1"/>
    <w:rsid w:val="0009730F"/>
    <w:rsid w:val="000A133D"/>
    <w:rsid w:val="000A1509"/>
    <w:rsid w:val="000A246A"/>
    <w:rsid w:val="000A2840"/>
    <w:rsid w:val="000A2A8E"/>
    <w:rsid w:val="000A3DA2"/>
    <w:rsid w:val="000A5AC1"/>
    <w:rsid w:val="000A5BA7"/>
    <w:rsid w:val="000A6D45"/>
    <w:rsid w:val="000A70F2"/>
    <w:rsid w:val="000B36E8"/>
    <w:rsid w:val="000B4220"/>
    <w:rsid w:val="000C297C"/>
    <w:rsid w:val="000C5ABD"/>
    <w:rsid w:val="000C6926"/>
    <w:rsid w:val="000C6FE5"/>
    <w:rsid w:val="000D22E0"/>
    <w:rsid w:val="000D2B0E"/>
    <w:rsid w:val="000D717B"/>
    <w:rsid w:val="000E06D5"/>
    <w:rsid w:val="000E3414"/>
    <w:rsid w:val="000E7C1D"/>
    <w:rsid w:val="000F1224"/>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518C"/>
    <w:rsid w:val="001567DA"/>
    <w:rsid w:val="001635E5"/>
    <w:rsid w:val="0016546D"/>
    <w:rsid w:val="00167382"/>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62ACE"/>
    <w:rsid w:val="002631F3"/>
    <w:rsid w:val="002636ED"/>
    <w:rsid w:val="002648FE"/>
    <w:rsid w:val="00266675"/>
    <w:rsid w:val="002703ED"/>
    <w:rsid w:val="002703F8"/>
    <w:rsid w:val="0027052E"/>
    <w:rsid w:val="00275EC7"/>
    <w:rsid w:val="00280CAF"/>
    <w:rsid w:val="00280DAB"/>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D7FE3"/>
    <w:rsid w:val="002E328B"/>
    <w:rsid w:val="002E4062"/>
    <w:rsid w:val="002E649C"/>
    <w:rsid w:val="00301A28"/>
    <w:rsid w:val="003028D5"/>
    <w:rsid w:val="0030347A"/>
    <w:rsid w:val="003070DB"/>
    <w:rsid w:val="003073D8"/>
    <w:rsid w:val="00307829"/>
    <w:rsid w:val="00313703"/>
    <w:rsid w:val="00314A71"/>
    <w:rsid w:val="00316EB4"/>
    <w:rsid w:val="0031776A"/>
    <w:rsid w:val="00321D0B"/>
    <w:rsid w:val="003226A5"/>
    <w:rsid w:val="0032327E"/>
    <w:rsid w:val="00327EB8"/>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6F6E"/>
    <w:rsid w:val="00397CB0"/>
    <w:rsid w:val="003A079A"/>
    <w:rsid w:val="003A2604"/>
    <w:rsid w:val="003A30C2"/>
    <w:rsid w:val="003A32A6"/>
    <w:rsid w:val="003A3336"/>
    <w:rsid w:val="003A6A7E"/>
    <w:rsid w:val="003B11F4"/>
    <w:rsid w:val="003C1555"/>
    <w:rsid w:val="003C6641"/>
    <w:rsid w:val="003C6FC6"/>
    <w:rsid w:val="003D09DE"/>
    <w:rsid w:val="003D2186"/>
    <w:rsid w:val="003D3C37"/>
    <w:rsid w:val="003E03F4"/>
    <w:rsid w:val="003E0BB3"/>
    <w:rsid w:val="003E15DF"/>
    <w:rsid w:val="003E1ABC"/>
    <w:rsid w:val="003E7152"/>
    <w:rsid w:val="003F07BA"/>
    <w:rsid w:val="00414E18"/>
    <w:rsid w:val="00415F60"/>
    <w:rsid w:val="00416ED9"/>
    <w:rsid w:val="00417433"/>
    <w:rsid w:val="00421827"/>
    <w:rsid w:val="00431D6C"/>
    <w:rsid w:val="00434342"/>
    <w:rsid w:val="00437902"/>
    <w:rsid w:val="00441D18"/>
    <w:rsid w:val="00445E84"/>
    <w:rsid w:val="004476A3"/>
    <w:rsid w:val="00447BA7"/>
    <w:rsid w:val="00450051"/>
    <w:rsid w:val="0045177D"/>
    <w:rsid w:val="004557B0"/>
    <w:rsid w:val="00460537"/>
    <w:rsid w:val="00462067"/>
    <w:rsid w:val="0047571F"/>
    <w:rsid w:val="00482AB7"/>
    <w:rsid w:val="004836E9"/>
    <w:rsid w:val="00493260"/>
    <w:rsid w:val="00493894"/>
    <w:rsid w:val="00494396"/>
    <w:rsid w:val="004A0508"/>
    <w:rsid w:val="004A30DB"/>
    <w:rsid w:val="004A451C"/>
    <w:rsid w:val="004A69C4"/>
    <w:rsid w:val="004B0037"/>
    <w:rsid w:val="004B30A1"/>
    <w:rsid w:val="004B4A5A"/>
    <w:rsid w:val="004C42FC"/>
    <w:rsid w:val="004D1262"/>
    <w:rsid w:val="004D1906"/>
    <w:rsid w:val="004D288D"/>
    <w:rsid w:val="004D3115"/>
    <w:rsid w:val="004D491F"/>
    <w:rsid w:val="004E26F0"/>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5EAA"/>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40A83"/>
    <w:rsid w:val="00650AD0"/>
    <w:rsid w:val="00653EF4"/>
    <w:rsid w:val="0066396F"/>
    <w:rsid w:val="00665C6C"/>
    <w:rsid w:val="006728A0"/>
    <w:rsid w:val="00672C40"/>
    <w:rsid w:val="0067684F"/>
    <w:rsid w:val="00680D58"/>
    <w:rsid w:val="0068412C"/>
    <w:rsid w:val="00685341"/>
    <w:rsid w:val="006853DD"/>
    <w:rsid w:val="0068627F"/>
    <w:rsid w:val="00690CCA"/>
    <w:rsid w:val="006940AD"/>
    <w:rsid w:val="00696FA3"/>
    <w:rsid w:val="00697C2D"/>
    <w:rsid w:val="006A0A85"/>
    <w:rsid w:val="006A4F7D"/>
    <w:rsid w:val="006A5099"/>
    <w:rsid w:val="006B1BDD"/>
    <w:rsid w:val="006B4813"/>
    <w:rsid w:val="006B7484"/>
    <w:rsid w:val="006C166E"/>
    <w:rsid w:val="006C34CB"/>
    <w:rsid w:val="006C5A79"/>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3"/>
    <w:rsid w:val="0070720E"/>
    <w:rsid w:val="00707412"/>
    <w:rsid w:val="00714713"/>
    <w:rsid w:val="007171DF"/>
    <w:rsid w:val="0071749F"/>
    <w:rsid w:val="00721BDE"/>
    <w:rsid w:val="00727510"/>
    <w:rsid w:val="00730D81"/>
    <w:rsid w:val="00731235"/>
    <w:rsid w:val="00732B25"/>
    <w:rsid w:val="007343BC"/>
    <w:rsid w:val="00737C32"/>
    <w:rsid w:val="0075240E"/>
    <w:rsid w:val="00755181"/>
    <w:rsid w:val="00760C67"/>
    <w:rsid w:val="007716C1"/>
    <w:rsid w:val="00771E82"/>
    <w:rsid w:val="00774AB9"/>
    <w:rsid w:val="00775E7A"/>
    <w:rsid w:val="00776BF1"/>
    <w:rsid w:val="0078341B"/>
    <w:rsid w:val="00787A69"/>
    <w:rsid w:val="007935F3"/>
    <w:rsid w:val="00795545"/>
    <w:rsid w:val="0079593C"/>
    <w:rsid w:val="007A18B5"/>
    <w:rsid w:val="007A5D3E"/>
    <w:rsid w:val="007A683D"/>
    <w:rsid w:val="007A6B50"/>
    <w:rsid w:val="007A6B90"/>
    <w:rsid w:val="007B008A"/>
    <w:rsid w:val="007B6747"/>
    <w:rsid w:val="007C4FFF"/>
    <w:rsid w:val="007C7FFE"/>
    <w:rsid w:val="007D0FB9"/>
    <w:rsid w:val="007D1567"/>
    <w:rsid w:val="007D56C9"/>
    <w:rsid w:val="007D7C0B"/>
    <w:rsid w:val="007E2E12"/>
    <w:rsid w:val="007E4426"/>
    <w:rsid w:val="007E61D1"/>
    <w:rsid w:val="007F08BE"/>
    <w:rsid w:val="007F2892"/>
    <w:rsid w:val="007F4A47"/>
    <w:rsid w:val="007F4B05"/>
    <w:rsid w:val="007F5172"/>
    <w:rsid w:val="007F79F3"/>
    <w:rsid w:val="00806D28"/>
    <w:rsid w:val="00807ADB"/>
    <w:rsid w:val="008120D6"/>
    <w:rsid w:val="008126F6"/>
    <w:rsid w:val="00813637"/>
    <w:rsid w:val="00814FCC"/>
    <w:rsid w:val="00817496"/>
    <w:rsid w:val="00817AAE"/>
    <w:rsid w:val="008206D8"/>
    <w:rsid w:val="008208AC"/>
    <w:rsid w:val="008231F3"/>
    <w:rsid w:val="0082432B"/>
    <w:rsid w:val="008244D1"/>
    <w:rsid w:val="00824A1E"/>
    <w:rsid w:val="00827C45"/>
    <w:rsid w:val="00827C4C"/>
    <w:rsid w:val="00827FA3"/>
    <w:rsid w:val="00830EB8"/>
    <w:rsid w:val="00834A2A"/>
    <w:rsid w:val="00835F45"/>
    <w:rsid w:val="00840853"/>
    <w:rsid w:val="0084215B"/>
    <w:rsid w:val="00842B97"/>
    <w:rsid w:val="00850BCA"/>
    <w:rsid w:val="00850CA7"/>
    <w:rsid w:val="00852BD7"/>
    <w:rsid w:val="00855FB8"/>
    <w:rsid w:val="00863B65"/>
    <w:rsid w:val="00863FD7"/>
    <w:rsid w:val="00864034"/>
    <w:rsid w:val="00864238"/>
    <w:rsid w:val="00876DBD"/>
    <w:rsid w:val="0088578D"/>
    <w:rsid w:val="00885B24"/>
    <w:rsid w:val="00887700"/>
    <w:rsid w:val="008915CC"/>
    <w:rsid w:val="0089237C"/>
    <w:rsid w:val="00893DAE"/>
    <w:rsid w:val="008A2AF9"/>
    <w:rsid w:val="008A3E70"/>
    <w:rsid w:val="008A6E57"/>
    <w:rsid w:val="008A7A76"/>
    <w:rsid w:val="008B1E46"/>
    <w:rsid w:val="008B5C9C"/>
    <w:rsid w:val="008D6A9F"/>
    <w:rsid w:val="008E02F9"/>
    <w:rsid w:val="008E349C"/>
    <w:rsid w:val="008E36B3"/>
    <w:rsid w:val="008E489D"/>
    <w:rsid w:val="008E4AB1"/>
    <w:rsid w:val="008E5771"/>
    <w:rsid w:val="008F1DDF"/>
    <w:rsid w:val="008F69DC"/>
    <w:rsid w:val="009035AC"/>
    <w:rsid w:val="009049F6"/>
    <w:rsid w:val="00904A04"/>
    <w:rsid w:val="009053CD"/>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057"/>
    <w:rsid w:val="00953456"/>
    <w:rsid w:val="00963921"/>
    <w:rsid w:val="00964C19"/>
    <w:rsid w:val="00965B2F"/>
    <w:rsid w:val="009662BC"/>
    <w:rsid w:val="009667DB"/>
    <w:rsid w:val="009676AA"/>
    <w:rsid w:val="00971F91"/>
    <w:rsid w:val="0097708B"/>
    <w:rsid w:val="00987BBF"/>
    <w:rsid w:val="00990D83"/>
    <w:rsid w:val="00992DFA"/>
    <w:rsid w:val="00993802"/>
    <w:rsid w:val="0099546F"/>
    <w:rsid w:val="00996F31"/>
    <w:rsid w:val="009970A0"/>
    <w:rsid w:val="0099721C"/>
    <w:rsid w:val="009979FD"/>
    <w:rsid w:val="009A0A72"/>
    <w:rsid w:val="009A0B08"/>
    <w:rsid w:val="009A38FC"/>
    <w:rsid w:val="009B1577"/>
    <w:rsid w:val="009B3CFC"/>
    <w:rsid w:val="009B3F19"/>
    <w:rsid w:val="009B62F2"/>
    <w:rsid w:val="009B6D5B"/>
    <w:rsid w:val="009B7BA3"/>
    <w:rsid w:val="009C23E6"/>
    <w:rsid w:val="009C613A"/>
    <w:rsid w:val="009C6271"/>
    <w:rsid w:val="009D2E56"/>
    <w:rsid w:val="009D2E58"/>
    <w:rsid w:val="009D5489"/>
    <w:rsid w:val="009D5C1C"/>
    <w:rsid w:val="009D60C2"/>
    <w:rsid w:val="009E31BE"/>
    <w:rsid w:val="009E51A7"/>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052C"/>
    <w:rsid w:val="00A95415"/>
    <w:rsid w:val="00A96D2E"/>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3A41"/>
    <w:rsid w:val="00AF5EB2"/>
    <w:rsid w:val="00B122D1"/>
    <w:rsid w:val="00B150CC"/>
    <w:rsid w:val="00B2007F"/>
    <w:rsid w:val="00B238C8"/>
    <w:rsid w:val="00B243DE"/>
    <w:rsid w:val="00B253EC"/>
    <w:rsid w:val="00B27E55"/>
    <w:rsid w:val="00B30B38"/>
    <w:rsid w:val="00B30D3C"/>
    <w:rsid w:val="00B41A93"/>
    <w:rsid w:val="00B4327E"/>
    <w:rsid w:val="00B50900"/>
    <w:rsid w:val="00B5278E"/>
    <w:rsid w:val="00B52A1D"/>
    <w:rsid w:val="00B54097"/>
    <w:rsid w:val="00B55F7E"/>
    <w:rsid w:val="00B55FA0"/>
    <w:rsid w:val="00B57B8A"/>
    <w:rsid w:val="00B62DA0"/>
    <w:rsid w:val="00B665A1"/>
    <w:rsid w:val="00B67AD7"/>
    <w:rsid w:val="00B76F0A"/>
    <w:rsid w:val="00B80536"/>
    <w:rsid w:val="00B8457B"/>
    <w:rsid w:val="00B849AD"/>
    <w:rsid w:val="00B858C3"/>
    <w:rsid w:val="00B87940"/>
    <w:rsid w:val="00B919BB"/>
    <w:rsid w:val="00B95CB7"/>
    <w:rsid w:val="00B95F58"/>
    <w:rsid w:val="00B97136"/>
    <w:rsid w:val="00B9715A"/>
    <w:rsid w:val="00BA157F"/>
    <w:rsid w:val="00BA2CF7"/>
    <w:rsid w:val="00BA3C31"/>
    <w:rsid w:val="00BA56EA"/>
    <w:rsid w:val="00BA5A1E"/>
    <w:rsid w:val="00BA6484"/>
    <w:rsid w:val="00BA6D4C"/>
    <w:rsid w:val="00BB3849"/>
    <w:rsid w:val="00BB5969"/>
    <w:rsid w:val="00BC1700"/>
    <w:rsid w:val="00BC3689"/>
    <w:rsid w:val="00BC5BF2"/>
    <w:rsid w:val="00BC5FFF"/>
    <w:rsid w:val="00BC613E"/>
    <w:rsid w:val="00BD577F"/>
    <w:rsid w:val="00BE71D3"/>
    <w:rsid w:val="00BF1C57"/>
    <w:rsid w:val="00BF4179"/>
    <w:rsid w:val="00BF596E"/>
    <w:rsid w:val="00C005C9"/>
    <w:rsid w:val="00C017FA"/>
    <w:rsid w:val="00C01ECC"/>
    <w:rsid w:val="00C027CC"/>
    <w:rsid w:val="00C049EB"/>
    <w:rsid w:val="00C06829"/>
    <w:rsid w:val="00C076EC"/>
    <w:rsid w:val="00C100AD"/>
    <w:rsid w:val="00C1015C"/>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482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47A5"/>
    <w:rsid w:val="00D551CA"/>
    <w:rsid w:val="00D614AD"/>
    <w:rsid w:val="00D659EC"/>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2D57"/>
    <w:rsid w:val="00DA47A3"/>
    <w:rsid w:val="00DA4A29"/>
    <w:rsid w:val="00DA4E3C"/>
    <w:rsid w:val="00DA51BA"/>
    <w:rsid w:val="00DA6C14"/>
    <w:rsid w:val="00DA71C9"/>
    <w:rsid w:val="00DC09C7"/>
    <w:rsid w:val="00DC103C"/>
    <w:rsid w:val="00DC1A76"/>
    <w:rsid w:val="00DD4C4F"/>
    <w:rsid w:val="00DD5BDA"/>
    <w:rsid w:val="00DD773B"/>
    <w:rsid w:val="00DE25B3"/>
    <w:rsid w:val="00DE3088"/>
    <w:rsid w:val="00DE3B1C"/>
    <w:rsid w:val="00DE40E4"/>
    <w:rsid w:val="00DE4192"/>
    <w:rsid w:val="00DE44FF"/>
    <w:rsid w:val="00DE4D28"/>
    <w:rsid w:val="00DF4A37"/>
    <w:rsid w:val="00DF7A65"/>
    <w:rsid w:val="00DF7C12"/>
    <w:rsid w:val="00E01326"/>
    <w:rsid w:val="00E01F8E"/>
    <w:rsid w:val="00E04587"/>
    <w:rsid w:val="00E04E6B"/>
    <w:rsid w:val="00E04FAA"/>
    <w:rsid w:val="00E12B31"/>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6D0E"/>
    <w:rsid w:val="00E67189"/>
    <w:rsid w:val="00E716D6"/>
    <w:rsid w:val="00E71735"/>
    <w:rsid w:val="00E75990"/>
    <w:rsid w:val="00E77958"/>
    <w:rsid w:val="00E81B9F"/>
    <w:rsid w:val="00E837A1"/>
    <w:rsid w:val="00E83889"/>
    <w:rsid w:val="00E83AF9"/>
    <w:rsid w:val="00E84353"/>
    <w:rsid w:val="00E8445E"/>
    <w:rsid w:val="00E8533C"/>
    <w:rsid w:val="00E85B11"/>
    <w:rsid w:val="00E860F3"/>
    <w:rsid w:val="00E863AF"/>
    <w:rsid w:val="00E864DF"/>
    <w:rsid w:val="00E868B6"/>
    <w:rsid w:val="00E86ED2"/>
    <w:rsid w:val="00E90175"/>
    <w:rsid w:val="00E902A4"/>
    <w:rsid w:val="00E902A6"/>
    <w:rsid w:val="00E91F3E"/>
    <w:rsid w:val="00EB2A1E"/>
    <w:rsid w:val="00EB54DE"/>
    <w:rsid w:val="00EB6418"/>
    <w:rsid w:val="00EB6A49"/>
    <w:rsid w:val="00EC166C"/>
    <w:rsid w:val="00EC4AC3"/>
    <w:rsid w:val="00ED2B68"/>
    <w:rsid w:val="00ED46D0"/>
    <w:rsid w:val="00ED4D98"/>
    <w:rsid w:val="00ED661A"/>
    <w:rsid w:val="00EE14A3"/>
    <w:rsid w:val="00EE491F"/>
    <w:rsid w:val="00EF577B"/>
    <w:rsid w:val="00F01D02"/>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1B39"/>
    <w:rsid w:val="00FD1BFE"/>
    <w:rsid w:val="00FD2977"/>
    <w:rsid w:val="00FD70DB"/>
    <w:rsid w:val="00FD787E"/>
    <w:rsid w:val="00FE0947"/>
    <w:rsid w:val="00FE3057"/>
    <w:rsid w:val="00FE31E8"/>
    <w:rsid w:val="00FE3559"/>
    <w:rsid w:val="00FE3F60"/>
    <w:rsid w:val="00FE45BA"/>
    <w:rsid w:val="00FE5A31"/>
    <w:rsid w:val="00FE6AA7"/>
    <w:rsid w:val="00FE6B0B"/>
    <w:rsid w:val="00FF1086"/>
    <w:rsid w:val="00FF1FF8"/>
    <w:rsid w:val="00FF658A"/>
    <w:rsid w:val="00FF7B67"/>
    <w:rsid w:val="0145005F"/>
    <w:rsid w:val="016B3CA6"/>
    <w:rsid w:val="0174387C"/>
    <w:rsid w:val="01CA2839"/>
    <w:rsid w:val="01CD7511"/>
    <w:rsid w:val="01E81535"/>
    <w:rsid w:val="0209767B"/>
    <w:rsid w:val="022E6D4C"/>
    <w:rsid w:val="02317836"/>
    <w:rsid w:val="02430B2B"/>
    <w:rsid w:val="02952BA4"/>
    <w:rsid w:val="02A57C90"/>
    <w:rsid w:val="02E836CB"/>
    <w:rsid w:val="03386882"/>
    <w:rsid w:val="03656CEF"/>
    <w:rsid w:val="039A32B3"/>
    <w:rsid w:val="03C93DE4"/>
    <w:rsid w:val="03CF276F"/>
    <w:rsid w:val="03FE7515"/>
    <w:rsid w:val="04104985"/>
    <w:rsid w:val="045042B3"/>
    <w:rsid w:val="04BF58EE"/>
    <w:rsid w:val="05052E25"/>
    <w:rsid w:val="05216C82"/>
    <w:rsid w:val="05787A77"/>
    <w:rsid w:val="05F00348"/>
    <w:rsid w:val="062126EF"/>
    <w:rsid w:val="064916BB"/>
    <w:rsid w:val="0662250D"/>
    <w:rsid w:val="069756C9"/>
    <w:rsid w:val="06EA41D2"/>
    <w:rsid w:val="06F82B78"/>
    <w:rsid w:val="072E42E3"/>
    <w:rsid w:val="079A4421"/>
    <w:rsid w:val="079A63E8"/>
    <w:rsid w:val="07D729CE"/>
    <w:rsid w:val="083C0751"/>
    <w:rsid w:val="08404482"/>
    <w:rsid w:val="0968446C"/>
    <w:rsid w:val="09880AD8"/>
    <w:rsid w:val="0A0E75A2"/>
    <w:rsid w:val="0AA5328F"/>
    <w:rsid w:val="0AB44682"/>
    <w:rsid w:val="0B134589"/>
    <w:rsid w:val="0B1602F9"/>
    <w:rsid w:val="0B490AED"/>
    <w:rsid w:val="0B7E48FD"/>
    <w:rsid w:val="0BFB0153"/>
    <w:rsid w:val="0CA00E3D"/>
    <w:rsid w:val="0CFC2EE8"/>
    <w:rsid w:val="0D1B78C2"/>
    <w:rsid w:val="0D417D41"/>
    <w:rsid w:val="0DB22A1A"/>
    <w:rsid w:val="0DED3B13"/>
    <w:rsid w:val="0DFA3729"/>
    <w:rsid w:val="0E2F068D"/>
    <w:rsid w:val="0E545AFA"/>
    <w:rsid w:val="0E836838"/>
    <w:rsid w:val="0EED4FA9"/>
    <w:rsid w:val="0F232DE6"/>
    <w:rsid w:val="0F3E4B7C"/>
    <w:rsid w:val="0F4628FA"/>
    <w:rsid w:val="0F594D76"/>
    <w:rsid w:val="0F5C0536"/>
    <w:rsid w:val="0F917391"/>
    <w:rsid w:val="0F963799"/>
    <w:rsid w:val="0F9B2B5E"/>
    <w:rsid w:val="0FB34829"/>
    <w:rsid w:val="0FC52CAA"/>
    <w:rsid w:val="0FD13773"/>
    <w:rsid w:val="0FF24AF1"/>
    <w:rsid w:val="10137AB8"/>
    <w:rsid w:val="104C4419"/>
    <w:rsid w:val="105B51DC"/>
    <w:rsid w:val="10B02E63"/>
    <w:rsid w:val="10C14D02"/>
    <w:rsid w:val="10E84E5E"/>
    <w:rsid w:val="11010B39"/>
    <w:rsid w:val="111C0A01"/>
    <w:rsid w:val="11C22947"/>
    <w:rsid w:val="11C96F3F"/>
    <w:rsid w:val="12281E2B"/>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B538EB"/>
    <w:rsid w:val="14B6592F"/>
    <w:rsid w:val="14C65997"/>
    <w:rsid w:val="14D56C28"/>
    <w:rsid w:val="14E666CE"/>
    <w:rsid w:val="151C338A"/>
    <w:rsid w:val="15517A22"/>
    <w:rsid w:val="1565002B"/>
    <w:rsid w:val="15E45DCF"/>
    <w:rsid w:val="164973BC"/>
    <w:rsid w:val="16A858F5"/>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136BF9"/>
    <w:rsid w:val="1A633496"/>
    <w:rsid w:val="1AA57B5F"/>
    <w:rsid w:val="1AE10A75"/>
    <w:rsid w:val="1AE3063E"/>
    <w:rsid w:val="1AEA621F"/>
    <w:rsid w:val="1AFC40BA"/>
    <w:rsid w:val="1B163D24"/>
    <w:rsid w:val="1B260840"/>
    <w:rsid w:val="1B801254"/>
    <w:rsid w:val="1B8E24F5"/>
    <w:rsid w:val="1BE761D2"/>
    <w:rsid w:val="1BEB18E3"/>
    <w:rsid w:val="1C2407D2"/>
    <w:rsid w:val="1C392717"/>
    <w:rsid w:val="1CAF2FD4"/>
    <w:rsid w:val="1D314742"/>
    <w:rsid w:val="1D454F0C"/>
    <w:rsid w:val="1DB04E18"/>
    <w:rsid w:val="1DB73C31"/>
    <w:rsid w:val="1DF0621A"/>
    <w:rsid w:val="1E5006DD"/>
    <w:rsid w:val="1E5413A2"/>
    <w:rsid w:val="1E626810"/>
    <w:rsid w:val="1E643F2A"/>
    <w:rsid w:val="1E7C1444"/>
    <w:rsid w:val="1ECC5A62"/>
    <w:rsid w:val="1EE44777"/>
    <w:rsid w:val="1F3A1F0D"/>
    <w:rsid w:val="1F3E4D1F"/>
    <w:rsid w:val="1F515A41"/>
    <w:rsid w:val="1FBF3253"/>
    <w:rsid w:val="1FD34538"/>
    <w:rsid w:val="1FDB4E92"/>
    <w:rsid w:val="208E2D86"/>
    <w:rsid w:val="20A41BDD"/>
    <w:rsid w:val="20BA55C2"/>
    <w:rsid w:val="20C12D6E"/>
    <w:rsid w:val="21354379"/>
    <w:rsid w:val="21432F64"/>
    <w:rsid w:val="21D218F6"/>
    <w:rsid w:val="21EE38EF"/>
    <w:rsid w:val="224A72AF"/>
    <w:rsid w:val="22547760"/>
    <w:rsid w:val="22651D06"/>
    <w:rsid w:val="22723839"/>
    <w:rsid w:val="229B44FB"/>
    <w:rsid w:val="230B6C59"/>
    <w:rsid w:val="231F4904"/>
    <w:rsid w:val="23660B9F"/>
    <w:rsid w:val="2382493C"/>
    <w:rsid w:val="23A77E92"/>
    <w:rsid w:val="23C823BC"/>
    <w:rsid w:val="23CA0328"/>
    <w:rsid w:val="24057464"/>
    <w:rsid w:val="24A42D4D"/>
    <w:rsid w:val="24BA0978"/>
    <w:rsid w:val="24D34D10"/>
    <w:rsid w:val="24EF3DC3"/>
    <w:rsid w:val="24F46692"/>
    <w:rsid w:val="25425BBA"/>
    <w:rsid w:val="25553120"/>
    <w:rsid w:val="259110C5"/>
    <w:rsid w:val="25D57113"/>
    <w:rsid w:val="266A61AB"/>
    <w:rsid w:val="26903F8A"/>
    <w:rsid w:val="26A0572C"/>
    <w:rsid w:val="26D60601"/>
    <w:rsid w:val="26DE282F"/>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80504"/>
    <w:rsid w:val="2A7E5273"/>
    <w:rsid w:val="2AD02892"/>
    <w:rsid w:val="2AED414D"/>
    <w:rsid w:val="2B021570"/>
    <w:rsid w:val="2B7A199A"/>
    <w:rsid w:val="2B812B85"/>
    <w:rsid w:val="2B8D0719"/>
    <w:rsid w:val="2BB97180"/>
    <w:rsid w:val="2BD61098"/>
    <w:rsid w:val="2BEB343A"/>
    <w:rsid w:val="2C002E72"/>
    <w:rsid w:val="2C5300D5"/>
    <w:rsid w:val="2C5610F4"/>
    <w:rsid w:val="2C7F5007"/>
    <w:rsid w:val="2D2864D4"/>
    <w:rsid w:val="2D345638"/>
    <w:rsid w:val="2D6405B3"/>
    <w:rsid w:val="2D6726D9"/>
    <w:rsid w:val="2D6E470F"/>
    <w:rsid w:val="2D833ABB"/>
    <w:rsid w:val="2DAA40C0"/>
    <w:rsid w:val="2DD32383"/>
    <w:rsid w:val="2DE50909"/>
    <w:rsid w:val="2E1A700D"/>
    <w:rsid w:val="2E381FF2"/>
    <w:rsid w:val="2E3C15E7"/>
    <w:rsid w:val="2E505794"/>
    <w:rsid w:val="2E596938"/>
    <w:rsid w:val="2E917FC7"/>
    <w:rsid w:val="2EA1106C"/>
    <w:rsid w:val="2EB1759E"/>
    <w:rsid w:val="2EE72320"/>
    <w:rsid w:val="2EE8455C"/>
    <w:rsid w:val="2F00259C"/>
    <w:rsid w:val="2F0B2A9D"/>
    <w:rsid w:val="2FA70C79"/>
    <w:rsid w:val="2FC414F3"/>
    <w:rsid w:val="2FCE30E5"/>
    <w:rsid w:val="2FE60929"/>
    <w:rsid w:val="2FF058D0"/>
    <w:rsid w:val="2FF77E50"/>
    <w:rsid w:val="301214B9"/>
    <w:rsid w:val="305E0A78"/>
    <w:rsid w:val="30D70117"/>
    <w:rsid w:val="30E42F09"/>
    <w:rsid w:val="30FE7BF2"/>
    <w:rsid w:val="31274B61"/>
    <w:rsid w:val="314B29C9"/>
    <w:rsid w:val="317B3664"/>
    <w:rsid w:val="31922776"/>
    <w:rsid w:val="31B441AF"/>
    <w:rsid w:val="3258682D"/>
    <w:rsid w:val="325A2ADE"/>
    <w:rsid w:val="32A658CE"/>
    <w:rsid w:val="32A81084"/>
    <w:rsid w:val="32B70B8F"/>
    <w:rsid w:val="32D70991"/>
    <w:rsid w:val="33417800"/>
    <w:rsid w:val="3357074F"/>
    <w:rsid w:val="335C29B5"/>
    <w:rsid w:val="33B2679E"/>
    <w:rsid w:val="33DC14FA"/>
    <w:rsid w:val="33ED7EE7"/>
    <w:rsid w:val="33F34B2E"/>
    <w:rsid w:val="343F66C6"/>
    <w:rsid w:val="347A21B9"/>
    <w:rsid w:val="34F34C56"/>
    <w:rsid w:val="35012000"/>
    <w:rsid w:val="35644AAE"/>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3D667F"/>
    <w:rsid w:val="3AD16F1E"/>
    <w:rsid w:val="3B192EFF"/>
    <w:rsid w:val="3B2C7DCD"/>
    <w:rsid w:val="3B5C49D7"/>
    <w:rsid w:val="3B761ED5"/>
    <w:rsid w:val="3B795C7F"/>
    <w:rsid w:val="3BC84390"/>
    <w:rsid w:val="3BCE25E6"/>
    <w:rsid w:val="3C1B106D"/>
    <w:rsid w:val="3C3367C9"/>
    <w:rsid w:val="3CC32A56"/>
    <w:rsid w:val="3CDF52D1"/>
    <w:rsid w:val="3CE364D7"/>
    <w:rsid w:val="3CEA2ACF"/>
    <w:rsid w:val="3CED4200"/>
    <w:rsid w:val="3D0C77C5"/>
    <w:rsid w:val="3D48523F"/>
    <w:rsid w:val="3D4E282B"/>
    <w:rsid w:val="3D5B0C1D"/>
    <w:rsid w:val="3D8B06B4"/>
    <w:rsid w:val="3DC46A40"/>
    <w:rsid w:val="3DF67B30"/>
    <w:rsid w:val="3E14141B"/>
    <w:rsid w:val="3ED62FE6"/>
    <w:rsid w:val="3ED91469"/>
    <w:rsid w:val="3F3618F0"/>
    <w:rsid w:val="3F4816DB"/>
    <w:rsid w:val="3FC14E74"/>
    <w:rsid w:val="3FEC6C87"/>
    <w:rsid w:val="401620BB"/>
    <w:rsid w:val="401A1045"/>
    <w:rsid w:val="40275E65"/>
    <w:rsid w:val="404A6865"/>
    <w:rsid w:val="40677188"/>
    <w:rsid w:val="40731D0B"/>
    <w:rsid w:val="40B14634"/>
    <w:rsid w:val="40B32F2E"/>
    <w:rsid w:val="40BD25B1"/>
    <w:rsid w:val="40DA79DE"/>
    <w:rsid w:val="41361388"/>
    <w:rsid w:val="41540A99"/>
    <w:rsid w:val="41BC1F10"/>
    <w:rsid w:val="41F434CA"/>
    <w:rsid w:val="41F444C0"/>
    <w:rsid w:val="424B3AFB"/>
    <w:rsid w:val="42986D10"/>
    <w:rsid w:val="42AF338E"/>
    <w:rsid w:val="42E250CC"/>
    <w:rsid w:val="42FF3D11"/>
    <w:rsid w:val="43765341"/>
    <w:rsid w:val="43C24945"/>
    <w:rsid w:val="43F320FC"/>
    <w:rsid w:val="440F0583"/>
    <w:rsid w:val="44622E0D"/>
    <w:rsid w:val="44CC0FAB"/>
    <w:rsid w:val="44DB15FD"/>
    <w:rsid w:val="44E501AE"/>
    <w:rsid w:val="45B86851"/>
    <w:rsid w:val="45E60474"/>
    <w:rsid w:val="46216FF3"/>
    <w:rsid w:val="463C7FC4"/>
    <w:rsid w:val="465167D1"/>
    <w:rsid w:val="46886E13"/>
    <w:rsid w:val="46AA7E60"/>
    <w:rsid w:val="46C1077C"/>
    <w:rsid w:val="46CE0949"/>
    <w:rsid w:val="46F52360"/>
    <w:rsid w:val="470D04CE"/>
    <w:rsid w:val="471929A9"/>
    <w:rsid w:val="476756F9"/>
    <w:rsid w:val="47756B56"/>
    <w:rsid w:val="47831604"/>
    <w:rsid w:val="478F3EA7"/>
    <w:rsid w:val="47AD3F78"/>
    <w:rsid w:val="48087D38"/>
    <w:rsid w:val="48150B8F"/>
    <w:rsid w:val="482B5C12"/>
    <w:rsid w:val="48453147"/>
    <w:rsid w:val="48B6115F"/>
    <w:rsid w:val="48CC4993"/>
    <w:rsid w:val="48CD6541"/>
    <w:rsid w:val="48ED37F6"/>
    <w:rsid w:val="492C3528"/>
    <w:rsid w:val="494279DC"/>
    <w:rsid w:val="49B4651F"/>
    <w:rsid w:val="49CB041E"/>
    <w:rsid w:val="49D066E0"/>
    <w:rsid w:val="49D639C4"/>
    <w:rsid w:val="49DF32E3"/>
    <w:rsid w:val="49E329B9"/>
    <w:rsid w:val="4A260DC8"/>
    <w:rsid w:val="4A2A1285"/>
    <w:rsid w:val="4A3B6D2E"/>
    <w:rsid w:val="4A9C1DE8"/>
    <w:rsid w:val="4AED1B3A"/>
    <w:rsid w:val="4B50590F"/>
    <w:rsid w:val="4B605245"/>
    <w:rsid w:val="4C716B09"/>
    <w:rsid w:val="4CAF06C4"/>
    <w:rsid w:val="4CE6400E"/>
    <w:rsid w:val="4CF906E8"/>
    <w:rsid w:val="4D5670A7"/>
    <w:rsid w:val="4D5D1F52"/>
    <w:rsid w:val="4DB36979"/>
    <w:rsid w:val="4DBC63C0"/>
    <w:rsid w:val="4DD74C49"/>
    <w:rsid w:val="4E540763"/>
    <w:rsid w:val="4E72442D"/>
    <w:rsid w:val="4EB0364A"/>
    <w:rsid w:val="4EDC47A0"/>
    <w:rsid w:val="4F5D7111"/>
    <w:rsid w:val="4F8E36B5"/>
    <w:rsid w:val="4FA45F82"/>
    <w:rsid w:val="4FC20AA7"/>
    <w:rsid w:val="4FCE56FA"/>
    <w:rsid w:val="4FE80B78"/>
    <w:rsid w:val="4FF026F6"/>
    <w:rsid w:val="50593034"/>
    <w:rsid w:val="505F1EFD"/>
    <w:rsid w:val="508041D1"/>
    <w:rsid w:val="509C7D4C"/>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402F1"/>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9B5288A"/>
    <w:rsid w:val="5A181E84"/>
    <w:rsid w:val="5A812E59"/>
    <w:rsid w:val="5A995DAB"/>
    <w:rsid w:val="5AA45E1A"/>
    <w:rsid w:val="5ABA7460"/>
    <w:rsid w:val="5AF779F8"/>
    <w:rsid w:val="5B886A9C"/>
    <w:rsid w:val="5B9C24F1"/>
    <w:rsid w:val="5B9E50D3"/>
    <w:rsid w:val="5BB46CAC"/>
    <w:rsid w:val="5BDF3F7B"/>
    <w:rsid w:val="5C105F94"/>
    <w:rsid w:val="5C251D7A"/>
    <w:rsid w:val="5CBF064C"/>
    <w:rsid w:val="5CFA1CEF"/>
    <w:rsid w:val="5D0662B0"/>
    <w:rsid w:val="5D2C49EA"/>
    <w:rsid w:val="5D2D045A"/>
    <w:rsid w:val="5DA633CC"/>
    <w:rsid w:val="5DAD7E0A"/>
    <w:rsid w:val="5DB6352F"/>
    <w:rsid w:val="5DB73653"/>
    <w:rsid w:val="5DE44F8E"/>
    <w:rsid w:val="5E1E0B33"/>
    <w:rsid w:val="5E2F576D"/>
    <w:rsid w:val="5E4274C8"/>
    <w:rsid w:val="5E5F712B"/>
    <w:rsid w:val="5E786BF8"/>
    <w:rsid w:val="5EC614B9"/>
    <w:rsid w:val="5EC82C37"/>
    <w:rsid w:val="5EF210D2"/>
    <w:rsid w:val="5F042BD4"/>
    <w:rsid w:val="5F230F76"/>
    <w:rsid w:val="5F2447E2"/>
    <w:rsid w:val="5FE62879"/>
    <w:rsid w:val="602A170A"/>
    <w:rsid w:val="60437933"/>
    <w:rsid w:val="605659A7"/>
    <w:rsid w:val="605A28BD"/>
    <w:rsid w:val="60AD2947"/>
    <w:rsid w:val="60D35A78"/>
    <w:rsid w:val="610B183C"/>
    <w:rsid w:val="61613AC5"/>
    <w:rsid w:val="618E296D"/>
    <w:rsid w:val="61BA1C41"/>
    <w:rsid w:val="61CF3F44"/>
    <w:rsid w:val="61D640C8"/>
    <w:rsid w:val="621D5FD0"/>
    <w:rsid w:val="625316A2"/>
    <w:rsid w:val="625351F3"/>
    <w:rsid w:val="62553A9B"/>
    <w:rsid w:val="628C7A34"/>
    <w:rsid w:val="62A954D2"/>
    <w:rsid w:val="62E504FD"/>
    <w:rsid w:val="62EB6DE9"/>
    <w:rsid w:val="638263B1"/>
    <w:rsid w:val="63D66D3A"/>
    <w:rsid w:val="63E32B36"/>
    <w:rsid w:val="6445786C"/>
    <w:rsid w:val="6508163D"/>
    <w:rsid w:val="651729DB"/>
    <w:rsid w:val="65364F13"/>
    <w:rsid w:val="657B7826"/>
    <w:rsid w:val="659C19FE"/>
    <w:rsid w:val="65AB1FBA"/>
    <w:rsid w:val="65BB2298"/>
    <w:rsid w:val="65C02314"/>
    <w:rsid w:val="65D277A0"/>
    <w:rsid w:val="65EB2044"/>
    <w:rsid w:val="65FA5B9B"/>
    <w:rsid w:val="66954AED"/>
    <w:rsid w:val="66DF0B3C"/>
    <w:rsid w:val="66F86B31"/>
    <w:rsid w:val="67432F8A"/>
    <w:rsid w:val="67557264"/>
    <w:rsid w:val="67AC14B0"/>
    <w:rsid w:val="68517281"/>
    <w:rsid w:val="68567627"/>
    <w:rsid w:val="687F4B3F"/>
    <w:rsid w:val="68A4670E"/>
    <w:rsid w:val="69247457"/>
    <w:rsid w:val="698A4060"/>
    <w:rsid w:val="69E14866"/>
    <w:rsid w:val="6A3B5037"/>
    <w:rsid w:val="6A5C1ECD"/>
    <w:rsid w:val="6A88062B"/>
    <w:rsid w:val="6AD53F92"/>
    <w:rsid w:val="6B3C14AB"/>
    <w:rsid w:val="6B7867DE"/>
    <w:rsid w:val="6BA90006"/>
    <w:rsid w:val="6BC35EC5"/>
    <w:rsid w:val="6BF65381"/>
    <w:rsid w:val="6C161E18"/>
    <w:rsid w:val="6CBB08C6"/>
    <w:rsid w:val="6D2A351D"/>
    <w:rsid w:val="6D2C5AA6"/>
    <w:rsid w:val="6D920D27"/>
    <w:rsid w:val="6E3431D3"/>
    <w:rsid w:val="6E7A6E44"/>
    <w:rsid w:val="6E815E20"/>
    <w:rsid w:val="6EB47699"/>
    <w:rsid w:val="6EC35D97"/>
    <w:rsid w:val="6F827E1F"/>
    <w:rsid w:val="6F9B680B"/>
    <w:rsid w:val="6FB43548"/>
    <w:rsid w:val="6FBE33DD"/>
    <w:rsid w:val="703C7DDC"/>
    <w:rsid w:val="70695629"/>
    <w:rsid w:val="709E4961"/>
    <w:rsid w:val="712C7C3B"/>
    <w:rsid w:val="7158152F"/>
    <w:rsid w:val="716F3270"/>
    <w:rsid w:val="7171054D"/>
    <w:rsid w:val="71C9438B"/>
    <w:rsid w:val="71E43391"/>
    <w:rsid w:val="71EB232F"/>
    <w:rsid w:val="71F22395"/>
    <w:rsid w:val="7236525C"/>
    <w:rsid w:val="729964CB"/>
    <w:rsid w:val="72C73C0B"/>
    <w:rsid w:val="72E03AF4"/>
    <w:rsid w:val="732F3A9D"/>
    <w:rsid w:val="73310943"/>
    <w:rsid w:val="736E713E"/>
    <w:rsid w:val="73821076"/>
    <w:rsid w:val="73AA2969"/>
    <w:rsid w:val="73B22405"/>
    <w:rsid w:val="73CF1F2D"/>
    <w:rsid w:val="73D030F9"/>
    <w:rsid w:val="73FC1BEE"/>
    <w:rsid w:val="74822716"/>
    <w:rsid w:val="74A77D79"/>
    <w:rsid w:val="74AA287E"/>
    <w:rsid w:val="74BB2C8C"/>
    <w:rsid w:val="74EE2280"/>
    <w:rsid w:val="750B67AC"/>
    <w:rsid w:val="750D3D28"/>
    <w:rsid w:val="756176A1"/>
    <w:rsid w:val="7578666F"/>
    <w:rsid w:val="75C5459B"/>
    <w:rsid w:val="765866EF"/>
    <w:rsid w:val="766429FA"/>
    <w:rsid w:val="76D227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8D7F93"/>
    <w:rsid w:val="7BA10F88"/>
    <w:rsid w:val="7BAE707C"/>
    <w:rsid w:val="7C0127E9"/>
    <w:rsid w:val="7C065B19"/>
    <w:rsid w:val="7C07569B"/>
    <w:rsid w:val="7C9C3EA8"/>
    <w:rsid w:val="7CA44252"/>
    <w:rsid w:val="7D786AA6"/>
    <w:rsid w:val="7D9D52BD"/>
    <w:rsid w:val="7DA40457"/>
    <w:rsid w:val="7DB479EE"/>
    <w:rsid w:val="7DCD6635"/>
    <w:rsid w:val="7DE96476"/>
    <w:rsid w:val="7E1B21E0"/>
    <w:rsid w:val="7E39625F"/>
    <w:rsid w:val="7E530D6C"/>
    <w:rsid w:val="7E9C1324"/>
    <w:rsid w:val="7EE36967"/>
    <w:rsid w:val="7F4108E0"/>
    <w:rsid w:val="7F9663C3"/>
    <w:rsid w:val="7FA345E5"/>
    <w:rsid w:val="7FAF2210"/>
    <w:rsid w:val="7FBE0F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qFormat="1"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160" w:line="259" w:lineRule="auto"/>
      <w:jc w:val="both"/>
    </w:pPr>
    <w:rPr>
      <w:rFonts w:ascii="Calibri" w:hAnsi="Calibri" w:eastAsia="宋体" w:cs="Times New Roman"/>
      <w:kern w:val="2"/>
      <w:sz w:val="21"/>
      <w:szCs w:val="24"/>
      <w:lang w:val="en-US" w:eastAsia="zh-CN" w:bidi="ar-SA"/>
    </w:rPr>
  </w:style>
  <w:style w:type="paragraph" w:styleId="3">
    <w:name w:val="heading 1"/>
    <w:basedOn w:val="1"/>
    <w:next w:val="1"/>
    <w:link w:val="35"/>
    <w:qFormat/>
    <w:uiPriority w:val="0"/>
    <w:pPr>
      <w:keepNext/>
      <w:keepLines/>
      <w:spacing w:before="340" w:after="330" w:line="578" w:lineRule="auto"/>
      <w:outlineLvl w:val="0"/>
    </w:pPr>
    <w:rPr>
      <w:b/>
      <w:bCs/>
      <w:kern w:val="44"/>
      <w:sz w:val="44"/>
      <w:szCs w:val="44"/>
    </w:rPr>
  </w:style>
  <w:style w:type="paragraph" w:styleId="4">
    <w:name w:val="heading 2"/>
    <w:basedOn w:val="1"/>
    <w:next w:val="1"/>
    <w:qFormat/>
    <w:uiPriority w:val="0"/>
    <w:pPr>
      <w:keepNext/>
      <w:keepLines/>
      <w:spacing w:before="260" w:after="260" w:line="415" w:lineRule="auto"/>
      <w:outlineLvl w:val="1"/>
    </w:pPr>
    <w:rPr>
      <w:rFonts w:ascii="Arial" w:hAnsi="Arial" w:eastAsia="黑体"/>
      <w:b/>
      <w:bCs/>
      <w:sz w:val="32"/>
      <w:szCs w:val="32"/>
    </w:rPr>
  </w:style>
  <w:style w:type="paragraph" w:styleId="5">
    <w:name w:val="heading 3"/>
    <w:basedOn w:val="1"/>
    <w:next w:val="1"/>
    <w:qFormat/>
    <w:uiPriority w:val="0"/>
    <w:pPr>
      <w:keepNext/>
      <w:keepLines/>
      <w:spacing w:before="260" w:after="260" w:line="415" w:lineRule="auto"/>
      <w:outlineLvl w:val="2"/>
    </w:pPr>
    <w:rPr>
      <w:b/>
      <w:bCs/>
      <w:sz w:val="32"/>
      <w:szCs w:val="32"/>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34"/>
    <w:unhideWhenUsed/>
    <w:qFormat/>
    <w:uiPriority w:val="0"/>
    <w:pPr>
      <w:spacing w:after="120"/>
    </w:pPr>
  </w:style>
  <w:style w:type="paragraph" w:styleId="6">
    <w:name w:val="toc 7"/>
    <w:basedOn w:val="1"/>
    <w:next w:val="1"/>
    <w:qFormat/>
    <w:uiPriority w:val="0"/>
    <w:pPr>
      <w:ind w:left="2520" w:leftChars="1200"/>
    </w:pPr>
  </w:style>
  <w:style w:type="paragraph" w:styleId="7">
    <w:name w:val="Normal Indent"/>
    <w:basedOn w:val="1"/>
    <w:qFormat/>
    <w:uiPriority w:val="0"/>
    <w:pPr>
      <w:ind w:firstLine="200" w:firstLineChars="200"/>
    </w:pPr>
  </w:style>
  <w:style w:type="paragraph" w:styleId="8">
    <w:name w:val="Document Map"/>
    <w:basedOn w:val="1"/>
    <w:link w:val="36"/>
    <w:qFormat/>
    <w:uiPriority w:val="0"/>
    <w:rPr>
      <w:rFonts w:ascii="宋体"/>
      <w:sz w:val="18"/>
      <w:szCs w:val="18"/>
    </w:rPr>
  </w:style>
  <w:style w:type="paragraph" w:styleId="9">
    <w:name w:val="annotation text"/>
    <w:basedOn w:val="1"/>
    <w:link w:val="37"/>
    <w:qFormat/>
    <w:uiPriority w:val="0"/>
    <w:pPr>
      <w:jc w:val="left"/>
    </w:pPr>
  </w:style>
  <w:style w:type="paragraph" w:styleId="10">
    <w:name w:val="Body Text Indent"/>
    <w:basedOn w:val="1"/>
    <w:qFormat/>
    <w:uiPriority w:val="0"/>
    <w:pPr>
      <w:ind w:firstLine="630"/>
    </w:pPr>
    <w:rPr>
      <w:sz w:val="32"/>
      <w:szCs w:val="20"/>
    </w:rPr>
  </w:style>
  <w:style w:type="paragraph" w:styleId="11">
    <w:name w:val="toc 5"/>
    <w:basedOn w:val="1"/>
    <w:next w:val="1"/>
    <w:qFormat/>
    <w:uiPriority w:val="0"/>
    <w:pPr>
      <w:ind w:left="1680" w:leftChars="800"/>
    </w:pPr>
  </w:style>
  <w:style w:type="paragraph" w:styleId="12">
    <w:name w:val="toc 3"/>
    <w:basedOn w:val="1"/>
    <w:next w:val="1"/>
    <w:qFormat/>
    <w:uiPriority w:val="0"/>
    <w:pPr>
      <w:ind w:left="840" w:leftChars="400"/>
    </w:pPr>
  </w:style>
  <w:style w:type="paragraph" w:styleId="13">
    <w:name w:val="toc 8"/>
    <w:basedOn w:val="1"/>
    <w:next w:val="1"/>
    <w:qFormat/>
    <w:uiPriority w:val="0"/>
    <w:pPr>
      <w:ind w:left="2940" w:leftChars="1400"/>
    </w:pPr>
  </w:style>
  <w:style w:type="paragraph" w:styleId="14">
    <w:name w:val="Date"/>
    <w:basedOn w:val="1"/>
    <w:next w:val="1"/>
    <w:link w:val="38"/>
    <w:qFormat/>
    <w:uiPriority w:val="0"/>
    <w:pPr>
      <w:ind w:left="100" w:leftChars="2500"/>
    </w:pPr>
  </w:style>
  <w:style w:type="paragraph" w:styleId="15">
    <w:name w:val="Balloon Text"/>
    <w:basedOn w:val="1"/>
    <w:link w:val="39"/>
    <w:qFormat/>
    <w:uiPriority w:val="0"/>
    <w:rPr>
      <w:sz w:val="18"/>
      <w:szCs w:val="18"/>
    </w:rPr>
  </w:style>
  <w:style w:type="paragraph" w:styleId="16">
    <w:name w:val="footer"/>
    <w:basedOn w:val="1"/>
    <w:link w:val="40"/>
    <w:qFormat/>
    <w:uiPriority w:val="99"/>
    <w:pPr>
      <w:tabs>
        <w:tab w:val="center" w:pos="4153"/>
        <w:tab w:val="right" w:pos="8306"/>
      </w:tabs>
      <w:snapToGrid w:val="0"/>
      <w:jc w:val="left"/>
    </w:pPr>
    <w:rPr>
      <w:sz w:val="18"/>
      <w:szCs w:val="20"/>
    </w:rPr>
  </w:style>
  <w:style w:type="paragraph" w:styleId="17">
    <w:name w:val="header"/>
    <w:basedOn w:val="1"/>
    <w:link w:val="41"/>
    <w:qFormat/>
    <w:uiPriority w:val="0"/>
    <w:pPr>
      <w:pBdr>
        <w:bottom w:val="single" w:color="auto" w:sz="6" w:space="1"/>
      </w:pBdr>
      <w:tabs>
        <w:tab w:val="center" w:pos="4153"/>
        <w:tab w:val="right" w:pos="8306"/>
      </w:tabs>
      <w:snapToGrid w:val="0"/>
      <w:jc w:val="center"/>
    </w:pPr>
    <w:rPr>
      <w:sz w:val="18"/>
      <w:szCs w:val="20"/>
    </w:rPr>
  </w:style>
  <w:style w:type="paragraph" w:styleId="18">
    <w:name w:val="toc 1"/>
    <w:basedOn w:val="1"/>
    <w:next w:val="1"/>
    <w:qFormat/>
    <w:uiPriority w:val="39"/>
  </w:style>
  <w:style w:type="paragraph" w:styleId="19">
    <w:name w:val="toc 4"/>
    <w:basedOn w:val="1"/>
    <w:next w:val="1"/>
    <w:qFormat/>
    <w:uiPriority w:val="0"/>
    <w:pPr>
      <w:ind w:left="1260" w:leftChars="600"/>
    </w:pPr>
  </w:style>
  <w:style w:type="paragraph" w:styleId="20">
    <w:name w:val="toc 6"/>
    <w:basedOn w:val="1"/>
    <w:next w:val="1"/>
    <w:qFormat/>
    <w:uiPriority w:val="0"/>
    <w:pPr>
      <w:ind w:left="2100" w:leftChars="1000"/>
    </w:pPr>
  </w:style>
  <w:style w:type="paragraph" w:styleId="21">
    <w:name w:val="toc 2"/>
    <w:basedOn w:val="1"/>
    <w:next w:val="1"/>
    <w:qFormat/>
    <w:uiPriority w:val="0"/>
    <w:pPr>
      <w:ind w:left="420" w:leftChars="200"/>
    </w:pPr>
  </w:style>
  <w:style w:type="paragraph" w:styleId="22">
    <w:name w:val="toc 9"/>
    <w:basedOn w:val="1"/>
    <w:next w:val="1"/>
    <w:qFormat/>
    <w:uiPriority w:val="0"/>
    <w:pPr>
      <w:ind w:left="3360" w:leftChars="1600"/>
    </w:pPr>
  </w:style>
  <w:style w:type="paragraph" w:styleId="23">
    <w:name w:val="Normal (Web)"/>
    <w:basedOn w:val="1"/>
    <w:qFormat/>
    <w:uiPriority w:val="0"/>
    <w:pPr>
      <w:widowControl/>
      <w:spacing w:before="100" w:beforeAutospacing="1" w:after="100" w:afterAutospacing="1"/>
      <w:jc w:val="left"/>
    </w:pPr>
    <w:rPr>
      <w:rFonts w:ascii="宋体"/>
      <w:kern w:val="0"/>
      <w:sz w:val="18"/>
      <w:szCs w:val="18"/>
    </w:rPr>
  </w:style>
  <w:style w:type="paragraph" w:styleId="24">
    <w:name w:val="annotation subject"/>
    <w:basedOn w:val="9"/>
    <w:next w:val="9"/>
    <w:link w:val="42"/>
    <w:qFormat/>
    <w:uiPriority w:val="0"/>
    <w:rPr>
      <w:b/>
      <w:bCs/>
    </w:rPr>
  </w:style>
  <w:style w:type="paragraph" w:styleId="25">
    <w:name w:val="Body Text First Indent 2"/>
    <w:basedOn w:val="10"/>
    <w:qFormat/>
    <w:uiPriority w:val="0"/>
    <w:pPr>
      <w:ind w:firstLine="420" w:firstLineChars="200"/>
    </w:pPr>
    <w:rPr>
      <w:rFonts w:ascii="Times New Roman" w:hAnsi="Times New Roman" w:eastAsia="宋?"/>
    </w:rPr>
  </w:style>
  <w:style w:type="table" w:styleId="27">
    <w:name w:val="Table Grid"/>
    <w:basedOn w:val="2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page number"/>
    <w:qFormat/>
    <w:uiPriority w:val="0"/>
  </w:style>
  <w:style w:type="character" w:styleId="30">
    <w:name w:val="FollowedHyperlink"/>
    <w:unhideWhenUsed/>
    <w:qFormat/>
    <w:uiPriority w:val="0"/>
    <w:rPr>
      <w:color w:val="954F72"/>
      <w:u w:val="single"/>
    </w:rPr>
  </w:style>
  <w:style w:type="character" w:styleId="31">
    <w:name w:val="Emphasis"/>
    <w:qFormat/>
    <w:uiPriority w:val="0"/>
    <w:rPr>
      <w:i/>
    </w:rPr>
  </w:style>
  <w:style w:type="character" w:styleId="32">
    <w:name w:val="Hyperlink"/>
    <w:unhideWhenUsed/>
    <w:qFormat/>
    <w:uiPriority w:val="99"/>
    <w:rPr>
      <w:color w:val="0563C1"/>
      <w:u w:val="single"/>
    </w:rPr>
  </w:style>
  <w:style w:type="character" w:styleId="33">
    <w:name w:val="annotation reference"/>
    <w:qFormat/>
    <w:uiPriority w:val="0"/>
    <w:rPr>
      <w:sz w:val="21"/>
      <w:szCs w:val="21"/>
    </w:rPr>
  </w:style>
  <w:style w:type="character" w:customStyle="1" w:styleId="34">
    <w:name w:val="正文文本 字符"/>
    <w:link w:val="2"/>
    <w:qFormat/>
    <w:uiPriority w:val="0"/>
    <w:rPr>
      <w:rFonts w:ascii="Calibri" w:hAnsi="Calibri"/>
      <w:kern w:val="2"/>
      <w:sz w:val="21"/>
      <w:szCs w:val="24"/>
    </w:rPr>
  </w:style>
  <w:style w:type="character" w:customStyle="1" w:styleId="35">
    <w:name w:val="标题 1 字符"/>
    <w:link w:val="3"/>
    <w:qFormat/>
    <w:uiPriority w:val="0"/>
    <w:rPr>
      <w:b/>
      <w:bCs/>
      <w:kern w:val="44"/>
      <w:sz w:val="44"/>
      <w:szCs w:val="44"/>
    </w:rPr>
  </w:style>
  <w:style w:type="character" w:customStyle="1" w:styleId="36">
    <w:name w:val="文档结构图 字符"/>
    <w:link w:val="8"/>
    <w:qFormat/>
    <w:uiPriority w:val="0"/>
    <w:rPr>
      <w:rFonts w:ascii="宋体"/>
      <w:kern w:val="2"/>
      <w:sz w:val="18"/>
      <w:szCs w:val="18"/>
    </w:rPr>
  </w:style>
  <w:style w:type="character" w:customStyle="1" w:styleId="37">
    <w:name w:val="批注文字 字符"/>
    <w:link w:val="9"/>
    <w:qFormat/>
    <w:uiPriority w:val="0"/>
    <w:rPr>
      <w:kern w:val="2"/>
      <w:sz w:val="21"/>
      <w:szCs w:val="24"/>
    </w:rPr>
  </w:style>
  <w:style w:type="character" w:customStyle="1" w:styleId="38">
    <w:name w:val="日期 字符"/>
    <w:link w:val="14"/>
    <w:qFormat/>
    <w:uiPriority w:val="0"/>
    <w:rPr>
      <w:rFonts w:ascii="Calibri" w:hAnsi="Calibri"/>
      <w:kern w:val="2"/>
      <w:sz w:val="21"/>
      <w:szCs w:val="24"/>
    </w:rPr>
  </w:style>
  <w:style w:type="character" w:customStyle="1" w:styleId="39">
    <w:name w:val="批注框文本 字符"/>
    <w:link w:val="15"/>
    <w:qFormat/>
    <w:uiPriority w:val="0"/>
    <w:rPr>
      <w:kern w:val="2"/>
      <w:sz w:val="18"/>
      <w:szCs w:val="18"/>
    </w:rPr>
  </w:style>
  <w:style w:type="character" w:customStyle="1" w:styleId="40">
    <w:name w:val="页脚 字符"/>
    <w:link w:val="16"/>
    <w:qFormat/>
    <w:uiPriority w:val="99"/>
    <w:rPr>
      <w:kern w:val="2"/>
      <w:sz w:val="18"/>
    </w:rPr>
  </w:style>
  <w:style w:type="character" w:customStyle="1" w:styleId="41">
    <w:name w:val="页眉 字符"/>
    <w:link w:val="17"/>
    <w:qFormat/>
    <w:uiPriority w:val="0"/>
    <w:rPr>
      <w:rFonts w:ascii="Calibri" w:hAnsi="Calibri"/>
      <w:kern w:val="2"/>
      <w:sz w:val="18"/>
    </w:rPr>
  </w:style>
  <w:style w:type="character" w:customStyle="1" w:styleId="42">
    <w:name w:val="批注主题 字符"/>
    <w:link w:val="24"/>
    <w:qFormat/>
    <w:uiPriority w:val="0"/>
    <w:rPr>
      <w:b/>
      <w:bCs/>
      <w:kern w:val="2"/>
      <w:sz w:val="21"/>
      <w:szCs w:val="24"/>
    </w:rPr>
  </w:style>
  <w:style w:type="character" w:customStyle="1" w:styleId="43">
    <w:name w:val="批注引用1"/>
    <w:qFormat/>
    <w:uiPriority w:val="0"/>
    <w:rPr>
      <w:sz w:val="21"/>
      <w:szCs w:val="21"/>
    </w:rPr>
  </w:style>
  <w:style w:type="character" w:customStyle="1" w:styleId="44">
    <w:name w:val="font31"/>
    <w:qFormat/>
    <w:uiPriority w:val="0"/>
    <w:rPr>
      <w:rFonts w:hint="eastAsia" w:ascii="宋体" w:hAnsi="宋体" w:eastAsia="宋体" w:cs="宋体"/>
      <w:color w:val="000000"/>
      <w:sz w:val="21"/>
      <w:szCs w:val="21"/>
      <w:u w:val="none"/>
    </w:rPr>
  </w:style>
  <w:style w:type="character" w:customStyle="1" w:styleId="45">
    <w:name w:val="批注文字 Char1"/>
    <w:qFormat/>
    <w:uiPriority w:val="0"/>
    <w:rPr>
      <w:rFonts w:ascii="Times New Roman" w:hAnsi="Times New Roman" w:eastAsia="宋体" w:cs="Times New Roman"/>
      <w:szCs w:val="24"/>
    </w:rPr>
  </w:style>
  <w:style w:type="character" w:customStyle="1" w:styleId="46">
    <w:name w:val="font91"/>
    <w:qFormat/>
    <w:uiPriority w:val="0"/>
    <w:rPr>
      <w:rFonts w:hint="eastAsia" w:ascii="宋体" w:hAnsi="宋体" w:eastAsia="宋体" w:cs="宋体"/>
      <w:color w:val="FF0000"/>
      <w:sz w:val="21"/>
      <w:szCs w:val="21"/>
      <w:u w:val="single"/>
    </w:rPr>
  </w:style>
  <w:style w:type="character" w:customStyle="1" w:styleId="47">
    <w:name w:val="font101"/>
    <w:qFormat/>
    <w:uiPriority w:val="0"/>
    <w:rPr>
      <w:rFonts w:hint="eastAsia" w:ascii="宋体" w:hAnsi="宋体" w:eastAsia="宋体" w:cs="宋体"/>
      <w:color w:val="000000"/>
      <w:sz w:val="21"/>
      <w:szCs w:val="21"/>
      <w:u w:val="single"/>
    </w:rPr>
  </w:style>
  <w:style w:type="character" w:customStyle="1" w:styleId="48">
    <w:name w:val="font111"/>
    <w:qFormat/>
    <w:uiPriority w:val="0"/>
    <w:rPr>
      <w:rFonts w:hint="default" w:ascii="Eʩ" w:hAnsi="Eʩ" w:eastAsia="Eʩ" w:cs="Eʩ"/>
      <w:color w:val="000000"/>
      <w:sz w:val="21"/>
      <w:szCs w:val="21"/>
      <w:u w:val="single"/>
    </w:rPr>
  </w:style>
  <w:style w:type="paragraph" w:customStyle="1" w:styleId="49">
    <w:name w:val="正文1"/>
    <w:qFormat/>
    <w:uiPriority w:val="0"/>
    <w:pPr>
      <w:widowControl w:val="0"/>
      <w:adjustRightInd w:val="0"/>
      <w:spacing w:after="160" w:line="312" w:lineRule="atLeast"/>
      <w:jc w:val="both"/>
      <w:textAlignment w:val="baseline"/>
    </w:pPr>
    <w:rPr>
      <w:rFonts w:ascii="宋体" w:hAnsi="Calibri" w:eastAsia="宋体" w:cs="Times New Roman"/>
      <w:sz w:val="34"/>
      <w:szCs w:val="22"/>
      <w:lang w:val="en-US" w:eastAsia="zh-CN" w:bidi="ar-SA"/>
    </w:rPr>
  </w:style>
  <w:style w:type="paragraph" w:customStyle="1" w:styleId="50">
    <w:name w:val="样式"/>
    <w:qFormat/>
    <w:uiPriority w:val="0"/>
    <w:pPr>
      <w:widowControl w:val="0"/>
      <w:autoSpaceDE w:val="0"/>
      <w:autoSpaceDN w:val="0"/>
      <w:adjustRightInd w:val="0"/>
      <w:spacing w:after="160" w:line="259" w:lineRule="auto"/>
    </w:pPr>
    <w:rPr>
      <w:rFonts w:ascii="宋体" w:hAnsi="宋体" w:eastAsia="宋体" w:cs="宋体"/>
      <w:sz w:val="24"/>
      <w:szCs w:val="24"/>
      <w:lang w:val="en-US" w:eastAsia="zh-CN" w:bidi="ar-SA"/>
    </w:rPr>
  </w:style>
  <w:style w:type="paragraph" w:customStyle="1" w:styleId="51">
    <w:name w:val="正文首行缩进两字符"/>
    <w:basedOn w:val="1"/>
    <w:qFormat/>
    <w:uiPriority w:val="0"/>
    <w:pPr>
      <w:spacing w:line="360" w:lineRule="auto"/>
      <w:ind w:firstLine="200" w:firstLineChars="200"/>
    </w:pPr>
  </w:style>
  <w:style w:type="paragraph" w:customStyle="1" w:styleId="52">
    <w:name w:val="列出段落1"/>
    <w:basedOn w:val="1"/>
    <w:unhideWhenUsed/>
    <w:qFormat/>
    <w:uiPriority w:val="34"/>
    <w:pPr>
      <w:ind w:firstLine="420" w:firstLineChars="200"/>
    </w:pPr>
  </w:style>
  <w:style w:type="paragraph" w:customStyle="1" w:styleId="53">
    <w:name w:val="01、普通正文"/>
    <w:basedOn w:val="1"/>
    <w:qFormat/>
    <w:uiPriority w:val="0"/>
    <w:pPr>
      <w:tabs>
        <w:tab w:val="left" w:pos="0"/>
      </w:tabs>
    </w:pPr>
    <w:rPr>
      <w:rFonts w:ascii="宋体" w:hAnsi="宋体" w:cs="宋体"/>
    </w:rPr>
  </w:style>
  <w:style w:type="paragraph" w:customStyle="1" w:styleId="54">
    <w:name w:val="修订1"/>
    <w:unhideWhenUsed/>
    <w:qFormat/>
    <w:uiPriority w:val="99"/>
    <w:rPr>
      <w:rFonts w:ascii="Calibri" w:hAnsi="Calibri" w:eastAsia="宋体" w:cs="Times New Roman"/>
      <w:kern w:val="2"/>
      <w:sz w:val="21"/>
      <w:szCs w:val="24"/>
      <w:lang w:val="en-US" w:eastAsia="zh-CN" w:bidi="ar-SA"/>
    </w:rPr>
  </w:style>
  <w:style w:type="paragraph" w:customStyle="1" w:styleId="55">
    <w:name w:val="样式 首行缩进:  2 字符"/>
    <w:basedOn w:val="1"/>
    <w:qFormat/>
    <w:uiPriority w:val="0"/>
    <w:pPr>
      <w:spacing w:line="400" w:lineRule="exact"/>
      <w:ind w:firstLine="200" w:firstLineChars="200"/>
    </w:pPr>
    <w:rPr>
      <w:rFonts w:cs="宋体"/>
      <w:sz w:val="24"/>
    </w:rPr>
  </w:style>
  <w:style w:type="paragraph" w:styleId="56">
    <w:name w:val="List Paragraph"/>
    <w:basedOn w:val="1"/>
    <w:qFormat/>
    <w:uiPriority w:val="99"/>
    <w:pPr>
      <w:ind w:firstLine="420" w:firstLineChars="200"/>
    </w:pPr>
  </w:style>
  <w:style w:type="paragraph" w:customStyle="1" w:styleId="57">
    <w:name w:val="封面标准名称"/>
    <w:qFormat/>
    <w:uiPriority w:val="99"/>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58">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6" Type="http://schemas.openxmlformats.org/officeDocument/2006/relationships/fontTable" Target="fontTable.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35.png"/><Relationship Id="rId52" Type="http://schemas.openxmlformats.org/officeDocument/2006/relationships/image" Target="media/image34.png"/><Relationship Id="rId51" Type="http://schemas.openxmlformats.org/officeDocument/2006/relationships/image" Target="media/image33.png"/><Relationship Id="rId50" Type="http://schemas.openxmlformats.org/officeDocument/2006/relationships/image" Target="media/image32.png"/><Relationship Id="rId5" Type="http://schemas.openxmlformats.org/officeDocument/2006/relationships/header" Target="header1.xml"/><Relationship Id="rId49" Type="http://schemas.openxmlformats.org/officeDocument/2006/relationships/image" Target="media/image31.png"/><Relationship Id="rId48" Type="http://schemas.openxmlformats.org/officeDocument/2006/relationships/image" Target="media/image30.png"/><Relationship Id="rId47" Type="http://schemas.openxmlformats.org/officeDocument/2006/relationships/image" Target="media/image29.png"/><Relationship Id="rId46" Type="http://schemas.openxmlformats.org/officeDocument/2006/relationships/image" Target="media/image28.png"/><Relationship Id="rId45" Type="http://schemas.openxmlformats.org/officeDocument/2006/relationships/image" Target="media/image27.png"/><Relationship Id="rId44" Type="http://schemas.openxmlformats.org/officeDocument/2006/relationships/image" Target="media/image26.png"/><Relationship Id="rId43" Type="http://schemas.openxmlformats.org/officeDocument/2006/relationships/image" Target="media/image25.png"/><Relationship Id="rId42" Type="http://schemas.openxmlformats.org/officeDocument/2006/relationships/image" Target="media/image24.png"/><Relationship Id="rId41" Type="http://schemas.openxmlformats.org/officeDocument/2006/relationships/image" Target="media/image23.png"/><Relationship Id="rId40" Type="http://schemas.openxmlformats.org/officeDocument/2006/relationships/image" Target="media/image22.png"/><Relationship Id="rId4" Type="http://schemas.openxmlformats.org/officeDocument/2006/relationships/endnotes" Target="endnotes.xml"/><Relationship Id="rId39" Type="http://schemas.openxmlformats.org/officeDocument/2006/relationships/image" Target="media/image21.png"/><Relationship Id="rId38" Type="http://schemas.openxmlformats.org/officeDocument/2006/relationships/image" Target="media/image20.png"/><Relationship Id="rId37" Type="http://schemas.openxmlformats.org/officeDocument/2006/relationships/image" Target="media/image19.png"/><Relationship Id="rId36" Type="http://schemas.openxmlformats.org/officeDocument/2006/relationships/image" Target="media/image18.png"/><Relationship Id="rId35" Type="http://schemas.openxmlformats.org/officeDocument/2006/relationships/image" Target="media/image17.png"/><Relationship Id="rId34" Type="http://schemas.openxmlformats.org/officeDocument/2006/relationships/image" Target="media/image16.png"/><Relationship Id="rId33" Type="http://schemas.openxmlformats.org/officeDocument/2006/relationships/image" Target="media/image15.png"/><Relationship Id="rId32" Type="http://schemas.openxmlformats.org/officeDocument/2006/relationships/image" Target="media/image14.png"/><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footnotes" Target="footnotes.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114</Pages>
  <Words>7460</Words>
  <Characters>42526</Characters>
  <Lines>354</Lines>
  <Paragraphs>99</Paragraphs>
  <TotalTime>22</TotalTime>
  <ScaleCrop>false</ScaleCrop>
  <LinksUpToDate>false</LinksUpToDate>
  <CharactersWithSpaces>49887</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2021-12-15T09:02:00Z</dcterms:created>
  <dc:creator>s</dc:creator>
  <cp:lastModifiedBy>哒哒哒</cp:lastModifiedBy>
  <cp:lastPrinted>2021-12-14T05:26:00Z</cp:lastPrinted>
  <dcterms:modified xsi:type="dcterms:W3CDTF">2021-12-16T08:27:49Z</dcterms:modified>
  <dc:title>招标编号：xxxx [xxxx] xx号</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1E7AC849B1E84A42AAF371DB6C68C6A0</vt:lpwstr>
  </property>
</Properties>
</file>