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0" w:firstLineChars="0"/>
        <w:jc w:val="center"/>
        <w:rPr>
          <w:rFonts w:hint="eastAsia" w:ascii="宋体" w:hAnsi="宋体" w:eastAsia="宋体"/>
          <w:b/>
          <w:color w:val="000000"/>
          <w:sz w:val="30"/>
          <w:szCs w:val="30"/>
          <w:lang w:val="en-US" w:eastAsia="zh-CN"/>
        </w:rPr>
      </w:pPr>
      <w:bookmarkStart w:id="0" w:name="_Hlt101233737"/>
      <w:bookmarkEnd w:id="0"/>
      <w:bookmarkStart w:id="1" w:name="_Hlt101843627"/>
      <w:bookmarkEnd w:id="1"/>
      <w:r>
        <w:rPr>
          <w:rFonts w:hint="eastAsia" w:ascii="宋体" w:hAnsi="宋体" w:eastAsia="宋体"/>
          <w:b/>
          <w:color w:val="000000"/>
          <w:sz w:val="30"/>
          <w:szCs w:val="30"/>
          <w:lang w:val="zh-CN" w:eastAsia="zh-CN"/>
        </w:rPr>
        <w:t>采购项目</w:t>
      </w:r>
      <w:r>
        <w:rPr>
          <w:rFonts w:hint="eastAsia" w:ascii="宋体" w:hAnsi="宋体" w:eastAsia="宋体"/>
          <w:b/>
          <w:color w:val="000000"/>
          <w:sz w:val="30"/>
          <w:szCs w:val="30"/>
          <w:lang w:val="zh-CN"/>
        </w:rPr>
        <w:t>编号：</w:t>
      </w:r>
      <w:r>
        <w:rPr>
          <w:rFonts w:hint="eastAsia" w:ascii="宋体" w:hAnsi="宋体" w:eastAsia="宋体"/>
          <w:b/>
          <w:color w:val="000000"/>
          <w:sz w:val="30"/>
          <w:szCs w:val="30"/>
          <w:lang w:val="zh-CN" w:eastAsia="zh-CN"/>
        </w:rPr>
        <w:t>510106202100186</w:t>
      </w:r>
    </w:p>
    <w:p>
      <w:pPr>
        <w:keepNext w:val="0"/>
        <w:keepLines w:val="0"/>
        <w:pageBreakBefore w:val="0"/>
        <w:widowControl w:val="0"/>
        <w:kinsoku/>
        <w:wordWrap/>
        <w:overflowPunct/>
        <w:topLinePunct w:val="0"/>
        <w:autoSpaceDE/>
        <w:autoSpaceDN/>
        <w:bidi w:val="0"/>
        <w:adjustRightInd/>
        <w:snapToGrid/>
        <w:spacing w:line="800" w:lineRule="exact"/>
        <w:ind w:left="0" w:leftChars="0" w:firstLine="0" w:firstLineChars="0"/>
        <w:jc w:val="center"/>
        <w:textAlignment w:val="auto"/>
        <w:rPr>
          <w:rFonts w:hint="eastAsia" w:asciiTheme="minorEastAsia" w:hAnsiTheme="minorEastAsia" w:eastAsiaTheme="minorEastAsia" w:cstheme="minorEastAsia"/>
          <w:b/>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56"/>
          <w:szCs w:val="56"/>
          <w:lang w:val="en-US" w:eastAsia="zh-CN"/>
          <w14:textFill>
            <w14:solidFill>
              <w14:schemeClr w14:val="tx1"/>
            </w14:solidFill>
          </w14:textFill>
        </w:rPr>
        <w:t>成都市金牛区市场监督管理局2021年第二次食品安全抽检监测服务项目</w:t>
      </w:r>
    </w:p>
    <w:p>
      <w:pPr>
        <w:jc w:val="center"/>
        <w:rPr>
          <w:rFonts w:hint="eastAsia" w:asciiTheme="minorEastAsia" w:hAnsiTheme="minorEastAsia" w:eastAsiaTheme="minorEastAsia" w:cstheme="minorEastAsia"/>
          <w:b/>
          <w:color w:val="000000" w:themeColor="text1"/>
          <w:sz w:val="72"/>
          <w:szCs w:val="72"/>
          <w14:textFill>
            <w14:solidFill>
              <w14:schemeClr w14:val="tx1"/>
            </w14:solidFill>
          </w14:textFill>
        </w:rPr>
      </w:pPr>
    </w:p>
    <w:p>
      <w:pPr>
        <w:snapToGrid w:val="0"/>
        <w:spacing w:line="360" w:lineRule="auto"/>
        <w:ind w:firstLine="0" w:firstLineChars="0"/>
        <w:jc w:val="center"/>
        <w:rPr>
          <w:rFonts w:hint="eastAsia" w:ascii="宋体" w:hAnsi="宋体" w:eastAsia="宋体"/>
          <w:b/>
          <w:color w:val="000000"/>
          <w:sz w:val="84"/>
          <w:szCs w:val="84"/>
          <w:lang w:val="zh-CN"/>
        </w:rPr>
      </w:pPr>
      <w:r>
        <w:rPr>
          <w:rFonts w:hint="eastAsia" w:ascii="宋体" w:hAnsi="宋体" w:eastAsia="宋体"/>
          <w:b/>
          <w:color w:val="000000"/>
          <w:sz w:val="84"/>
          <w:szCs w:val="84"/>
          <w:lang w:val="zh-CN"/>
        </w:rPr>
        <w:t>招</w:t>
      </w:r>
    </w:p>
    <w:p>
      <w:pPr>
        <w:snapToGrid w:val="0"/>
        <w:spacing w:line="360" w:lineRule="auto"/>
        <w:ind w:firstLine="0" w:firstLineChars="0"/>
        <w:jc w:val="center"/>
        <w:rPr>
          <w:rFonts w:hint="eastAsia" w:ascii="宋体" w:hAnsi="宋体" w:eastAsia="宋体"/>
          <w:b/>
          <w:color w:val="000000"/>
          <w:sz w:val="84"/>
          <w:szCs w:val="84"/>
          <w:lang w:val="zh-CN"/>
        </w:rPr>
      </w:pPr>
      <w:r>
        <w:rPr>
          <w:rFonts w:hint="eastAsia" w:ascii="宋体" w:hAnsi="宋体" w:eastAsia="宋体"/>
          <w:b/>
          <w:color w:val="000000"/>
          <w:sz w:val="84"/>
          <w:szCs w:val="84"/>
          <w:lang w:val="zh-CN"/>
        </w:rPr>
        <w:t>标</w:t>
      </w:r>
    </w:p>
    <w:p>
      <w:pPr>
        <w:snapToGrid w:val="0"/>
        <w:spacing w:line="360" w:lineRule="auto"/>
        <w:ind w:firstLine="0" w:firstLineChars="0"/>
        <w:jc w:val="center"/>
        <w:rPr>
          <w:rFonts w:hint="eastAsia" w:ascii="宋体" w:hAnsi="宋体" w:eastAsia="宋体"/>
          <w:b/>
          <w:color w:val="000000"/>
          <w:sz w:val="84"/>
          <w:szCs w:val="84"/>
          <w:lang w:val="zh-CN"/>
        </w:rPr>
      </w:pPr>
      <w:r>
        <w:rPr>
          <w:rFonts w:hint="eastAsia" w:ascii="宋体" w:hAnsi="宋体" w:eastAsia="宋体"/>
          <w:b/>
          <w:color w:val="000000"/>
          <w:sz w:val="84"/>
          <w:szCs w:val="84"/>
          <w:lang w:val="zh-CN"/>
        </w:rPr>
        <w:t>文</w:t>
      </w:r>
    </w:p>
    <w:p>
      <w:pPr>
        <w:snapToGrid w:val="0"/>
        <w:spacing w:line="360" w:lineRule="auto"/>
        <w:ind w:firstLine="0" w:firstLineChars="0"/>
        <w:jc w:val="center"/>
        <w:rPr>
          <w:rFonts w:hint="eastAsia"/>
          <w:color w:val="000000"/>
          <w:sz w:val="84"/>
          <w:szCs w:val="84"/>
        </w:rPr>
      </w:pPr>
      <w:r>
        <w:rPr>
          <w:rFonts w:hint="eastAsia" w:ascii="宋体" w:hAnsi="宋体" w:eastAsia="宋体"/>
          <w:b/>
          <w:color w:val="000000"/>
          <w:sz w:val="84"/>
          <w:szCs w:val="84"/>
          <w:lang w:val="zh-CN"/>
        </w:rPr>
        <w:t>件</w:t>
      </w:r>
    </w:p>
    <w:p>
      <w:pPr>
        <w:ind w:firstLine="0" w:firstLineChars="0"/>
        <w:rPr>
          <w:rFonts w:hint="eastAsia"/>
          <w:b w:val="0"/>
          <w:color w:val="000000"/>
        </w:rPr>
      </w:pPr>
    </w:p>
    <w:p>
      <w:pPr>
        <w:snapToGrid w:val="0"/>
        <w:spacing w:line="360" w:lineRule="auto"/>
        <w:ind w:firstLine="0" w:firstLineChars="0"/>
        <w:jc w:val="center"/>
        <w:rPr>
          <w:rFonts w:hint="eastAsia" w:ascii="宋体" w:hAnsi="宋体" w:eastAsia="宋体"/>
          <w:b/>
          <w:color w:val="auto"/>
          <w:sz w:val="30"/>
          <w:szCs w:val="30"/>
          <w:lang w:val="zh-CN"/>
        </w:rPr>
      </w:pPr>
      <w:r>
        <w:rPr>
          <w:rFonts w:hint="eastAsia" w:ascii="宋体" w:hAnsi="宋体" w:eastAsia="宋体"/>
          <w:b/>
          <w:color w:val="auto"/>
          <w:sz w:val="30"/>
          <w:szCs w:val="30"/>
          <w:lang w:val="zh-CN"/>
        </w:rPr>
        <w:t>中国•四川</w:t>
      </w:r>
    </w:p>
    <w:p>
      <w:pPr>
        <w:snapToGrid w:val="0"/>
        <w:spacing w:line="360" w:lineRule="auto"/>
        <w:ind w:firstLine="0" w:firstLineChars="0"/>
        <w:jc w:val="center"/>
        <w:rPr>
          <w:rFonts w:hint="eastAsia" w:ascii="宋体" w:hAnsi="宋体" w:eastAsia="宋体"/>
          <w:b/>
          <w:color w:val="auto"/>
          <w:sz w:val="30"/>
          <w:szCs w:val="30"/>
          <w:lang w:val="zh-CN" w:eastAsia="zh-CN"/>
        </w:rPr>
      </w:pPr>
      <w:r>
        <w:rPr>
          <w:rFonts w:hint="eastAsia" w:ascii="宋体" w:hAnsi="宋体" w:eastAsia="宋体"/>
          <w:b/>
          <w:color w:val="auto"/>
          <w:sz w:val="30"/>
          <w:szCs w:val="30"/>
          <w:lang w:val="zh-CN" w:eastAsia="zh-CN"/>
        </w:rPr>
        <w:t>成都市金牛区市场监督管理局</w:t>
      </w:r>
    </w:p>
    <w:p>
      <w:pPr>
        <w:snapToGrid w:val="0"/>
        <w:spacing w:line="360" w:lineRule="auto"/>
        <w:ind w:firstLine="0" w:firstLineChars="0"/>
        <w:jc w:val="center"/>
        <w:rPr>
          <w:rFonts w:hint="eastAsia" w:ascii="宋体" w:hAnsi="宋体" w:eastAsia="宋体"/>
          <w:b/>
          <w:color w:val="auto"/>
          <w:sz w:val="30"/>
          <w:szCs w:val="30"/>
          <w:lang w:val="zh-CN"/>
        </w:rPr>
      </w:pPr>
      <w:r>
        <w:rPr>
          <w:rFonts w:hint="eastAsia" w:ascii="宋体" w:hAnsi="宋体" w:eastAsia="宋体"/>
          <w:b/>
          <w:color w:val="auto"/>
          <w:sz w:val="30"/>
          <w:szCs w:val="30"/>
          <w:lang w:val="zh-CN"/>
        </w:rPr>
        <w:t>成都市均益建设工程造价咨询有限责任公司</w:t>
      </w:r>
    </w:p>
    <w:p>
      <w:pPr>
        <w:snapToGrid w:val="0"/>
        <w:spacing w:line="360" w:lineRule="auto"/>
        <w:ind w:firstLine="0" w:firstLineChars="0"/>
        <w:jc w:val="center"/>
        <w:rPr>
          <w:rFonts w:hint="eastAsia" w:ascii="宋体" w:hAnsi="宋体" w:eastAsia="宋体"/>
          <w:b/>
          <w:color w:val="auto"/>
          <w:sz w:val="30"/>
          <w:szCs w:val="30"/>
          <w:lang w:val="zh-CN"/>
        </w:rPr>
      </w:pPr>
      <w:r>
        <w:rPr>
          <w:rFonts w:hint="eastAsia" w:ascii="宋体" w:hAnsi="宋体" w:eastAsia="宋体"/>
          <w:b/>
          <w:color w:val="auto"/>
          <w:sz w:val="30"/>
          <w:szCs w:val="30"/>
          <w:lang w:val="zh-CN"/>
        </w:rPr>
        <w:t>共同编制</w:t>
      </w:r>
    </w:p>
    <w:p>
      <w:pPr>
        <w:snapToGrid w:val="0"/>
        <w:spacing w:line="360" w:lineRule="auto"/>
        <w:ind w:firstLine="0" w:firstLineChars="0"/>
        <w:jc w:val="center"/>
        <w:rPr>
          <w:rFonts w:hint="eastAsia" w:ascii="宋体" w:hAnsi="宋体" w:eastAsia="宋体"/>
          <w:b/>
          <w:color w:val="auto"/>
          <w:sz w:val="30"/>
          <w:szCs w:val="30"/>
          <w:lang w:val="zh-CN"/>
        </w:rPr>
      </w:pPr>
      <w:r>
        <w:rPr>
          <w:rFonts w:hint="eastAsia" w:ascii="宋体" w:hAnsi="宋体" w:eastAsia="宋体"/>
          <w:b/>
          <w:color w:val="auto"/>
          <w:sz w:val="30"/>
          <w:szCs w:val="30"/>
          <w:lang w:val="zh-CN"/>
        </w:rPr>
        <w:t>二〇二</w:t>
      </w:r>
      <w:r>
        <w:rPr>
          <w:rFonts w:hint="eastAsia" w:ascii="宋体" w:hAnsi="宋体" w:eastAsia="宋体"/>
          <w:b/>
          <w:color w:val="auto"/>
          <w:sz w:val="30"/>
          <w:szCs w:val="30"/>
          <w:lang w:val="zh-CN" w:eastAsia="zh-CN"/>
        </w:rPr>
        <w:t>一</w:t>
      </w:r>
      <w:r>
        <w:rPr>
          <w:rFonts w:hint="eastAsia" w:ascii="宋体" w:hAnsi="宋体" w:eastAsia="宋体"/>
          <w:b/>
          <w:color w:val="auto"/>
          <w:sz w:val="30"/>
          <w:szCs w:val="30"/>
          <w:lang w:val="zh-CN"/>
        </w:rPr>
        <w:t>年</w:t>
      </w:r>
      <w:r>
        <w:rPr>
          <w:rFonts w:hint="eastAsia" w:ascii="宋体" w:hAnsi="宋体" w:eastAsia="宋体"/>
          <w:b/>
          <w:color w:val="auto"/>
          <w:sz w:val="30"/>
          <w:szCs w:val="30"/>
          <w:lang w:val="zh-CN" w:eastAsia="zh-CN"/>
        </w:rPr>
        <w:t>十</w:t>
      </w:r>
      <w:r>
        <w:rPr>
          <w:rFonts w:hint="eastAsia" w:ascii="宋体" w:hAnsi="宋体" w:eastAsia="宋体"/>
          <w:b/>
          <w:color w:val="auto"/>
          <w:sz w:val="30"/>
          <w:szCs w:val="30"/>
          <w:lang w:val="zh-CN"/>
        </w:rPr>
        <w:t>月</w:t>
      </w:r>
    </w:p>
    <w:p>
      <w:pPr>
        <w:jc w:val="center"/>
        <w:rPr>
          <w:rFonts w:hint="eastAsia" w:asciiTheme="minorEastAsia" w:hAnsiTheme="minorEastAsia" w:eastAsiaTheme="minorEastAsia" w:cstheme="minorEastAsia"/>
          <w:bCs w:val="0"/>
          <w:color w:val="auto"/>
          <w:sz w:val="36"/>
        </w:rPr>
      </w:pPr>
      <w:r>
        <w:rPr>
          <w:rFonts w:hint="eastAsia" w:asciiTheme="minorEastAsia" w:hAnsiTheme="minorEastAsia" w:eastAsiaTheme="minorEastAsia" w:cstheme="minorEastAsia"/>
          <w:bCs w:val="0"/>
          <w:color w:val="auto"/>
          <w:sz w:val="36"/>
        </w:rPr>
        <w:br w:type="page"/>
      </w:r>
    </w:p>
    <w:p>
      <w:pPr>
        <w:rPr>
          <w:rFonts w:hint="eastAsia"/>
        </w:rPr>
      </w:pPr>
    </w:p>
    <w:p>
      <w:pPr>
        <w:pStyle w:val="4"/>
        <w:spacing w:line="600" w:lineRule="auto"/>
        <w:jc w:val="center"/>
        <w:rPr>
          <w:rFonts w:hint="eastAsia" w:asciiTheme="minorEastAsia" w:hAnsiTheme="minorEastAsia" w:eastAsiaTheme="minorEastAsia" w:cstheme="minorEastAsia"/>
          <w:bCs w:val="0"/>
          <w:color w:val="auto"/>
          <w:sz w:val="40"/>
        </w:rPr>
      </w:pPr>
      <w:r>
        <w:rPr>
          <w:rFonts w:hint="eastAsia" w:asciiTheme="minorEastAsia" w:hAnsiTheme="minorEastAsia" w:eastAsiaTheme="minorEastAsia" w:cstheme="minorEastAsia"/>
          <w:bCs w:val="0"/>
          <w:color w:val="auto"/>
          <w:sz w:val="40"/>
        </w:rPr>
        <w:t>目    录</w:t>
      </w:r>
      <w:bookmarkStart w:id="183" w:name="_GoBack"/>
      <w:bookmarkEnd w:id="183"/>
    </w:p>
    <w:p>
      <w:pPr>
        <w:pStyle w:val="32"/>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Cs/>
          <w:color w:val="auto"/>
          <w:sz w:val="56"/>
          <w:szCs w:val="24"/>
        </w:rPr>
        <w:fldChar w:fldCharType="begin"/>
      </w:r>
      <w:r>
        <w:rPr>
          <w:rFonts w:hint="eastAsia" w:asciiTheme="minorEastAsia" w:hAnsiTheme="minorEastAsia" w:eastAsiaTheme="minorEastAsia" w:cstheme="minorEastAsia"/>
          <w:bCs/>
          <w:color w:val="auto"/>
          <w:sz w:val="56"/>
          <w:szCs w:val="24"/>
        </w:rPr>
        <w:instrText xml:space="preserve">TOC \o "1-1" \h \u </w:instrText>
      </w:r>
      <w:r>
        <w:rPr>
          <w:rFonts w:hint="eastAsia" w:asciiTheme="minorEastAsia" w:hAnsiTheme="minorEastAsia" w:eastAsiaTheme="minorEastAsia" w:cstheme="minorEastAsia"/>
          <w:bCs/>
          <w:color w:val="auto"/>
          <w:sz w:val="56"/>
          <w:szCs w:val="24"/>
        </w:rPr>
        <w:fldChar w:fldCharType="separate"/>
      </w: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_Toc21986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第一章  投标邀请</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_Toc21986 \h </w:instrText>
      </w:r>
      <w:r>
        <w:rPr>
          <w:b w:val="0"/>
          <w:bCs w:val="0"/>
          <w:color w:val="auto"/>
          <w:sz w:val="28"/>
          <w:szCs w:val="21"/>
        </w:rPr>
        <w:fldChar w:fldCharType="separate"/>
      </w:r>
      <w:r>
        <w:rPr>
          <w:b w:val="0"/>
          <w:bCs w:val="0"/>
          <w:color w:val="auto"/>
          <w:sz w:val="28"/>
          <w:szCs w:val="21"/>
        </w:rPr>
        <w:t>1</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2"/>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_Toc18031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第二章  投标人须知</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_Toc18031 \h </w:instrText>
      </w:r>
      <w:r>
        <w:rPr>
          <w:b w:val="0"/>
          <w:bCs w:val="0"/>
          <w:color w:val="auto"/>
          <w:sz w:val="28"/>
          <w:szCs w:val="21"/>
        </w:rPr>
        <w:fldChar w:fldCharType="separate"/>
      </w:r>
      <w:r>
        <w:rPr>
          <w:b w:val="0"/>
          <w:bCs w:val="0"/>
          <w:color w:val="auto"/>
          <w:sz w:val="28"/>
          <w:szCs w:val="21"/>
        </w:rPr>
        <w:t>4</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2"/>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_Toc13209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第三章 投标文件格式</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_Toc13209 \h </w:instrText>
      </w:r>
      <w:r>
        <w:rPr>
          <w:b w:val="0"/>
          <w:bCs w:val="0"/>
          <w:color w:val="auto"/>
          <w:sz w:val="28"/>
          <w:szCs w:val="21"/>
        </w:rPr>
        <w:fldChar w:fldCharType="separate"/>
      </w:r>
      <w:r>
        <w:rPr>
          <w:b w:val="0"/>
          <w:bCs w:val="0"/>
          <w:color w:val="auto"/>
          <w:sz w:val="28"/>
          <w:szCs w:val="21"/>
        </w:rPr>
        <w:t>22</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2"/>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_Toc6494 </w:instrText>
      </w:r>
      <w:r>
        <w:rPr>
          <w:rFonts w:hint="eastAsia" w:asciiTheme="minorEastAsia" w:hAnsiTheme="minorEastAsia" w:eastAsiaTheme="minorEastAsia" w:cstheme="minorEastAsia"/>
          <w:b w:val="0"/>
          <w:bCs w:val="0"/>
          <w:color w:val="auto"/>
          <w:sz w:val="28"/>
          <w:szCs w:val="28"/>
        </w:rPr>
        <w:fldChar w:fldCharType="separate"/>
      </w:r>
      <w:r>
        <w:rPr>
          <w:rFonts w:hint="eastAsia"/>
          <w:b w:val="0"/>
          <w:bCs w:val="0"/>
          <w:color w:val="auto"/>
          <w:sz w:val="28"/>
          <w:szCs w:val="44"/>
          <w:lang w:val="en-US" w:eastAsia="zh-CN"/>
        </w:rPr>
        <w:t>第四章  投标人和投标产品的资格、资质性及其他具有类似效力的要求</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_Toc6494 \h </w:instrText>
      </w:r>
      <w:r>
        <w:rPr>
          <w:b w:val="0"/>
          <w:bCs w:val="0"/>
          <w:color w:val="auto"/>
          <w:sz w:val="28"/>
          <w:szCs w:val="21"/>
        </w:rPr>
        <w:fldChar w:fldCharType="separate"/>
      </w:r>
      <w:r>
        <w:rPr>
          <w:b w:val="0"/>
          <w:bCs w:val="0"/>
          <w:color w:val="auto"/>
          <w:sz w:val="28"/>
          <w:szCs w:val="21"/>
        </w:rPr>
        <w:t>45</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2"/>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_Toc25394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第五章  投标人应当提供的资格、资质性及其他具有类似效力的要求的相关证明材料</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_Toc25394 \h </w:instrText>
      </w:r>
      <w:r>
        <w:rPr>
          <w:b w:val="0"/>
          <w:bCs w:val="0"/>
          <w:color w:val="auto"/>
          <w:sz w:val="28"/>
          <w:szCs w:val="21"/>
        </w:rPr>
        <w:fldChar w:fldCharType="separate"/>
      </w:r>
      <w:r>
        <w:rPr>
          <w:b w:val="0"/>
          <w:bCs w:val="0"/>
          <w:color w:val="auto"/>
          <w:sz w:val="28"/>
          <w:szCs w:val="21"/>
        </w:rPr>
        <w:t>47</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2"/>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_Toc19323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w:t>
      </w:r>
      <w:r>
        <w:rPr>
          <w:rFonts w:hint="eastAsia" w:asciiTheme="minorEastAsia" w:hAnsiTheme="minorEastAsia" w:eastAsiaTheme="minorEastAsia" w:cstheme="minorEastAsia"/>
          <w:b w:val="0"/>
          <w:bCs w:val="0"/>
          <w:color w:val="auto"/>
          <w:sz w:val="28"/>
          <w:szCs w:val="21"/>
          <w:lang w:eastAsia="zh-CN"/>
        </w:rPr>
        <w:t>六</w:t>
      </w:r>
      <w:r>
        <w:rPr>
          <w:rFonts w:hint="eastAsia" w:asciiTheme="minorEastAsia" w:hAnsiTheme="minorEastAsia" w:eastAsiaTheme="minorEastAsia" w:cstheme="minorEastAsia"/>
          <w:b w:val="0"/>
          <w:bCs w:val="0"/>
          <w:color w:val="auto"/>
          <w:sz w:val="28"/>
          <w:szCs w:val="21"/>
        </w:rPr>
        <w:t>章  技术、商务及其他要求</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_Toc19323 \h </w:instrText>
      </w:r>
      <w:r>
        <w:rPr>
          <w:b w:val="0"/>
          <w:bCs w:val="0"/>
          <w:color w:val="auto"/>
          <w:sz w:val="28"/>
          <w:szCs w:val="21"/>
        </w:rPr>
        <w:fldChar w:fldCharType="separate"/>
      </w:r>
      <w:r>
        <w:rPr>
          <w:b w:val="0"/>
          <w:bCs w:val="0"/>
          <w:color w:val="auto"/>
          <w:sz w:val="28"/>
          <w:szCs w:val="21"/>
        </w:rPr>
        <w:t>49</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2"/>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b w:val="0"/>
          <w:bCs w:val="0"/>
          <w:color w:val="auto"/>
          <w:sz w:val="28"/>
          <w:szCs w:val="21"/>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_Toc23492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w:t>
      </w:r>
      <w:r>
        <w:rPr>
          <w:rFonts w:hint="eastAsia" w:asciiTheme="minorEastAsia" w:hAnsiTheme="minorEastAsia" w:eastAsiaTheme="minorEastAsia" w:cstheme="minorEastAsia"/>
          <w:b w:val="0"/>
          <w:bCs w:val="0"/>
          <w:color w:val="auto"/>
          <w:sz w:val="28"/>
          <w:szCs w:val="21"/>
          <w:lang w:eastAsia="zh-CN"/>
        </w:rPr>
        <w:t>七</w:t>
      </w:r>
      <w:r>
        <w:rPr>
          <w:rFonts w:hint="eastAsia" w:asciiTheme="minorEastAsia" w:hAnsiTheme="minorEastAsia" w:eastAsiaTheme="minorEastAsia" w:cstheme="minorEastAsia"/>
          <w:b w:val="0"/>
          <w:bCs w:val="0"/>
          <w:color w:val="auto"/>
          <w:sz w:val="28"/>
          <w:szCs w:val="21"/>
        </w:rPr>
        <w:t>章  评标办法</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_Toc23492 \h </w:instrText>
      </w:r>
      <w:r>
        <w:rPr>
          <w:b w:val="0"/>
          <w:bCs w:val="0"/>
          <w:color w:val="auto"/>
          <w:sz w:val="28"/>
          <w:szCs w:val="21"/>
        </w:rPr>
        <w:fldChar w:fldCharType="separate"/>
      </w:r>
      <w:r>
        <w:rPr>
          <w:b w:val="0"/>
          <w:bCs w:val="0"/>
          <w:color w:val="auto"/>
          <w:sz w:val="28"/>
          <w:szCs w:val="21"/>
        </w:rPr>
        <w:t>53</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pStyle w:val="32"/>
        <w:keepNext w:val="0"/>
        <w:keepLines w:val="0"/>
        <w:pageBreakBefore w:val="0"/>
        <w:widowControl w:val="0"/>
        <w:tabs>
          <w:tab w:val="right" w:leader="dot" w:pos="8312"/>
          <w:tab w:val="clear" w:pos="8398"/>
        </w:tabs>
        <w:kinsoku/>
        <w:wordWrap/>
        <w:overflowPunct/>
        <w:topLinePunct w:val="0"/>
        <w:autoSpaceDE/>
        <w:autoSpaceDN/>
        <w:bidi w:val="0"/>
        <w:adjustRightInd/>
        <w:snapToGrid/>
        <w:spacing w:line="480" w:lineRule="auto"/>
        <w:ind w:firstLine="0" w:firstLineChars="0"/>
        <w:textAlignment w:val="auto"/>
        <w:rPr>
          <w:color w:val="auto"/>
        </w:rPr>
      </w:pPr>
      <w:r>
        <w:rPr>
          <w:rFonts w:hint="eastAsia" w:asciiTheme="minorEastAsia" w:hAnsiTheme="minorEastAsia" w:eastAsiaTheme="minorEastAsia" w:cstheme="minorEastAsia"/>
          <w:b w:val="0"/>
          <w:bCs w:val="0"/>
          <w:color w:val="auto"/>
          <w:sz w:val="28"/>
          <w:szCs w:val="28"/>
        </w:rPr>
        <w:fldChar w:fldCharType="begin"/>
      </w:r>
      <w:r>
        <w:rPr>
          <w:rFonts w:hint="eastAsia" w:asciiTheme="minorEastAsia" w:hAnsiTheme="minorEastAsia" w:eastAsiaTheme="minorEastAsia" w:cstheme="minorEastAsia"/>
          <w:b w:val="0"/>
          <w:bCs w:val="0"/>
          <w:color w:val="auto"/>
          <w:sz w:val="28"/>
          <w:szCs w:val="28"/>
        </w:rPr>
        <w:instrText xml:space="preserve"> HYPERLINK \l _Toc16429 </w:instrText>
      </w:r>
      <w:r>
        <w:rPr>
          <w:rFonts w:hint="eastAsia" w:asciiTheme="minorEastAsia" w:hAnsiTheme="minorEastAsia" w:eastAsiaTheme="minorEastAsia" w:cstheme="minorEastAsia"/>
          <w:b w:val="0"/>
          <w:bCs w:val="0"/>
          <w:color w:val="auto"/>
          <w:sz w:val="28"/>
          <w:szCs w:val="28"/>
        </w:rPr>
        <w:fldChar w:fldCharType="separate"/>
      </w:r>
      <w:r>
        <w:rPr>
          <w:rFonts w:hint="eastAsia" w:asciiTheme="minorEastAsia" w:hAnsiTheme="minorEastAsia" w:eastAsiaTheme="minorEastAsia" w:cstheme="minorEastAsia"/>
          <w:b w:val="0"/>
          <w:bCs w:val="0"/>
          <w:color w:val="auto"/>
          <w:sz w:val="28"/>
          <w:szCs w:val="21"/>
        </w:rPr>
        <w:t>第</w:t>
      </w:r>
      <w:r>
        <w:rPr>
          <w:rFonts w:hint="eastAsia" w:asciiTheme="minorEastAsia" w:hAnsiTheme="minorEastAsia" w:eastAsiaTheme="minorEastAsia" w:cstheme="minorEastAsia"/>
          <w:b w:val="0"/>
          <w:bCs w:val="0"/>
          <w:color w:val="auto"/>
          <w:sz w:val="28"/>
          <w:szCs w:val="21"/>
          <w:lang w:eastAsia="zh-CN"/>
        </w:rPr>
        <w:t>八</w:t>
      </w:r>
      <w:r>
        <w:rPr>
          <w:rFonts w:hint="eastAsia" w:asciiTheme="minorEastAsia" w:hAnsiTheme="minorEastAsia" w:eastAsiaTheme="minorEastAsia" w:cstheme="minorEastAsia"/>
          <w:b w:val="0"/>
          <w:bCs w:val="0"/>
          <w:color w:val="auto"/>
          <w:sz w:val="28"/>
          <w:szCs w:val="21"/>
        </w:rPr>
        <w:t>章  合同主要条款（范本）</w:t>
      </w:r>
      <w:r>
        <w:rPr>
          <w:b w:val="0"/>
          <w:bCs w:val="0"/>
          <w:color w:val="auto"/>
          <w:sz w:val="28"/>
          <w:szCs w:val="21"/>
        </w:rPr>
        <w:tab/>
      </w:r>
      <w:r>
        <w:rPr>
          <w:b w:val="0"/>
          <w:bCs w:val="0"/>
          <w:color w:val="auto"/>
          <w:sz w:val="28"/>
          <w:szCs w:val="21"/>
        </w:rPr>
        <w:fldChar w:fldCharType="begin"/>
      </w:r>
      <w:r>
        <w:rPr>
          <w:b w:val="0"/>
          <w:bCs w:val="0"/>
          <w:color w:val="auto"/>
          <w:sz w:val="28"/>
          <w:szCs w:val="21"/>
        </w:rPr>
        <w:instrText xml:space="preserve"> PAGEREF _Toc16429 \h </w:instrText>
      </w:r>
      <w:r>
        <w:rPr>
          <w:b w:val="0"/>
          <w:bCs w:val="0"/>
          <w:color w:val="auto"/>
          <w:sz w:val="28"/>
          <w:szCs w:val="21"/>
        </w:rPr>
        <w:fldChar w:fldCharType="separate"/>
      </w:r>
      <w:r>
        <w:rPr>
          <w:b w:val="0"/>
          <w:bCs w:val="0"/>
          <w:color w:val="auto"/>
          <w:sz w:val="28"/>
          <w:szCs w:val="21"/>
        </w:rPr>
        <w:t>66</w:t>
      </w:r>
      <w:r>
        <w:rPr>
          <w:b w:val="0"/>
          <w:bCs w:val="0"/>
          <w:color w:val="auto"/>
          <w:sz w:val="28"/>
          <w:szCs w:val="21"/>
        </w:rPr>
        <w:fldChar w:fldCharType="end"/>
      </w:r>
      <w:r>
        <w:rPr>
          <w:rFonts w:hint="eastAsia" w:asciiTheme="minorEastAsia" w:hAnsiTheme="minorEastAsia" w:eastAsiaTheme="minorEastAsia" w:cstheme="minorEastAsia"/>
          <w:b w:val="0"/>
          <w:bCs w:val="0"/>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left"/>
        <w:textAlignment w:val="auto"/>
        <w:rPr>
          <w:rFonts w:hint="eastAsia" w:asciiTheme="minorEastAsia" w:hAnsiTheme="minorEastAsia" w:eastAsiaTheme="minorEastAsia" w:cstheme="minorEastAsia"/>
          <w:bCs/>
          <w:color w:val="auto"/>
          <w:sz w:val="52"/>
          <w:szCs w:val="22"/>
        </w:rPr>
      </w:pPr>
      <w:r>
        <w:rPr>
          <w:rFonts w:hint="eastAsia" w:asciiTheme="minorEastAsia" w:hAnsiTheme="minorEastAsia" w:eastAsiaTheme="minorEastAsia" w:cstheme="minorEastAsia"/>
          <w:bCs/>
          <w:color w:val="auto"/>
          <w:szCs w:val="24"/>
        </w:rPr>
        <w:fldChar w:fldCharType="end"/>
      </w:r>
    </w:p>
    <w:p>
      <w:pPr>
        <w:pStyle w:val="3"/>
        <w:rPr>
          <w:rFonts w:hint="eastAsia" w:asciiTheme="minorEastAsia" w:hAnsiTheme="minorEastAsia" w:eastAsiaTheme="minorEastAsia" w:cstheme="minorEastAsia"/>
          <w:color w:val="auto"/>
        </w:rPr>
        <w:sectPr>
          <w:headerReference r:id="rId4" w:type="first"/>
          <w:headerReference r:id="rId3" w:type="default"/>
          <w:pgSz w:w="11906" w:h="16838"/>
          <w:pgMar w:top="1091" w:right="1797" w:bottom="1091" w:left="1797" w:header="851" w:footer="992" w:gutter="0"/>
          <w:cols w:space="720" w:num="1"/>
          <w:titlePg/>
          <w:docGrid w:linePitch="462" w:charSpace="0"/>
        </w:sectPr>
      </w:pPr>
    </w:p>
    <w:p>
      <w:pPr>
        <w:pStyle w:val="43"/>
        <w:rPr>
          <w:rFonts w:hint="eastAsia" w:asciiTheme="minorEastAsia" w:hAnsiTheme="minorEastAsia" w:eastAsiaTheme="minorEastAsia" w:cstheme="minorEastAsia"/>
          <w:color w:val="auto"/>
        </w:rPr>
      </w:pPr>
      <w:bookmarkStart w:id="2" w:name="_Toc21986"/>
      <w:bookmarkStart w:id="3" w:name="_Toc28666"/>
      <w:bookmarkStart w:id="4" w:name="_Toc12757"/>
      <w:r>
        <w:rPr>
          <w:rFonts w:hint="eastAsia" w:asciiTheme="minorEastAsia" w:hAnsiTheme="minorEastAsia" w:eastAsiaTheme="minorEastAsia" w:cstheme="minorEastAsia"/>
          <w:color w:val="auto"/>
        </w:rPr>
        <w:t xml:space="preserve">第一章  </w:t>
      </w:r>
      <w:bookmarkStart w:id="5" w:name="OLE_LINK1"/>
      <w:r>
        <w:rPr>
          <w:rFonts w:hint="eastAsia" w:asciiTheme="minorEastAsia" w:hAnsiTheme="minorEastAsia" w:eastAsiaTheme="minorEastAsia" w:cstheme="minorEastAsia"/>
          <w:color w:val="auto"/>
        </w:rPr>
        <w:t>投标邀请</w:t>
      </w:r>
      <w:bookmarkEnd w:id="2"/>
      <w:bookmarkEnd w:id="3"/>
      <w:bookmarkEnd w:id="4"/>
    </w:p>
    <w:p>
      <w:pPr>
        <w:pStyle w:val="8"/>
        <w:rPr>
          <w:rFonts w:hint="eastAsia" w:asciiTheme="minorEastAsia" w:hAnsiTheme="minorEastAsia" w:eastAsiaTheme="minorEastAsia" w:cstheme="minorEastAsia"/>
          <w:color w:val="auto"/>
        </w:rPr>
      </w:pPr>
    </w:p>
    <w:p>
      <w:pPr>
        <w:spacing w:line="360" w:lineRule="auto"/>
        <w:ind w:firstLine="723" w:firstLineChars="300"/>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u w:val="single"/>
          <w:lang w:eastAsia="zh-CN"/>
        </w:rPr>
        <w:t>成都市均益建设工程造价咨询有限责任公司</w:t>
      </w:r>
      <w:r>
        <w:rPr>
          <w:rFonts w:hint="eastAsia" w:asciiTheme="minorEastAsia" w:hAnsiTheme="minorEastAsia" w:eastAsiaTheme="minorEastAsia" w:cstheme="minorEastAsia"/>
          <w:color w:val="auto"/>
          <w:sz w:val="24"/>
        </w:rPr>
        <w:t>受</w:t>
      </w:r>
      <w:r>
        <w:rPr>
          <w:rFonts w:hint="eastAsia" w:asciiTheme="minorEastAsia" w:hAnsiTheme="minorEastAsia" w:eastAsiaTheme="minorEastAsia" w:cstheme="minorEastAsia"/>
          <w:b/>
          <w:color w:val="auto"/>
          <w:sz w:val="24"/>
          <w:u w:val="single"/>
          <w:lang w:eastAsia="zh-CN"/>
        </w:rPr>
        <w:t>成都市金牛区市场监督管理局</w:t>
      </w:r>
      <w:r>
        <w:rPr>
          <w:rFonts w:hint="eastAsia" w:asciiTheme="minorEastAsia" w:hAnsiTheme="minorEastAsia" w:eastAsiaTheme="minorEastAsia" w:cstheme="minorEastAsia"/>
          <w:color w:val="auto"/>
          <w:sz w:val="24"/>
        </w:rPr>
        <w:t>委托，拟对“</w:t>
      </w:r>
      <w:r>
        <w:rPr>
          <w:rFonts w:hint="eastAsia" w:asciiTheme="minorEastAsia" w:hAnsiTheme="minorEastAsia" w:eastAsiaTheme="minorEastAsia" w:cstheme="minorEastAsia"/>
          <w:color w:val="auto"/>
          <w:sz w:val="24"/>
          <w:lang w:eastAsia="zh-CN"/>
        </w:rPr>
        <w:t>成都市金牛区市场监督管理局2021年第二次食品安全抽检监测服务项目</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Cs/>
          <w:color w:val="auto"/>
          <w:sz w:val="24"/>
        </w:rPr>
        <w:t>进行</w:t>
      </w:r>
      <w:r>
        <w:rPr>
          <w:rFonts w:hint="eastAsia" w:asciiTheme="minorEastAsia" w:hAnsiTheme="minorEastAsia" w:eastAsiaTheme="minorEastAsia" w:cstheme="minorEastAsia"/>
          <w:color w:val="auto"/>
          <w:sz w:val="24"/>
        </w:rPr>
        <w:t>国内</w:t>
      </w:r>
      <w:r>
        <w:rPr>
          <w:rFonts w:hint="eastAsia" w:asciiTheme="minorEastAsia" w:hAnsiTheme="minorEastAsia" w:eastAsiaTheme="minorEastAsia" w:cstheme="minorEastAsia"/>
          <w:bCs/>
          <w:color w:val="auto"/>
          <w:sz w:val="24"/>
        </w:rPr>
        <w:t>公开</w:t>
      </w:r>
      <w:r>
        <w:rPr>
          <w:rFonts w:hint="eastAsia" w:asciiTheme="minorEastAsia" w:hAnsiTheme="minorEastAsia" w:eastAsiaTheme="minorEastAsia" w:cstheme="minorEastAsia"/>
          <w:color w:val="auto"/>
          <w:sz w:val="24"/>
        </w:rPr>
        <w:t>招标，</w:t>
      </w:r>
      <w:r>
        <w:rPr>
          <w:rFonts w:hint="eastAsia" w:asciiTheme="minorEastAsia" w:hAnsiTheme="minorEastAsia" w:eastAsiaTheme="minorEastAsia" w:cstheme="minorEastAsia"/>
          <w:color w:val="auto"/>
          <w:sz w:val="24"/>
          <w:szCs w:val="28"/>
        </w:rPr>
        <w:t>兹邀请符合本次招标要求的供应商参加</w:t>
      </w:r>
      <w:r>
        <w:rPr>
          <w:rFonts w:hint="eastAsia" w:asciiTheme="minorEastAsia" w:hAnsiTheme="minorEastAsia" w:eastAsiaTheme="minorEastAsia" w:cstheme="minorEastAsia"/>
          <w:color w:val="auto"/>
          <w:sz w:val="24"/>
        </w:rPr>
        <w:t>投标</w:t>
      </w:r>
      <w:r>
        <w:rPr>
          <w:rFonts w:hint="eastAsia" w:asciiTheme="minorEastAsia" w:hAnsiTheme="minorEastAsia" w:eastAsiaTheme="minorEastAsia" w:cstheme="minorEastAsia"/>
          <w:color w:val="auto"/>
          <w:sz w:val="24"/>
          <w:szCs w:val="28"/>
        </w:rPr>
        <w:t>。</w:t>
      </w:r>
    </w:p>
    <w:p>
      <w:pPr>
        <w:spacing w:line="360" w:lineRule="auto"/>
        <w:ind w:right="51" w:rightChars="15" w:firstLine="482" w:firstLineChars="200"/>
        <w:rPr>
          <w:rFonts w:hint="eastAsia" w:asciiTheme="minorEastAsia" w:hAnsiTheme="minorEastAsia" w:eastAsiaTheme="minorEastAsia" w:cstheme="minorEastAsia"/>
          <w:b/>
          <w:color w:val="auto"/>
          <w:sz w:val="24"/>
          <w:szCs w:val="28"/>
          <w:lang w:eastAsia="zh-CN"/>
        </w:rPr>
      </w:pPr>
      <w:r>
        <w:rPr>
          <w:rFonts w:hint="eastAsia" w:asciiTheme="minorEastAsia" w:hAnsiTheme="minorEastAsia" w:eastAsiaTheme="minorEastAsia" w:cstheme="minorEastAsia"/>
          <w:b/>
          <w:color w:val="auto"/>
          <w:sz w:val="24"/>
          <w:szCs w:val="28"/>
          <w:lang w:eastAsia="zh-CN"/>
        </w:rPr>
        <w:t>一、采购项目编号：510106202100186</w:t>
      </w:r>
    </w:p>
    <w:p>
      <w:pPr>
        <w:spacing w:line="360" w:lineRule="auto"/>
        <w:ind w:right="51" w:rightChars="15" w:firstLine="482" w:firstLineChars="200"/>
        <w:rPr>
          <w:rFonts w:hint="eastAsia" w:asciiTheme="minorEastAsia" w:hAnsiTheme="minorEastAsia" w:eastAsiaTheme="minorEastAsia" w:cstheme="minorEastAsia"/>
          <w:b/>
          <w:color w:val="auto"/>
          <w:sz w:val="24"/>
          <w:szCs w:val="28"/>
          <w:lang w:eastAsia="zh-CN"/>
        </w:rPr>
      </w:pPr>
      <w:r>
        <w:rPr>
          <w:rFonts w:hint="eastAsia" w:asciiTheme="minorEastAsia" w:hAnsiTheme="minorEastAsia" w:eastAsiaTheme="minorEastAsia" w:cstheme="minorEastAsia"/>
          <w:b/>
          <w:bCs/>
          <w:color w:val="auto"/>
          <w:sz w:val="24"/>
          <w:szCs w:val="24"/>
        </w:rPr>
        <w:t>二、</w:t>
      </w:r>
      <w:r>
        <w:rPr>
          <w:rFonts w:hint="eastAsia" w:asciiTheme="minorEastAsia" w:hAnsiTheme="minorEastAsia" w:eastAsiaTheme="minorEastAsia" w:cstheme="minorEastAsia"/>
          <w:b/>
          <w:bCs/>
          <w:color w:val="auto"/>
          <w:sz w:val="24"/>
          <w:szCs w:val="24"/>
          <w:lang w:eastAsia="zh-CN"/>
        </w:rPr>
        <w:t>采购</w:t>
      </w:r>
      <w:r>
        <w:rPr>
          <w:rFonts w:hint="eastAsia" w:asciiTheme="minorEastAsia" w:hAnsiTheme="minorEastAsia" w:eastAsiaTheme="minorEastAsia" w:cstheme="minorEastAsia"/>
          <w:b/>
          <w:color w:val="auto"/>
          <w:sz w:val="24"/>
          <w:szCs w:val="24"/>
        </w:rPr>
        <w:t>项目</w:t>
      </w:r>
      <w:r>
        <w:rPr>
          <w:rFonts w:hint="eastAsia" w:asciiTheme="minorEastAsia" w:hAnsiTheme="minorEastAsia" w:eastAsiaTheme="minorEastAsia" w:cstheme="minorEastAsia"/>
          <w:b/>
          <w:color w:val="auto"/>
          <w:sz w:val="24"/>
          <w:szCs w:val="24"/>
          <w:lang w:eastAsia="zh-CN"/>
        </w:rPr>
        <w:t>名称</w:t>
      </w:r>
      <w:r>
        <w:rPr>
          <w:rFonts w:hint="eastAsia" w:asciiTheme="minorEastAsia" w:hAnsiTheme="minorEastAsia" w:eastAsiaTheme="minorEastAsia" w:cstheme="minorEastAsia"/>
          <w:b/>
          <w:color w:val="auto"/>
          <w:sz w:val="24"/>
          <w:szCs w:val="28"/>
        </w:rPr>
        <w:t>：</w:t>
      </w:r>
      <w:r>
        <w:rPr>
          <w:rFonts w:hint="eastAsia" w:asciiTheme="minorEastAsia" w:hAnsiTheme="minorEastAsia" w:eastAsiaTheme="minorEastAsia" w:cstheme="minorEastAsia"/>
          <w:b/>
          <w:color w:val="auto"/>
          <w:sz w:val="24"/>
          <w:szCs w:val="28"/>
          <w:lang w:eastAsia="zh-CN"/>
        </w:rPr>
        <w:t>成都市金牛区市场监督管理局2021年第二次食品安全抽检监测服务项目</w:t>
      </w:r>
    </w:p>
    <w:p>
      <w:pPr>
        <w:spacing w:line="360" w:lineRule="auto"/>
        <w:ind w:right="51" w:rightChars="15" w:firstLine="482"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b/>
          <w:color w:val="auto"/>
          <w:sz w:val="24"/>
          <w:szCs w:val="28"/>
        </w:rPr>
        <w:t>三、资金来源：财政性资金</w:t>
      </w:r>
    </w:p>
    <w:p>
      <w:pPr>
        <w:tabs>
          <w:tab w:val="center" w:pos="4479"/>
        </w:tabs>
        <w:spacing w:line="360" w:lineRule="auto"/>
        <w:ind w:right="51" w:rightChars="15" w:firstLine="482" w:firstLineChars="200"/>
        <w:rPr>
          <w:rFonts w:hint="eastAsia" w:asciiTheme="minorEastAsia" w:hAnsiTheme="minorEastAsia" w:eastAsiaTheme="minorEastAsia" w:cstheme="minorEastAsia"/>
          <w:color w:val="auto"/>
          <w:sz w:val="24"/>
          <w:szCs w:val="28"/>
          <w:u w:val="none"/>
        </w:rPr>
      </w:pPr>
      <w:r>
        <w:rPr>
          <w:rFonts w:hint="eastAsia" w:asciiTheme="minorEastAsia" w:hAnsiTheme="minorEastAsia" w:eastAsiaTheme="minorEastAsia" w:cstheme="minorEastAsia"/>
          <w:b/>
          <w:color w:val="auto"/>
          <w:sz w:val="24"/>
          <w:szCs w:val="28"/>
        </w:rPr>
        <w:t>四、预算金额：人民币</w:t>
      </w:r>
      <w:r>
        <w:rPr>
          <w:rFonts w:hint="eastAsia" w:asciiTheme="minorEastAsia" w:hAnsiTheme="minorEastAsia" w:eastAsiaTheme="minorEastAsia" w:cstheme="minorEastAsia"/>
          <w:b/>
          <w:color w:val="auto"/>
          <w:sz w:val="24"/>
          <w:szCs w:val="28"/>
          <w:u w:val="single"/>
          <w:lang w:val="en-US" w:eastAsia="zh-CN"/>
        </w:rPr>
        <w:t>209万元（第1包预算金额：154 万元；第2包预算金额：55 万元）</w:t>
      </w:r>
    </w:p>
    <w:p>
      <w:pPr>
        <w:spacing w:line="360"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五、采购</w:t>
      </w:r>
      <w:r>
        <w:rPr>
          <w:rFonts w:hint="eastAsia" w:asciiTheme="minorEastAsia" w:hAnsiTheme="minorEastAsia" w:eastAsiaTheme="minorEastAsia" w:cstheme="minorEastAsia"/>
          <w:b/>
          <w:color w:val="auto"/>
          <w:sz w:val="24"/>
          <w:lang w:eastAsia="zh-CN"/>
        </w:rPr>
        <w:t>项目简介</w:t>
      </w:r>
      <w:r>
        <w:rPr>
          <w:rFonts w:hint="eastAsia" w:asciiTheme="minorEastAsia" w:hAnsiTheme="minorEastAsia" w:eastAsiaTheme="minorEastAsia" w:cstheme="minorEastAsia"/>
          <w:color w:val="auto"/>
          <w:sz w:val="24"/>
        </w:rPr>
        <w:t>：本项目共2个包。</w:t>
      </w:r>
    </w:p>
    <w:tbl>
      <w:tblPr>
        <w:tblStyle w:val="47"/>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850"/>
        <w:gridCol w:w="1733"/>
        <w:gridCol w:w="1467"/>
        <w:gridCol w:w="1541"/>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995"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包件号</w:t>
            </w:r>
          </w:p>
        </w:tc>
        <w:tc>
          <w:tcPr>
            <w:tcW w:w="1850"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服务名称</w:t>
            </w:r>
          </w:p>
        </w:tc>
        <w:tc>
          <w:tcPr>
            <w:tcW w:w="1733"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简要技术要求</w:t>
            </w:r>
          </w:p>
        </w:tc>
        <w:tc>
          <w:tcPr>
            <w:tcW w:w="1467"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服务期限</w:t>
            </w:r>
          </w:p>
        </w:tc>
        <w:tc>
          <w:tcPr>
            <w:tcW w:w="1541" w:type="dxa"/>
            <w:noWrap w:val="0"/>
            <w:vAlign w:val="center"/>
          </w:tcPr>
          <w:p>
            <w:pPr>
              <w:spacing w:line="240" w:lineRule="auto"/>
              <w:ind w:firstLine="0" w:firstLineChars="0"/>
              <w:jc w:val="center"/>
              <w:rPr>
                <w:rFonts w:hint="eastAsia" w:ascii="宋体" w:hAnsi="宋体" w:eastAsia="宋体" w:cs="宋体"/>
                <w:bCs/>
                <w:color w:val="auto"/>
                <w:sz w:val="24"/>
                <w:szCs w:val="24"/>
              </w:rPr>
            </w:pPr>
            <w:r>
              <w:rPr>
                <w:rFonts w:hint="eastAsia" w:ascii="宋体" w:hAnsi="宋体" w:eastAsia="宋体" w:cs="宋体"/>
                <w:bCs/>
                <w:color w:val="auto"/>
                <w:sz w:val="24"/>
                <w:szCs w:val="24"/>
                <w:lang w:val="zh-CN"/>
              </w:rPr>
              <w:t>政</w:t>
            </w:r>
            <w:r>
              <w:rPr>
                <w:rFonts w:hint="eastAsia" w:ascii="宋体" w:hAnsi="宋体" w:eastAsia="宋体" w:cs="宋体"/>
                <w:bCs/>
                <w:color w:val="auto"/>
                <w:sz w:val="24"/>
                <w:szCs w:val="24"/>
              </w:rPr>
              <w:t>府采购预算</w:t>
            </w:r>
          </w:p>
        </w:tc>
        <w:tc>
          <w:tcPr>
            <w:tcW w:w="1020" w:type="dxa"/>
            <w:noWrap w:val="0"/>
            <w:vAlign w:val="center"/>
          </w:tcPr>
          <w:p>
            <w:pPr>
              <w:spacing w:line="240" w:lineRule="auto"/>
              <w:ind w:firstLine="0" w:firstLineChars="0"/>
              <w:jc w:val="center"/>
              <w:rPr>
                <w:rFonts w:hint="eastAsia" w:ascii="宋体" w:hAnsi="宋体" w:eastAsia="宋体" w:cs="宋体"/>
                <w:bCs/>
                <w:color w:val="auto"/>
                <w:sz w:val="24"/>
                <w:szCs w:val="24"/>
                <w:lang w:val="zh-CN"/>
              </w:rPr>
            </w:pPr>
            <w:r>
              <w:rPr>
                <w:rFonts w:hint="eastAsia" w:ascii="宋体" w:hAnsi="宋体" w:eastAsia="宋体" w:cs="宋体"/>
                <w:bCs/>
                <w:color w:val="auto"/>
                <w:sz w:val="24"/>
                <w:szCs w:val="24"/>
                <w:lang w:val="zh-CN"/>
              </w:rPr>
              <w:t>中标人数量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995"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850" w:type="dxa"/>
            <w:noWrap w:val="0"/>
            <w:vAlign w:val="center"/>
          </w:tcPr>
          <w:p>
            <w:pPr>
              <w:ind w:firstLine="0" w:firstLineChars="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农药、兽药残留量食品安全抽检</w:t>
            </w:r>
          </w:p>
        </w:tc>
        <w:tc>
          <w:tcPr>
            <w:tcW w:w="1733"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章</w:t>
            </w:r>
          </w:p>
        </w:tc>
        <w:tc>
          <w:tcPr>
            <w:tcW w:w="1467"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章</w:t>
            </w:r>
          </w:p>
        </w:tc>
        <w:tc>
          <w:tcPr>
            <w:tcW w:w="1541" w:type="dxa"/>
            <w:noWrap w:val="0"/>
            <w:vAlign w:val="center"/>
          </w:tcPr>
          <w:p>
            <w:pPr>
              <w:ind w:firstLine="0" w:firstLineChars="0"/>
              <w:jc w:val="center"/>
              <w:rPr>
                <w:rFonts w:hint="eastAsia" w:ascii="宋体" w:hAnsi="宋体" w:eastAsia="宋体" w:cs="宋体"/>
                <w:color w:val="auto"/>
                <w:sz w:val="24"/>
                <w:szCs w:val="24"/>
              </w:rPr>
            </w:pPr>
            <w:r>
              <w:rPr>
                <w:rFonts w:hint="eastAsia" w:hAnsi="宋体" w:cs="宋体"/>
                <w:bCs/>
                <w:color w:val="auto"/>
                <w:sz w:val="24"/>
                <w:szCs w:val="24"/>
                <w:lang w:val="en-US" w:eastAsia="zh-CN"/>
              </w:rPr>
              <w:t>154</w:t>
            </w:r>
            <w:r>
              <w:rPr>
                <w:rFonts w:hint="eastAsia" w:ascii="宋体" w:hAnsi="宋体" w:eastAsia="宋体" w:cs="宋体"/>
                <w:bCs/>
                <w:color w:val="auto"/>
                <w:sz w:val="24"/>
                <w:szCs w:val="24"/>
                <w:lang w:val="en-US" w:eastAsia="zh-CN"/>
              </w:rPr>
              <w:t>万元</w:t>
            </w:r>
          </w:p>
        </w:tc>
        <w:tc>
          <w:tcPr>
            <w:tcW w:w="1020" w:type="dxa"/>
            <w:noWrap w:val="0"/>
            <w:vAlign w:val="center"/>
          </w:tcPr>
          <w:p>
            <w:pPr>
              <w:ind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995" w:type="dxa"/>
            <w:noWrap w:val="0"/>
            <w:vAlign w:val="center"/>
          </w:tcPr>
          <w:p>
            <w:pPr>
              <w:ind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850" w:type="dxa"/>
            <w:noWrap w:val="0"/>
            <w:vAlign w:val="center"/>
          </w:tcPr>
          <w:p>
            <w:pPr>
              <w:ind w:firstLine="0" w:firstLineChars="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食品安全常规抽检和执法抽检等</w:t>
            </w:r>
          </w:p>
        </w:tc>
        <w:tc>
          <w:tcPr>
            <w:tcW w:w="1733" w:type="dxa"/>
            <w:noWrap w:val="0"/>
            <w:vAlign w:val="center"/>
          </w:tcPr>
          <w:p>
            <w:pPr>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章</w:t>
            </w:r>
          </w:p>
        </w:tc>
        <w:tc>
          <w:tcPr>
            <w:tcW w:w="1467" w:type="dxa"/>
            <w:noWrap w:val="0"/>
            <w:vAlign w:val="center"/>
          </w:tcPr>
          <w:p>
            <w:pPr>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章</w:t>
            </w:r>
          </w:p>
        </w:tc>
        <w:tc>
          <w:tcPr>
            <w:tcW w:w="1541" w:type="dxa"/>
            <w:noWrap w:val="0"/>
            <w:vAlign w:val="center"/>
          </w:tcPr>
          <w:p>
            <w:pPr>
              <w:ind w:firstLine="0" w:firstLineChars="0"/>
              <w:jc w:val="center"/>
              <w:rPr>
                <w:rFonts w:hint="eastAsia" w:ascii="宋体" w:hAnsi="宋体" w:eastAsia="宋体" w:cs="宋体"/>
                <w:bCs/>
                <w:color w:val="auto"/>
                <w:sz w:val="24"/>
                <w:szCs w:val="24"/>
                <w:lang w:val="en-US" w:eastAsia="zh-CN"/>
              </w:rPr>
            </w:pPr>
            <w:r>
              <w:rPr>
                <w:rFonts w:hint="eastAsia" w:ascii="宋体" w:hAnsi="宋体" w:eastAsia="宋体" w:cs="宋体"/>
                <w:b w:val="0"/>
                <w:bCs/>
                <w:kern w:val="2"/>
                <w:sz w:val="24"/>
                <w:szCs w:val="24"/>
                <w:highlight w:val="none"/>
                <w:lang w:val="en-US" w:eastAsia="zh-CN" w:bidi="ar-SA"/>
              </w:rPr>
              <w:t>55</w:t>
            </w:r>
            <w:r>
              <w:rPr>
                <w:rFonts w:hint="eastAsia" w:ascii="宋体" w:hAnsi="宋体" w:eastAsia="宋体" w:cs="宋体"/>
                <w:bCs/>
                <w:color w:val="auto"/>
                <w:sz w:val="24"/>
                <w:szCs w:val="24"/>
                <w:lang w:val="en-US" w:eastAsia="zh-CN"/>
              </w:rPr>
              <w:t>万元</w:t>
            </w:r>
          </w:p>
        </w:tc>
        <w:tc>
          <w:tcPr>
            <w:tcW w:w="1020" w:type="dxa"/>
            <w:noWrap w:val="0"/>
            <w:vAlign w:val="center"/>
          </w:tcPr>
          <w:p>
            <w:pPr>
              <w:ind w:firstLine="0" w:firstLineChars="0"/>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1家</w:t>
            </w:r>
          </w:p>
        </w:tc>
      </w:tr>
    </w:tbl>
    <w:p>
      <w:pPr>
        <w:spacing w:line="360" w:lineRule="auto"/>
        <w:ind w:firstLine="482"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
          <w:bCs/>
          <w:color w:val="auto"/>
          <w:sz w:val="24"/>
        </w:rPr>
        <w:t>六、</w:t>
      </w:r>
      <w:r>
        <w:rPr>
          <w:rFonts w:hint="eastAsia" w:asciiTheme="minorEastAsia" w:hAnsiTheme="minorEastAsia" w:eastAsiaTheme="minorEastAsia" w:cstheme="minorEastAsia"/>
          <w:b/>
          <w:bCs/>
          <w:color w:val="auto"/>
          <w:sz w:val="24"/>
          <w:lang w:eastAsia="zh-CN"/>
        </w:rPr>
        <w:t>投标人</w:t>
      </w:r>
      <w:r>
        <w:rPr>
          <w:rFonts w:hint="eastAsia" w:asciiTheme="minorEastAsia" w:hAnsiTheme="minorEastAsia" w:eastAsiaTheme="minorEastAsia" w:cstheme="minorEastAsia"/>
          <w:b/>
          <w:bCs/>
          <w:color w:val="auto"/>
          <w:sz w:val="24"/>
        </w:rPr>
        <w:t>参加本次政府采购活动应具备下列条件</w:t>
      </w:r>
      <w:r>
        <w:rPr>
          <w:rFonts w:hint="eastAsia" w:asciiTheme="minorEastAsia" w:hAnsiTheme="minorEastAsia" w:eastAsiaTheme="minorEastAsia" w:cstheme="minorEastAsia"/>
          <w:bCs/>
          <w:color w:val="auto"/>
          <w:sz w:val="24"/>
        </w:rPr>
        <w:t>：</w:t>
      </w:r>
    </w:p>
    <w:p>
      <w:pPr>
        <w:pStyle w:val="490"/>
        <w:ind w:firstLine="600" w:firstLineChars="250"/>
        <w:rPr>
          <w:rFonts w:hint="eastAsia" w:asciiTheme="minorEastAsia" w:hAnsiTheme="minorEastAsia" w:eastAsiaTheme="minorEastAsia" w:cstheme="minorEastAsia"/>
          <w:color w:val="auto"/>
          <w:sz w:val="24"/>
        </w:rPr>
      </w:pPr>
      <w:bookmarkStart w:id="6" w:name="PO_供应商资格条件_1"/>
      <w:r>
        <w:rPr>
          <w:rFonts w:hint="eastAsia" w:asciiTheme="minorEastAsia" w:hAnsiTheme="minorEastAsia" w:eastAsiaTheme="minorEastAsia" w:cstheme="minorEastAsia"/>
          <w:color w:val="auto"/>
          <w:sz w:val="24"/>
        </w:rPr>
        <w:t>1.具有独立承担民事责任的能力；</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2.具有良好的商业信誉和健全的财务会计制度；</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3.具有履行合同所必须的设备和专业技术能力；</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4.具有依法缴纳税收和社会保障资金的良好记录；</w:t>
      </w:r>
    </w:p>
    <w:p>
      <w:pPr>
        <w:tabs>
          <w:tab w:val="left" w:pos="7665"/>
        </w:tabs>
        <w:spacing w:line="360" w:lineRule="auto"/>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5.参加本次政府采购活动前三年内，在经营活动中没有重大违法记录；</w:t>
      </w:r>
    </w:p>
    <w:p>
      <w:pPr>
        <w:pStyle w:val="490"/>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6.法律、行政法规规定的其他条件；</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7.采购人根据采购项目提出的特殊条件：</w:t>
      </w:r>
    </w:p>
    <w:p>
      <w:pPr>
        <w:pStyle w:val="490"/>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7.</w:t>
      </w:r>
      <w:r>
        <w:rPr>
          <w:rFonts w:hint="eastAsia" w:asciiTheme="minorEastAsia" w:hAnsiTheme="minorEastAsia" w:eastAsiaTheme="minorEastAsia" w:cstheme="minorEastAsia"/>
          <w:color w:val="auto"/>
          <w:sz w:val="24"/>
        </w:rPr>
        <w:t xml:space="preserve">1具有省级及以上行政主管部门颁发的CMA检验检测机构资质认定证书； </w:t>
      </w:r>
    </w:p>
    <w:p>
      <w:pPr>
        <w:pStyle w:val="490"/>
        <w:ind w:firstLine="600" w:firstLineChars="2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7.</w:t>
      </w:r>
      <w:r>
        <w:rPr>
          <w:rFonts w:hint="eastAsia" w:asciiTheme="minorEastAsia" w:hAnsiTheme="minorEastAsia" w:eastAsiaTheme="minorEastAsia" w:cstheme="minorEastAsia"/>
          <w:color w:val="auto"/>
          <w:sz w:val="24"/>
        </w:rPr>
        <w:t>2参加本项目政府采购活动的投标人及其现任法定代表人/主要负责人不得具有行贿犯罪记录。</w:t>
      </w:r>
    </w:p>
    <w:bookmarkEnd w:id="6"/>
    <w:p>
      <w:pPr>
        <w:spacing w:line="520" w:lineRule="exact"/>
        <w:ind w:firstLine="482"/>
        <w:rPr>
          <w:rFonts w:hint="eastAsia" w:asciiTheme="minorEastAsia" w:hAnsiTheme="minorEastAsia" w:eastAsiaTheme="minorEastAsia" w:cstheme="minorEastAsia"/>
          <w:b/>
          <w:bCs/>
          <w:color w:val="auto"/>
          <w:kern w:val="2"/>
          <w:sz w:val="24"/>
          <w:szCs w:val="24"/>
          <w:lang w:val="en-US"/>
        </w:rPr>
      </w:pPr>
      <w:r>
        <w:rPr>
          <w:rFonts w:hint="eastAsia" w:asciiTheme="minorEastAsia" w:hAnsiTheme="minorEastAsia" w:eastAsiaTheme="minorEastAsia" w:cstheme="minorEastAsia"/>
          <w:b/>
          <w:bCs/>
          <w:color w:val="auto"/>
          <w:kern w:val="2"/>
          <w:sz w:val="24"/>
          <w:szCs w:val="24"/>
          <w:lang w:val="en-US"/>
        </w:rPr>
        <w:t>资格条件要求详见本文件第</w:t>
      </w:r>
      <w:r>
        <w:rPr>
          <w:rFonts w:hint="eastAsia" w:asciiTheme="minorEastAsia" w:hAnsiTheme="minorEastAsia" w:eastAsiaTheme="minorEastAsia" w:cstheme="minorEastAsia"/>
          <w:b/>
          <w:bCs/>
          <w:color w:val="auto"/>
          <w:kern w:val="2"/>
          <w:sz w:val="24"/>
          <w:szCs w:val="24"/>
          <w:lang w:val="en-US" w:eastAsia="zh-CN"/>
        </w:rPr>
        <w:t>四</w:t>
      </w:r>
      <w:r>
        <w:rPr>
          <w:rFonts w:hint="eastAsia" w:asciiTheme="minorEastAsia" w:hAnsiTheme="minorEastAsia" w:eastAsiaTheme="minorEastAsia" w:cstheme="minorEastAsia"/>
          <w:b/>
          <w:bCs/>
          <w:color w:val="auto"/>
          <w:kern w:val="2"/>
          <w:sz w:val="24"/>
          <w:szCs w:val="24"/>
          <w:lang w:val="en-US"/>
        </w:rPr>
        <w:t>章，资格条件证明材料详见本文件第</w:t>
      </w:r>
      <w:r>
        <w:rPr>
          <w:rFonts w:hint="eastAsia" w:asciiTheme="minorEastAsia" w:hAnsiTheme="minorEastAsia" w:eastAsiaTheme="minorEastAsia" w:cstheme="minorEastAsia"/>
          <w:b/>
          <w:bCs/>
          <w:color w:val="auto"/>
          <w:kern w:val="2"/>
          <w:sz w:val="24"/>
          <w:szCs w:val="24"/>
          <w:lang w:val="en-US" w:eastAsia="zh-CN"/>
        </w:rPr>
        <w:t>五</w:t>
      </w:r>
      <w:r>
        <w:rPr>
          <w:rFonts w:hint="eastAsia" w:asciiTheme="minorEastAsia" w:hAnsiTheme="minorEastAsia" w:eastAsiaTheme="minorEastAsia" w:cstheme="minorEastAsia"/>
          <w:b/>
          <w:bCs/>
          <w:color w:val="auto"/>
          <w:kern w:val="2"/>
          <w:sz w:val="24"/>
          <w:szCs w:val="24"/>
          <w:lang w:val="en-US"/>
        </w:rPr>
        <w:t>章。</w:t>
      </w:r>
    </w:p>
    <w:p>
      <w:pPr>
        <w:keepNext w:val="0"/>
        <w:keepLines w:val="0"/>
        <w:pageBreakBefore w:val="0"/>
        <w:widowControl w:val="0"/>
        <w:kinsoku/>
        <w:wordWrap/>
        <w:overflowPunct/>
        <w:topLinePunct w:val="0"/>
        <w:autoSpaceDE/>
        <w:autoSpaceDN/>
        <w:bidi w:val="0"/>
        <w:adjustRightInd/>
        <w:snapToGrid/>
        <w:spacing w:after="157" w:afterLines="50" w:line="520" w:lineRule="exact"/>
        <w:ind w:firstLine="482"/>
        <w:textAlignment w:val="auto"/>
        <w:rPr>
          <w:rFonts w:hint="eastAsia" w:asciiTheme="minorEastAsia" w:hAnsiTheme="minorEastAsia" w:eastAsiaTheme="minorEastAsia" w:cstheme="minorEastAsia"/>
          <w:b/>
          <w:color w:val="auto"/>
          <w:sz w:val="24"/>
          <w:lang w:val="en-US" w:eastAsia="zh-CN" w:bidi="ar-SA"/>
        </w:rPr>
      </w:pPr>
      <w:r>
        <w:rPr>
          <w:rFonts w:hint="eastAsia" w:asciiTheme="minorEastAsia" w:hAnsiTheme="minorEastAsia" w:eastAsiaTheme="minorEastAsia" w:cstheme="minorEastAsia"/>
          <w:b/>
          <w:color w:val="auto"/>
          <w:sz w:val="24"/>
          <w:lang w:val="en-US" w:eastAsia="zh-CN" w:bidi="ar-SA"/>
        </w:rPr>
        <w:t>七、本项目不接受联合体投标。</w:t>
      </w:r>
    </w:p>
    <w:p>
      <w:pPr>
        <w:pStyle w:val="16"/>
        <w:spacing w:line="360" w:lineRule="auto"/>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szCs w:val="28"/>
          <w:lang w:eastAsia="zh-CN"/>
        </w:rPr>
        <w:t>八</w:t>
      </w:r>
      <w:r>
        <w:rPr>
          <w:rFonts w:hint="eastAsia" w:asciiTheme="minorEastAsia" w:hAnsiTheme="minorEastAsia" w:eastAsiaTheme="minorEastAsia" w:cstheme="minorEastAsia"/>
          <w:b/>
          <w:color w:val="auto"/>
          <w:sz w:val="24"/>
          <w:szCs w:val="28"/>
        </w:rPr>
        <w:t>、</w:t>
      </w:r>
      <w:r>
        <w:rPr>
          <w:rFonts w:hint="eastAsia" w:asciiTheme="minorEastAsia" w:hAnsiTheme="minorEastAsia" w:eastAsiaTheme="minorEastAsia" w:cstheme="minorEastAsia"/>
          <w:b/>
          <w:color w:val="auto"/>
          <w:sz w:val="24"/>
        </w:rPr>
        <w:t>禁止参加本次采购活动的供应商</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根据《关于在政府采购活动中查询及使用信用记录有关问题的通知》（财库〔2016〕125号）的要求，采购代理机构将</w:t>
      </w:r>
      <w:r>
        <w:rPr>
          <w:rFonts w:hint="eastAsia" w:asciiTheme="minorEastAsia" w:hAnsiTheme="minorEastAsia" w:eastAsiaTheme="minorEastAsia" w:cstheme="minorEastAsia"/>
          <w:color w:val="auto"/>
          <w:sz w:val="24"/>
          <w:lang w:eastAsia="zh-CN"/>
        </w:rPr>
        <w:t>在投标文件递交截止时间后</w:t>
      </w:r>
      <w:r>
        <w:rPr>
          <w:rFonts w:hint="eastAsia" w:asciiTheme="minorEastAsia" w:hAnsiTheme="minorEastAsia" w:eastAsiaTheme="minorEastAsia" w:cstheme="minorEastAsia"/>
          <w:color w:val="auto"/>
          <w:sz w:val="24"/>
        </w:rPr>
        <w:t>通过“信用中国”网站（</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"http://www.creditchina.gov.cn"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4"/>
        </w:rPr>
        <w:t>www.creditchina.gov.cn</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rPr>
        <w:t>）、“中国政府采购网”网站（www.ccgp.gov.cn）等渠道查询供应商在采购公告发布之日前的信用记录并保存信用记录结果网页截图，拒绝列入失信被执行人、重大税收违法案件当事人名单、政府采购严重违法失信行为记录名单中的供应商参加本项目的采购活动。</w:t>
      </w:r>
    </w:p>
    <w:p>
      <w:pPr>
        <w:keepNext w:val="0"/>
        <w:keepLines w:val="0"/>
        <w:pageBreakBefore w:val="0"/>
        <w:widowControl/>
        <w:kinsoku/>
        <w:wordWrap/>
        <w:overflowPunct/>
        <w:topLinePunct w:val="0"/>
        <w:autoSpaceDE/>
        <w:autoSpaceDN/>
        <w:bidi w:val="0"/>
        <w:adjustRightInd/>
        <w:snapToGrid/>
        <w:spacing w:after="50" w:line="360" w:lineRule="auto"/>
        <w:ind w:firstLine="480"/>
        <w:textAlignment w:val="auto"/>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lang w:eastAsia="zh-CN"/>
        </w:rPr>
        <w:t>九</w:t>
      </w:r>
      <w:r>
        <w:rPr>
          <w:rFonts w:hint="eastAsia" w:asciiTheme="minorEastAsia" w:hAnsiTheme="minorEastAsia" w:eastAsiaTheme="minorEastAsia" w:cstheme="minorEastAsia"/>
          <w:b/>
          <w:color w:val="auto"/>
          <w:sz w:val="24"/>
        </w:rPr>
        <w:t>、招标文件获取：</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招标文件获取时间：</w:t>
      </w:r>
      <w:r>
        <w:rPr>
          <w:rFonts w:hint="eastAsia" w:asciiTheme="minorEastAsia" w:hAnsiTheme="minorEastAsia" w:eastAsiaTheme="minorEastAsia" w:cstheme="minorEastAsia"/>
          <w:color w:val="auto"/>
          <w:sz w:val="24"/>
        </w:rPr>
        <w:t>自202</w:t>
      </w:r>
      <w:r>
        <w:rPr>
          <w:rFonts w:hint="eastAsia" w:asciiTheme="minorEastAsia" w:hAnsiTheme="minorEastAsia" w:eastAsiaTheme="minorEastAsia" w:cstheme="minorEastAsia"/>
          <w:color w:val="auto"/>
          <w:sz w:val="24"/>
          <w:lang w:val="en-US" w:eastAsia="zh-CN"/>
        </w:rPr>
        <w:t>1</w:t>
      </w:r>
      <w:r>
        <w:rPr>
          <w:rFonts w:hint="eastAsia" w:asciiTheme="minorEastAsia" w:hAnsiTheme="minorEastAsia" w:eastAsiaTheme="minorEastAsia" w:cstheme="minorEastAsia"/>
          <w:color w:val="auto"/>
          <w:sz w:val="24"/>
        </w:rPr>
        <w:t>年</w:t>
      </w:r>
      <w:r>
        <w:rPr>
          <w:rFonts w:hint="eastAsia" w:asciiTheme="minorEastAsia" w:hAnsiTheme="minorEastAsia" w:eastAsiaTheme="minorEastAsia" w:cstheme="minorEastAsia"/>
          <w:color w:val="auto"/>
          <w:sz w:val="24"/>
          <w:lang w:val="en-US" w:eastAsia="zh-CN"/>
        </w:rPr>
        <w:t>10</w:t>
      </w:r>
      <w:r>
        <w:rPr>
          <w:rFonts w:hint="eastAsia" w:asciiTheme="minorEastAsia" w:hAnsiTheme="minorEastAsia" w:eastAsiaTheme="minorEastAsia" w:cstheme="minorEastAsia"/>
          <w:color w:val="auto"/>
          <w:sz w:val="24"/>
        </w:rPr>
        <w:t>月</w:t>
      </w:r>
      <w:r>
        <w:rPr>
          <w:rFonts w:hint="eastAsia" w:asciiTheme="minorEastAsia" w:hAnsiTheme="minorEastAsia" w:eastAsiaTheme="minorEastAsia" w:cstheme="minorEastAsia"/>
          <w:color w:val="auto"/>
          <w:sz w:val="24"/>
          <w:lang w:val="en-US" w:eastAsia="zh-CN"/>
        </w:rPr>
        <w:t>19</w:t>
      </w:r>
      <w:r>
        <w:rPr>
          <w:rFonts w:hint="eastAsia" w:asciiTheme="minorEastAsia" w:hAnsiTheme="minorEastAsia" w:eastAsiaTheme="minorEastAsia" w:cstheme="minorEastAsia"/>
          <w:color w:val="auto"/>
          <w:sz w:val="24"/>
        </w:rPr>
        <w:t>日至202</w:t>
      </w:r>
      <w:r>
        <w:rPr>
          <w:rFonts w:hint="eastAsia" w:asciiTheme="minorEastAsia" w:hAnsiTheme="minorEastAsia" w:eastAsiaTheme="minorEastAsia" w:cstheme="minorEastAsia"/>
          <w:color w:val="auto"/>
          <w:sz w:val="24"/>
          <w:lang w:val="en-US" w:eastAsia="zh-CN"/>
        </w:rPr>
        <w:t>1</w:t>
      </w:r>
      <w:r>
        <w:rPr>
          <w:rFonts w:hint="eastAsia" w:asciiTheme="minorEastAsia" w:hAnsiTheme="minorEastAsia" w:eastAsiaTheme="minorEastAsia" w:cstheme="minorEastAsia"/>
          <w:color w:val="auto"/>
          <w:sz w:val="24"/>
        </w:rPr>
        <w:t>年</w:t>
      </w:r>
      <w:r>
        <w:rPr>
          <w:rFonts w:hint="eastAsia" w:asciiTheme="minorEastAsia" w:hAnsiTheme="minorEastAsia" w:eastAsiaTheme="minorEastAsia" w:cstheme="minorEastAsia"/>
          <w:color w:val="auto"/>
          <w:sz w:val="24"/>
          <w:lang w:val="en-US" w:eastAsia="zh-CN"/>
        </w:rPr>
        <w:t>10</w:t>
      </w:r>
      <w:r>
        <w:rPr>
          <w:rFonts w:hint="eastAsia" w:asciiTheme="minorEastAsia" w:hAnsiTheme="minorEastAsia" w:eastAsiaTheme="minorEastAsia" w:cstheme="minorEastAsia"/>
          <w:color w:val="auto"/>
          <w:sz w:val="24"/>
        </w:rPr>
        <w:t>月</w:t>
      </w:r>
      <w:r>
        <w:rPr>
          <w:rFonts w:hint="eastAsia" w:asciiTheme="minorEastAsia" w:hAnsiTheme="minorEastAsia" w:eastAsiaTheme="minorEastAsia" w:cstheme="minorEastAsia"/>
          <w:color w:val="auto"/>
          <w:sz w:val="24"/>
          <w:lang w:val="en-US" w:eastAsia="zh-CN"/>
        </w:rPr>
        <w:t>26</w:t>
      </w:r>
      <w:r>
        <w:rPr>
          <w:rFonts w:hint="eastAsia" w:asciiTheme="minorEastAsia" w:hAnsiTheme="minorEastAsia" w:eastAsiaTheme="minorEastAsia" w:cstheme="minorEastAsia"/>
          <w:color w:val="auto"/>
          <w:sz w:val="24"/>
        </w:rPr>
        <w:t>日每天上午9:00至12:00,下午14:00至17:00（北京时间，法定节假日除外）。</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lang w:eastAsia="zh-CN"/>
        </w:rPr>
        <w:t>招标文件获取方式</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b w:val="0"/>
          <w:bCs w:val="0"/>
          <w:color w:val="auto"/>
          <w:sz w:val="24"/>
          <w:lang w:eastAsia="zh-CN"/>
        </w:rPr>
        <w:t>投标人</w:t>
      </w:r>
      <w:r>
        <w:rPr>
          <w:rFonts w:hint="eastAsia" w:asciiTheme="minorEastAsia" w:hAnsiTheme="minorEastAsia" w:eastAsiaTheme="minorEastAsia" w:cstheme="minorEastAsia"/>
          <w:color w:val="auto"/>
          <w:sz w:val="24"/>
        </w:rPr>
        <w:t>从“政府采购云平台”获取采购文件（网址：https://www.zcygov.cn）。登录政府采购云平台—项目采购—获取采购文件—申请获取采购文件。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（1）本项目</w:t>
      </w:r>
      <w:r>
        <w:rPr>
          <w:rFonts w:hint="eastAsia" w:asciiTheme="minorEastAsia" w:hAnsiTheme="minorEastAsia" w:eastAsiaTheme="minorEastAsia" w:cstheme="minorEastAsia"/>
          <w:color w:val="auto"/>
          <w:sz w:val="24"/>
          <w:lang w:eastAsia="zh-CN"/>
        </w:rPr>
        <w:t>招标</w:t>
      </w:r>
      <w:r>
        <w:rPr>
          <w:rFonts w:hint="eastAsia" w:asciiTheme="minorEastAsia" w:hAnsiTheme="minorEastAsia" w:eastAsiaTheme="minorEastAsia" w:cstheme="minorEastAsia"/>
          <w:color w:val="auto"/>
          <w:sz w:val="24"/>
        </w:rPr>
        <w:t>文件免费获取。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只有在“政府采购云平台”完成获取</w:t>
      </w:r>
      <w:r>
        <w:rPr>
          <w:rFonts w:hint="eastAsia" w:asciiTheme="minorEastAsia" w:hAnsiTheme="minorEastAsia" w:eastAsiaTheme="minorEastAsia" w:cstheme="minorEastAsia"/>
          <w:color w:val="auto"/>
          <w:sz w:val="24"/>
          <w:lang w:eastAsia="zh-CN"/>
        </w:rPr>
        <w:t>招标</w:t>
      </w:r>
      <w:r>
        <w:rPr>
          <w:rFonts w:hint="eastAsia" w:asciiTheme="minorEastAsia" w:hAnsiTheme="minorEastAsia" w:eastAsiaTheme="minorEastAsia" w:cstheme="minorEastAsia"/>
          <w:color w:val="auto"/>
          <w:sz w:val="24"/>
        </w:rPr>
        <w:t>文件申请并下载</w:t>
      </w:r>
      <w:r>
        <w:rPr>
          <w:rFonts w:hint="eastAsia" w:asciiTheme="minorEastAsia" w:hAnsiTheme="minorEastAsia" w:eastAsiaTheme="minorEastAsia" w:cstheme="minorEastAsia"/>
          <w:color w:val="auto"/>
          <w:sz w:val="24"/>
          <w:lang w:eastAsia="zh-CN"/>
        </w:rPr>
        <w:t>招标</w:t>
      </w:r>
      <w:r>
        <w:rPr>
          <w:rFonts w:hint="eastAsia" w:asciiTheme="minorEastAsia" w:hAnsiTheme="minorEastAsia" w:eastAsiaTheme="minorEastAsia" w:cstheme="minorEastAsia"/>
          <w:color w:val="auto"/>
          <w:sz w:val="24"/>
        </w:rPr>
        <w:t>文件后才视作依法参与本项目。如未在“政府采购云平台”内完成相关流程，引起的投标无效责任自负。</w:t>
      </w:r>
    </w:p>
    <w:p>
      <w:pPr>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（3）本项目为电子招标投标项目，投标人参与本项目全过程中凡涉及系统操作请详见《供应商政府采购项目电子交易操作指南》。（操作指南以政府采购云平台网站发布为准，获取方式详见：附件</w:t>
      </w:r>
      <w:r>
        <w:rPr>
          <w:rFonts w:hint="eastAsia" w:asciiTheme="minorEastAsia" w:hAnsiTheme="minorEastAsia" w:eastAsiaTheme="minorEastAsia" w:cstheme="minorEastAsia"/>
          <w:color w:val="auto"/>
          <w:sz w:val="24"/>
          <w:lang w:eastAsia="zh-CN"/>
        </w:rPr>
        <w:t>四</w:t>
      </w:r>
      <w:r>
        <w:rPr>
          <w:rFonts w:hint="eastAsia" w:asciiTheme="minorEastAsia" w:hAnsiTheme="minorEastAsia" w:eastAsiaTheme="minorEastAsia" w:cstheme="minorEastAsia"/>
          <w:color w:val="auto"/>
          <w:sz w:val="24"/>
        </w:rPr>
        <w:t>-政府采购云平台使用介绍）。</w:t>
      </w:r>
    </w:p>
    <w:p>
      <w:pPr>
        <w:spacing w:line="360" w:lineRule="auto"/>
        <w:ind w:firstLine="482" w:firstLineChars="200"/>
        <w:rPr>
          <w:rFonts w:hint="eastAsia" w:asciiTheme="minorEastAsia" w:hAnsiTheme="minorEastAsia" w:eastAsiaTheme="minorEastAsia" w:cstheme="minorEastAsia"/>
          <w:b/>
          <w:bCs/>
          <w:color w:val="auto"/>
          <w:sz w:val="24"/>
          <w:lang w:val="en-US" w:eastAsia="zh-CN"/>
        </w:rPr>
      </w:pPr>
      <w:r>
        <w:rPr>
          <w:rFonts w:hint="eastAsia" w:asciiTheme="minorEastAsia" w:hAnsiTheme="minorEastAsia" w:eastAsiaTheme="minorEastAsia" w:cstheme="minorEastAsia"/>
          <w:b/>
          <w:color w:val="auto"/>
          <w:sz w:val="24"/>
          <w:szCs w:val="28"/>
          <w:lang w:eastAsia="zh-CN"/>
        </w:rPr>
        <w:t>十</w:t>
      </w:r>
      <w:r>
        <w:rPr>
          <w:rFonts w:hint="eastAsia" w:asciiTheme="minorEastAsia" w:hAnsiTheme="minorEastAsia" w:eastAsiaTheme="minorEastAsia" w:cstheme="minorEastAsia"/>
          <w:b/>
          <w:color w:val="auto"/>
          <w:sz w:val="24"/>
          <w:szCs w:val="28"/>
        </w:rPr>
        <w:t>、递交投标文件</w:t>
      </w:r>
      <w:r>
        <w:rPr>
          <w:rFonts w:hint="eastAsia" w:asciiTheme="minorEastAsia" w:hAnsiTheme="minorEastAsia" w:eastAsiaTheme="minorEastAsia" w:cstheme="minorEastAsia"/>
          <w:b/>
          <w:color w:val="auto"/>
          <w:sz w:val="24"/>
          <w:szCs w:val="28"/>
          <w:lang w:eastAsia="zh-CN"/>
        </w:rPr>
        <w:t>截止</w:t>
      </w:r>
      <w:r>
        <w:rPr>
          <w:rFonts w:hint="eastAsia" w:asciiTheme="minorEastAsia" w:hAnsiTheme="minorEastAsia" w:eastAsiaTheme="minorEastAsia" w:cstheme="minorEastAsia"/>
          <w:b/>
          <w:color w:val="auto"/>
          <w:sz w:val="24"/>
          <w:szCs w:val="28"/>
        </w:rPr>
        <w:t>时间：</w:t>
      </w:r>
      <w:r>
        <w:rPr>
          <w:rFonts w:hint="eastAsia" w:asciiTheme="minorEastAsia" w:hAnsiTheme="minorEastAsia" w:eastAsiaTheme="minorEastAsia" w:cstheme="minorEastAsia"/>
          <w:b/>
          <w:bCs/>
          <w:color w:val="auto"/>
          <w:sz w:val="24"/>
          <w:lang w:val="en-US" w:eastAsia="zh-CN"/>
        </w:rPr>
        <w:t>2021年11月8日10:00（北京时间）</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投标截止时间前，投标人应将加密的电子投标文件递交至“政府采购云平台”对应项目（包件）。</w:t>
      </w:r>
    </w:p>
    <w:p>
      <w:pPr>
        <w:spacing w:line="360" w:lineRule="auto"/>
        <w:ind w:firstLine="482" w:firstLineChars="200"/>
        <w:rPr>
          <w:rFonts w:hint="eastAsia" w:asciiTheme="minorEastAsia" w:hAnsiTheme="minorEastAsia" w:eastAsiaTheme="minorEastAsia" w:cstheme="minorEastAsia"/>
          <w:color w:val="auto"/>
          <w:sz w:val="24"/>
          <w:szCs w:val="28"/>
        </w:rPr>
      </w:pPr>
      <w:r>
        <w:rPr>
          <w:rFonts w:hint="eastAsia" w:asciiTheme="minorEastAsia" w:hAnsiTheme="minorEastAsia" w:eastAsiaTheme="minorEastAsia" w:cstheme="minorEastAsia"/>
          <w:b/>
          <w:color w:val="auto"/>
          <w:sz w:val="24"/>
        </w:rPr>
        <w:t>十</w:t>
      </w:r>
      <w:r>
        <w:rPr>
          <w:rFonts w:hint="eastAsia" w:asciiTheme="minorEastAsia" w:hAnsiTheme="minorEastAsia" w:eastAsiaTheme="minorEastAsia" w:cstheme="minorEastAsia"/>
          <w:b/>
          <w:color w:val="auto"/>
          <w:sz w:val="24"/>
          <w:lang w:eastAsia="zh-CN"/>
        </w:rPr>
        <w:t>一</w:t>
      </w:r>
      <w:r>
        <w:rPr>
          <w:rFonts w:hint="eastAsia" w:asciiTheme="minorEastAsia" w:hAnsiTheme="minorEastAsia" w:eastAsiaTheme="minorEastAsia" w:cstheme="minorEastAsia"/>
          <w:b/>
          <w:color w:val="auto"/>
          <w:sz w:val="24"/>
        </w:rPr>
        <w:t>、开标时间：</w:t>
      </w:r>
      <w:r>
        <w:rPr>
          <w:rFonts w:hint="eastAsia" w:asciiTheme="minorEastAsia" w:hAnsiTheme="minorEastAsia" w:eastAsiaTheme="minorEastAsia" w:cstheme="minorEastAsia"/>
          <w:b/>
          <w:bCs/>
          <w:color w:val="auto"/>
          <w:sz w:val="24"/>
          <w:lang w:val="en-US" w:eastAsia="zh-CN"/>
        </w:rPr>
        <w:t>2021年11月8日10:00（北京时间）</w:t>
      </w:r>
      <w:r>
        <w:rPr>
          <w:rFonts w:hint="eastAsia" w:asciiTheme="minorEastAsia" w:hAnsiTheme="minorEastAsia" w:eastAsiaTheme="minorEastAsia" w:cstheme="minorEastAsia"/>
          <w:color w:val="auto"/>
          <w:sz w:val="24"/>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auto"/>
          <w:sz w:val="24"/>
          <w:szCs w:val="28"/>
        </w:rPr>
      </w:pPr>
      <w:r>
        <w:rPr>
          <w:rFonts w:hint="eastAsia" w:asciiTheme="minorEastAsia" w:hAnsiTheme="minorEastAsia" w:eastAsiaTheme="minorEastAsia" w:cstheme="minorEastAsia"/>
          <w:b/>
          <w:color w:val="auto"/>
          <w:sz w:val="24"/>
        </w:rPr>
        <w:t>十</w:t>
      </w:r>
      <w:r>
        <w:rPr>
          <w:rFonts w:hint="eastAsia" w:asciiTheme="minorEastAsia" w:hAnsiTheme="minorEastAsia" w:eastAsiaTheme="minorEastAsia" w:cstheme="minorEastAsia"/>
          <w:b/>
          <w:color w:val="auto"/>
          <w:sz w:val="24"/>
          <w:lang w:eastAsia="zh-CN"/>
        </w:rPr>
        <w:t>二</w:t>
      </w:r>
      <w:r>
        <w:rPr>
          <w:rFonts w:hint="eastAsia" w:asciiTheme="minorEastAsia" w:hAnsiTheme="minorEastAsia" w:eastAsiaTheme="minorEastAsia" w:cstheme="minorEastAsia"/>
          <w:b/>
          <w:color w:val="auto"/>
          <w:sz w:val="24"/>
          <w:szCs w:val="28"/>
        </w:rPr>
        <w:t>、开标地点：</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（1）本项目为不见面开标项目。</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（2）开标地点：政府采购云平台(https://www.zcygov.cn)</w:t>
      </w:r>
    </w:p>
    <w:p>
      <w:pPr>
        <w:pStyle w:val="490"/>
        <w:keepNext w:val="0"/>
        <w:keepLines w:val="0"/>
        <w:pageBreakBefore w:val="0"/>
        <w:widowControl w:val="0"/>
        <w:kinsoku/>
        <w:wordWrap/>
        <w:overflowPunct/>
        <w:topLinePunct w:val="0"/>
        <w:autoSpaceDE/>
        <w:autoSpaceDN/>
        <w:bidi w:val="0"/>
        <w:adjustRightInd/>
        <w:snapToGrid/>
        <w:ind w:firstLine="600" w:firstLineChars="25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（3）本项目只接受投标人加密并递交至“政府采购云平台”的投标文件。</w:t>
      </w:r>
    </w:p>
    <w:p>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auto"/>
          <w:sz w:val="24"/>
          <w:szCs w:val="28"/>
        </w:rPr>
      </w:pPr>
      <w:r>
        <w:rPr>
          <w:rFonts w:hint="eastAsia" w:asciiTheme="minorEastAsia" w:hAnsiTheme="minorEastAsia" w:eastAsiaTheme="minorEastAsia" w:cstheme="minorEastAsia"/>
          <w:b/>
          <w:color w:val="auto"/>
          <w:sz w:val="24"/>
          <w:szCs w:val="28"/>
          <w:lang w:eastAsia="zh-CN"/>
        </w:rPr>
        <w:t>十三、</w:t>
      </w:r>
      <w:r>
        <w:rPr>
          <w:rFonts w:hint="eastAsia" w:asciiTheme="minorEastAsia" w:hAnsiTheme="minorEastAsia" w:eastAsiaTheme="minorEastAsia" w:cstheme="minorEastAsia"/>
          <w:b/>
          <w:color w:val="auto"/>
          <w:sz w:val="24"/>
          <w:szCs w:val="28"/>
        </w:rPr>
        <w:t>本</w:t>
      </w:r>
      <w:r>
        <w:rPr>
          <w:rFonts w:hint="eastAsia" w:asciiTheme="minorEastAsia" w:hAnsiTheme="minorEastAsia" w:eastAsiaTheme="minorEastAsia" w:cstheme="minorEastAsia"/>
          <w:b/>
          <w:color w:val="auto"/>
          <w:sz w:val="24"/>
          <w:szCs w:val="28"/>
          <w:lang w:eastAsia="zh-CN"/>
        </w:rPr>
        <w:t>项目</w:t>
      </w:r>
      <w:r>
        <w:rPr>
          <w:rFonts w:hint="eastAsia" w:asciiTheme="minorEastAsia" w:hAnsiTheme="minorEastAsia" w:eastAsiaTheme="minorEastAsia" w:cstheme="minorEastAsia"/>
          <w:b/>
          <w:color w:val="auto"/>
          <w:sz w:val="24"/>
          <w:szCs w:val="28"/>
        </w:rPr>
        <w:t>投标邀</w:t>
      </w:r>
      <w:r>
        <w:rPr>
          <w:rFonts w:hint="eastAsia" w:asciiTheme="minorEastAsia" w:hAnsiTheme="minorEastAsia" w:eastAsiaTheme="minorEastAsia" w:cstheme="minorEastAsia"/>
          <w:b/>
          <w:color w:val="auto"/>
          <w:sz w:val="24"/>
          <w:szCs w:val="28"/>
          <w:lang w:val="en-US" w:eastAsia="zh-CN"/>
        </w:rPr>
        <w:t>请在四川政府采购网（http://www.ccgp-sichuan.gov.cn）上以公告形式发布。</w:t>
      </w:r>
    </w:p>
    <w:p>
      <w:pPr>
        <w:pStyle w:val="490"/>
        <w:ind w:firstLine="482"/>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十</w:t>
      </w:r>
      <w:r>
        <w:rPr>
          <w:rFonts w:hint="eastAsia" w:asciiTheme="minorEastAsia" w:hAnsiTheme="minorEastAsia" w:eastAsiaTheme="minorEastAsia" w:cstheme="minorEastAsia"/>
          <w:b/>
          <w:color w:val="auto"/>
          <w:sz w:val="24"/>
          <w:lang w:eastAsia="zh-CN"/>
        </w:rPr>
        <w:t>四</w:t>
      </w:r>
      <w:r>
        <w:rPr>
          <w:rFonts w:hint="eastAsia" w:asciiTheme="minorEastAsia" w:hAnsiTheme="minorEastAsia" w:eastAsiaTheme="minorEastAsia" w:cstheme="minorEastAsia"/>
          <w:b/>
          <w:color w:val="auto"/>
          <w:sz w:val="24"/>
        </w:rPr>
        <w:t>、联系方式</w:t>
      </w:r>
    </w:p>
    <w:bookmarkEnd w:id="5"/>
    <w:p>
      <w:pPr>
        <w:pStyle w:val="490"/>
        <w:ind w:firstLine="1068" w:firstLineChars="445"/>
        <w:rPr>
          <w:rFonts w:hint="eastAsia" w:asciiTheme="minorEastAsia" w:hAnsiTheme="minorEastAsia" w:eastAsiaTheme="minorEastAsia" w:cstheme="minorEastAsia"/>
          <w:color w:val="auto"/>
          <w:kern w:val="2"/>
          <w:sz w:val="24"/>
          <w:szCs w:val="24"/>
          <w:lang w:eastAsia="zh-CN"/>
        </w:rPr>
      </w:pPr>
      <w:r>
        <w:rPr>
          <w:rFonts w:hint="eastAsia" w:asciiTheme="minorEastAsia" w:hAnsiTheme="minorEastAsia" w:eastAsiaTheme="minorEastAsia" w:cstheme="minorEastAsia"/>
          <w:color w:val="auto"/>
          <w:kern w:val="2"/>
          <w:sz w:val="24"/>
          <w:szCs w:val="24"/>
        </w:rPr>
        <w:t>采购人：</w:t>
      </w:r>
      <w:r>
        <w:rPr>
          <w:rFonts w:hint="eastAsia" w:asciiTheme="minorEastAsia" w:hAnsiTheme="minorEastAsia" w:eastAsiaTheme="minorEastAsia" w:cstheme="minorEastAsia"/>
          <w:color w:val="auto"/>
          <w:kern w:val="2"/>
          <w:sz w:val="24"/>
          <w:szCs w:val="24"/>
          <w:lang w:eastAsia="zh-CN"/>
        </w:rPr>
        <w:t>成都市金牛区市场监督管理局</w:t>
      </w:r>
    </w:p>
    <w:p>
      <w:pPr>
        <w:pStyle w:val="490"/>
        <w:ind w:firstLine="1068" w:firstLineChars="445"/>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通讯地址：</w:t>
      </w:r>
      <w:r>
        <w:rPr>
          <w:rFonts w:hint="eastAsia" w:asciiTheme="minorEastAsia" w:hAnsiTheme="minorEastAsia" w:eastAsiaTheme="minorEastAsia" w:cstheme="minorEastAsia"/>
          <w:color w:val="auto"/>
          <w:kern w:val="2"/>
          <w:sz w:val="24"/>
          <w:szCs w:val="24"/>
          <w:lang w:eastAsia="zh-CN"/>
        </w:rPr>
        <w:t>成都市金牛区沙湾东二路5号智业加州B座617室</w:t>
      </w:r>
    </w:p>
    <w:p>
      <w:pPr>
        <w:pStyle w:val="490"/>
        <w:ind w:firstLine="1068" w:firstLineChars="445"/>
        <w:rPr>
          <w:rFonts w:hint="eastAsia" w:asciiTheme="minorEastAsia" w:hAnsiTheme="minorEastAsia" w:eastAsiaTheme="minorEastAsia" w:cstheme="minorEastAsia"/>
          <w:color w:val="auto"/>
          <w:kern w:val="2"/>
          <w:sz w:val="24"/>
          <w:szCs w:val="24"/>
          <w:lang w:eastAsia="zh-CN"/>
        </w:rPr>
      </w:pPr>
      <w:r>
        <w:rPr>
          <w:rFonts w:hint="eastAsia" w:asciiTheme="minorEastAsia" w:hAnsiTheme="minorEastAsia" w:eastAsiaTheme="minorEastAsia" w:cstheme="minorEastAsia"/>
          <w:color w:val="auto"/>
          <w:kern w:val="2"/>
          <w:sz w:val="24"/>
          <w:szCs w:val="24"/>
        </w:rPr>
        <w:t>联 系 人：</w:t>
      </w:r>
      <w:r>
        <w:rPr>
          <w:rFonts w:hint="eastAsia" w:asciiTheme="minorEastAsia" w:hAnsiTheme="minorEastAsia" w:eastAsiaTheme="minorEastAsia" w:cstheme="minorEastAsia"/>
          <w:color w:val="auto"/>
          <w:kern w:val="2"/>
          <w:sz w:val="24"/>
          <w:szCs w:val="24"/>
          <w:lang w:eastAsia="zh-CN"/>
        </w:rPr>
        <w:t>李</w:t>
      </w:r>
      <w:r>
        <w:rPr>
          <w:rFonts w:hint="eastAsia" w:asciiTheme="minorEastAsia" w:hAnsiTheme="minorEastAsia" w:eastAsiaTheme="minorEastAsia" w:cstheme="minorEastAsia"/>
          <w:color w:val="auto"/>
          <w:kern w:val="2"/>
          <w:sz w:val="24"/>
          <w:szCs w:val="24"/>
        </w:rPr>
        <w:t>女士</w:t>
      </w:r>
    </w:p>
    <w:p>
      <w:pPr>
        <w:pStyle w:val="490"/>
        <w:ind w:firstLine="1068" w:firstLineChars="445"/>
        <w:rPr>
          <w:rFonts w:ascii="宋体" w:hAnsi="宋体" w:eastAsia="宋体" w:cs="宋体"/>
          <w:sz w:val="24"/>
          <w:szCs w:val="24"/>
        </w:rPr>
      </w:pPr>
      <w:r>
        <w:rPr>
          <w:rFonts w:hint="eastAsia" w:asciiTheme="minorEastAsia" w:hAnsiTheme="minorEastAsia" w:eastAsiaTheme="minorEastAsia" w:cstheme="minorEastAsia"/>
          <w:color w:val="auto"/>
          <w:kern w:val="2"/>
          <w:sz w:val="24"/>
          <w:szCs w:val="24"/>
        </w:rPr>
        <w:t>联系电话：028-</w:t>
      </w:r>
      <w:r>
        <w:rPr>
          <w:rFonts w:ascii="宋体" w:hAnsi="宋体" w:eastAsia="宋体" w:cs="宋体"/>
          <w:sz w:val="24"/>
          <w:szCs w:val="24"/>
        </w:rPr>
        <w:t>62563639</w:t>
      </w:r>
    </w:p>
    <w:p>
      <w:pPr>
        <w:pStyle w:val="490"/>
        <w:ind w:firstLine="1068" w:firstLineChars="445"/>
        <w:rPr>
          <w:rFonts w:hint="eastAsia" w:asciiTheme="minorEastAsia" w:hAnsiTheme="minorEastAsia" w:eastAsiaTheme="minorEastAsia" w:cstheme="minorEastAsia"/>
          <w:color w:val="auto"/>
          <w:sz w:val="24"/>
          <w:szCs w:val="22"/>
          <w:lang w:eastAsia="zh-CN"/>
        </w:rPr>
      </w:pPr>
      <w:r>
        <w:rPr>
          <w:rFonts w:hint="eastAsia" w:asciiTheme="minorEastAsia" w:hAnsiTheme="minorEastAsia" w:eastAsiaTheme="minorEastAsia" w:cstheme="minorEastAsia"/>
          <w:color w:val="auto"/>
          <w:sz w:val="24"/>
          <w:szCs w:val="22"/>
        </w:rPr>
        <w:t>采购代理机构：</w:t>
      </w:r>
      <w:r>
        <w:rPr>
          <w:rFonts w:hint="eastAsia" w:asciiTheme="minorEastAsia" w:hAnsiTheme="minorEastAsia" w:eastAsiaTheme="minorEastAsia" w:cstheme="minorEastAsia"/>
          <w:color w:val="auto"/>
          <w:sz w:val="24"/>
          <w:szCs w:val="22"/>
          <w:lang w:eastAsia="zh-CN"/>
        </w:rPr>
        <w:t>成都市均益建设工程造价咨询有限责任公司</w:t>
      </w:r>
    </w:p>
    <w:p>
      <w:pPr>
        <w:pStyle w:val="490"/>
        <w:ind w:firstLine="1068" w:firstLineChars="445"/>
        <w:rPr>
          <w:rFonts w:hint="eastAsia" w:asciiTheme="minorEastAsia" w:hAnsiTheme="minorEastAsia" w:eastAsiaTheme="minorEastAsia" w:cstheme="minorEastAsia"/>
          <w:color w:val="auto"/>
          <w:sz w:val="24"/>
          <w:szCs w:val="22"/>
          <w:lang w:eastAsia="zh-CN"/>
        </w:rPr>
      </w:pPr>
      <w:r>
        <w:rPr>
          <w:rFonts w:hint="eastAsia" w:asciiTheme="minorEastAsia" w:hAnsiTheme="minorEastAsia" w:eastAsiaTheme="minorEastAsia" w:cstheme="minorEastAsia"/>
          <w:color w:val="auto"/>
          <w:sz w:val="24"/>
          <w:szCs w:val="22"/>
        </w:rPr>
        <w:t>通讯地址：</w:t>
      </w:r>
      <w:r>
        <w:rPr>
          <w:rFonts w:hint="eastAsia" w:asciiTheme="minorEastAsia" w:hAnsiTheme="minorEastAsia" w:eastAsiaTheme="minorEastAsia" w:cstheme="minorEastAsia"/>
          <w:color w:val="auto"/>
          <w:sz w:val="24"/>
          <w:szCs w:val="22"/>
          <w:lang w:eastAsia="zh-CN"/>
        </w:rPr>
        <w:t>成都市青羊区敬业路218号K区7栋401</w:t>
      </w:r>
    </w:p>
    <w:p>
      <w:pPr>
        <w:pStyle w:val="490"/>
        <w:ind w:firstLine="1068" w:firstLineChars="44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联 系 人：</w:t>
      </w:r>
      <w:r>
        <w:rPr>
          <w:rFonts w:hint="eastAsia" w:asciiTheme="minorEastAsia" w:hAnsiTheme="minorEastAsia" w:eastAsiaTheme="minorEastAsia" w:cstheme="minorEastAsia"/>
          <w:color w:val="auto"/>
          <w:sz w:val="24"/>
          <w:szCs w:val="22"/>
          <w:lang w:eastAsia="zh-CN"/>
        </w:rPr>
        <w:t>杨</w:t>
      </w:r>
      <w:r>
        <w:rPr>
          <w:rFonts w:hint="eastAsia" w:asciiTheme="minorEastAsia" w:hAnsiTheme="minorEastAsia" w:eastAsiaTheme="minorEastAsia" w:cstheme="minorEastAsia"/>
          <w:color w:val="auto"/>
          <w:sz w:val="24"/>
          <w:szCs w:val="22"/>
        </w:rPr>
        <w:t>先生</w:t>
      </w:r>
    </w:p>
    <w:p>
      <w:pPr>
        <w:pStyle w:val="490"/>
        <w:ind w:firstLine="1068" w:firstLineChars="44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联系电话：</w:t>
      </w:r>
      <w:r>
        <w:rPr>
          <w:b w:val="0"/>
          <w:color w:val="auto"/>
          <w:kern w:val="2"/>
          <w:sz w:val="24"/>
          <w:szCs w:val="24"/>
          <w:lang w:val="en-US"/>
        </w:rPr>
        <w:t>028-</w:t>
      </w:r>
      <w:r>
        <w:rPr>
          <w:rFonts w:hint="eastAsia"/>
          <w:b w:val="0"/>
          <w:color w:val="auto"/>
          <w:kern w:val="2"/>
          <w:sz w:val="24"/>
          <w:szCs w:val="24"/>
          <w:lang w:val="en-US"/>
        </w:rPr>
        <w:t>87323532</w:t>
      </w:r>
    </w:p>
    <w:p>
      <w:pPr>
        <w:pStyle w:val="4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Cs w:val="24"/>
        </w:rPr>
        <w:br w:type="page"/>
      </w:r>
      <w:bookmarkStart w:id="7" w:name="_Toc213396759"/>
      <w:bookmarkStart w:id="8" w:name="_Toc1142"/>
      <w:bookmarkStart w:id="9" w:name="_Toc213396945"/>
      <w:bookmarkStart w:id="10" w:name="_Toc213496267"/>
      <w:bookmarkStart w:id="11" w:name="_Toc217446031"/>
      <w:bookmarkStart w:id="12" w:name="_Toc213397009"/>
      <w:bookmarkStart w:id="13" w:name="_Toc29385"/>
      <w:bookmarkStart w:id="14" w:name="_Toc18031"/>
      <w:r>
        <w:rPr>
          <w:rFonts w:hint="eastAsia" w:asciiTheme="minorEastAsia" w:hAnsiTheme="minorEastAsia" w:eastAsiaTheme="minorEastAsia" w:cstheme="minorEastAsia"/>
          <w:color w:val="auto"/>
        </w:rPr>
        <w:t>第二章  投标人须知</w:t>
      </w:r>
      <w:bookmarkEnd w:id="7"/>
      <w:bookmarkEnd w:id="8"/>
      <w:bookmarkEnd w:id="9"/>
      <w:bookmarkEnd w:id="10"/>
      <w:bookmarkEnd w:id="11"/>
      <w:bookmarkEnd w:id="12"/>
      <w:bookmarkEnd w:id="13"/>
      <w:bookmarkEnd w:id="14"/>
    </w:p>
    <w:p>
      <w:pPr>
        <w:pStyle w:val="4"/>
        <w:spacing w:line="240" w:lineRule="atLeast"/>
        <w:jc w:val="center"/>
        <w:rPr>
          <w:rFonts w:hint="eastAsia" w:asciiTheme="minorEastAsia" w:hAnsiTheme="minorEastAsia" w:eastAsiaTheme="minorEastAsia" w:cstheme="minorEastAsia"/>
          <w:color w:val="auto"/>
          <w:sz w:val="30"/>
          <w:szCs w:val="30"/>
        </w:rPr>
      </w:pPr>
      <w:bookmarkStart w:id="15" w:name="_Toc217446032"/>
      <w:bookmarkStart w:id="16" w:name="_Toc213396760"/>
      <w:bookmarkStart w:id="17" w:name="_Toc213396946"/>
      <w:bookmarkStart w:id="18" w:name="_Toc189727030"/>
      <w:bookmarkStart w:id="19" w:name="_Toc213496268"/>
      <w:bookmarkStart w:id="20" w:name="_Toc213397010"/>
      <w:r>
        <w:rPr>
          <w:rFonts w:hint="eastAsia" w:asciiTheme="minorEastAsia" w:hAnsiTheme="minorEastAsia" w:eastAsiaTheme="minorEastAsia" w:cstheme="minorEastAsia"/>
          <w:color w:val="auto"/>
          <w:sz w:val="30"/>
          <w:szCs w:val="30"/>
        </w:rPr>
        <w:t>一、投标人须知附表</w:t>
      </w:r>
      <w:bookmarkEnd w:id="15"/>
      <w:bookmarkEnd w:id="16"/>
      <w:bookmarkEnd w:id="17"/>
      <w:bookmarkEnd w:id="18"/>
      <w:bookmarkEnd w:id="19"/>
      <w:bookmarkEnd w:id="20"/>
    </w:p>
    <w:tbl>
      <w:tblPr>
        <w:tblStyle w:val="47"/>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34"/>
        <w:gridCol w:w="2415"/>
        <w:gridCol w:w="635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734"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序号</w:t>
            </w:r>
          </w:p>
        </w:tc>
        <w:tc>
          <w:tcPr>
            <w:tcW w:w="2415"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应知事项</w:t>
            </w:r>
          </w:p>
        </w:tc>
        <w:tc>
          <w:tcPr>
            <w:tcW w:w="6357" w:type="dxa"/>
            <w:vAlign w:val="center"/>
          </w:tcPr>
          <w:p>
            <w:pPr>
              <w:pStyle w:val="395"/>
              <w:spacing w:line="360" w:lineRule="auto"/>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4" w:hRule="atLeast"/>
          <w:jc w:val="center"/>
        </w:trPr>
        <w:tc>
          <w:tcPr>
            <w:tcW w:w="734" w:type="dxa"/>
            <w:vMerge w:val="restart"/>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w:t>
            </w:r>
          </w:p>
        </w:tc>
        <w:tc>
          <w:tcPr>
            <w:tcW w:w="2415"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采购预算</w:t>
            </w:r>
          </w:p>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5"/>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本项目属于</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u w:val="single"/>
                <w:lang w:val="zh-CN" w:eastAsia="zh-CN"/>
              </w:rPr>
              <w:t>其他未列明</w:t>
            </w:r>
            <w:r>
              <w:rPr>
                <w:rFonts w:hint="eastAsia" w:asciiTheme="minorEastAsia" w:hAnsiTheme="minorEastAsia" w:eastAsiaTheme="minorEastAsia" w:cstheme="minorEastAsia"/>
                <w:color w:val="auto"/>
                <w:sz w:val="21"/>
                <w:szCs w:val="21"/>
                <w:u w:val="single"/>
                <w:lang w:val="en-US" w:eastAsia="zh-CN"/>
              </w:rPr>
              <w:t xml:space="preserve"> </w:t>
            </w:r>
            <w:r>
              <w:rPr>
                <w:rFonts w:hint="eastAsia" w:asciiTheme="minorEastAsia" w:hAnsiTheme="minorEastAsia" w:eastAsiaTheme="minorEastAsia" w:cstheme="minorEastAsia"/>
                <w:color w:val="auto"/>
                <w:sz w:val="21"/>
                <w:szCs w:val="21"/>
                <w:lang w:val="en-US" w:eastAsia="zh-CN"/>
              </w:rPr>
              <w:t>行业；本项目采购预算品目为</w:t>
            </w:r>
            <w:r>
              <w:rPr>
                <w:rFonts w:hint="eastAsia" w:asciiTheme="minorEastAsia" w:hAnsiTheme="minorEastAsia" w:eastAsiaTheme="minorEastAsia" w:cstheme="minorEastAsia"/>
                <w:color w:val="auto"/>
                <w:sz w:val="21"/>
                <w:szCs w:val="21"/>
                <w:u w:val="single"/>
                <w:lang w:val="en-US" w:eastAsia="zh-CN"/>
              </w:rPr>
              <w:t xml:space="preserve"> 技术测试和分析服务 </w:t>
            </w:r>
            <w:r>
              <w:rPr>
                <w:rFonts w:hint="eastAsia" w:asciiTheme="minorEastAsia" w:hAnsiTheme="minorEastAsia" w:eastAsiaTheme="minorEastAsia" w:cstheme="minorEastAsia"/>
                <w:color w:val="auto"/>
                <w:sz w:val="21"/>
                <w:szCs w:val="21"/>
                <w:lang w:val="en-US" w:eastAsia="zh-CN"/>
              </w:rPr>
              <w:t>，预算金额为人民币209万元。（第1包预算金额：154万元；第2包预算金额：55万元)</w:t>
            </w:r>
            <w:r>
              <w:rPr>
                <w:rFonts w:hint="eastAsia" w:asciiTheme="minorEastAsia" w:hAnsiTheme="minorEastAsia" w:eastAsiaTheme="minorEastAsia" w:cstheme="minorEastAsia"/>
                <w:color w:val="auto"/>
                <w:sz w:val="21"/>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8" w:hRule="atLeast"/>
          <w:jc w:val="center"/>
        </w:trPr>
        <w:tc>
          <w:tcPr>
            <w:tcW w:w="734" w:type="dxa"/>
            <w:vMerge w:val="continue"/>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p>
        </w:tc>
        <w:tc>
          <w:tcPr>
            <w:tcW w:w="2415"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最高限价</w:t>
            </w:r>
          </w:p>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5"/>
              <w:spacing w:line="360" w:lineRule="auto"/>
              <w:ind w:left="38"/>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第1包为：</w:t>
            </w:r>
            <w:r>
              <w:rPr>
                <w:rFonts w:hint="eastAsia" w:asciiTheme="minorEastAsia" w:hAnsiTheme="minorEastAsia" w:eastAsiaTheme="minorEastAsia" w:cstheme="minorEastAsia"/>
                <w:color w:val="auto"/>
                <w:sz w:val="21"/>
                <w:szCs w:val="21"/>
                <w:lang w:val="en-US" w:eastAsia="zh-CN"/>
              </w:rPr>
              <w:t>154</w:t>
            </w:r>
            <w:r>
              <w:rPr>
                <w:rFonts w:hint="eastAsia" w:asciiTheme="minorEastAsia" w:hAnsiTheme="minorEastAsia" w:eastAsiaTheme="minorEastAsia" w:cstheme="minorEastAsia"/>
                <w:color w:val="auto"/>
                <w:sz w:val="21"/>
                <w:szCs w:val="21"/>
                <w:lang w:val="zh-CN"/>
              </w:rPr>
              <w:t>万元；第2包为：</w:t>
            </w:r>
            <w:r>
              <w:rPr>
                <w:rFonts w:hint="eastAsia" w:asciiTheme="minorEastAsia" w:hAnsiTheme="minorEastAsia" w:eastAsiaTheme="minorEastAsia" w:cstheme="minorEastAsia"/>
                <w:color w:val="auto"/>
                <w:sz w:val="21"/>
                <w:szCs w:val="21"/>
                <w:lang w:val="en-US" w:eastAsia="zh-CN"/>
              </w:rPr>
              <w:t>55</w:t>
            </w:r>
            <w:r>
              <w:rPr>
                <w:rFonts w:hint="eastAsia" w:asciiTheme="minorEastAsia" w:hAnsiTheme="minorEastAsia" w:eastAsiaTheme="minorEastAsia" w:cstheme="minorEastAsia"/>
                <w:color w:val="auto"/>
                <w:sz w:val="21"/>
                <w:szCs w:val="21"/>
                <w:lang w:val="zh-CN"/>
              </w:rPr>
              <w:t>万元。</w:t>
            </w:r>
          </w:p>
          <w:p>
            <w:pPr>
              <w:pStyle w:val="395"/>
              <w:spacing w:line="360" w:lineRule="auto"/>
              <w:ind w:left="38"/>
              <w:rPr>
                <w:rFonts w:hint="eastAsia" w:asciiTheme="minorEastAsia" w:hAnsiTheme="minorEastAsia" w:eastAsiaTheme="minorEastAsia" w:cstheme="minorEastAsia"/>
                <w:color w:val="auto"/>
                <w:sz w:val="21"/>
                <w:szCs w:val="21"/>
                <w:lang w:val="zh-CN"/>
              </w:rPr>
            </w:pPr>
            <w:r>
              <w:rPr>
                <w:rFonts w:ascii="Times New Roman" w:cs="Times New Roman"/>
                <w:b/>
                <w:color w:val="auto"/>
                <w:sz w:val="21"/>
                <w:szCs w:val="21"/>
                <w:lang w:val="zh-CN"/>
              </w:rPr>
              <w:t>投标报价超过本项目最高限价的作无效投标处理。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734" w:type="dxa"/>
            <w:vMerge w:val="continue"/>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p>
        </w:tc>
        <w:tc>
          <w:tcPr>
            <w:tcW w:w="2415"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是否专门面向中小</w:t>
            </w:r>
          </w:p>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企业（实质性要求）</w:t>
            </w:r>
          </w:p>
        </w:tc>
        <w:tc>
          <w:tcPr>
            <w:tcW w:w="6357" w:type="dxa"/>
            <w:vAlign w:val="center"/>
          </w:tcPr>
          <w:p>
            <w:pPr>
              <w:pStyle w:val="395"/>
              <w:spacing w:line="360" w:lineRule="auto"/>
              <w:ind w:left="38"/>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8"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2</w:t>
            </w:r>
          </w:p>
        </w:tc>
        <w:tc>
          <w:tcPr>
            <w:tcW w:w="2415" w:type="dxa"/>
            <w:vAlign w:val="center"/>
          </w:tcPr>
          <w:p>
            <w:pPr>
              <w:pStyle w:val="395"/>
              <w:spacing w:line="24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采购方式</w:t>
            </w:r>
          </w:p>
        </w:tc>
        <w:tc>
          <w:tcPr>
            <w:tcW w:w="6357" w:type="dxa"/>
            <w:vAlign w:val="center"/>
          </w:tcPr>
          <w:p>
            <w:pPr>
              <w:rPr>
                <w:rFonts w:hint="eastAsia" w:asciiTheme="minorEastAsia" w:hAnsiTheme="minorEastAsia" w:eastAsiaTheme="minorEastAsia" w:cstheme="minorEastAsia"/>
                <w:color w:val="auto"/>
                <w:sz w:val="34"/>
                <w:lang w:val="en-US" w:eastAsia="zh-CN" w:bidi="ar-SA"/>
              </w:rPr>
            </w:pPr>
            <w:r>
              <w:rPr>
                <w:rFonts w:hint="eastAsia" w:asciiTheme="minorEastAsia" w:hAnsiTheme="minorEastAsia" w:eastAsiaTheme="minorEastAsia" w:cstheme="minorEastAsia"/>
                <w:color w:val="auto"/>
                <w:sz w:val="21"/>
                <w:szCs w:val="21"/>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3</w:t>
            </w:r>
          </w:p>
        </w:tc>
        <w:tc>
          <w:tcPr>
            <w:tcW w:w="2415" w:type="dxa"/>
            <w:vAlign w:val="center"/>
          </w:tcPr>
          <w:p>
            <w:pPr>
              <w:pStyle w:val="395"/>
              <w:spacing w:line="240" w:lineRule="auto"/>
              <w:ind w:left="38" w:leftChars="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联合体</w:t>
            </w:r>
            <w:r>
              <w:rPr>
                <w:rFonts w:hint="eastAsia" w:asciiTheme="minorEastAsia" w:hAnsiTheme="minorEastAsia" w:eastAsiaTheme="minorEastAsia" w:cstheme="minorEastAsia"/>
                <w:color w:val="auto"/>
                <w:sz w:val="21"/>
                <w:szCs w:val="21"/>
                <w:lang w:val="en-US" w:eastAsia="zh-CN"/>
              </w:rPr>
              <w:t>投标</w:t>
            </w:r>
          </w:p>
        </w:tc>
        <w:tc>
          <w:tcPr>
            <w:tcW w:w="6357" w:type="dxa"/>
            <w:vAlign w:val="center"/>
          </w:tcPr>
          <w:p>
            <w:pPr>
              <w:pStyle w:val="395"/>
              <w:spacing w:line="240" w:lineRule="auto"/>
              <w:ind w:left="38" w:leftChars="0"/>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eastAsia="zh-CN"/>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4</w:t>
            </w:r>
          </w:p>
        </w:tc>
        <w:tc>
          <w:tcPr>
            <w:tcW w:w="2415" w:type="dxa"/>
            <w:vAlign w:val="center"/>
          </w:tcPr>
          <w:p>
            <w:pPr>
              <w:pStyle w:val="395"/>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低于成本价</w:t>
            </w:r>
          </w:p>
          <w:p>
            <w:pPr>
              <w:pStyle w:val="395"/>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不正当竞争预防措施</w:t>
            </w:r>
          </w:p>
          <w:p>
            <w:pPr>
              <w:pStyle w:val="395"/>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（实质性要求）</w:t>
            </w:r>
          </w:p>
        </w:tc>
        <w:tc>
          <w:tcPr>
            <w:tcW w:w="6357" w:type="dxa"/>
            <w:vAlign w:val="center"/>
          </w:tcPr>
          <w:p>
            <w:pPr>
              <w:pStyle w:val="395"/>
              <w:numPr>
                <w:ilvl w:val="0"/>
                <w:numId w:val="5"/>
              </w:num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评标委员会认为投标人的报价明显低于其他通过符合性审查投标人的报价，有可能影响产品质量或者不能诚信履约的，应当要求其在合理的时间内提供书面说明，必要时提交相关证明材料（如涉及）</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投标人不能证明其报价合理性的，评标委员会应当将其作为无效投标处理。</w:t>
            </w:r>
          </w:p>
          <w:p>
            <w:pPr>
              <w:pStyle w:val="395"/>
              <w:numPr>
                <w:ilvl w:val="0"/>
                <w:numId w:val="0"/>
              </w:numPr>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断电、断网、系统故障或其他不可抗力等因素，导致系统无法使用的，由投标人按评标委员会的要求进行澄清或者说明。</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的书面说明材料应当按照国家财务会计制度的规定要求，逐项就供应商提供的货物、工程和服务的主营业务成本、税金及附加、销售费用、管理费用、财务费用等成本构成事项详细陈述。</w:t>
            </w:r>
          </w:p>
          <w:p>
            <w:pPr>
              <w:pStyle w:val="395"/>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2. </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 xml:space="preserve">书面说明应当签字确认或者加盖投标人（法定名称）电子签章，否则无效。书面说明的签字确认，由其法定代表人/主要负责人/本人或者其授权代表签字确认。 </w:t>
            </w:r>
          </w:p>
          <w:p>
            <w:pPr>
              <w:pStyle w:val="395"/>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提供书面说明后，评审小组应当结合采购项目采购需求、专业实际情况、</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财务状况报告、与其他</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比较情况等就</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书面说明进行审查评价。</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拒绝或者变相拒绝提供有效书面说明或者书面说明不能证明其报价合理性的或未在规定时间内递交有效书面说明书的，评审小组应当将其</w:t>
            </w:r>
            <w:r>
              <w:rPr>
                <w:rFonts w:hint="eastAsia" w:asciiTheme="minorEastAsia" w:hAnsiTheme="minorEastAsia" w:eastAsiaTheme="minorEastAsia" w:cstheme="minorEastAsia"/>
                <w:color w:val="auto"/>
                <w:sz w:val="21"/>
                <w:szCs w:val="21"/>
                <w:lang w:eastAsia="zh-CN"/>
              </w:rPr>
              <w:t>投标</w:t>
            </w:r>
            <w:r>
              <w:rPr>
                <w:rFonts w:hint="eastAsia" w:asciiTheme="minorEastAsia" w:hAnsiTheme="minorEastAsia" w:eastAsiaTheme="minorEastAsia" w:cstheme="minorEastAsia"/>
                <w:color w:val="auto"/>
                <w:sz w:val="21"/>
                <w:szCs w:val="21"/>
              </w:rPr>
              <w:t>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5</w:t>
            </w:r>
          </w:p>
        </w:tc>
        <w:tc>
          <w:tcPr>
            <w:tcW w:w="2415"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小微企业（监狱企业、残疾人福利性单位视同小微企业）价格扣除和失信企业报价加成或者扣分</w:t>
            </w:r>
          </w:p>
          <w:p>
            <w:pPr>
              <w:pStyle w:val="395"/>
              <w:spacing w:line="360" w:lineRule="auto"/>
              <w:ind w:left="38"/>
              <w:jc w:val="center"/>
              <w:rPr>
                <w:rFonts w:hint="eastAsia" w:asciiTheme="minorEastAsia" w:hAnsiTheme="minorEastAsia" w:eastAsiaTheme="minorEastAsia" w:cstheme="minorEastAsia"/>
                <w:color w:val="auto"/>
                <w:sz w:val="21"/>
                <w:szCs w:val="21"/>
                <w:lang w:val="zh-CN"/>
              </w:rPr>
            </w:pP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一、小微企业价格扣除</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1.根据《政府采购促进中小企业发展管理办法》（财库〔2020〕46号）的规定，对小型和微型企业产品的价格给予10%的价格扣除，用扣除后的价格参与评标。</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2.参加政府采购活动的中小企业应当提供《中小企业声明函》原件。</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二、监狱企业价格扣除</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1.根据《关于政府采购支持监狱企业发展有关问题的通知》（财库〔2014〕68号）的规定，对监狱企业产品的价格给予10%的价格扣除，用扣除后的价格参与评标。</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2.参加政府采购活动的监狱企业应当提供省级以上监狱管理局、戒毒管理局（含新疆生产建设兵团）出具的属于监狱企业的证明文件。</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三、残疾人福利性单位价格扣除</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1.根据《财政部 民政部 中国残疾人联合会关于促进残疾人就业政府采购政策的通知》（财库〔201</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rPr>
              <w:t>〕141号）的规定，对残疾人福利性单位产品的价格给予10%的价格扣除，用扣除后的价格参与评标。残疾人福利性单位属于小型、微型企业的，不重复享受政策。</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2.参加政府采购活动的残疾人福利性单位应当提供《残疾人福利性单位声明函》原件。</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四、失信企业加成</w:t>
            </w:r>
          </w:p>
          <w:p>
            <w:pPr>
              <w:pStyle w:val="395"/>
              <w:spacing w:line="360" w:lineRule="auto"/>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1、对记入诚信档案的且在有效期内的失信供应商，实行10%的报价加成、以加成后的报价作为该供应商报价评审。因其失信行为进行报价加成惩戒后报价超过政府采购预算的，其响应文件按无效处理。</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2、供应商参加政府采购活动时，应当就自己的诚信情况在投标文件中进行承诺。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6</w:t>
            </w:r>
          </w:p>
        </w:tc>
        <w:tc>
          <w:tcPr>
            <w:tcW w:w="2415"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国家规定的强制采购范围 （实质性要求）</w:t>
            </w:r>
          </w:p>
        </w:tc>
        <w:tc>
          <w:tcPr>
            <w:tcW w:w="6357" w:type="dxa"/>
            <w:vAlign w:val="center"/>
          </w:tcPr>
          <w:p>
            <w:pPr>
              <w:pStyle w:val="395"/>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严格执行《财政部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类别属于政府强制采购产品类别的，须按照要求提供依据国家确定的认证机构出具的、处于有效期之内的节能产品或环境标志产品认证证书，否则投标无效；属于政府优先采购产品类别的，须按照要求提供依据国家确定的认证机构出具的、处于有效期之内的节能产品或环境标志产品认证证书，否则不予认定。（不涉及则不适用本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7</w:t>
            </w:r>
          </w:p>
        </w:tc>
        <w:tc>
          <w:tcPr>
            <w:tcW w:w="2415" w:type="dxa"/>
            <w:vAlign w:val="center"/>
          </w:tcPr>
          <w:p>
            <w:pPr>
              <w:pStyle w:val="395"/>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参数说明（如有）</w:t>
            </w:r>
          </w:p>
        </w:tc>
        <w:tc>
          <w:tcPr>
            <w:tcW w:w="6357" w:type="dxa"/>
            <w:vAlign w:val="center"/>
          </w:tcPr>
          <w:p>
            <w:pPr>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1"/>
                <w:szCs w:val="21"/>
                <w:lang w:val="zh-CN" w:eastAsia="zh-CN" w:bidi="ar-SA"/>
              </w:rPr>
              <w:t>本项目中对未有注明的参数要求，均以标准配置为准。如在各技术参数中指出某些技术参数仅为某一品牌所特有的，仅起说明作用，并没有任何限制性。投标人在投标中可以选用替代标准，但这些替代要实质性相当于技术规格的要求，并提供相关证明材料；在招标文件中有未提及到的技术细节或招标文件中任何条款的叙述中没有明确的规定的，都视为是指国家（或部颁行业）的标准和规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8</w:t>
            </w:r>
          </w:p>
        </w:tc>
        <w:tc>
          <w:tcPr>
            <w:tcW w:w="2415" w:type="dxa"/>
            <w:vAlign w:val="center"/>
          </w:tcPr>
          <w:p>
            <w:pPr>
              <w:pStyle w:val="395"/>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构成招标文件的</w:t>
            </w:r>
          </w:p>
          <w:p>
            <w:pPr>
              <w:pStyle w:val="395"/>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其他文件</w:t>
            </w:r>
          </w:p>
        </w:tc>
        <w:tc>
          <w:tcPr>
            <w:tcW w:w="6357" w:type="dxa"/>
            <w:vAlign w:val="center"/>
          </w:tcPr>
          <w:p>
            <w:pPr>
              <w:pStyle w:val="395"/>
              <w:spacing w:line="24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9"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9</w:t>
            </w:r>
          </w:p>
        </w:tc>
        <w:tc>
          <w:tcPr>
            <w:tcW w:w="2415" w:type="dxa"/>
            <w:vAlign w:val="center"/>
          </w:tcPr>
          <w:p>
            <w:pPr>
              <w:pStyle w:val="395"/>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投标有效期</w:t>
            </w:r>
          </w:p>
          <w:p>
            <w:pPr>
              <w:pStyle w:val="395"/>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（实质性要求）</w:t>
            </w:r>
          </w:p>
        </w:tc>
        <w:tc>
          <w:tcPr>
            <w:tcW w:w="6357" w:type="dxa"/>
            <w:vAlign w:val="center"/>
          </w:tcPr>
          <w:p>
            <w:pPr>
              <w:pStyle w:val="395"/>
              <w:spacing w:line="24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从提交投标文件的截止之日起90天。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35" w:hRule="atLeast"/>
          <w:jc w:val="center"/>
        </w:trPr>
        <w:tc>
          <w:tcPr>
            <w:tcW w:w="734"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10</w:t>
            </w:r>
          </w:p>
        </w:tc>
        <w:tc>
          <w:tcPr>
            <w:tcW w:w="2415" w:type="dxa"/>
            <w:vAlign w:val="center"/>
          </w:tcPr>
          <w:p>
            <w:pPr>
              <w:pStyle w:val="395"/>
              <w:spacing w:line="24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投标保证金</w:t>
            </w:r>
          </w:p>
        </w:tc>
        <w:tc>
          <w:tcPr>
            <w:tcW w:w="6357" w:type="dxa"/>
            <w:vAlign w:val="center"/>
          </w:tcPr>
          <w:p>
            <w:pPr>
              <w:pStyle w:val="395"/>
              <w:spacing w:line="24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highlight w:val="none"/>
                <w:lang w:val="zh-CN" w:eastAsia="zh-CN" w:bidi="ar-SA"/>
              </w:rPr>
            </w:pPr>
            <w:r>
              <w:rPr>
                <w:rFonts w:hint="eastAsia" w:asciiTheme="minorEastAsia" w:hAnsiTheme="minorEastAsia" w:eastAsiaTheme="minorEastAsia" w:cstheme="minorEastAsia"/>
                <w:color w:val="auto"/>
                <w:sz w:val="21"/>
                <w:szCs w:val="21"/>
                <w:highlight w:val="none"/>
                <w:lang w:val="zh-CN"/>
              </w:rPr>
              <w:t>11</w:t>
            </w:r>
          </w:p>
        </w:tc>
        <w:tc>
          <w:tcPr>
            <w:tcW w:w="2415" w:type="dxa"/>
            <w:vAlign w:val="center"/>
          </w:tcPr>
          <w:p>
            <w:pPr>
              <w:pStyle w:val="395"/>
              <w:spacing w:line="240" w:lineRule="auto"/>
              <w:ind w:left="38"/>
              <w:jc w:val="center"/>
              <w:rPr>
                <w:rFonts w:hint="eastAsia" w:asciiTheme="minorEastAsia" w:hAnsiTheme="minorEastAsia" w:eastAsiaTheme="minorEastAsia" w:cstheme="minorEastAsia"/>
                <w:color w:val="auto"/>
                <w:sz w:val="21"/>
                <w:szCs w:val="21"/>
                <w:highlight w:val="none"/>
                <w:lang w:val="zh-CN"/>
              </w:rPr>
            </w:pPr>
            <w:r>
              <w:rPr>
                <w:rFonts w:hint="eastAsia" w:asciiTheme="minorEastAsia" w:hAnsiTheme="minorEastAsia" w:eastAsiaTheme="minorEastAsia" w:cstheme="minorEastAsia"/>
                <w:color w:val="auto"/>
                <w:sz w:val="21"/>
                <w:szCs w:val="21"/>
                <w:highlight w:val="none"/>
                <w:lang w:val="zh-CN"/>
              </w:rPr>
              <w:t>履约保证金</w:t>
            </w:r>
          </w:p>
        </w:tc>
        <w:tc>
          <w:tcPr>
            <w:tcW w:w="6357" w:type="dxa"/>
            <w:vAlign w:val="center"/>
          </w:tcPr>
          <w:p>
            <w:pPr>
              <w:pStyle w:val="395"/>
              <w:spacing w:line="440" w:lineRule="exact"/>
              <w:rPr>
                <w:rFonts w:ascii="Times New Roman" w:hAnsi="Times New Roman" w:cs="Times New Roman"/>
                <w:color w:val="auto"/>
                <w:sz w:val="21"/>
                <w:szCs w:val="21"/>
                <w:lang w:val="zh-CN"/>
              </w:rPr>
            </w:pPr>
            <w:r>
              <w:rPr>
                <w:rFonts w:ascii="Times New Roman" w:cs="Times New Roman"/>
                <w:color w:val="auto"/>
                <w:sz w:val="21"/>
                <w:szCs w:val="21"/>
                <w:lang w:val="zh-CN"/>
              </w:rPr>
              <w:t>合同总价的</w:t>
            </w:r>
            <w:r>
              <w:rPr>
                <w:rFonts w:hint="eastAsia" w:ascii="Times New Roman" w:hAnsi="Times New Roman" w:cs="Times New Roman"/>
                <w:color w:val="auto"/>
                <w:sz w:val="21"/>
                <w:szCs w:val="21"/>
              </w:rPr>
              <w:t>5</w:t>
            </w:r>
            <w:r>
              <w:rPr>
                <w:rFonts w:ascii="Times New Roman" w:hAnsi="Times New Roman" w:cs="Times New Roman"/>
                <w:color w:val="auto"/>
                <w:sz w:val="21"/>
                <w:szCs w:val="21"/>
                <w:lang w:val="zh-CN"/>
              </w:rPr>
              <w:t>%</w:t>
            </w:r>
            <w:r>
              <w:rPr>
                <w:rFonts w:ascii="Times New Roman" w:cs="Times New Roman"/>
                <w:color w:val="auto"/>
                <w:sz w:val="21"/>
                <w:szCs w:val="21"/>
                <w:lang w:val="zh-CN"/>
              </w:rPr>
              <w:t>。</w:t>
            </w:r>
          </w:p>
          <w:p>
            <w:pPr>
              <w:pStyle w:val="512"/>
              <w:spacing w:line="440" w:lineRule="exact"/>
              <w:jc w:val="left"/>
              <w:rPr>
                <w:color w:val="auto"/>
                <w:sz w:val="21"/>
                <w:szCs w:val="21"/>
                <w:lang w:val="zh-CN"/>
              </w:rPr>
            </w:pPr>
            <w:r>
              <w:rPr>
                <w:rFonts w:hAnsi="宋体"/>
                <w:color w:val="auto"/>
                <w:sz w:val="21"/>
                <w:szCs w:val="21"/>
                <w:lang w:val="zh-CN"/>
              </w:rPr>
              <w:t>交付时间：中标人收到中标通知书后，签订合同前。</w:t>
            </w:r>
          </w:p>
          <w:p>
            <w:pPr>
              <w:pStyle w:val="512"/>
              <w:spacing w:line="440" w:lineRule="exact"/>
              <w:jc w:val="left"/>
              <w:rPr>
                <w:color w:val="auto"/>
                <w:sz w:val="21"/>
                <w:szCs w:val="21"/>
                <w:lang w:val="zh-CN"/>
              </w:rPr>
            </w:pPr>
            <w:r>
              <w:rPr>
                <w:rFonts w:hAnsi="宋体"/>
                <w:color w:val="auto"/>
                <w:sz w:val="21"/>
                <w:szCs w:val="21"/>
                <w:lang w:val="zh-CN"/>
              </w:rPr>
              <w:t>交付方式：</w:t>
            </w:r>
            <w:r>
              <w:rPr>
                <w:rFonts w:hint="eastAsia" w:hAnsi="宋体"/>
                <w:color w:val="auto"/>
                <w:sz w:val="21"/>
                <w:szCs w:val="21"/>
                <w:lang w:val="zh-CN"/>
              </w:rPr>
              <w:t>履约保证金可以以支票或金融机构出具的保函等非现金形式提交（包括网银转账，电汇等方式）</w:t>
            </w:r>
          </w:p>
          <w:p>
            <w:pPr>
              <w:pStyle w:val="395"/>
              <w:spacing w:line="240" w:lineRule="auto"/>
              <w:ind w:left="38"/>
              <w:jc w:val="both"/>
              <w:rPr>
                <w:rFonts w:hint="eastAsia" w:asciiTheme="minorEastAsia" w:hAnsiTheme="minorEastAsia" w:eastAsiaTheme="minorEastAsia" w:cstheme="minorEastAsia"/>
                <w:color w:val="auto"/>
                <w:sz w:val="21"/>
                <w:szCs w:val="21"/>
                <w:highlight w:val="none"/>
                <w:lang w:val="en-US" w:eastAsia="zh-CN"/>
              </w:rPr>
            </w:pPr>
            <w:r>
              <w:rPr>
                <w:rFonts w:hAnsi="宋体"/>
                <w:color w:val="auto"/>
                <w:sz w:val="21"/>
                <w:szCs w:val="21"/>
                <w:lang w:val="zh-CN"/>
              </w:rPr>
              <w:t>退还时间：履约完毕后</w:t>
            </w:r>
            <w:r>
              <w:rPr>
                <w:rFonts w:hint="eastAsia" w:hAnsi="宋体"/>
                <w:color w:val="auto"/>
                <w:sz w:val="21"/>
                <w:szCs w:val="21"/>
                <w:lang w:val="zh-CN"/>
              </w:rPr>
              <w:t>一个月之内。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en-US" w:eastAsia="zh-CN"/>
              </w:rPr>
              <w:t>12</w:t>
            </w:r>
          </w:p>
        </w:tc>
        <w:tc>
          <w:tcPr>
            <w:tcW w:w="2415"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投标文件的制作和签章、加密</w:t>
            </w:r>
          </w:p>
        </w:tc>
        <w:tc>
          <w:tcPr>
            <w:tcW w:w="6357" w:type="dxa"/>
            <w:vAlign w:val="center"/>
          </w:tcPr>
          <w:p>
            <w:pPr>
              <w:tabs>
                <w:tab w:val="left" w:pos="7665"/>
              </w:tabs>
              <w:snapToGrid w:val="0"/>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详见投标人须知第18点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13</w:t>
            </w:r>
          </w:p>
        </w:tc>
        <w:tc>
          <w:tcPr>
            <w:tcW w:w="2415"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投标文件的递交</w:t>
            </w:r>
          </w:p>
        </w:tc>
        <w:tc>
          <w:tcPr>
            <w:tcW w:w="6357" w:type="dxa"/>
            <w:vAlign w:val="center"/>
          </w:tcPr>
          <w:p>
            <w:pPr>
              <w:tabs>
                <w:tab w:val="left" w:pos="7665"/>
              </w:tabs>
              <w:snapToGrid w:val="0"/>
              <w:spacing w:line="360" w:lineRule="auto"/>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详见投标人须知第19点</w:t>
            </w:r>
          </w:p>
          <w:p>
            <w:pPr>
              <w:tabs>
                <w:tab w:val="left" w:pos="7665"/>
              </w:tabs>
              <w:snapToGrid w:val="0"/>
              <w:spacing w:line="360" w:lineRule="auto"/>
              <w:jc w:val="left"/>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注：投标人使用CA证书在投标截止时间前，将投标文件上传至政府采购云平台，上传前须对投标文件是否有电子签章等进行核对。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14</w:t>
            </w:r>
          </w:p>
        </w:tc>
        <w:tc>
          <w:tcPr>
            <w:tcW w:w="2415"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投标文件的补充、修改</w:t>
            </w:r>
          </w:p>
        </w:tc>
        <w:tc>
          <w:tcPr>
            <w:tcW w:w="6357" w:type="dxa"/>
            <w:vAlign w:val="center"/>
          </w:tcPr>
          <w:p>
            <w:pPr>
              <w:tabs>
                <w:tab w:val="left" w:pos="7665"/>
              </w:tabs>
              <w:snapToGrid w:val="0"/>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详见投标人须知第20点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15</w:t>
            </w:r>
          </w:p>
        </w:tc>
        <w:tc>
          <w:tcPr>
            <w:tcW w:w="2415" w:type="dxa"/>
            <w:vAlign w:val="center"/>
          </w:tcPr>
          <w:p>
            <w:pPr>
              <w:tabs>
                <w:tab w:val="left" w:pos="7665"/>
              </w:tabs>
              <w:snapToGrid w:val="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投标文件的撤回</w:t>
            </w:r>
          </w:p>
        </w:tc>
        <w:tc>
          <w:tcPr>
            <w:tcW w:w="6357" w:type="dxa"/>
            <w:vAlign w:val="center"/>
          </w:tcPr>
          <w:p>
            <w:pPr>
              <w:tabs>
                <w:tab w:val="left" w:pos="7665"/>
              </w:tabs>
              <w:snapToGrid w:val="0"/>
              <w:jc w:val="left"/>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详见投标人须知第21点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zh-CN"/>
              </w:rPr>
              <w:t>16</w:t>
            </w:r>
          </w:p>
        </w:tc>
        <w:tc>
          <w:tcPr>
            <w:tcW w:w="2415" w:type="dxa"/>
            <w:vAlign w:val="center"/>
          </w:tcPr>
          <w:p>
            <w:pPr>
              <w:pStyle w:val="395"/>
              <w:spacing w:line="24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备选投标方案和报价（实质性要求）</w:t>
            </w:r>
          </w:p>
        </w:tc>
        <w:tc>
          <w:tcPr>
            <w:tcW w:w="6357" w:type="dxa"/>
            <w:vAlign w:val="center"/>
          </w:tcPr>
          <w:p>
            <w:pPr>
              <w:pStyle w:val="395"/>
              <w:spacing w:line="240" w:lineRule="auto"/>
              <w:ind w:left="38"/>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17</w:t>
            </w:r>
          </w:p>
        </w:tc>
        <w:tc>
          <w:tcPr>
            <w:tcW w:w="2415"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en-US" w:eastAsia="zh-CN" w:bidi="ar-SA"/>
              </w:rPr>
              <w:t>招标</w:t>
            </w:r>
            <w:r>
              <w:rPr>
                <w:rFonts w:hint="eastAsia" w:asciiTheme="minorEastAsia" w:hAnsiTheme="minorEastAsia" w:eastAsiaTheme="minorEastAsia" w:cstheme="minorEastAsia"/>
                <w:color w:val="auto"/>
                <w:sz w:val="21"/>
                <w:szCs w:val="21"/>
                <w:lang w:val="zh-CN" w:eastAsia="zh-CN" w:bidi="ar-SA"/>
              </w:rPr>
              <w:t>文件咨询</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联系人：杨先生</w:t>
            </w:r>
          </w:p>
          <w:p>
            <w:pPr>
              <w:pStyle w:val="395"/>
              <w:spacing w:line="36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联系电话：</w:t>
            </w:r>
            <w:r>
              <w:rPr>
                <w:rFonts w:hint="eastAsia" w:asciiTheme="minorEastAsia" w:hAnsiTheme="minorEastAsia" w:eastAsiaTheme="minorEastAsia" w:cstheme="minorEastAsia"/>
                <w:color w:val="auto"/>
                <w:sz w:val="21"/>
                <w:szCs w:val="21"/>
                <w:lang w:val="en-US" w:eastAsia="zh-CN" w:bidi="ar-SA"/>
              </w:rPr>
              <w:t>028-87323532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18</w:t>
            </w:r>
          </w:p>
        </w:tc>
        <w:tc>
          <w:tcPr>
            <w:tcW w:w="2415" w:type="dxa"/>
            <w:vAlign w:val="center"/>
          </w:tcPr>
          <w:p>
            <w:pPr>
              <w:pStyle w:val="395"/>
              <w:spacing w:line="360" w:lineRule="auto"/>
              <w:ind w:left="38"/>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招标过程、结果工作咨询</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联系人：杨先生</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eastAsia="zh-CN" w:bidi="ar-SA"/>
              </w:rPr>
              <w:t>联系电话：</w:t>
            </w:r>
            <w:r>
              <w:rPr>
                <w:rFonts w:hint="eastAsia" w:asciiTheme="minorEastAsia" w:hAnsiTheme="minorEastAsia" w:eastAsiaTheme="minorEastAsia" w:cstheme="minorEastAsia"/>
                <w:color w:val="auto"/>
                <w:sz w:val="21"/>
                <w:szCs w:val="21"/>
                <w:lang w:val="en-US" w:eastAsia="zh-CN" w:bidi="ar-SA"/>
              </w:rPr>
              <w:t>028-87323532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rPr>
              <w:t>19</w:t>
            </w:r>
          </w:p>
        </w:tc>
        <w:tc>
          <w:tcPr>
            <w:tcW w:w="2415" w:type="dxa"/>
            <w:vAlign w:val="center"/>
          </w:tcPr>
          <w:p>
            <w:pPr>
              <w:pStyle w:val="395"/>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中标</w:t>
            </w:r>
            <w:r>
              <w:rPr>
                <w:rFonts w:hint="eastAsia" w:asciiTheme="minorEastAsia" w:hAnsiTheme="minorEastAsia" w:eastAsiaTheme="minorEastAsia" w:cstheme="minorEastAsia"/>
                <w:color w:val="auto"/>
                <w:sz w:val="21"/>
                <w:szCs w:val="21"/>
                <w:lang w:val="zh-CN"/>
              </w:rPr>
              <w:t>通知书领取</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中标公告在四川政府采购网上公告后，中标人自行登录政府采购云平台下载中标通知书。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en-US" w:eastAsia="zh-CN"/>
              </w:rPr>
              <w:t>20</w:t>
            </w:r>
          </w:p>
        </w:tc>
        <w:tc>
          <w:tcPr>
            <w:tcW w:w="2415" w:type="dxa"/>
            <w:vAlign w:val="center"/>
          </w:tcPr>
          <w:p>
            <w:pPr>
              <w:pStyle w:val="395"/>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供应商询问</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bookmarkStart w:id="21" w:name="PO_默认文件内容_9"/>
            <w:r>
              <w:rPr>
                <w:rFonts w:hint="eastAsia" w:asciiTheme="minorEastAsia" w:hAnsiTheme="minorEastAsia" w:eastAsiaTheme="minorEastAsia" w:cstheme="minorEastAsia"/>
                <w:color w:val="auto"/>
                <w:sz w:val="21"/>
                <w:szCs w:val="21"/>
                <w:lang w:val="zh-CN"/>
              </w:rPr>
              <w:t>根据委托代理协议约定，供应商询问由采购代理机构负责答复。</w:t>
            </w:r>
          </w:p>
          <w:bookmarkEnd w:id="21"/>
          <w:p>
            <w:pPr>
              <w:pStyle w:val="395"/>
              <w:spacing w:line="360" w:lineRule="auto"/>
              <w:jc w:val="both"/>
              <w:rPr>
                <w:rFonts w:hint="eastAsia" w:asciiTheme="minorEastAsia" w:hAnsiTheme="minorEastAsia" w:eastAsiaTheme="minorEastAsia" w:cstheme="minorEastAsia"/>
                <w:color w:val="auto"/>
                <w:sz w:val="21"/>
                <w:szCs w:val="21"/>
                <w:lang w:val="zh-CN" w:eastAsia="zh-CN" w:bidi="ar-SA"/>
              </w:rPr>
            </w:pPr>
            <w:r>
              <w:rPr>
                <w:rFonts w:hint="eastAsia" w:asciiTheme="minorEastAsia" w:hAnsiTheme="minorEastAsia" w:eastAsiaTheme="minorEastAsia" w:cstheme="minorEastAsia"/>
                <w:color w:val="auto"/>
                <w:sz w:val="21"/>
                <w:szCs w:val="21"/>
                <w:lang w:val="zh-CN" w:eastAsia="zh-CN" w:bidi="ar-SA"/>
              </w:rPr>
              <w:t>联系人：杨先生</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eastAsia="zh-CN" w:bidi="ar-SA"/>
              </w:rPr>
              <w:t>联系电话：</w:t>
            </w:r>
            <w:r>
              <w:rPr>
                <w:rFonts w:hint="eastAsia" w:asciiTheme="minorEastAsia" w:hAnsiTheme="minorEastAsia" w:eastAsiaTheme="minorEastAsia" w:cstheme="minorEastAsia"/>
                <w:color w:val="auto"/>
                <w:sz w:val="21"/>
                <w:szCs w:val="21"/>
                <w:lang w:val="en-US" w:eastAsia="zh-CN" w:bidi="ar-SA"/>
              </w:rPr>
              <w:t>028-87323532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21</w:t>
            </w:r>
          </w:p>
        </w:tc>
        <w:tc>
          <w:tcPr>
            <w:tcW w:w="2415" w:type="dxa"/>
            <w:vAlign w:val="center"/>
          </w:tcPr>
          <w:p>
            <w:pPr>
              <w:pStyle w:val="395"/>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供应商质疑</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1.对招标文件技术指标、参数、资质要求、评分办法的质疑：</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向采购人提出，并由采购人按相关规定作出答复或采购代理机构代为答复。</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质疑时间：获取招标文件之日起七个工作日内。</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 系 人、联系电话、联系地址：详见第一章招标公告中的采购人联系方式。</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2.对采购过程和采购结果的质疑：</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向采购代理机构提出，并由采购代理机构按相关规定作出答复。</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对采购过程质疑时间：为各采购程序环节结束之日起七个工作日内。</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对采购结果提出质疑时间：为中标结果公告期限界满之日起七个工作日内。</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 系 人、联系电话、联系地址：详见第一章招标公告中的采购代理机构联系方式。</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3.质疑必须以书面形式(原件)提出，以其他形式提出的质疑均不接受和回复。</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注：根据《中华人民共和国政府采购法》等规定，供应商质疑不得超出采购文件、采购过程、采购结果的范围,投标人针对同一采购程序环节的质疑应在法定质疑期内一次性提出。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22</w:t>
            </w:r>
          </w:p>
        </w:tc>
        <w:tc>
          <w:tcPr>
            <w:tcW w:w="2415" w:type="dxa"/>
            <w:vAlign w:val="center"/>
          </w:tcPr>
          <w:p>
            <w:pPr>
              <w:pStyle w:val="395"/>
              <w:spacing w:line="360" w:lineRule="auto"/>
              <w:ind w:firstLine="210" w:firstLineChars="100"/>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供应商投诉</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投诉受理单位：本项目同级财政部门，即：</w:t>
            </w:r>
            <w:r>
              <w:rPr>
                <w:rFonts w:hint="eastAsia" w:asciiTheme="minorEastAsia" w:hAnsiTheme="minorEastAsia" w:eastAsiaTheme="minorEastAsia" w:cstheme="minorEastAsia"/>
                <w:color w:val="auto"/>
                <w:sz w:val="21"/>
                <w:szCs w:val="21"/>
                <w:u w:val="single"/>
                <w:lang w:val="zh-CN"/>
              </w:rPr>
              <w:t>成都市金牛区财政局</w:t>
            </w:r>
            <w:r>
              <w:rPr>
                <w:rFonts w:hint="eastAsia" w:asciiTheme="minorEastAsia" w:hAnsiTheme="minorEastAsia" w:eastAsiaTheme="minorEastAsia" w:cstheme="minorEastAsia"/>
                <w:color w:val="auto"/>
                <w:sz w:val="21"/>
                <w:szCs w:val="21"/>
                <w:lang w:val="zh-CN"/>
              </w:rPr>
              <w:t>。</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联系电话：028-87705190</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 xml:space="preserve">注：根据《中华人民共和国政府采购法实施条例》等规定，投标人投诉事项不得超出已质疑事项的范围。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23</w:t>
            </w:r>
          </w:p>
        </w:tc>
        <w:tc>
          <w:tcPr>
            <w:tcW w:w="2415" w:type="dxa"/>
            <w:vAlign w:val="center"/>
          </w:tcPr>
          <w:p>
            <w:pPr>
              <w:pStyle w:val="395"/>
              <w:spacing w:line="360" w:lineRule="auto"/>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政府采购合同公告备案</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政府采购合同签订之日起2个工作日内，采购人应将政府采购合同在四川政府采购网公告；政府采购合同签订之日起七个工作日内，政府采购合同将向本采购项目同级财政部门备案。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leftChars="0"/>
              <w:jc w:val="center"/>
              <w:rPr>
                <w:rFonts w:hint="default" w:asciiTheme="minorEastAsia" w:hAnsiTheme="minorEastAsia" w:eastAsiaTheme="minorEastAsia" w:cstheme="minorEastAsia"/>
                <w:color w:val="auto"/>
                <w:sz w:val="21"/>
                <w:szCs w:val="21"/>
                <w:lang w:val="en-US" w:eastAsia="zh-CN" w:bidi="ar-SA"/>
              </w:rPr>
            </w:pPr>
            <w:r>
              <w:rPr>
                <w:rFonts w:hint="eastAsia" w:asciiTheme="minorEastAsia" w:hAnsiTheme="minorEastAsia" w:eastAsiaTheme="minorEastAsia" w:cstheme="minorEastAsia"/>
                <w:color w:val="auto"/>
                <w:sz w:val="21"/>
                <w:szCs w:val="21"/>
                <w:lang w:val="en-US" w:eastAsia="zh-CN" w:bidi="ar-SA"/>
              </w:rPr>
              <w:t>24</w:t>
            </w:r>
          </w:p>
        </w:tc>
        <w:tc>
          <w:tcPr>
            <w:tcW w:w="2415" w:type="dxa"/>
            <w:vAlign w:val="center"/>
          </w:tcPr>
          <w:p>
            <w:pPr>
              <w:pStyle w:val="395"/>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中标</w:t>
            </w:r>
            <w:r>
              <w:rPr>
                <w:rFonts w:hint="eastAsia" w:asciiTheme="minorEastAsia" w:hAnsiTheme="minorEastAsia" w:eastAsiaTheme="minorEastAsia" w:cstheme="minorEastAsia"/>
                <w:color w:val="auto"/>
                <w:sz w:val="21"/>
                <w:szCs w:val="21"/>
                <w:lang w:val="zh-CN"/>
              </w:rPr>
              <w:t>服务费</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eastAsia="zh-CN" w:bidi="ar-SA"/>
              </w:rPr>
            </w:pPr>
            <w:bookmarkStart w:id="22" w:name="PO_默认文件内容_21"/>
            <w:r>
              <w:rPr>
                <w:rFonts w:hint="eastAsia" w:asciiTheme="minorEastAsia" w:hAnsiTheme="minorEastAsia" w:eastAsiaTheme="minorEastAsia" w:cstheme="minorEastAsia"/>
                <w:b/>
                <w:bCs/>
                <w:color w:val="auto"/>
                <w:sz w:val="21"/>
                <w:szCs w:val="21"/>
              </w:rPr>
              <w:t>中标</w:t>
            </w:r>
            <w:r>
              <w:rPr>
                <w:rFonts w:hint="eastAsia" w:asciiTheme="minorEastAsia" w:hAnsiTheme="minorEastAsia" w:eastAsiaTheme="minorEastAsia" w:cstheme="minorEastAsia"/>
                <w:b/>
                <w:bCs/>
                <w:color w:val="auto"/>
                <w:sz w:val="21"/>
                <w:szCs w:val="21"/>
                <w:lang w:eastAsia="zh-CN"/>
              </w:rPr>
              <w:t>人</w:t>
            </w:r>
            <w:r>
              <w:rPr>
                <w:rFonts w:hint="eastAsia" w:asciiTheme="minorEastAsia" w:hAnsiTheme="minorEastAsia" w:eastAsiaTheme="minorEastAsia" w:cstheme="minorEastAsia"/>
                <w:b/>
                <w:bCs/>
                <w:color w:val="auto"/>
                <w:sz w:val="21"/>
                <w:szCs w:val="21"/>
                <w:lang w:val="zh-CN"/>
              </w:rPr>
              <w:t>领取</w:t>
            </w:r>
            <w:r>
              <w:rPr>
                <w:rFonts w:hint="eastAsia" w:asciiTheme="minorEastAsia" w:hAnsiTheme="minorEastAsia" w:eastAsiaTheme="minorEastAsia" w:cstheme="minorEastAsia"/>
                <w:b/>
                <w:bCs/>
                <w:color w:val="auto"/>
                <w:sz w:val="21"/>
                <w:szCs w:val="21"/>
              </w:rPr>
              <w:t>中标</w:t>
            </w:r>
            <w:r>
              <w:rPr>
                <w:rFonts w:hint="eastAsia" w:asciiTheme="minorEastAsia" w:hAnsiTheme="minorEastAsia" w:eastAsiaTheme="minorEastAsia" w:cstheme="minorEastAsia"/>
                <w:b/>
                <w:bCs/>
                <w:color w:val="auto"/>
                <w:sz w:val="21"/>
                <w:szCs w:val="21"/>
                <w:lang w:val="zh-CN"/>
              </w:rPr>
              <w:t>通知书时，应向采购代理机构交纳</w:t>
            </w:r>
            <w:r>
              <w:rPr>
                <w:rFonts w:hint="eastAsia" w:asciiTheme="minorEastAsia" w:hAnsiTheme="minorEastAsia" w:eastAsiaTheme="minorEastAsia" w:cstheme="minorEastAsia"/>
                <w:b/>
                <w:bCs/>
                <w:color w:val="auto"/>
                <w:sz w:val="21"/>
                <w:szCs w:val="21"/>
              </w:rPr>
              <w:t>中标</w:t>
            </w:r>
            <w:r>
              <w:rPr>
                <w:rFonts w:hint="eastAsia" w:asciiTheme="minorEastAsia" w:hAnsiTheme="minorEastAsia" w:eastAsiaTheme="minorEastAsia" w:cstheme="minorEastAsia"/>
                <w:b/>
                <w:bCs/>
                <w:color w:val="auto"/>
                <w:sz w:val="21"/>
                <w:szCs w:val="21"/>
                <w:lang w:val="zh-CN"/>
              </w:rPr>
              <w:t>服务费</w:t>
            </w:r>
            <w:r>
              <w:rPr>
                <w:rFonts w:hint="eastAsia" w:asciiTheme="minorEastAsia" w:hAnsiTheme="minorEastAsia" w:eastAsiaTheme="minorEastAsia" w:cstheme="minorEastAsia"/>
                <w:color w:val="auto"/>
                <w:sz w:val="21"/>
                <w:szCs w:val="21"/>
                <w:lang w:val="zh-CN"/>
              </w:rPr>
              <w:t>。</w:t>
            </w:r>
            <w:bookmarkEnd w:id="22"/>
            <w:r>
              <w:rPr>
                <w:rFonts w:hint="eastAsia" w:asciiTheme="minorEastAsia" w:hAnsiTheme="minorEastAsia" w:eastAsiaTheme="minorEastAsia" w:cstheme="minorEastAsia"/>
                <w:color w:val="auto"/>
                <w:sz w:val="21"/>
                <w:szCs w:val="21"/>
                <w:lang w:val="zh-CN" w:eastAsia="zh-CN" w:bidi="ar-SA"/>
              </w:rPr>
              <w:t>采购代理服务费金额按照各包采购预算金额的</w:t>
            </w:r>
            <w:r>
              <w:rPr>
                <w:rFonts w:hint="eastAsia" w:asciiTheme="minorEastAsia" w:hAnsiTheme="minorEastAsia" w:eastAsiaTheme="minorEastAsia" w:cstheme="minorEastAsia"/>
                <w:color w:val="auto"/>
                <w:sz w:val="21"/>
                <w:szCs w:val="21"/>
                <w:lang w:val="en-US" w:eastAsia="zh-CN" w:bidi="ar-SA"/>
              </w:rPr>
              <w:t>0.5</w:t>
            </w:r>
            <w:r>
              <w:rPr>
                <w:rFonts w:hint="eastAsia" w:asciiTheme="minorEastAsia" w:hAnsiTheme="minorEastAsia" w:eastAsiaTheme="minorEastAsia" w:cstheme="minorEastAsia"/>
                <w:color w:val="auto"/>
                <w:sz w:val="21"/>
                <w:szCs w:val="21"/>
                <w:lang w:val="zh-CN" w:eastAsia="zh-CN" w:bidi="ar-SA"/>
              </w:rPr>
              <w:t>%收取。由各包中标人（成交供应商）向采购代理机构一次性支付。</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收款单位：成都市均益建设工程造价咨询有限责任公司。</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开 户 行：成都银行长顺支行</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银行账号：1001300000252180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25</w:t>
            </w:r>
          </w:p>
        </w:tc>
        <w:tc>
          <w:tcPr>
            <w:tcW w:w="2415" w:type="dxa"/>
            <w:vAlign w:val="center"/>
          </w:tcPr>
          <w:p>
            <w:pPr>
              <w:pStyle w:val="395"/>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分包</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不允许分包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26</w:t>
            </w:r>
          </w:p>
        </w:tc>
        <w:tc>
          <w:tcPr>
            <w:tcW w:w="2415" w:type="dxa"/>
            <w:vAlign w:val="center"/>
          </w:tcPr>
          <w:p>
            <w:pPr>
              <w:pStyle w:val="395"/>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推进四川省政府采购供应商信用融资</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根据《四川省财政厅关于推进四川省政府采购供应商信用融资工作的通知》（川财采〔2018〕123号），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成财采〔2019〕17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27</w:t>
            </w:r>
          </w:p>
        </w:tc>
        <w:tc>
          <w:tcPr>
            <w:tcW w:w="2415" w:type="dxa"/>
            <w:vAlign w:val="center"/>
          </w:tcPr>
          <w:p>
            <w:pPr>
              <w:pStyle w:val="395"/>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中小企业政府采购信用融资</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参加本次采购活动成交的中小企业无需提供财产抵押或第三方担保，凭借政府采购合同可向金融机构申请融资。相关政策规定内容请在“四川政府采购网”查询。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28</w:t>
            </w:r>
          </w:p>
        </w:tc>
        <w:tc>
          <w:tcPr>
            <w:tcW w:w="2415" w:type="dxa"/>
            <w:vAlign w:val="center"/>
          </w:tcPr>
          <w:p>
            <w:pPr>
              <w:pStyle w:val="395"/>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声明承诺提醒</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投标人投标文件中提供的各种声明和承诺应当真实有效，无效声明和承诺、虚假声明和承诺将由投标人自己承担由此带来的任何不利后果，虚假声明和承诺还将报告监管部门追究法律责任。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34" w:type="dxa"/>
            <w:vAlign w:val="center"/>
          </w:tcPr>
          <w:p>
            <w:pPr>
              <w:pStyle w:val="395"/>
              <w:spacing w:line="360" w:lineRule="auto"/>
              <w:ind w:left="38"/>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29</w:t>
            </w:r>
          </w:p>
        </w:tc>
        <w:tc>
          <w:tcPr>
            <w:tcW w:w="2415" w:type="dxa"/>
            <w:vAlign w:val="center"/>
          </w:tcPr>
          <w:p>
            <w:pPr>
              <w:pStyle w:val="395"/>
              <w:spacing w:line="360" w:lineRule="auto"/>
              <w:ind w:left="96"/>
              <w:jc w:val="center"/>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温馨提示</w:t>
            </w:r>
          </w:p>
        </w:tc>
        <w:tc>
          <w:tcPr>
            <w:tcW w:w="6357" w:type="dxa"/>
            <w:vAlign w:val="center"/>
          </w:tcPr>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1.供应商需准备全流程所必需的硬件设备包括电脑（版本 win7 64位及以上）、麦克风、摄像头、CA证书等。建议使用同一台电脑完成投标、评标相关事宜，推荐安装 chrome 浏览器，且解密CA必须和加密CA为同一把。</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2.政府采购云平台供应商注册地址：</w:t>
            </w:r>
          </w:p>
          <w:p>
            <w:pPr>
              <w:pStyle w:val="395"/>
              <w:spacing w:line="360" w:lineRule="auto"/>
              <w:jc w:val="both"/>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https://middle.zcygov.cn/v-settle-front/registry?settleCategory=1&amp;entranceType=119&amp;utm=a0017.b1347.cl50.3.c0de9400b91b11eb870ad7da87d69c97</w:t>
            </w:r>
          </w:p>
        </w:tc>
      </w:tr>
    </w:tbl>
    <w:p>
      <w:pPr>
        <w:rPr>
          <w:rFonts w:hint="eastAsia" w:asciiTheme="minorEastAsia" w:hAnsiTheme="minorEastAsia" w:eastAsiaTheme="minorEastAsia" w:cstheme="minorEastAsia"/>
          <w:color w:val="auto"/>
        </w:rPr>
      </w:pPr>
    </w:p>
    <w:p>
      <w:pPr>
        <w:pStyle w:val="4"/>
        <w:spacing w:line="400" w:lineRule="exact"/>
        <w:jc w:val="center"/>
        <w:rPr>
          <w:rFonts w:hint="eastAsia" w:asciiTheme="minorEastAsia" w:hAnsiTheme="minorEastAsia" w:eastAsiaTheme="minorEastAsia" w:cstheme="minorEastAsia"/>
          <w:bCs w:val="0"/>
          <w:color w:val="auto"/>
        </w:rPr>
      </w:pPr>
      <w:r>
        <w:rPr>
          <w:rFonts w:hint="eastAsia" w:asciiTheme="minorEastAsia" w:hAnsiTheme="minorEastAsia" w:eastAsiaTheme="minorEastAsia" w:cstheme="minorEastAsia"/>
          <w:bCs w:val="0"/>
          <w:color w:val="auto"/>
        </w:rPr>
        <w:t>二、总  则</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23" w:name="_Toc183582205"/>
      <w:bookmarkStart w:id="24" w:name="_Toc183682342"/>
      <w:bookmarkStart w:id="25" w:name="_Toc217446034"/>
      <w:r>
        <w:rPr>
          <w:rFonts w:hint="eastAsia" w:asciiTheme="minorEastAsia" w:hAnsiTheme="minorEastAsia" w:eastAsiaTheme="minorEastAsia" w:cstheme="minorEastAsia"/>
          <w:color w:val="auto"/>
          <w:sz w:val="24"/>
        </w:rPr>
        <w:t>1.</w:t>
      </w:r>
      <w:bookmarkEnd w:id="23"/>
      <w:bookmarkEnd w:id="24"/>
      <w:r>
        <w:rPr>
          <w:rFonts w:hint="eastAsia" w:asciiTheme="minorEastAsia" w:hAnsiTheme="minorEastAsia" w:eastAsiaTheme="minorEastAsia" w:cstheme="minorEastAsia"/>
          <w:color w:val="auto"/>
        </w:rPr>
        <w:t xml:space="preserve"> </w:t>
      </w:r>
      <w:r>
        <w:rPr>
          <w:rFonts w:hint="eastAsia" w:asciiTheme="minorEastAsia" w:hAnsiTheme="minorEastAsia" w:eastAsiaTheme="minorEastAsia" w:cstheme="minorEastAsia"/>
          <w:color w:val="auto"/>
          <w:sz w:val="24"/>
          <w:szCs w:val="24"/>
        </w:rPr>
        <w:t>适用范围</w:t>
      </w:r>
      <w:bookmarkEnd w:id="25"/>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1.1 本招标文件仅适用于本次公开招标采购项目。</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26" w:name="_Toc183582206"/>
      <w:bookmarkStart w:id="27" w:name="_Toc183682343"/>
      <w:bookmarkStart w:id="28" w:name="_Toc217446035"/>
      <w:r>
        <w:rPr>
          <w:rFonts w:hint="eastAsia" w:asciiTheme="minorEastAsia" w:hAnsiTheme="minorEastAsia" w:eastAsiaTheme="minorEastAsia" w:cstheme="minorEastAsia"/>
          <w:color w:val="auto"/>
          <w:sz w:val="24"/>
        </w:rPr>
        <w:t xml:space="preserve">2. </w:t>
      </w:r>
      <w:bookmarkEnd w:id="26"/>
      <w:bookmarkEnd w:id="27"/>
      <w:r>
        <w:rPr>
          <w:rFonts w:hint="eastAsia" w:asciiTheme="minorEastAsia" w:hAnsiTheme="minorEastAsia" w:eastAsiaTheme="minorEastAsia" w:cstheme="minorEastAsia"/>
          <w:color w:val="auto"/>
          <w:sz w:val="24"/>
        </w:rPr>
        <w:t>有关</w:t>
      </w:r>
      <w:r>
        <w:rPr>
          <w:rFonts w:hint="eastAsia" w:asciiTheme="minorEastAsia" w:hAnsiTheme="minorEastAsia" w:eastAsiaTheme="minorEastAsia" w:cstheme="minorEastAsia"/>
          <w:color w:val="auto"/>
          <w:sz w:val="24"/>
          <w:szCs w:val="24"/>
        </w:rPr>
        <w:t>定义</w:t>
      </w:r>
      <w:bookmarkEnd w:id="28"/>
    </w:p>
    <w:p>
      <w:pPr>
        <w:tabs>
          <w:tab w:val="left" w:pos="7665"/>
        </w:tabs>
        <w:spacing w:line="276" w:lineRule="auto"/>
        <w:ind w:firstLine="480" w:firstLineChars="200"/>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2.1 “采购人”系指依法进行政府采购的国家机关、事业单位、团体组织。本次招标的采购人是</w:t>
      </w:r>
      <w:r>
        <w:rPr>
          <w:rFonts w:hint="eastAsia" w:asciiTheme="minorEastAsia" w:hAnsiTheme="minorEastAsia" w:eastAsiaTheme="minorEastAsia" w:cstheme="minorEastAsia"/>
          <w:color w:val="auto"/>
          <w:sz w:val="24"/>
          <w:u w:val="single"/>
          <w:lang w:eastAsia="zh-CN"/>
        </w:rPr>
        <w:t>成都市金牛区市场监督管理局</w:t>
      </w:r>
      <w:r>
        <w:rPr>
          <w:rFonts w:hint="eastAsia" w:asciiTheme="minorEastAsia" w:hAnsiTheme="minorEastAsia" w:eastAsiaTheme="minorEastAsia" w:cstheme="minorEastAsia"/>
          <w:color w:val="auto"/>
          <w:sz w:val="24"/>
          <w:u w:val="none"/>
          <w:lang w:eastAsia="zh-CN"/>
        </w:rPr>
        <w:t>。</w:t>
      </w:r>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2.2 “采购代理机构” 系指根据采购人的委托依法办理招标事宜的采购机构。本次招标的采购代理机构是</w:t>
      </w:r>
      <w:r>
        <w:rPr>
          <w:rFonts w:hint="eastAsia" w:asciiTheme="minorEastAsia" w:hAnsiTheme="minorEastAsia" w:eastAsiaTheme="minorEastAsia" w:cstheme="minorEastAsia"/>
          <w:color w:val="auto"/>
          <w:sz w:val="24"/>
          <w:u w:val="single"/>
          <w:lang w:eastAsia="zh-CN"/>
        </w:rPr>
        <w:t>成都市均益建设工程造价咨询有限责任公司</w:t>
      </w:r>
      <w:r>
        <w:rPr>
          <w:rFonts w:hint="eastAsia" w:asciiTheme="minorEastAsia" w:hAnsiTheme="minorEastAsia" w:eastAsiaTheme="minorEastAsia" w:cstheme="minorEastAsia"/>
          <w:color w:val="auto"/>
          <w:sz w:val="24"/>
        </w:rPr>
        <w:t>。</w:t>
      </w:r>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2.3 “招标采购单位”系指“采购人”和“采购代理机构”的统称。</w:t>
      </w:r>
    </w:p>
    <w:p>
      <w:pPr>
        <w:tabs>
          <w:tab w:val="left" w:pos="7665"/>
        </w:tabs>
        <w:spacing w:line="276"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2.4 “投标人”系</w:t>
      </w:r>
      <w:r>
        <w:rPr>
          <w:rFonts w:hint="eastAsia" w:asciiTheme="minorEastAsia" w:hAnsiTheme="minorEastAsia" w:eastAsiaTheme="minorEastAsia" w:cstheme="minorEastAsia"/>
          <w:color w:val="auto"/>
          <w:sz w:val="24"/>
          <w:lang w:eastAsia="zh-CN"/>
        </w:rPr>
        <w:t>指从“政府采购云平台”获取采购文件拟参加投标和向采购人提供货物及相应服务的供应商。</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29" w:name="_Toc183682344"/>
      <w:bookmarkStart w:id="30" w:name="_Toc217446036"/>
      <w:bookmarkStart w:id="31" w:name="_Toc183582207"/>
      <w:bookmarkStart w:id="32" w:name="_Toc217390843"/>
      <w:r>
        <w:rPr>
          <w:rFonts w:hint="eastAsia" w:asciiTheme="minorEastAsia" w:hAnsiTheme="minorEastAsia" w:eastAsiaTheme="minorEastAsia" w:cstheme="minorEastAsia"/>
          <w:color w:val="auto"/>
          <w:sz w:val="24"/>
        </w:rPr>
        <w:t>3. 合格的投标人</w:t>
      </w:r>
      <w:bookmarkEnd w:id="29"/>
      <w:bookmarkEnd w:id="30"/>
      <w:bookmarkEnd w:id="31"/>
      <w:bookmarkEnd w:id="32"/>
      <w:r>
        <w:rPr>
          <w:rFonts w:hint="eastAsia" w:asciiTheme="minorEastAsia" w:hAnsiTheme="minorEastAsia" w:eastAsiaTheme="minorEastAsia" w:cstheme="minorEastAsia"/>
          <w:color w:val="auto"/>
          <w:sz w:val="24"/>
          <w:szCs w:val="24"/>
        </w:rPr>
        <w:t>（实质性要求）</w:t>
      </w:r>
    </w:p>
    <w:p>
      <w:pPr>
        <w:tabs>
          <w:tab w:val="left" w:pos="7665"/>
        </w:tabs>
        <w:spacing w:line="40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 xml:space="preserve">   </w:t>
      </w:r>
      <w:r>
        <w:rPr>
          <w:rFonts w:hint="eastAsia" w:asciiTheme="minorEastAsia" w:hAnsiTheme="minorEastAsia" w:eastAsiaTheme="minorEastAsia" w:cstheme="minorEastAsia"/>
          <w:color w:val="auto"/>
          <w:sz w:val="24"/>
        </w:rPr>
        <w:t>合格的投标人应具备以下条件：</w:t>
      </w:r>
    </w:p>
    <w:p>
      <w:pPr>
        <w:tabs>
          <w:tab w:val="left" w:pos="7665"/>
        </w:tabs>
        <w:spacing w:line="400" w:lineRule="exact"/>
        <w:ind w:firstLine="480" w:firstLineChars="200"/>
        <w:rPr>
          <w:rFonts w:hint="eastAsia" w:asciiTheme="minorEastAsia" w:hAnsiTheme="minorEastAsia" w:eastAsiaTheme="minorEastAsia" w:cstheme="minorEastAsia"/>
          <w:color w:val="auto"/>
          <w:spacing w:val="-4"/>
          <w:sz w:val="24"/>
        </w:rPr>
      </w:pPr>
      <w:r>
        <w:rPr>
          <w:rFonts w:hint="eastAsia" w:asciiTheme="minorEastAsia" w:hAnsiTheme="minorEastAsia" w:eastAsiaTheme="minorEastAsia" w:cstheme="minorEastAsia"/>
          <w:color w:val="auto"/>
          <w:sz w:val="24"/>
        </w:rPr>
        <w:t>（1）本招标文件规定的供应商资格条件</w:t>
      </w:r>
      <w:r>
        <w:rPr>
          <w:rFonts w:hint="eastAsia" w:asciiTheme="minorEastAsia" w:hAnsiTheme="minorEastAsia" w:eastAsiaTheme="minorEastAsia" w:cstheme="minorEastAsia"/>
          <w:color w:val="auto"/>
          <w:spacing w:val="-4"/>
          <w:sz w:val="24"/>
        </w:rPr>
        <w:t>；</w:t>
      </w:r>
    </w:p>
    <w:p>
      <w:pPr>
        <w:tabs>
          <w:tab w:val="left" w:pos="7665"/>
        </w:tabs>
        <w:spacing w:line="40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（2）遵守国家有关的法律、法规、规章和其他政策制度；</w:t>
      </w:r>
    </w:p>
    <w:p>
      <w:pPr>
        <w:tabs>
          <w:tab w:val="left" w:pos="7665"/>
        </w:tabs>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（3）按照招标文件“投标邀请”中第</w:t>
      </w:r>
      <w:r>
        <w:rPr>
          <w:rFonts w:hint="eastAsia" w:asciiTheme="minorEastAsia" w:hAnsiTheme="minorEastAsia" w:eastAsiaTheme="minorEastAsia" w:cstheme="minorEastAsia"/>
          <w:color w:val="auto"/>
          <w:sz w:val="24"/>
          <w:lang w:eastAsia="zh-CN"/>
        </w:rPr>
        <w:t>九</w:t>
      </w:r>
      <w:r>
        <w:rPr>
          <w:rFonts w:hint="eastAsia" w:asciiTheme="minorEastAsia" w:hAnsiTheme="minorEastAsia" w:eastAsiaTheme="minorEastAsia" w:cstheme="minorEastAsia"/>
          <w:color w:val="auto"/>
          <w:sz w:val="24"/>
        </w:rPr>
        <w:t>条规定获取了招标文件。</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33" w:name="_Toc183682345"/>
      <w:bookmarkStart w:id="34" w:name="_Toc183582208"/>
      <w:bookmarkStart w:id="35" w:name="_Toc217446037"/>
      <w:r>
        <w:rPr>
          <w:rFonts w:hint="eastAsia" w:asciiTheme="minorEastAsia" w:hAnsiTheme="minorEastAsia" w:eastAsiaTheme="minorEastAsia" w:cstheme="minorEastAsia"/>
          <w:color w:val="auto"/>
          <w:sz w:val="24"/>
        </w:rPr>
        <w:t>4. 投标费用</w:t>
      </w:r>
      <w:bookmarkEnd w:id="33"/>
      <w:bookmarkEnd w:id="34"/>
      <w:bookmarkEnd w:id="35"/>
      <w:r>
        <w:rPr>
          <w:rFonts w:hint="eastAsia" w:asciiTheme="minorEastAsia" w:hAnsiTheme="minorEastAsia" w:eastAsiaTheme="minorEastAsia" w:cstheme="minorEastAsia"/>
          <w:color w:val="auto"/>
          <w:sz w:val="24"/>
          <w:szCs w:val="24"/>
        </w:rPr>
        <w:t>（实质性要求）</w:t>
      </w:r>
    </w:p>
    <w:p>
      <w:pPr>
        <w:tabs>
          <w:tab w:val="left" w:pos="7665"/>
        </w:tabs>
        <w:spacing w:line="276"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投标人参加投标的有关费用由投标人自行承担。</w:t>
      </w:r>
    </w:p>
    <w:p>
      <w:pPr>
        <w:pStyle w:val="5"/>
        <w:spacing w:line="276"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5、充分、公平竞争保障措施</w:t>
      </w:r>
      <w:r>
        <w:rPr>
          <w:rFonts w:hint="eastAsia" w:asciiTheme="minorEastAsia" w:hAnsiTheme="minorEastAsia" w:eastAsiaTheme="minorEastAsia" w:cstheme="minorEastAsia"/>
          <w:color w:val="auto"/>
          <w:sz w:val="24"/>
          <w:szCs w:val="24"/>
        </w:rPr>
        <w:t>（实质性要求）</w:t>
      </w:r>
    </w:p>
    <w:p>
      <w:pPr>
        <w:pStyle w:val="287"/>
        <w:spacing w:line="360" w:lineRule="auto"/>
        <w:ind w:left="1"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5.1利害关系供应商处理。</w:t>
      </w:r>
      <w:r>
        <w:rPr>
          <w:rFonts w:hint="eastAsia" w:asciiTheme="minorEastAsia" w:hAnsiTheme="minorEastAsia" w:eastAsiaTheme="minorEastAsia" w:cstheme="minorEastAsia"/>
          <w:color w:val="auto"/>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72"/>
        <w:spacing w:line="360" w:lineRule="auto"/>
        <w:ind w:left="1"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5.2前期参与供应商处理。</w:t>
      </w:r>
      <w:r>
        <w:rPr>
          <w:rFonts w:hint="eastAsia" w:asciiTheme="minorEastAsia" w:hAnsiTheme="minorEastAsia" w:eastAsiaTheme="minorEastAsia" w:cstheme="minorEastAsia"/>
          <w:color w:val="auto"/>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360"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5.3 利害关系代理人处理。</w:t>
      </w:r>
      <w:r>
        <w:rPr>
          <w:rFonts w:hint="eastAsia" w:asciiTheme="minorEastAsia" w:hAnsiTheme="minorEastAsia" w:eastAsiaTheme="minorEastAsia" w:cstheme="minorEastAsia"/>
          <w:color w:val="auto"/>
          <w:sz w:val="24"/>
        </w:rPr>
        <w:t>2家以上的供应商不得在同一合同项下的采购项目中，同时委托同一个自然人、同一家庭的人员、同一单位的人员作为其代理人，否则，其投标（响应）文件作为无效处理。</w:t>
      </w:r>
    </w:p>
    <w:p>
      <w:pPr>
        <w:pStyle w:val="4"/>
        <w:spacing w:line="276" w:lineRule="auto"/>
        <w:jc w:val="center"/>
        <w:rPr>
          <w:rFonts w:hint="eastAsia" w:asciiTheme="minorEastAsia" w:hAnsiTheme="minorEastAsia" w:eastAsiaTheme="minorEastAsia" w:cstheme="minorEastAsia"/>
          <w:bCs w:val="0"/>
          <w:color w:val="auto"/>
        </w:rPr>
      </w:pPr>
      <w:bookmarkStart w:id="36" w:name="_Toc217446038"/>
      <w:bookmarkStart w:id="37" w:name="_Toc89075875"/>
      <w:bookmarkStart w:id="38" w:name="_Toc77400779"/>
      <w:bookmarkStart w:id="39" w:name="_Toc183582209"/>
      <w:bookmarkStart w:id="40" w:name="_Toc183682346"/>
      <w:r>
        <w:rPr>
          <w:rFonts w:hint="eastAsia" w:asciiTheme="minorEastAsia" w:hAnsiTheme="minorEastAsia" w:eastAsiaTheme="minorEastAsia" w:cstheme="minorEastAsia"/>
          <w:bCs w:val="0"/>
          <w:color w:val="auto"/>
        </w:rPr>
        <w:t>三、招标文件</w:t>
      </w:r>
      <w:bookmarkEnd w:id="36"/>
      <w:bookmarkEnd w:id="37"/>
      <w:bookmarkEnd w:id="38"/>
      <w:bookmarkEnd w:id="39"/>
      <w:bookmarkEnd w:id="40"/>
    </w:p>
    <w:p>
      <w:pPr>
        <w:pStyle w:val="5"/>
        <w:spacing w:line="276" w:lineRule="auto"/>
        <w:ind w:firstLine="482" w:firstLineChars="200"/>
        <w:rPr>
          <w:rFonts w:hint="eastAsia" w:asciiTheme="minorEastAsia" w:hAnsiTheme="minorEastAsia" w:eastAsiaTheme="minorEastAsia" w:cstheme="minorEastAsia"/>
          <w:color w:val="auto"/>
          <w:sz w:val="24"/>
        </w:rPr>
      </w:pPr>
      <w:bookmarkStart w:id="41" w:name="_Toc217446039"/>
      <w:bookmarkStart w:id="42" w:name="_Toc183682347"/>
      <w:bookmarkStart w:id="43" w:name="_Toc183582210"/>
      <w:r>
        <w:rPr>
          <w:rFonts w:hint="eastAsia" w:asciiTheme="minorEastAsia" w:hAnsiTheme="minorEastAsia" w:eastAsiaTheme="minorEastAsia" w:cstheme="minorEastAsia"/>
          <w:color w:val="auto"/>
          <w:sz w:val="24"/>
        </w:rPr>
        <w:t>6．招标文件的构成</w:t>
      </w:r>
      <w:bookmarkEnd w:id="41"/>
      <w:bookmarkEnd w:id="42"/>
      <w:bookmarkEnd w:id="43"/>
    </w:p>
    <w:p>
      <w:pPr>
        <w:tabs>
          <w:tab w:val="left" w:pos="7665"/>
        </w:tabs>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6</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color w:val="auto"/>
          <w:sz w:val="24"/>
        </w:rPr>
        <w:t>1 招标文件是</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（一）投标邀请；</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（二）投标人须知；</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（三）投标文件格式；</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（四）投标人应当提供的资格、资质性及其他类似效力要求的相关证明材料；</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（五）技术、商务及其他要求；</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（六）评标办法；</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（七）合同主要条款。</w:t>
      </w:r>
    </w:p>
    <w:p>
      <w:pPr>
        <w:tabs>
          <w:tab w:val="left" w:pos="7665"/>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color w:val="auto"/>
          <w:sz w:val="24"/>
        </w:rPr>
        <w:t>2 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
        <w:spacing w:line="276" w:lineRule="auto"/>
        <w:ind w:firstLine="482" w:firstLineChars="200"/>
        <w:rPr>
          <w:rFonts w:hint="eastAsia" w:asciiTheme="minorEastAsia" w:hAnsiTheme="minorEastAsia" w:eastAsiaTheme="minorEastAsia" w:cstheme="minorEastAsia"/>
          <w:color w:val="auto"/>
          <w:sz w:val="24"/>
        </w:rPr>
      </w:pPr>
      <w:bookmarkStart w:id="44" w:name="_Toc183582211"/>
      <w:bookmarkStart w:id="45" w:name="_Toc183682348"/>
      <w:bookmarkStart w:id="46" w:name="_Toc217446040"/>
      <w:r>
        <w:rPr>
          <w:rFonts w:hint="eastAsia" w:asciiTheme="minorEastAsia" w:hAnsiTheme="minorEastAsia" w:eastAsiaTheme="minorEastAsia" w:cstheme="minorEastAsia"/>
          <w:color w:val="auto"/>
          <w:sz w:val="24"/>
        </w:rPr>
        <w:t>7. 招标文件的澄清</w:t>
      </w:r>
      <w:bookmarkEnd w:id="44"/>
      <w:bookmarkEnd w:id="45"/>
      <w:r>
        <w:rPr>
          <w:rFonts w:hint="eastAsia" w:asciiTheme="minorEastAsia" w:hAnsiTheme="minorEastAsia" w:eastAsiaTheme="minorEastAsia" w:cstheme="minorEastAsia"/>
          <w:color w:val="auto"/>
          <w:sz w:val="24"/>
        </w:rPr>
        <w:t>和修改</w:t>
      </w:r>
      <w:bookmarkEnd w:id="46"/>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7.1 在投标截止时间前，采购人或采购代理机构无论出于何种原因，可以对招标文件进行澄清或者修改。</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7.2 采购人或采购代理机构对已发出的招标文件进行澄清或者修改，将在“四川政府采购网”网站上发布</w:t>
      </w:r>
      <w:r>
        <w:rPr>
          <w:rFonts w:hint="eastAsia" w:asciiTheme="minorEastAsia" w:hAnsiTheme="minorEastAsia" w:eastAsiaTheme="minorEastAsia" w:cstheme="minorEastAsia"/>
          <w:color w:val="auto"/>
          <w:sz w:val="24"/>
          <w:lang w:eastAsia="zh-CN"/>
        </w:rPr>
        <w:t>更正</w:t>
      </w:r>
      <w:r>
        <w:rPr>
          <w:rFonts w:hint="eastAsia" w:asciiTheme="minorEastAsia" w:hAnsiTheme="minorEastAsia" w:eastAsiaTheme="minorEastAsia" w:cstheme="minorEastAsia"/>
          <w:color w:val="auto"/>
          <w:sz w:val="24"/>
        </w:rPr>
        <w:t>公告，同时通过政府采购云平台将澄清或者修改的内容告知所有在系统中成功获取招标文件的潜在投标人（投标人通过账号或CA证书登录云平台查看）。该澄清或者修改的内容为招标文件的组成部分，澄清或者修改的内容可能影响投标文件、资格预审申请文件编制的，采购人或者采购代理机构发布公告并书面通知供应商的时间，应当在投标截止时间至少</w:t>
      </w:r>
      <w:r>
        <w:rPr>
          <w:rFonts w:hint="default" w:asciiTheme="minorAscii" w:hAnsiTheme="minorAscii" w:eastAsiaTheme="minorEastAsia" w:cstheme="minorEastAsia"/>
          <w:color w:val="auto"/>
          <w:sz w:val="24"/>
        </w:rPr>
        <w:t>１５</w:t>
      </w:r>
      <w:r>
        <w:rPr>
          <w:rFonts w:hint="eastAsia" w:asciiTheme="minorEastAsia" w:hAnsiTheme="minorEastAsia" w:eastAsiaTheme="minorEastAsia" w:cstheme="minorEastAsia"/>
          <w:color w:val="auto"/>
          <w:sz w:val="24"/>
        </w:rPr>
        <w:t>日前、提交资格预审申请文件截止时间至少３日前；不足上述时间的，应当顺延提交投标文件、资格预审申请文件的截止时间。</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7.3</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应于投标文件递交截止时间之前在四川省政府采购网</w:t>
      </w:r>
      <w:r>
        <w:rPr>
          <w:rFonts w:hint="eastAsia" w:asciiTheme="minorEastAsia" w:hAnsiTheme="minorEastAsia" w:eastAsiaTheme="minorEastAsia" w:cstheme="minorEastAsia"/>
          <w:color w:val="auto"/>
          <w:sz w:val="24"/>
          <w:lang w:eastAsia="zh-CN"/>
        </w:rPr>
        <w:t>、政府采购云平台</w:t>
      </w:r>
      <w:r>
        <w:rPr>
          <w:rFonts w:hint="eastAsia" w:asciiTheme="minorEastAsia" w:hAnsiTheme="minorEastAsia" w:eastAsiaTheme="minorEastAsia" w:cstheme="minorEastAsia"/>
          <w:color w:val="auto"/>
          <w:sz w:val="24"/>
        </w:rPr>
        <w:t>查询本项目的更正公告，以保证其对招标文件做出正确的响应。</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未按要求下载相关文件，或由于未及时关注更正公告的信息造成的后果，其责任由</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自行负责。</w:t>
      </w:r>
    </w:p>
    <w:p>
      <w:pPr>
        <w:tabs>
          <w:tab w:val="left" w:pos="720"/>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7.4投标人认为需要对招标文件进行澄清或者修改的，可以以书面形式向招标采购单位提出申请，但招标采购单位可以决定是否采纳投标人的申请事项。</w:t>
      </w:r>
    </w:p>
    <w:p>
      <w:pPr>
        <w:pStyle w:val="5"/>
        <w:spacing w:line="276" w:lineRule="auto"/>
        <w:ind w:firstLine="472" w:firstLineChars="196"/>
        <w:rPr>
          <w:rFonts w:hint="eastAsia" w:asciiTheme="minorEastAsia" w:hAnsiTheme="minorEastAsia" w:eastAsiaTheme="minorEastAsia" w:cstheme="minorEastAsia"/>
          <w:color w:val="auto"/>
          <w:sz w:val="24"/>
        </w:rPr>
      </w:pPr>
      <w:bookmarkStart w:id="47" w:name="_Toc208848971"/>
      <w:bookmarkStart w:id="48" w:name="_Toc217446041"/>
      <w:r>
        <w:rPr>
          <w:rFonts w:hint="eastAsia" w:asciiTheme="minorEastAsia" w:hAnsiTheme="minorEastAsia" w:eastAsiaTheme="minorEastAsia" w:cstheme="minorEastAsia"/>
          <w:color w:val="auto"/>
          <w:sz w:val="24"/>
        </w:rPr>
        <w:t>8. 答疑会和现场考察</w:t>
      </w:r>
      <w:bookmarkEnd w:id="47"/>
      <w:bookmarkEnd w:id="48"/>
    </w:p>
    <w:p>
      <w:pPr>
        <w:adjustRightInd w:val="0"/>
        <w:snapToGrid w:val="0"/>
        <w:spacing w:line="360" w:lineRule="auto"/>
        <w:ind w:firstLine="420" w:firstLineChars="175"/>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本项目不组织。</w:t>
      </w:r>
    </w:p>
    <w:p>
      <w:pPr>
        <w:pStyle w:val="4"/>
        <w:spacing w:line="276" w:lineRule="auto"/>
        <w:jc w:val="center"/>
        <w:rPr>
          <w:rFonts w:hint="eastAsia" w:asciiTheme="minorEastAsia" w:hAnsiTheme="minorEastAsia" w:eastAsiaTheme="minorEastAsia" w:cstheme="minorEastAsia"/>
          <w:bCs w:val="0"/>
          <w:color w:val="auto"/>
        </w:rPr>
      </w:pPr>
      <w:bookmarkStart w:id="49" w:name="_Toc77400780"/>
      <w:bookmarkStart w:id="50" w:name="_Toc89075876"/>
      <w:bookmarkStart w:id="51" w:name="_Toc183582214"/>
      <w:bookmarkStart w:id="52" w:name="_Toc217446042"/>
      <w:bookmarkStart w:id="53" w:name="_Toc183682351"/>
      <w:r>
        <w:rPr>
          <w:rFonts w:hint="eastAsia" w:asciiTheme="minorEastAsia" w:hAnsiTheme="minorEastAsia" w:eastAsiaTheme="minorEastAsia" w:cstheme="minorEastAsia"/>
          <w:bCs w:val="0"/>
          <w:color w:val="auto"/>
        </w:rPr>
        <w:t>四、投标文件</w:t>
      </w:r>
      <w:bookmarkEnd w:id="49"/>
      <w:bookmarkEnd w:id="50"/>
      <w:bookmarkEnd w:id="51"/>
      <w:bookmarkEnd w:id="52"/>
      <w:bookmarkEnd w:id="53"/>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54" w:name="_Toc183582215"/>
      <w:bookmarkStart w:id="55" w:name="_Toc183682352"/>
      <w:bookmarkStart w:id="56" w:name="_Toc217446043"/>
      <w:r>
        <w:rPr>
          <w:rFonts w:hint="eastAsia" w:asciiTheme="minorEastAsia" w:hAnsiTheme="minorEastAsia" w:eastAsiaTheme="minorEastAsia" w:cstheme="minorEastAsia"/>
          <w:bCs w:val="0"/>
          <w:color w:val="auto"/>
          <w:sz w:val="24"/>
        </w:rPr>
        <w:t>9．投标文件的语言</w:t>
      </w:r>
      <w:bookmarkEnd w:id="54"/>
      <w:bookmarkEnd w:id="55"/>
      <w:bookmarkEnd w:id="56"/>
      <w:r>
        <w:rPr>
          <w:rFonts w:hint="eastAsia" w:asciiTheme="minorEastAsia" w:hAnsiTheme="minorEastAsia" w:eastAsiaTheme="minorEastAsia" w:cstheme="minorEastAsia"/>
          <w:color w:val="auto"/>
          <w:sz w:val="24"/>
        </w:rPr>
        <w:t>（实质性要求）</w:t>
      </w:r>
    </w:p>
    <w:p>
      <w:pPr>
        <w:spacing w:line="360" w:lineRule="auto"/>
        <w:ind w:firstLine="480" w:firstLineChars="200"/>
        <w:rPr>
          <w:rFonts w:hint="eastAsia" w:asciiTheme="minorEastAsia" w:hAnsiTheme="minorEastAsia" w:eastAsiaTheme="minorEastAsia" w:cstheme="minorEastAsia"/>
          <w:color w:val="auto"/>
          <w:sz w:val="24"/>
        </w:rPr>
      </w:pPr>
      <w:bookmarkStart w:id="57" w:name="_Toc183582216"/>
      <w:bookmarkStart w:id="58" w:name="_Toc217446044"/>
      <w:bookmarkStart w:id="59" w:name="_Toc183682353"/>
      <w:r>
        <w:rPr>
          <w:rFonts w:hint="eastAsia" w:asciiTheme="minorEastAsia" w:hAnsiTheme="minorEastAsia" w:eastAsiaTheme="minorEastAsia" w:cstheme="minorEastAsia"/>
          <w:color w:val="auto"/>
          <w:sz w:val="24"/>
        </w:rPr>
        <w:t>9.1 投标人提交的投标文件以及投标人与采购人或采购代理机构就有关投标的所有来往书面文件均须使用中文。投标文件中如附有外文资料，必须逐一对应翻译成中文并加盖投标人</w:t>
      </w:r>
      <w:r>
        <w:rPr>
          <w:rFonts w:hint="eastAsia" w:asciiTheme="minorEastAsia" w:hAnsiTheme="minorEastAsia" w:eastAsiaTheme="minorEastAsia" w:cstheme="minorEastAsia"/>
          <w:color w:val="auto"/>
          <w:sz w:val="24"/>
          <w:lang w:eastAsia="zh-CN"/>
        </w:rPr>
        <w:t>电子签章</w:t>
      </w:r>
      <w:r>
        <w:rPr>
          <w:rFonts w:hint="eastAsia" w:asciiTheme="minorEastAsia" w:hAnsiTheme="minorEastAsia" w:eastAsiaTheme="minorEastAsia" w:cstheme="minorEastAsia"/>
          <w:color w:val="auto"/>
          <w:sz w:val="24"/>
        </w:rPr>
        <w:t>后附在相关外文资料后面，否则所提供的外文资料将可能被视为无效材料。（说明：</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的法定代表人为外籍人士的，法定代表人的签字和护照除外。）</w:t>
      </w:r>
    </w:p>
    <w:p>
      <w:pPr>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9.2 翻译的中文资料与外文资料如果出现差异和矛盾时，以中文为准。实质性翻译错误的外文资料将可能被视为无效材料。涉嫌虚假响应的按照相关法律法规处理。</w:t>
      </w:r>
    </w:p>
    <w:p>
      <w:pPr>
        <w:pStyle w:val="5"/>
        <w:spacing w:line="276" w:lineRule="auto"/>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10．计量单位</w:t>
      </w:r>
      <w:bookmarkEnd w:id="57"/>
      <w:bookmarkEnd w:id="58"/>
      <w:bookmarkEnd w:id="59"/>
      <w:r>
        <w:rPr>
          <w:rFonts w:hint="eastAsia" w:asciiTheme="minorEastAsia" w:hAnsiTheme="minorEastAsia" w:eastAsiaTheme="minorEastAsia" w:cstheme="minorEastAsia"/>
          <w:color w:val="auto"/>
          <w:sz w:val="24"/>
        </w:rPr>
        <w:t>（实质性要求）</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除技术规格及要求中另有规定外，本采购项下的投标均采用国家法定的计量单位。</w:t>
      </w:r>
    </w:p>
    <w:p>
      <w:pPr>
        <w:pStyle w:val="5"/>
        <w:spacing w:line="276"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rPr>
        <w:t xml:space="preserve"> </w:t>
      </w:r>
      <w:bookmarkStart w:id="60" w:name="_Toc217446045"/>
      <w:r>
        <w:rPr>
          <w:rFonts w:hint="eastAsia" w:asciiTheme="minorEastAsia" w:hAnsiTheme="minorEastAsia" w:eastAsiaTheme="minorEastAsia" w:cstheme="minorEastAsia"/>
          <w:color w:val="auto"/>
        </w:rPr>
        <w:t xml:space="preserve">  </w:t>
      </w:r>
      <w:r>
        <w:rPr>
          <w:rFonts w:hint="eastAsia" w:asciiTheme="minorEastAsia" w:hAnsiTheme="minorEastAsia" w:eastAsiaTheme="minorEastAsia" w:cstheme="minorEastAsia"/>
          <w:color w:val="auto"/>
          <w:sz w:val="24"/>
          <w:szCs w:val="24"/>
        </w:rPr>
        <w:t>11. 投标货币</w:t>
      </w:r>
      <w:bookmarkEnd w:id="60"/>
      <w:r>
        <w:rPr>
          <w:rFonts w:hint="eastAsia" w:asciiTheme="minorEastAsia" w:hAnsiTheme="minorEastAsia" w:eastAsiaTheme="minorEastAsia" w:cstheme="minorEastAsia"/>
          <w:color w:val="auto"/>
          <w:sz w:val="24"/>
          <w:szCs w:val="24"/>
        </w:rPr>
        <w:t>（实质性要求）</w:t>
      </w:r>
    </w:p>
    <w:p>
      <w:pPr>
        <w:tabs>
          <w:tab w:val="left" w:pos="7665"/>
        </w:tabs>
        <w:spacing w:line="276" w:lineRule="auto"/>
        <w:ind w:left="13" w:hanging="118"/>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 xml:space="preserve">    </w:t>
      </w:r>
      <w:r>
        <w:rPr>
          <w:rFonts w:hint="eastAsia" w:asciiTheme="minorEastAsia" w:hAnsiTheme="minorEastAsia" w:eastAsiaTheme="minorEastAsia" w:cstheme="minorEastAsia"/>
          <w:color w:val="auto"/>
          <w:sz w:val="24"/>
        </w:rPr>
        <w:t xml:space="preserve"> 除技术规格及要求中另有规定外，本采购项目的投标均采用国家法定的计量单位。</w:t>
      </w:r>
    </w:p>
    <w:p>
      <w:pPr>
        <w:pStyle w:val="5"/>
        <w:numPr>
          <w:ilvl w:val="0"/>
          <w:numId w:val="6"/>
        </w:numPr>
        <w:spacing w:line="276" w:lineRule="auto"/>
        <w:rPr>
          <w:rFonts w:hint="eastAsia"/>
          <w:b w:val="0"/>
          <w:bCs/>
          <w:color w:val="auto"/>
          <w:kern w:val="2"/>
          <w:sz w:val="24"/>
          <w:szCs w:val="24"/>
          <w:lang w:val="en-US"/>
        </w:rPr>
      </w:pPr>
      <w:bookmarkStart w:id="61" w:name="_Toc217446046"/>
      <w:r>
        <w:rPr>
          <w:rFonts w:hint="eastAsia" w:asciiTheme="minorEastAsia" w:hAnsiTheme="minorEastAsia" w:eastAsiaTheme="minorEastAsia" w:cstheme="minorEastAsia"/>
          <w:color w:val="auto"/>
          <w:sz w:val="24"/>
          <w:szCs w:val="24"/>
        </w:rPr>
        <w:t>联合体投标</w:t>
      </w:r>
      <w:bookmarkEnd w:id="61"/>
      <w:r>
        <w:rPr>
          <w:rFonts w:hint="eastAsia" w:asciiTheme="minorEastAsia" w:hAnsiTheme="minorEastAsia" w:eastAsiaTheme="minorEastAsia" w:cstheme="minorEastAsia"/>
          <w:color w:val="auto"/>
          <w:sz w:val="24"/>
          <w:szCs w:val="24"/>
        </w:rPr>
        <w:t>（实质性要求）</w:t>
      </w:r>
    </w:p>
    <w:p>
      <w:pPr>
        <w:pStyle w:val="5"/>
        <w:numPr>
          <w:ilvl w:val="0"/>
          <w:numId w:val="0"/>
        </w:numPr>
        <w:spacing w:line="276" w:lineRule="auto"/>
        <w:ind w:left="480" w:leftChars="0"/>
        <w:rPr>
          <w:rFonts w:hint="eastAsia"/>
          <w:b w:val="0"/>
          <w:bCs/>
          <w:color w:val="auto"/>
          <w:kern w:val="2"/>
          <w:sz w:val="24"/>
          <w:szCs w:val="24"/>
          <w:lang w:val="en-US"/>
        </w:rPr>
      </w:pPr>
      <w:r>
        <w:rPr>
          <w:rFonts w:hint="eastAsia"/>
          <w:b w:val="0"/>
          <w:bCs/>
          <w:color w:val="auto"/>
          <w:kern w:val="2"/>
          <w:sz w:val="24"/>
          <w:szCs w:val="24"/>
          <w:lang w:val="en-US" w:eastAsia="zh-CN"/>
        </w:rPr>
        <w:t>本项目不接受联合体投标</w:t>
      </w:r>
      <w:r>
        <w:rPr>
          <w:rFonts w:hint="eastAsia"/>
          <w:b w:val="0"/>
          <w:bCs/>
          <w:color w:val="auto"/>
          <w:kern w:val="2"/>
          <w:sz w:val="24"/>
          <w:szCs w:val="24"/>
          <w:lang w:val="en-US"/>
        </w:rPr>
        <w:t>。</w:t>
      </w:r>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bookmarkStart w:id="62" w:name="_Toc217446047"/>
      <w:r>
        <w:rPr>
          <w:rFonts w:hint="eastAsia" w:asciiTheme="minorEastAsia" w:hAnsiTheme="minorEastAsia" w:eastAsiaTheme="minorEastAsia" w:cstheme="minorEastAsia"/>
          <w:bCs w:val="0"/>
          <w:color w:val="auto"/>
          <w:sz w:val="24"/>
          <w:szCs w:val="24"/>
        </w:rPr>
        <w:t>13. 知识产权</w:t>
      </w:r>
      <w:bookmarkEnd w:id="62"/>
      <w:r>
        <w:rPr>
          <w:rFonts w:hint="eastAsia" w:asciiTheme="minorEastAsia" w:hAnsiTheme="minorEastAsia" w:eastAsiaTheme="minorEastAsia" w:cstheme="minorEastAsia"/>
          <w:color w:val="auto"/>
          <w:sz w:val="24"/>
          <w:szCs w:val="24"/>
        </w:rPr>
        <w:t>（实质性要求）</w:t>
      </w:r>
    </w:p>
    <w:p>
      <w:pPr>
        <w:pStyle w:val="2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13.2 采购人享有本项目实施过程中产生的知识成果及知识产权。</w:t>
      </w:r>
    </w:p>
    <w:p>
      <w:pPr>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360" w:lineRule="auto"/>
        <w:ind w:firstLine="460" w:firstLineChars="192"/>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13.4 如采用投标人所不拥有的知识产权，则在投标报价中必须包括合法获取该知识产权的相关费用。 </w:t>
      </w:r>
    </w:p>
    <w:p>
      <w:pPr>
        <w:spacing w:line="360" w:lineRule="auto"/>
        <w:ind w:left="3" w:leftChars="1" w:firstLine="482" w:firstLineChars="200"/>
        <w:rPr>
          <w:rFonts w:hint="eastAsia" w:asciiTheme="minorEastAsia" w:hAnsiTheme="minorEastAsia" w:eastAsiaTheme="minorEastAsia" w:cstheme="minorEastAsia"/>
          <w:color w:val="auto"/>
          <w:sz w:val="24"/>
        </w:rPr>
      </w:pPr>
      <w:bookmarkStart w:id="63" w:name="_Toc183582217"/>
      <w:bookmarkStart w:id="64" w:name="_Toc217446048"/>
      <w:bookmarkStart w:id="65" w:name="_Toc183682354"/>
      <w:r>
        <w:rPr>
          <w:rFonts w:hint="eastAsia" w:asciiTheme="minorEastAsia" w:hAnsiTheme="minorEastAsia" w:eastAsiaTheme="minorEastAsia" w:cstheme="minorEastAsia"/>
          <w:b/>
          <w:color w:val="auto"/>
          <w:kern w:val="2"/>
          <w:sz w:val="24"/>
          <w:szCs w:val="24"/>
        </w:rPr>
        <w:t>14．</w:t>
      </w:r>
      <w:bookmarkEnd w:id="63"/>
      <w:bookmarkEnd w:id="64"/>
      <w:bookmarkEnd w:id="65"/>
      <w:r>
        <w:rPr>
          <w:rFonts w:hint="eastAsia" w:asciiTheme="minorEastAsia" w:hAnsiTheme="minorEastAsia" w:eastAsiaTheme="minorEastAsia" w:cstheme="minorEastAsia"/>
          <w:b/>
          <w:color w:val="auto"/>
          <w:kern w:val="2"/>
          <w:sz w:val="24"/>
          <w:szCs w:val="24"/>
        </w:rPr>
        <w:t>投标文件的组成</w:t>
      </w:r>
      <w:r>
        <w:rPr>
          <w:rFonts w:hint="eastAsia" w:asciiTheme="minorEastAsia" w:hAnsiTheme="minorEastAsia" w:eastAsiaTheme="minorEastAsia" w:cstheme="minorEastAsia"/>
          <w:color w:val="auto"/>
          <w:sz w:val="24"/>
        </w:rPr>
        <w:t xml:space="preserve"> </w:t>
      </w:r>
    </w:p>
    <w:p>
      <w:pPr>
        <w:spacing w:line="360" w:lineRule="auto"/>
        <w:ind w:firstLine="42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投标人应按照招标文件的规定和要求编制投标文件。投标人编写的投标文件应至少包括下列两部分文件：</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文件一：资格性投标文件</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资格性投标文件用于资格审查，应严格按照第</w:t>
      </w:r>
      <w:r>
        <w:rPr>
          <w:rFonts w:hint="eastAsia" w:asciiTheme="minorEastAsia" w:hAnsiTheme="minorEastAsia" w:eastAsiaTheme="minorEastAsia" w:cstheme="minorEastAsia"/>
          <w:color w:val="auto"/>
          <w:sz w:val="24"/>
          <w:lang w:eastAsia="zh-CN"/>
        </w:rPr>
        <w:t>四</w:t>
      </w:r>
      <w:r>
        <w:rPr>
          <w:rFonts w:hint="eastAsia" w:asciiTheme="minorEastAsia" w:hAnsiTheme="minorEastAsia" w:eastAsiaTheme="minorEastAsia" w:cstheme="minorEastAsia"/>
          <w:color w:val="auto"/>
          <w:sz w:val="24"/>
        </w:rPr>
        <w:t>章</w:t>
      </w:r>
      <w:r>
        <w:rPr>
          <w:rFonts w:hint="eastAsia" w:asciiTheme="minorEastAsia" w:hAnsiTheme="minorEastAsia" w:eastAsiaTheme="minorEastAsia" w:cstheme="minorEastAsia"/>
          <w:color w:val="auto"/>
          <w:sz w:val="24"/>
          <w:lang w:eastAsia="zh-CN"/>
        </w:rPr>
        <w:t>、第五章</w:t>
      </w:r>
      <w:r>
        <w:rPr>
          <w:rFonts w:hint="eastAsia" w:asciiTheme="minorEastAsia" w:hAnsiTheme="minorEastAsia" w:eastAsiaTheme="minorEastAsia" w:cstheme="minorEastAsia"/>
          <w:color w:val="auto"/>
          <w:sz w:val="24"/>
        </w:rPr>
        <w:t>要求提供相关资格、资质性及其他类似效力要求的相关证明材料。</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文件二：其它投标文件</w:t>
      </w:r>
    </w:p>
    <w:p>
      <w:p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其他投标文件用于符合性审查和综合评审，包括投标人响应招标文件要求的资格条件以外的所有材料，包括但不限于下列部分：</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其他</w:t>
      </w:r>
      <w:r>
        <w:rPr>
          <w:rFonts w:hint="eastAsia" w:asciiTheme="minorEastAsia" w:hAnsiTheme="minorEastAsia" w:eastAsiaTheme="minorEastAsia" w:cstheme="minorEastAsia"/>
          <w:color w:val="auto"/>
          <w:sz w:val="24"/>
        </w:rPr>
        <w:t>投标文件封面</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投标函</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开标一览表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服务偏离表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商务偏离表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投标人基本情况表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实施本项目的主要人员情况表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投标人类似项目业绩一览表</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服务</w:t>
      </w:r>
      <w:r>
        <w:rPr>
          <w:rFonts w:hint="eastAsia" w:asciiTheme="minorEastAsia" w:hAnsiTheme="minorEastAsia" w:eastAsiaTheme="minorEastAsia" w:cstheme="minorEastAsia"/>
          <w:color w:val="auto"/>
          <w:sz w:val="24"/>
        </w:rPr>
        <w:t>方案</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lang w:val="en-US"/>
        </w:rPr>
      </w:pPr>
      <w:r>
        <w:rPr>
          <w:rFonts w:hint="eastAsia" w:asciiTheme="minorEastAsia" w:hAnsiTheme="minorEastAsia" w:eastAsiaTheme="minorEastAsia" w:cstheme="minorEastAsia"/>
          <w:color w:val="auto"/>
          <w:sz w:val="24"/>
          <w:lang w:val="en-US"/>
        </w:rPr>
        <w:t>中小企业声明函（如未提供的，不影响投标人投标文件的有效性）</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lang w:val="en-US"/>
        </w:rPr>
      </w:pPr>
      <w:r>
        <w:rPr>
          <w:rFonts w:hint="eastAsia"/>
          <w:b w:val="0"/>
          <w:color w:val="auto"/>
          <w:kern w:val="2"/>
          <w:sz w:val="24"/>
          <w:szCs w:val="24"/>
          <w:lang w:val="en-US"/>
        </w:rPr>
        <w:t>监狱企业证明材料（如未提供的，不影响投标人投标文件的有效性）</w:t>
      </w:r>
    </w:p>
    <w:p>
      <w:pPr>
        <w:numPr>
          <w:ilvl w:val="0"/>
          <w:numId w:val="7"/>
        </w:numPr>
        <w:spacing w:line="360" w:lineRule="auto"/>
        <w:ind w:left="3" w:leftChars="1" w:firstLine="480" w:firstLineChars="200"/>
        <w:rPr>
          <w:rFonts w:hint="default" w:asciiTheme="minorEastAsia" w:hAnsiTheme="minorEastAsia" w:eastAsiaTheme="minorEastAsia" w:cstheme="minorEastAsia"/>
          <w:color w:val="auto"/>
          <w:sz w:val="24"/>
          <w:lang w:val="en-US" w:eastAsia="zh-CN"/>
        </w:rPr>
      </w:pPr>
      <w:r>
        <w:rPr>
          <w:rFonts w:hint="eastAsia"/>
          <w:b w:val="0"/>
          <w:color w:val="auto"/>
          <w:kern w:val="2"/>
          <w:sz w:val="24"/>
          <w:szCs w:val="24"/>
          <w:lang w:val="en-US"/>
        </w:rPr>
        <w:t>残疾人福利性单位声明函（如未提供的，不影响投标人投标文件的有效性）</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诚信情况承诺函</w:t>
      </w:r>
    </w:p>
    <w:p>
      <w:pPr>
        <w:numPr>
          <w:ilvl w:val="0"/>
          <w:numId w:val="7"/>
        </w:numPr>
        <w:spacing w:line="360" w:lineRule="auto"/>
        <w:ind w:left="3" w:leftChars="1"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投标人认为需要提供的其他文件和资料</w:t>
      </w:r>
    </w:p>
    <w:p>
      <w:pPr>
        <w:spacing w:line="360" w:lineRule="auto"/>
        <w:ind w:left="3" w:leftChars="1" w:firstLine="482" w:firstLineChars="200"/>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如涉及）投标人承诺给予采购人或者采购代理机构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实质性要求)</w:t>
      </w:r>
    </w:p>
    <w:p>
      <w:pPr>
        <w:pStyle w:val="5"/>
        <w:tabs>
          <w:tab w:val="left" w:pos="3480"/>
        </w:tabs>
        <w:spacing w:line="276" w:lineRule="auto"/>
        <w:ind w:firstLine="482" w:firstLineChars="200"/>
        <w:rPr>
          <w:rFonts w:hint="eastAsia" w:asciiTheme="minorEastAsia" w:hAnsiTheme="minorEastAsia" w:eastAsiaTheme="minorEastAsia" w:cstheme="minorEastAsia"/>
          <w:color w:val="auto"/>
          <w:sz w:val="24"/>
        </w:rPr>
      </w:pPr>
      <w:bookmarkStart w:id="66" w:name="_Toc183582218"/>
      <w:bookmarkStart w:id="67" w:name="_Toc217446049"/>
      <w:bookmarkStart w:id="68" w:name="_Toc183682355"/>
      <w:r>
        <w:rPr>
          <w:rFonts w:hint="eastAsia" w:asciiTheme="minorEastAsia" w:hAnsiTheme="minorEastAsia" w:eastAsiaTheme="minorEastAsia" w:cstheme="minorEastAsia"/>
          <w:color w:val="auto"/>
          <w:sz w:val="24"/>
        </w:rPr>
        <w:t>15．投标文件格式</w:t>
      </w:r>
      <w:bookmarkEnd w:id="66"/>
      <w:bookmarkEnd w:id="67"/>
      <w:bookmarkEnd w:id="68"/>
      <w:r>
        <w:rPr>
          <w:rFonts w:hint="eastAsia" w:asciiTheme="minorEastAsia" w:hAnsiTheme="minorEastAsia" w:eastAsiaTheme="minorEastAsia" w:cstheme="minorEastAsia"/>
          <w:color w:val="auto"/>
          <w:sz w:val="24"/>
        </w:rPr>
        <w:tab/>
      </w:r>
    </w:p>
    <w:p>
      <w:pPr>
        <w:tabs>
          <w:tab w:val="left" w:pos="7665"/>
        </w:tabs>
        <w:spacing w:line="360" w:lineRule="auto"/>
        <w:ind w:left="20" w:leftChars="6"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15.1投标人应执行招标文件第三章的规定要求。</w:t>
      </w:r>
    </w:p>
    <w:p>
      <w:pPr>
        <w:tabs>
          <w:tab w:val="left" w:pos="7665"/>
        </w:tabs>
        <w:spacing w:line="360" w:lineRule="auto"/>
        <w:ind w:left="20" w:leftChars="6"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15.2 对于没有格式要求的投标文件由投标人自行编写。</w:t>
      </w:r>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69" w:name="_Toc217446050"/>
      <w:bookmarkStart w:id="70" w:name="_Toc183682360"/>
      <w:bookmarkStart w:id="71" w:name="_Toc183582223"/>
      <w:r>
        <w:rPr>
          <w:rFonts w:hint="eastAsia" w:asciiTheme="minorEastAsia" w:hAnsiTheme="minorEastAsia" w:eastAsiaTheme="minorEastAsia" w:cstheme="minorEastAsia"/>
          <w:bCs w:val="0"/>
          <w:color w:val="auto"/>
          <w:sz w:val="24"/>
        </w:rPr>
        <w:t>16．投标保证金</w:t>
      </w:r>
      <w:bookmarkEnd w:id="69"/>
      <w:bookmarkEnd w:id="70"/>
      <w:bookmarkEnd w:id="71"/>
      <w:r>
        <w:rPr>
          <w:rFonts w:hint="eastAsia" w:asciiTheme="minorEastAsia" w:hAnsiTheme="minorEastAsia" w:eastAsiaTheme="minorEastAsia" w:cstheme="minorEastAsia"/>
          <w:bCs w:val="0"/>
          <w:color w:val="auto"/>
          <w:sz w:val="24"/>
        </w:rPr>
        <w:t>(实质性要求)</w:t>
      </w:r>
    </w:p>
    <w:p>
      <w:pPr>
        <w:pStyle w:val="8"/>
        <w:ind w:firstLine="482"/>
        <w:rPr>
          <w:rFonts w:hint="eastAsia" w:asciiTheme="minorEastAsia" w:hAnsiTheme="minorEastAsia" w:eastAsiaTheme="minorEastAsia" w:cstheme="minorEastAsia"/>
          <w:color w:val="auto"/>
          <w:sz w:val="24"/>
        </w:rPr>
      </w:pPr>
      <w:bookmarkStart w:id="72" w:name="_Toc217446051"/>
      <w:bookmarkStart w:id="73" w:name="_Toc183682361"/>
      <w:bookmarkStart w:id="74" w:name="_Toc183582224"/>
      <w:r>
        <w:rPr>
          <w:rFonts w:hint="eastAsia" w:asciiTheme="minorEastAsia" w:hAnsiTheme="minorEastAsia" w:eastAsiaTheme="minorEastAsia" w:cstheme="minorEastAsia"/>
          <w:b/>
          <w:color w:val="auto"/>
          <w:sz w:val="24"/>
        </w:rPr>
        <w:t>本项目不收取投标保证金。</w:t>
      </w:r>
    </w:p>
    <w:p>
      <w:pPr>
        <w:pStyle w:val="5"/>
        <w:spacing w:line="276" w:lineRule="auto"/>
        <w:ind w:firstLine="482" w:firstLineChars="200"/>
        <w:rPr>
          <w:rFonts w:hint="eastAsia" w:asciiTheme="minorEastAsia" w:hAnsiTheme="minorEastAsia" w:eastAsiaTheme="minorEastAsia" w:cstheme="minorEastAsia"/>
          <w:bCs w:val="0"/>
          <w:color w:val="auto"/>
          <w:sz w:val="24"/>
        </w:rPr>
      </w:pPr>
      <w:r>
        <w:rPr>
          <w:rFonts w:hint="eastAsia" w:asciiTheme="minorEastAsia" w:hAnsiTheme="minorEastAsia" w:eastAsiaTheme="minorEastAsia" w:cstheme="minorEastAsia"/>
          <w:bCs w:val="0"/>
          <w:color w:val="auto"/>
          <w:sz w:val="24"/>
        </w:rPr>
        <w:t>17．投标有效期</w:t>
      </w:r>
      <w:bookmarkEnd w:id="72"/>
      <w:bookmarkEnd w:id="73"/>
      <w:bookmarkEnd w:id="74"/>
      <w:r>
        <w:rPr>
          <w:rFonts w:hint="eastAsia" w:asciiTheme="minorEastAsia" w:hAnsiTheme="minorEastAsia" w:eastAsiaTheme="minorEastAsia" w:cstheme="minorEastAsia"/>
          <w:color w:val="auto"/>
          <w:sz w:val="24"/>
          <w:szCs w:val="24"/>
        </w:rPr>
        <w:t>（实质性要求）</w:t>
      </w:r>
    </w:p>
    <w:p>
      <w:pPr>
        <w:tabs>
          <w:tab w:val="left" w:pos="7665"/>
        </w:tabs>
        <w:spacing w:line="360" w:lineRule="auto"/>
        <w:ind w:left="20" w:leftChars="6"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360" w:lineRule="auto"/>
        <w:ind w:left="20" w:leftChars="6"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360" w:lineRule="auto"/>
        <w:ind w:left="20" w:leftChars="6"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75" w:name="_Toc217446052"/>
      <w:bookmarkStart w:id="76" w:name="_Toc183682362"/>
      <w:bookmarkStart w:id="77" w:name="_Toc183582225"/>
      <w:r>
        <w:rPr>
          <w:rFonts w:hint="eastAsia" w:asciiTheme="minorEastAsia" w:hAnsiTheme="minorEastAsia" w:eastAsiaTheme="minorEastAsia" w:cstheme="minorEastAsia"/>
          <w:bCs w:val="0"/>
          <w:color w:val="auto"/>
          <w:sz w:val="24"/>
        </w:rPr>
        <w:t>18．</w:t>
      </w:r>
      <w:bookmarkEnd w:id="75"/>
      <w:bookmarkEnd w:id="76"/>
      <w:bookmarkEnd w:id="77"/>
      <w:r>
        <w:rPr>
          <w:rFonts w:hint="eastAsia" w:asciiTheme="minorEastAsia" w:hAnsiTheme="minorEastAsia" w:eastAsiaTheme="minorEastAsia" w:cstheme="minorEastAsia"/>
          <w:bCs w:val="0"/>
          <w:color w:val="auto"/>
          <w:sz w:val="24"/>
        </w:rPr>
        <w:t>投标文件的制作和签章、加密</w:t>
      </w:r>
    </w:p>
    <w:p>
      <w:pPr>
        <w:tabs>
          <w:tab w:val="left" w:pos="1080"/>
        </w:tabs>
        <w:spacing w:line="360" w:lineRule="auto"/>
        <w:ind w:firstLine="460" w:firstLineChars="192"/>
        <w:rPr>
          <w:rFonts w:hint="eastAsia" w:asciiTheme="minorEastAsia" w:hAnsiTheme="minorEastAsia" w:eastAsiaTheme="minorEastAsia" w:cstheme="minorEastAsia"/>
          <w:b/>
          <w:bCs/>
          <w:color w:val="auto"/>
          <w:sz w:val="24"/>
        </w:rPr>
      </w:pPr>
      <w:bookmarkStart w:id="78" w:name="_Toc183582226"/>
      <w:bookmarkStart w:id="79" w:name="_Toc89075877"/>
      <w:bookmarkStart w:id="80" w:name="_Toc183682363"/>
      <w:bookmarkStart w:id="81" w:name="_Toc217446053"/>
      <w:bookmarkStart w:id="82" w:name="_Toc77400781"/>
      <w:r>
        <w:rPr>
          <w:rFonts w:hint="eastAsia" w:asciiTheme="minorEastAsia" w:hAnsiTheme="minorEastAsia" w:eastAsiaTheme="minorEastAsia" w:cstheme="minorEastAsia"/>
          <w:color w:val="auto"/>
          <w:sz w:val="24"/>
        </w:rPr>
        <w:t>18.1 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asciiTheme="minorEastAsia" w:hAnsiTheme="minorEastAsia" w:eastAsiaTheme="minorEastAsia" w:cstheme="minorEastAsia"/>
          <w:b/>
          <w:bCs/>
          <w:color w:val="auto"/>
          <w:sz w:val="24"/>
        </w:rPr>
        <w:t>（实质性要求）。</w:t>
      </w:r>
    </w:p>
    <w:p>
      <w:pPr>
        <w:tabs>
          <w:tab w:val="left" w:pos="1095"/>
        </w:tabs>
        <w:spacing w:line="360" w:lineRule="auto"/>
        <w:ind w:firstLine="460" w:firstLineChars="192"/>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val="0"/>
          <w:bCs w:val="0"/>
          <w:color w:val="auto"/>
          <w:sz w:val="24"/>
        </w:rPr>
        <w:t>18.2 投标文件每页均应加盖投标人（法定名称）电子签章，不得使用投标人专用章（如经济合同章、投标专用章等）或下属单位印章代替。</w:t>
      </w:r>
      <w:r>
        <w:rPr>
          <w:rFonts w:hint="eastAsia" w:asciiTheme="minorEastAsia" w:hAnsiTheme="minorEastAsia" w:eastAsiaTheme="minorEastAsia" w:cstheme="minorEastAsia"/>
          <w:b/>
          <w:bCs/>
          <w:color w:val="auto"/>
          <w:sz w:val="24"/>
        </w:rPr>
        <w:t>（实质性要求）。</w:t>
      </w:r>
    </w:p>
    <w:p>
      <w:pPr>
        <w:tabs>
          <w:tab w:val="left" w:pos="1095"/>
        </w:tabs>
        <w:spacing w:line="360" w:lineRule="auto"/>
        <w:ind w:firstLine="460" w:firstLineChars="192"/>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color w:val="auto"/>
          <w:sz w:val="24"/>
        </w:rPr>
        <w:t>18.3</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投标人应使用本企业CA数字证书对投标文件进行加密。</w:t>
      </w:r>
      <w:r>
        <w:rPr>
          <w:rFonts w:hint="eastAsia" w:asciiTheme="minorEastAsia" w:hAnsiTheme="minorEastAsia" w:eastAsiaTheme="minorEastAsia" w:cstheme="minorEastAsia"/>
          <w:b/>
          <w:bCs/>
          <w:color w:val="auto"/>
          <w:sz w:val="24"/>
        </w:rPr>
        <w:t>（实质性要求）。</w:t>
      </w:r>
    </w:p>
    <w:p>
      <w:pPr>
        <w:spacing w:line="360" w:lineRule="auto"/>
        <w:ind w:firstLine="468" w:firstLineChars="195"/>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18.4</w:t>
      </w:r>
      <w:r>
        <w:rPr>
          <w:rFonts w:hint="eastAsia" w:asciiTheme="minorEastAsia" w:hAnsiTheme="minorEastAsia" w:eastAsiaTheme="minorEastAsia" w:cstheme="minorEastAsia"/>
          <w:bCs/>
          <w:color w:val="auto"/>
          <w:sz w:val="24"/>
        </w:rPr>
        <w:t xml:space="preserve"> </w:t>
      </w:r>
      <w:r>
        <w:rPr>
          <w:rFonts w:hint="eastAsia" w:asciiTheme="minorEastAsia" w:hAnsiTheme="minorEastAsia" w:eastAsiaTheme="minorEastAsia" w:cstheme="minorEastAsia"/>
          <w:color w:val="auto"/>
          <w:sz w:val="24"/>
        </w:rPr>
        <w:t>招标文件若有修改，投标人根据修改后的招标文件制作或修改并递交投标文件。</w:t>
      </w:r>
    </w:p>
    <w:p>
      <w:pPr>
        <w:spacing w:line="360" w:lineRule="auto"/>
        <w:ind w:firstLine="468" w:firstLineChars="195"/>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val="0"/>
          <w:bCs w:val="0"/>
          <w:color w:val="auto"/>
          <w:sz w:val="24"/>
        </w:rPr>
        <w:t>18.5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asciiTheme="minorEastAsia" w:hAnsiTheme="minorEastAsia" w:eastAsiaTheme="minorEastAsia" w:cstheme="minorEastAsia"/>
          <w:b/>
          <w:bCs/>
          <w:color w:val="auto"/>
          <w:sz w:val="24"/>
        </w:rPr>
        <w:t>（实质性要求）</w:t>
      </w:r>
      <w:r>
        <w:rPr>
          <w:rFonts w:hint="eastAsia" w:asciiTheme="minorEastAsia" w:hAnsiTheme="minorEastAsia" w:eastAsiaTheme="minorEastAsia" w:cstheme="minorEastAsia"/>
          <w:color w:val="auto"/>
          <w:sz w:val="24"/>
        </w:rPr>
        <w:t>。</w:t>
      </w:r>
    </w:p>
    <w:p>
      <w:pPr>
        <w:spacing w:line="360" w:lineRule="auto"/>
        <w:ind w:firstLine="468" w:firstLineChars="195"/>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18.6 投标文件应根据招标文件的要求进行制作。（说明：1、招标文件中要求提供复印件证明材料的，包含提供原件的影印件或复印件。2、要求提供复印件的证明材料须清晰可辨。）</w:t>
      </w:r>
    </w:p>
    <w:p>
      <w:pPr>
        <w:pStyle w:val="5"/>
        <w:spacing w:line="276" w:lineRule="auto"/>
        <w:ind w:firstLine="482" w:firstLineChars="200"/>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bCs w:val="0"/>
          <w:color w:val="auto"/>
          <w:sz w:val="24"/>
          <w:szCs w:val="24"/>
        </w:rPr>
        <w:t>19.</w:t>
      </w:r>
      <w:bookmarkEnd w:id="78"/>
      <w:bookmarkEnd w:id="79"/>
      <w:bookmarkEnd w:id="80"/>
      <w:bookmarkEnd w:id="81"/>
      <w:bookmarkEnd w:id="82"/>
      <w:r>
        <w:rPr>
          <w:rFonts w:hint="eastAsia" w:asciiTheme="minorEastAsia" w:hAnsiTheme="minorEastAsia" w:eastAsiaTheme="minorEastAsia" w:cstheme="minorEastAsia"/>
          <w:b/>
          <w:bCs w:val="0"/>
          <w:color w:val="auto"/>
          <w:sz w:val="24"/>
          <w:szCs w:val="24"/>
        </w:rPr>
        <w:t>投标文件的递交</w:t>
      </w:r>
    </w:p>
    <w:p>
      <w:pPr>
        <w:tabs>
          <w:tab w:val="left" w:pos="1095"/>
        </w:tabs>
        <w:spacing w:line="360" w:lineRule="auto"/>
        <w:ind w:firstLine="460" w:firstLineChars="192"/>
        <w:rPr>
          <w:rFonts w:hint="eastAsia" w:asciiTheme="minorEastAsia" w:hAnsiTheme="minorEastAsia" w:eastAsiaTheme="minorEastAsia" w:cstheme="minorEastAsia"/>
          <w:b w:val="0"/>
          <w:bCs/>
          <w:color w:val="auto"/>
          <w:sz w:val="24"/>
          <w:szCs w:val="22"/>
        </w:rPr>
      </w:pPr>
      <w:r>
        <w:rPr>
          <w:rFonts w:hint="eastAsia" w:asciiTheme="minorEastAsia" w:hAnsiTheme="minorEastAsia" w:eastAsiaTheme="minorEastAsia" w:cstheme="minorEastAsia"/>
          <w:b w:val="0"/>
          <w:bCs/>
          <w:color w:val="auto"/>
          <w:sz w:val="24"/>
          <w:szCs w:val="22"/>
          <w:lang w:val="en-US" w:eastAsia="zh-CN"/>
        </w:rPr>
        <w:t>19.1</w:t>
      </w:r>
      <w:r>
        <w:rPr>
          <w:rFonts w:hint="eastAsia" w:asciiTheme="minorEastAsia" w:hAnsiTheme="minorEastAsia" w:eastAsiaTheme="minorEastAsia" w:cstheme="minorEastAsia"/>
          <w:b w:val="0"/>
          <w:bCs/>
          <w:color w:val="auto"/>
          <w:sz w:val="24"/>
          <w:szCs w:val="22"/>
        </w:rPr>
        <w:t>投标人应当在投标文件递交截止时间前，将生成的已加密的电子投标文件成功递交至“政府采购云平台”。</w:t>
      </w:r>
    </w:p>
    <w:p>
      <w:pPr>
        <w:tabs>
          <w:tab w:val="left" w:pos="1095"/>
        </w:tabs>
        <w:spacing w:line="360" w:lineRule="auto"/>
        <w:ind w:firstLine="460" w:firstLineChars="192"/>
        <w:rPr>
          <w:rFonts w:hint="eastAsia" w:asciiTheme="minorEastAsia" w:hAnsiTheme="minorEastAsia" w:eastAsiaTheme="minorEastAsia" w:cstheme="minorEastAsia"/>
          <w:b w:val="0"/>
          <w:bCs/>
          <w:color w:val="auto"/>
          <w:sz w:val="24"/>
          <w:szCs w:val="22"/>
        </w:rPr>
      </w:pPr>
      <w:r>
        <w:rPr>
          <w:rFonts w:hint="eastAsia" w:asciiTheme="minorEastAsia" w:hAnsiTheme="minorEastAsia" w:eastAsiaTheme="minorEastAsia" w:cstheme="minorEastAsia"/>
          <w:b w:val="0"/>
          <w:bCs/>
          <w:color w:val="auto"/>
          <w:sz w:val="24"/>
          <w:szCs w:val="22"/>
        </w:rPr>
        <w:t>19.</w:t>
      </w:r>
      <w:r>
        <w:rPr>
          <w:rFonts w:hint="eastAsia" w:asciiTheme="minorEastAsia" w:hAnsiTheme="minorEastAsia" w:eastAsiaTheme="minorEastAsia" w:cstheme="minorEastAsia"/>
          <w:b w:val="0"/>
          <w:bCs/>
          <w:color w:val="auto"/>
          <w:sz w:val="24"/>
          <w:szCs w:val="22"/>
          <w:lang w:val="en-US" w:eastAsia="zh-CN"/>
        </w:rPr>
        <w:t>2</w:t>
      </w:r>
      <w:r>
        <w:rPr>
          <w:rFonts w:hint="eastAsia" w:asciiTheme="minorEastAsia" w:hAnsiTheme="minorEastAsia" w:eastAsiaTheme="minorEastAsia" w:cstheme="minorEastAsia"/>
          <w:b w:val="0"/>
          <w:bCs/>
          <w:color w:val="auto"/>
          <w:sz w:val="24"/>
          <w:szCs w:val="22"/>
        </w:rPr>
        <w:t xml:space="preserve"> 投标人应充分考虑递交文件的不可预见因素，在投标截止时间后将无法递交。 </w:t>
      </w:r>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bookmarkStart w:id="83" w:name="_Toc183682365"/>
      <w:bookmarkStart w:id="84" w:name="_Toc183582228"/>
      <w:bookmarkStart w:id="85" w:name="_Toc217446055"/>
      <w:r>
        <w:rPr>
          <w:rFonts w:hint="eastAsia" w:asciiTheme="minorEastAsia" w:hAnsiTheme="minorEastAsia" w:eastAsiaTheme="minorEastAsia" w:cstheme="minorEastAsia"/>
          <w:bCs w:val="0"/>
          <w:color w:val="auto"/>
          <w:sz w:val="24"/>
          <w:szCs w:val="24"/>
        </w:rPr>
        <w:t>2</w:t>
      </w:r>
      <w:r>
        <w:rPr>
          <w:rFonts w:hint="eastAsia" w:asciiTheme="minorEastAsia" w:hAnsiTheme="minorEastAsia" w:eastAsiaTheme="minorEastAsia" w:cstheme="minorEastAsia"/>
          <w:bCs w:val="0"/>
          <w:color w:val="auto"/>
          <w:sz w:val="24"/>
          <w:szCs w:val="24"/>
          <w:lang w:val="en-US" w:eastAsia="zh-CN"/>
        </w:rPr>
        <w:t>0</w:t>
      </w:r>
      <w:r>
        <w:rPr>
          <w:rFonts w:hint="eastAsia" w:asciiTheme="minorEastAsia" w:hAnsiTheme="minorEastAsia" w:eastAsiaTheme="minorEastAsia" w:cstheme="minorEastAsia"/>
          <w:bCs w:val="0"/>
          <w:color w:val="auto"/>
          <w:sz w:val="24"/>
          <w:szCs w:val="24"/>
        </w:rPr>
        <w:t>．投标文件的修改和撤</w:t>
      </w:r>
      <w:bookmarkEnd w:id="83"/>
      <w:bookmarkEnd w:id="84"/>
      <w:r>
        <w:rPr>
          <w:rFonts w:hint="eastAsia" w:asciiTheme="minorEastAsia" w:hAnsiTheme="minorEastAsia" w:eastAsiaTheme="minorEastAsia" w:cstheme="minorEastAsia"/>
          <w:bCs w:val="0"/>
          <w:color w:val="auto"/>
          <w:sz w:val="24"/>
          <w:szCs w:val="24"/>
        </w:rPr>
        <w:t>回</w:t>
      </w:r>
      <w:bookmarkEnd w:id="85"/>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0</w:t>
      </w:r>
      <w:r>
        <w:rPr>
          <w:rFonts w:hint="eastAsia" w:asciiTheme="minorEastAsia" w:hAnsiTheme="minorEastAsia" w:eastAsiaTheme="minorEastAsia" w:cstheme="minorEastAsia"/>
          <w:color w:val="auto"/>
          <w:sz w:val="24"/>
        </w:rPr>
        <w:t>.1 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0</w:t>
      </w:r>
      <w:r>
        <w:rPr>
          <w:rFonts w:hint="eastAsia" w:asciiTheme="minorEastAsia" w:hAnsiTheme="minorEastAsia" w:eastAsiaTheme="minorEastAsia" w:cstheme="minorEastAsia"/>
          <w:color w:val="auto"/>
          <w:sz w:val="24"/>
        </w:rPr>
        <w:t>.2 投标截止时间后，投标人不得对其递交的投标文件做任何补充、修改。</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0</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3</w:t>
      </w:r>
      <w:r>
        <w:rPr>
          <w:rFonts w:hint="eastAsia" w:asciiTheme="minorEastAsia" w:hAnsiTheme="minorEastAsia" w:eastAsiaTheme="minorEastAsia" w:cstheme="minorEastAsia"/>
          <w:color w:val="auto"/>
          <w:sz w:val="24"/>
        </w:rPr>
        <w:t xml:space="preserve"> 投标文件中如果出现计算上或累加上的算术错误，可按以下原则进行修改：</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（1）用数字表示的金额和用文字表示的金额不一致，应以文字表示的金额为准。</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（2）单价和数量的乘积与总价不一致时，以单价为准，并修正总价。</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（3）单价金额小数点有明显错误的，以总价为准，修正单价。</w:t>
      </w:r>
    </w:p>
    <w:p>
      <w:pPr>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按上述修正错误的方法调整的投标报价应对投标人具有约束力。如果投标人不接受修正后的价格，其投标将被拒绝。</w:t>
      </w:r>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2</w:t>
      </w:r>
      <w:r>
        <w:rPr>
          <w:rFonts w:hint="eastAsia" w:asciiTheme="minorEastAsia" w:hAnsiTheme="minorEastAsia" w:eastAsiaTheme="minorEastAsia" w:cstheme="minorEastAsia"/>
          <w:bCs w:val="0"/>
          <w:color w:val="auto"/>
          <w:sz w:val="24"/>
          <w:szCs w:val="24"/>
          <w:lang w:val="en-US" w:eastAsia="zh-CN"/>
        </w:rPr>
        <w:t>1</w:t>
      </w:r>
      <w:r>
        <w:rPr>
          <w:rFonts w:hint="eastAsia" w:asciiTheme="minorEastAsia" w:hAnsiTheme="minorEastAsia" w:eastAsiaTheme="minorEastAsia" w:cstheme="minorEastAsia"/>
          <w:bCs w:val="0"/>
          <w:color w:val="auto"/>
          <w:sz w:val="24"/>
          <w:szCs w:val="24"/>
        </w:rPr>
        <w:t>.投标文件的解密</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投标人登录政府采购云平台，点击“项目采购—开标评标”</w:t>
      </w:r>
      <w:r>
        <w:rPr>
          <w:rFonts w:hint="eastAsia" w:asciiTheme="minorEastAsia" w:hAnsiTheme="minorEastAsia" w:eastAsiaTheme="minorEastAsia" w:cstheme="minorEastAsia"/>
          <w:color w:val="auto"/>
          <w:sz w:val="24"/>
        </w:rPr>
        <w:t>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pStyle w:val="4"/>
        <w:spacing w:line="276" w:lineRule="auto"/>
        <w:jc w:val="center"/>
        <w:rPr>
          <w:rFonts w:hint="eastAsia" w:asciiTheme="minorEastAsia" w:hAnsiTheme="minorEastAsia" w:eastAsiaTheme="minorEastAsia" w:cstheme="minorEastAsia"/>
          <w:color w:val="auto"/>
        </w:rPr>
      </w:pPr>
      <w:bookmarkStart w:id="86" w:name="_Toc77400782"/>
      <w:bookmarkStart w:id="87" w:name="_Toc217446056"/>
      <w:bookmarkStart w:id="88" w:name="_Toc183682368"/>
      <w:bookmarkStart w:id="89" w:name="_Toc89075878"/>
      <w:bookmarkStart w:id="90" w:name="_Toc183582231"/>
      <w:r>
        <w:rPr>
          <w:rFonts w:hint="eastAsia" w:asciiTheme="minorEastAsia" w:hAnsiTheme="minorEastAsia" w:eastAsiaTheme="minorEastAsia" w:cstheme="minorEastAsia"/>
          <w:color w:val="auto"/>
        </w:rPr>
        <w:t>五、开标和中标</w:t>
      </w:r>
      <w:bookmarkEnd w:id="86"/>
      <w:bookmarkEnd w:id="87"/>
      <w:bookmarkEnd w:id="88"/>
      <w:bookmarkEnd w:id="89"/>
      <w:bookmarkEnd w:id="90"/>
    </w:p>
    <w:p>
      <w:pPr>
        <w:pStyle w:val="5"/>
        <w:spacing w:line="276" w:lineRule="auto"/>
        <w:ind w:firstLine="482" w:firstLineChars="200"/>
        <w:rPr>
          <w:rFonts w:hint="eastAsia" w:asciiTheme="minorEastAsia" w:hAnsiTheme="minorEastAsia" w:eastAsiaTheme="minorEastAsia" w:cstheme="minorEastAsia"/>
          <w:bCs w:val="0"/>
          <w:color w:val="auto"/>
          <w:sz w:val="24"/>
        </w:rPr>
      </w:pPr>
      <w:bookmarkStart w:id="91" w:name="_Toc217446057"/>
      <w:bookmarkStart w:id="92" w:name="_Toc183582232"/>
      <w:bookmarkStart w:id="93" w:name="_Toc183682369"/>
      <w:r>
        <w:rPr>
          <w:rFonts w:hint="eastAsia" w:asciiTheme="minorEastAsia" w:hAnsiTheme="minorEastAsia" w:eastAsiaTheme="minorEastAsia" w:cstheme="minorEastAsia"/>
          <w:bCs w:val="0"/>
          <w:color w:val="auto"/>
          <w:sz w:val="24"/>
        </w:rPr>
        <w:t>22．开标</w:t>
      </w:r>
      <w:bookmarkEnd w:id="91"/>
      <w:bookmarkEnd w:id="92"/>
      <w:bookmarkEnd w:id="93"/>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22.1 本项目为不见面开标项目。（递交电子投标文件的投标人不足3家的，不予开标。）</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2开标准备工作。投标人需在开标当日、投标截止时间前登录“政府采购云平台”，通过本项目“开标大厅”参与不见面开标。登录政府采购云平台—项目采购—开标评标—开标大厅（确保进入本项目开标大厅）。</w:t>
      </w:r>
    </w:p>
    <w:p>
      <w:pPr>
        <w:spacing w:line="360" w:lineRule="auto"/>
        <w:ind w:firstLine="472"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提示：投标人未按时登录不见面开标系统，错过开标解密时间的，由投标人自行承担不利后果。</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22</w:t>
      </w:r>
      <w:r>
        <w:rPr>
          <w:rFonts w:hint="eastAsia" w:asciiTheme="minorEastAsia" w:hAnsiTheme="minorEastAsia" w:eastAsiaTheme="minorEastAsia" w:cstheme="minorEastAsia"/>
          <w:color w:val="auto"/>
          <w:sz w:val="24"/>
        </w:rPr>
        <w:t>.3解密投标文件。等待代理机构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.6因断电、断网、系统故障或其他不可抗力等因素导致不见面开标系统无法正常运行的，开标活动中止或延迟，待系统恢复正常后继续进行开标活动。</w:t>
      </w:r>
    </w:p>
    <w:p>
      <w:pPr>
        <w:spacing w:line="360" w:lineRule="auto"/>
        <w:ind w:firstLine="470" w:firstLineChars="196"/>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rPr>
        <w:t>.7不见面开标过程中，各方主体均应遵守互联网有关规定，不得发表与交易活动无关的言论。</w:t>
      </w:r>
    </w:p>
    <w:p>
      <w:pPr>
        <w:pStyle w:val="5"/>
        <w:spacing w:line="276" w:lineRule="auto"/>
        <w:ind w:firstLine="482" w:firstLineChars="200"/>
        <w:rPr>
          <w:rFonts w:hint="eastAsia" w:asciiTheme="minorEastAsia" w:hAnsiTheme="minorEastAsia" w:eastAsiaTheme="minorEastAsia" w:cstheme="minorEastAsia"/>
          <w:bCs w:val="0"/>
          <w:color w:val="auto"/>
          <w:sz w:val="24"/>
        </w:rPr>
      </w:pPr>
      <w:r>
        <w:rPr>
          <w:rFonts w:hint="eastAsia" w:asciiTheme="minorEastAsia" w:hAnsiTheme="minorEastAsia" w:eastAsiaTheme="minorEastAsia" w:cstheme="minorEastAsia"/>
          <w:bCs w:val="0"/>
          <w:color w:val="auto"/>
          <w:sz w:val="24"/>
        </w:rPr>
        <w:t>2</w:t>
      </w:r>
      <w:r>
        <w:rPr>
          <w:rFonts w:hint="eastAsia" w:asciiTheme="minorEastAsia" w:hAnsiTheme="minorEastAsia" w:eastAsiaTheme="minorEastAsia" w:cstheme="minorEastAsia"/>
          <w:bCs w:val="0"/>
          <w:color w:val="auto"/>
          <w:sz w:val="24"/>
          <w:lang w:val="en-US" w:eastAsia="zh-CN"/>
        </w:rPr>
        <w:t>3</w:t>
      </w:r>
      <w:r>
        <w:rPr>
          <w:rFonts w:hint="eastAsia" w:asciiTheme="minorEastAsia" w:hAnsiTheme="minorEastAsia" w:eastAsiaTheme="minorEastAsia" w:cstheme="minorEastAsia"/>
          <w:bCs w:val="0"/>
          <w:color w:val="auto"/>
          <w:sz w:val="24"/>
        </w:rPr>
        <w:t>．开评标过程存档</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24"/>
        </w:rPr>
        <w:t>开标和评标过程进行全过程电子监控，并将电子监控资料存储介质留存归档。</w:t>
      </w:r>
    </w:p>
    <w:p>
      <w:pPr>
        <w:pStyle w:val="5"/>
        <w:spacing w:line="276" w:lineRule="auto"/>
        <w:ind w:firstLine="420"/>
        <w:rPr>
          <w:rFonts w:hint="eastAsia" w:asciiTheme="minorEastAsia" w:hAnsiTheme="minorEastAsia" w:eastAsiaTheme="minorEastAsia" w:cstheme="minorEastAsia"/>
          <w:bCs w:val="0"/>
          <w:color w:val="auto"/>
          <w:sz w:val="24"/>
        </w:rPr>
      </w:pPr>
      <w:bookmarkStart w:id="94" w:name="_Toc183582238"/>
      <w:bookmarkStart w:id="95" w:name="_Toc183682375"/>
      <w:bookmarkStart w:id="96" w:name="_Toc217446063"/>
      <w:r>
        <w:rPr>
          <w:rFonts w:hint="eastAsia" w:asciiTheme="minorEastAsia" w:hAnsiTheme="minorEastAsia" w:eastAsiaTheme="minorEastAsia" w:cstheme="minorEastAsia"/>
          <w:bCs w:val="0"/>
          <w:color w:val="auto"/>
          <w:sz w:val="24"/>
        </w:rPr>
        <w:t>2</w:t>
      </w:r>
      <w:r>
        <w:rPr>
          <w:rFonts w:hint="eastAsia" w:asciiTheme="minorEastAsia" w:hAnsiTheme="minorEastAsia" w:eastAsiaTheme="minorEastAsia" w:cstheme="minorEastAsia"/>
          <w:bCs w:val="0"/>
          <w:color w:val="auto"/>
          <w:sz w:val="24"/>
          <w:lang w:val="en-US" w:eastAsia="zh-CN"/>
        </w:rPr>
        <w:t>4</w:t>
      </w:r>
      <w:r>
        <w:rPr>
          <w:rFonts w:hint="eastAsia" w:asciiTheme="minorEastAsia" w:hAnsiTheme="minorEastAsia" w:eastAsiaTheme="minorEastAsia" w:cstheme="minorEastAsia"/>
          <w:bCs w:val="0"/>
          <w:color w:val="auto"/>
          <w:sz w:val="24"/>
        </w:rPr>
        <w:t xml:space="preserve">.评标情况公告 </w:t>
      </w:r>
    </w:p>
    <w:p>
      <w:pPr>
        <w:spacing w:line="360" w:lineRule="auto"/>
        <w:ind w:firstLine="48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4"/>
          <w:szCs w:val="24"/>
        </w:rPr>
        <w:t>评标结果将在四川政府采购网上予以公告。</w:t>
      </w:r>
    </w:p>
    <w:p>
      <w:pPr>
        <w:pStyle w:val="5"/>
        <w:spacing w:line="276" w:lineRule="auto"/>
        <w:ind w:firstLine="482" w:firstLineChars="200"/>
        <w:rPr>
          <w:rFonts w:hint="eastAsia" w:asciiTheme="minorEastAsia" w:hAnsiTheme="minorEastAsia" w:eastAsiaTheme="minorEastAsia" w:cstheme="minorEastAsia"/>
          <w:bCs w:val="0"/>
          <w:color w:val="auto"/>
          <w:sz w:val="24"/>
        </w:rPr>
      </w:pPr>
      <w:r>
        <w:rPr>
          <w:rFonts w:hint="eastAsia" w:asciiTheme="minorEastAsia" w:hAnsiTheme="minorEastAsia" w:eastAsiaTheme="minorEastAsia" w:cstheme="minorEastAsia"/>
          <w:bCs w:val="0"/>
          <w:color w:val="auto"/>
          <w:sz w:val="24"/>
        </w:rPr>
        <w:t>2</w:t>
      </w:r>
      <w:r>
        <w:rPr>
          <w:rFonts w:hint="eastAsia" w:asciiTheme="minorEastAsia" w:hAnsiTheme="minorEastAsia" w:eastAsiaTheme="minorEastAsia" w:cstheme="minorEastAsia"/>
          <w:bCs w:val="0"/>
          <w:color w:val="auto"/>
          <w:sz w:val="24"/>
          <w:lang w:val="en-US" w:eastAsia="zh-CN"/>
        </w:rPr>
        <w:t>5</w:t>
      </w:r>
      <w:r>
        <w:rPr>
          <w:rFonts w:hint="eastAsia" w:asciiTheme="minorEastAsia" w:hAnsiTheme="minorEastAsia" w:eastAsiaTheme="minorEastAsia" w:cstheme="minorEastAsia"/>
          <w:bCs w:val="0"/>
          <w:color w:val="auto"/>
          <w:sz w:val="24"/>
        </w:rPr>
        <w:t>．中标通知</w:t>
      </w:r>
      <w:bookmarkEnd w:id="94"/>
      <w:bookmarkEnd w:id="95"/>
      <w:r>
        <w:rPr>
          <w:rFonts w:hint="eastAsia" w:asciiTheme="minorEastAsia" w:hAnsiTheme="minorEastAsia" w:eastAsiaTheme="minorEastAsia" w:cstheme="minorEastAsia"/>
          <w:bCs w:val="0"/>
          <w:color w:val="auto"/>
          <w:sz w:val="24"/>
        </w:rPr>
        <w:t>书</w:t>
      </w:r>
      <w:bookmarkEnd w:id="96"/>
    </w:p>
    <w:p>
      <w:pPr>
        <w:tabs>
          <w:tab w:val="left" w:pos="7665"/>
        </w:tabs>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color w:val="auto"/>
          <w:sz w:val="24"/>
        </w:rPr>
        <w:t>1 中标通知书为签订政府采购合同的依据，是合同的有效组成部分。</w:t>
      </w:r>
    </w:p>
    <w:p>
      <w:pPr>
        <w:tabs>
          <w:tab w:val="left" w:pos="7665"/>
        </w:tabs>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.2 中标通知书对采购人和中标人均具有法律效力。中标通知书发出后，采购人改变中标结果，或者中标人无正当理由放弃中标的，应当承担相应的法律责任。</w:t>
      </w:r>
    </w:p>
    <w:p>
      <w:pPr>
        <w:tabs>
          <w:tab w:val="left" w:pos="7665"/>
        </w:tabs>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 xml:space="preserve">3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 </w:t>
      </w:r>
    </w:p>
    <w:p>
      <w:pPr>
        <w:pageBreakBefore w:val="0"/>
        <w:widowControl w:val="0"/>
        <w:tabs>
          <w:tab w:val="left" w:pos="7665"/>
        </w:tabs>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.4 在四川政府采购网公告中标结果同时发出中标通知书，中标</w:t>
      </w:r>
      <w:r>
        <w:rPr>
          <w:rFonts w:hint="eastAsia" w:asciiTheme="minorEastAsia" w:hAnsiTheme="minorEastAsia" w:eastAsiaTheme="minorEastAsia" w:cstheme="minorEastAsia"/>
          <w:color w:val="auto"/>
          <w:sz w:val="24"/>
          <w:lang w:eastAsia="zh-CN"/>
        </w:rPr>
        <w:t>人</w:t>
      </w:r>
      <w:r>
        <w:rPr>
          <w:rFonts w:hint="eastAsia" w:asciiTheme="minorEastAsia" w:hAnsiTheme="minorEastAsia" w:eastAsiaTheme="minorEastAsia" w:cstheme="minorEastAsia"/>
          <w:color w:val="auto"/>
          <w:sz w:val="24"/>
        </w:rPr>
        <w:t>自行登录政府采购云平台下载中标通知书。</w:t>
      </w:r>
    </w:p>
    <w:p>
      <w:pPr>
        <w:pStyle w:val="4"/>
        <w:pageBreakBefore w:val="0"/>
        <w:widowControl w:val="0"/>
        <w:kinsoku/>
        <w:wordWrap/>
        <w:overflowPunct/>
        <w:topLinePunct w:val="0"/>
        <w:autoSpaceDE/>
        <w:autoSpaceDN/>
        <w:bidi w:val="0"/>
        <w:adjustRightInd/>
        <w:snapToGrid/>
        <w:spacing w:before="0" w:after="0" w:line="276" w:lineRule="auto"/>
        <w:jc w:val="center"/>
        <w:textAlignment w:val="auto"/>
        <w:rPr>
          <w:rFonts w:hint="eastAsia" w:asciiTheme="minorEastAsia" w:hAnsiTheme="minorEastAsia" w:eastAsiaTheme="minorEastAsia" w:cstheme="minorEastAsia"/>
          <w:color w:val="auto"/>
        </w:rPr>
      </w:pPr>
      <w:bookmarkStart w:id="97" w:name="_Toc217446064"/>
      <w:bookmarkStart w:id="98" w:name="_Toc183582240"/>
      <w:bookmarkStart w:id="99" w:name="_Toc183682377"/>
      <w:r>
        <w:rPr>
          <w:rFonts w:hint="eastAsia" w:asciiTheme="minorEastAsia" w:hAnsiTheme="minorEastAsia" w:eastAsiaTheme="minorEastAsia" w:cstheme="minorEastAsia"/>
          <w:color w:val="auto"/>
        </w:rPr>
        <w:t>六、签订及履行合同和验收</w:t>
      </w:r>
      <w:bookmarkEnd w:id="97"/>
    </w:p>
    <w:p>
      <w:pPr>
        <w:pStyle w:val="4"/>
        <w:spacing w:line="276" w:lineRule="auto"/>
        <w:ind w:firstLine="472" w:firstLineChars="196"/>
        <w:rPr>
          <w:rFonts w:hint="eastAsia" w:asciiTheme="minorEastAsia" w:hAnsiTheme="minorEastAsia" w:eastAsiaTheme="minorEastAsia" w:cstheme="minorEastAsia"/>
          <w:color w:val="auto"/>
          <w:sz w:val="24"/>
          <w:szCs w:val="24"/>
        </w:rPr>
      </w:pPr>
      <w:bookmarkStart w:id="100" w:name="_Toc217446065"/>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val="en-US" w:eastAsia="zh-CN"/>
        </w:rPr>
        <w:t>6</w:t>
      </w: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szCs w:val="24"/>
        </w:rPr>
        <w:t>签订合同</w:t>
      </w:r>
      <w:bookmarkEnd w:id="100"/>
    </w:p>
    <w:p>
      <w:pPr>
        <w:pStyle w:val="4"/>
        <w:spacing w:line="360" w:lineRule="auto"/>
        <w:ind w:firstLine="470" w:firstLineChars="196"/>
        <w:rPr>
          <w:rFonts w:hint="eastAsia" w:asciiTheme="minorEastAsia" w:hAnsiTheme="minorEastAsia" w:eastAsiaTheme="minorEastAsia" w:cstheme="minorEastAsia"/>
          <w:b w:val="0"/>
          <w:bCs w:val="0"/>
          <w:color w:val="auto"/>
          <w:kern w:val="0"/>
          <w:sz w:val="24"/>
          <w:szCs w:val="22"/>
        </w:rPr>
      </w:pPr>
      <w:bookmarkStart w:id="101" w:name="_Toc217446066"/>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.1</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中标人应在中标通知书发出之日起三十日内与采购人签订采购合同。由于中标人的原因逾期未与采购人签订采购合同的，将视为放弃中标，取消其中标资格并将按相关规定进行处理。</w:t>
      </w:r>
    </w:p>
    <w:p>
      <w:pPr>
        <w:pStyle w:val="4"/>
        <w:spacing w:line="276" w:lineRule="auto"/>
        <w:ind w:firstLine="470" w:firstLineChars="196"/>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采购人不得向中标人提出任何不合理的要求作为签订合同的条件。</w:t>
      </w:r>
    </w:p>
    <w:p>
      <w:pPr>
        <w:pStyle w:val="4"/>
        <w:spacing w:line="360" w:lineRule="auto"/>
        <w:ind w:firstLine="470" w:firstLineChars="196"/>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.3</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政府采购合同应当包括采购人与中标人的名称和住所、标的、数量、质量、价款或者报酬、履行期限及地点和方式、验收要求、违约责任、解决争议的方法等内容。</w:t>
      </w:r>
    </w:p>
    <w:p>
      <w:pPr>
        <w:pStyle w:val="4"/>
        <w:spacing w:line="360" w:lineRule="auto"/>
        <w:ind w:firstLine="470" w:firstLineChars="196"/>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.4</w:t>
      </w:r>
      <w:r>
        <w:rPr>
          <w:rFonts w:hint="eastAsia" w:asciiTheme="minorEastAsia" w:hAnsiTheme="minorEastAsia" w:eastAsiaTheme="minorEastAsia" w:cstheme="minorEastAsia"/>
          <w:b w:val="0"/>
          <w:bCs w:val="0"/>
          <w:color w:val="auto"/>
          <w:kern w:val="0"/>
          <w:sz w:val="24"/>
          <w:szCs w:val="22"/>
          <w:lang w:val="en-US" w:eastAsia="zh-CN"/>
        </w:rPr>
        <w:t xml:space="preserve"> </w:t>
      </w:r>
      <w:r>
        <w:rPr>
          <w:rFonts w:hint="eastAsia" w:asciiTheme="minorEastAsia" w:hAnsiTheme="minorEastAsia" w:eastAsiaTheme="minorEastAsia" w:cstheme="minorEastAsia"/>
          <w:b w:val="0"/>
          <w:bCs w:val="0"/>
          <w:color w:val="auto"/>
          <w:kern w:val="0"/>
          <w:sz w:val="24"/>
          <w:szCs w:val="22"/>
        </w:rPr>
        <w:t>中标人因不可抗力原因不能履行采购合同或放弃中标的，采购人可以与排在中标人之后第一位的中标候选人签订采购合同，以此类推</w:t>
      </w:r>
      <w:bookmarkEnd w:id="101"/>
      <w:r>
        <w:rPr>
          <w:rFonts w:hint="eastAsia" w:asciiTheme="minorEastAsia" w:hAnsiTheme="minorEastAsia" w:eastAsiaTheme="minorEastAsia" w:cstheme="minorEastAsia"/>
          <w:b w:val="0"/>
          <w:bCs w:val="0"/>
          <w:color w:val="auto"/>
          <w:kern w:val="0"/>
          <w:sz w:val="24"/>
          <w:szCs w:val="22"/>
        </w:rPr>
        <w:t>，也可以重新开展政府采购合同。</w:t>
      </w:r>
    </w:p>
    <w:p>
      <w:pPr>
        <w:pStyle w:val="4"/>
        <w:spacing w:line="360" w:lineRule="auto"/>
        <w:ind w:firstLine="470" w:firstLineChars="196"/>
        <w:rPr>
          <w:rFonts w:hint="eastAsia" w:asciiTheme="minorEastAsia" w:hAnsiTheme="minorEastAsia" w:eastAsiaTheme="minorEastAsia" w:cstheme="minorEastAsia"/>
          <w:b w:val="0"/>
          <w:bCs w:val="0"/>
          <w:color w:val="auto"/>
          <w:kern w:val="0"/>
          <w:sz w:val="24"/>
          <w:szCs w:val="22"/>
        </w:rPr>
      </w:pPr>
      <w:r>
        <w:rPr>
          <w:rFonts w:hint="eastAsia" w:asciiTheme="minorEastAsia" w:hAnsiTheme="minorEastAsia" w:eastAsiaTheme="minorEastAsia" w:cstheme="minorEastAsia"/>
          <w:b w:val="0"/>
          <w:bCs w:val="0"/>
          <w:color w:val="auto"/>
          <w:kern w:val="0"/>
          <w:sz w:val="24"/>
          <w:szCs w:val="22"/>
        </w:rPr>
        <w:t>2</w:t>
      </w:r>
      <w:r>
        <w:rPr>
          <w:rFonts w:hint="eastAsia" w:asciiTheme="minorEastAsia" w:hAnsiTheme="minorEastAsia" w:eastAsiaTheme="minorEastAsia" w:cstheme="minorEastAsia"/>
          <w:b w:val="0"/>
          <w:bCs w:val="0"/>
          <w:color w:val="auto"/>
          <w:kern w:val="0"/>
          <w:sz w:val="24"/>
          <w:szCs w:val="22"/>
          <w:lang w:val="en-US" w:eastAsia="zh-CN"/>
        </w:rPr>
        <w:t>6</w:t>
      </w:r>
      <w:r>
        <w:rPr>
          <w:rFonts w:hint="eastAsia" w:asciiTheme="minorEastAsia" w:hAnsiTheme="minorEastAsia" w:eastAsiaTheme="minorEastAsia" w:cstheme="minorEastAsia"/>
          <w:b w:val="0"/>
          <w:bCs w:val="0"/>
          <w:color w:val="auto"/>
          <w:kern w:val="0"/>
          <w:sz w:val="24"/>
          <w:szCs w:val="22"/>
        </w:rPr>
        <w:t>.5 中标人在合同签订之后三个工作日内，将签订的合同（一式壹份）送采购代理机构。中标人应及时到采购代理机构办理。（详见须知附表中联系方式）</w:t>
      </w:r>
    </w:p>
    <w:p>
      <w:pPr>
        <w:spacing w:line="360" w:lineRule="auto"/>
        <w:ind w:firstLine="495"/>
        <w:rPr>
          <w:rFonts w:hint="eastAsia" w:asciiTheme="minorEastAsia" w:hAnsiTheme="minorEastAsia" w:eastAsiaTheme="minorEastAsia" w:cstheme="minorEastAsia"/>
          <w:b/>
          <w:color w:val="auto"/>
          <w:sz w:val="24"/>
          <w:szCs w:val="22"/>
        </w:rPr>
      </w:pPr>
      <w:bookmarkStart w:id="102" w:name="_Toc217446067"/>
      <w:r>
        <w:rPr>
          <w:rFonts w:hint="eastAsia" w:asciiTheme="minorEastAsia" w:hAnsiTheme="minorEastAsia" w:eastAsiaTheme="minorEastAsia" w:cstheme="minorEastAsia"/>
          <w:b/>
          <w:color w:val="auto"/>
          <w:sz w:val="24"/>
          <w:szCs w:val="22"/>
        </w:rPr>
        <w:t>2</w:t>
      </w:r>
      <w:r>
        <w:rPr>
          <w:rFonts w:hint="eastAsia" w:asciiTheme="minorEastAsia" w:hAnsiTheme="minorEastAsia" w:eastAsiaTheme="minorEastAsia" w:cstheme="minorEastAsia"/>
          <w:b/>
          <w:color w:val="auto"/>
          <w:sz w:val="24"/>
          <w:szCs w:val="22"/>
          <w:lang w:val="en-US" w:eastAsia="zh-CN"/>
        </w:rPr>
        <w:t>7</w:t>
      </w:r>
      <w:r>
        <w:rPr>
          <w:rFonts w:hint="eastAsia" w:asciiTheme="minorEastAsia" w:hAnsiTheme="minorEastAsia" w:eastAsiaTheme="minorEastAsia" w:cstheme="minorEastAsia"/>
          <w:b/>
          <w:color w:val="auto"/>
          <w:sz w:val="24"/>
          <w:szCs w:val="22"/>
        </w:rPr>
        <w:t xml:space="preserve">. 合同分包（实质性要求）  </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本项目不允许合同分包。</w:t>
      </w:r>
    </w:p>
    <w:p>
      <w:pPr>
        <w:spacing w:line="360" w:lineRule="auto"/>
        <w:ind w:firstLine="482" w:firstLineChars="200"/>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2</w:t>
      </w:r>
      <w:r>
        <w:rPr>
          <w:rFonts w:hint="eastAsia" w:asciiTheme="minorEastAsia" w:hAnsiTheme="minorEastAsia" w:eastAsiaTheme="minorEastAsia" w:cstheme="minorEastAsia"/>
          <w:b/>
          <w:color w:val="auto"/>
          <w:sz w:val="24"/>
          <w:szCs w:val="22"/>
          <w:lang w:val="en-US" w:eastAsia="zh-CN"/>
        </w:rPr>
        <w:t>8</w:t>
      </w:r>
      <w:r>
        <w:rPr>
          <w:rFonts w:hint="eastAsia" w:asciiTheme="minorEastAsia" w:hAnsiTheme="minorEastAsia" w:eastAsiaTheme="minorEastAsia" w:cstheme="minorEastAsia"/>
          <w:b/>
          <w:color w:val="auto"/>
          <w:sz w:val="24"/>
          <w:szCs w:val="22"/>
        </w:rPr>
        <w:t xml:space="preserve">. 合同转包（实质性要求） </w:t>
      </w:r>
    </w:p>
    <w:p>
      <w:pPr>
        <w:spacing w:line="360" w:lineRule="auto"/>
        <w:ind w:firstLine="49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2</w:t>
      </w:r>
      <w:r>
        <w:rPr>
          <w:rFonts w:hint="eastAsia" w:asciiTheme="minorEastAsia" w:hAnsiTheme="minorEastAsia" w:eastAsiaTheme="minorEastAsia" w:cstheme="minorEastAsia"/>
          <w:color w:val="auto"/>
          <w:sz w:val="24"/>
          <w:szCs w:val="22"/>
          <w:lang w:val="en-US" w:eastAsia="zh-CN"/>
        </w:rPr>
        <w:t>8</w:t>
      </w:r>
      <w:r>
        <w:rPr>
          <w:rFonts w:hint="eastAsia" w:asciiTheme="minorEastAsia" w:hAnsiTheme="minorEastAsia" w:eastAsiaTheme="minorEastAsia" w:cstheme="minorEastAsia"/>
          <w:color w:val="auto"/>
          <w:sz w:val="24"/>
          <w:szCs w:val="22"/>
        </w:rPr>
        <w:t>.1.本项目严禁中标人将任何政府采购合同义务转包。本项目所称转包，是指中标人将政府采购合同义务转让给第三人，并退出现有政府采购合同当事人双方的权利义务关系，受让人（第三人）成为政府采购合同的另一方当事人的行为。</w:t>
      </w:r>
    </w:p>
    <w:p>
      <w:pPr>
        <w:spacing w:line="360" w:lineRule="auto"/>
        <w:ind w:firstLine="49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2</w:t>
      </w:r>
      <w:r>
        <w:rPr>
          <w:rFonts w:hint="eastAsia" w:asciiTheme="minorEastAsia" w:hAnsiTheme="minorEastAsia" w:eastAsiaTheme="minorEastAsia" w:cstheme="minorEastAsia"/>
          <w:color w:val="auto"/>
          <w:sz w:val="24"/>
          <w:szCs w:val="22"/>
          <w:lang w:val="en-US" w:eastAsia="zh-CN"/>
        </w:rPr>
        <w:t>8</w:t>
      </w:r>
      <w:r>
        <w:rPr>
          <w:rFonts w:hint="eastAsia" w:asciiTheme="minorEastAsia" w:hAnsiTheme="minorEastAsia" w:eastAsiaTheme="minorEastAsia" w:cstheme="minorEastAsia"/>
          <w:color w:val="auto"/>
          <w:sz w:val="24"/>
          <w:szCs w:val="22"/>
        </w:rPr>
        <w:t>.2.中标人转包的，视同拒绝履行政府采购合同义务，将依法追究法律责任.</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lang w:val="en-US" w:eastAsia="zh-CN"/>
        </w:rPr>
        <w:t>29</w:t>
      </w:r>
      <w:r>
        <w:rPr>
          <w:rFonts w:hint="eastAsia" w:asciiTheme="minorEastAsia" w:hAnsiTheme="minorEastAsia" w:eastAsiaTheme="minorEastAsia" w:cstheme="minorEastAsia"/>
          <w:b/>
          <w:color w:val="auto"/>
          <w:sz w:val="24"/>
          <w:szCs w:val="22"/>
        </w:rPr>
        <w:t xml:space="preserve">.补充合同 </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22"/>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hint="eastAsia" w:asciiTheme="minorEastAsia" w:hAnsiTheme="minorEastAsia" w:eastAsiaTheme="minorEastAsia" w:cstheme="minorEastAsia"/>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240" w:lineRule="exact"/>
        <w:ind w:firstLine="493"/>
        <w:textAlignment w:val="auto"/>
        <w:rPr>
          <w:rFonts w:hint="eastAsia" w:asciiTheme="minorEastAsia" w:hAnsiTheme="minorEastAsia" w:eastAsiaTheme="minorEastAsia" w:cstheme="minorEastAsia"/>
          <w:b/>
          <w:color w:val="auto"/>
          <w:sz w:val="24"/>
          <w:szCs w:val="22"/>
        </w:rPr>
      </w:pPr>
    </w:p>
    <w:p>
      <w:pPr>
        <w:keepNext w:val="0"/>
        <w:keepLines w:val="0"/>
        <w:pageBreakBefore w:val="0"/>
        <w:widowControl w:val="0"/>
        <w:kinsoku/>
        <w:wordWrap/>
        <w:overflowPunct/>
        <w:topLinePunct w:val="0"/>
        <w:autoSpaceDE/>
        <w:autoSpaceDN/>
        <w:bidi w:val="0"/>
        <w:adjustRightInd/>
        <w:snapToGrid/>
        <w:spacing w:line="280" w:lineRule="exact"/>
        <w:ind w:firstLine="493"/>
        <w:textAlignment w:val="auto"/>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0</w:t>
      </w:r>
      <w:r>
        <w:rPr>
          <w:rFonts w:hint="eastAsia" w:asciiTheme="minorEastAsia" w:hAnsiTheme="minorEastAsia" w:eastAsiaTheme="minorEastAsia" w:cstheme="minorEastAsia"/>
          <w:b/>
          <w:color w:val="auto"/>
          <w:sz w:val="24"/>
          <w:szCs w:val="22"/>
        </w:rPr>
        <w:t xml:space="preserve">. 履约保证金 </w:t>
      </w:r>
    </w:p>
    <w:p>
      <w:pPr>
        <w:numPr>
          <w:ilvl w:val="1"/>
          <w:numId w:val="8"/>
        </w:numPr>
        <w:tabs>
          <w:tab w:val="left" w:pos="0"/>
        </w:tabs>
        <w:snapToGrid w:val="0"/>
        <w:spacing w:line="520" w:lineRule="exact"/>
        <w:ind w:left="0" w:firstLine="480" w:firstLineChars="200"/>
        <w:rPr>
          <w:rFonts w:hint="eastAsia" w:ascii="宋体" w:hAnsi="宋体" w:eastAsia="宋体"/>
          <w:b w:val="0"/>
          <w:color w:val="auto"/>
          <w:kern w:val="2"/>
          <w:sz w:val="24"/>
          <w:szCs w:val="24"/>
          <w:lang w:val="en-US"/>
        </w:rPr>
      </w:pPr>
      <w:r>
        <w:rPr>
          <w:rFonts w:hint="eastAsia" w:ascii="宋体" w:hAnsi="宋体" w:eastAsia="宋体"/>
          <w:b w:val="0"/>
          <w:color w:val="auto"/>
          <w:kern w:val="2"/>
          <w:sz w:val="24"/>
          <w:szCs w:val="24"/>
          <w:lang w:val="en-US"/>
        </w:rPr>
        <w:t>中标人收到中标通知书后，签订合同前，须根据招标文件的规定向采购人交纳规定数额的履约保证金。如果中标人在规定的合同签订时间内，没有按照招标文件的规定交纳履约保证金，且又无正当理由的，视为拒签合同，采购人可以与排在中标人之后第一位的中标候选人签订采购合同，以此类推，或重新开展采购活动。</w:t>
      </w:r>
    </w:p>
    <w:p>
      <w:pPr>
        <w:numPr>
          <w:ilvl w:val="1"/>
          <w:numId w:val="8"/>
        </w:numPr>
        <w:tabs>
          <w:tab w:val="left" w:pos="0"/>
        </w:tabs>
        <w:snapToGrid w:val="0"/>
        <w:spacing w:line="520" w:lineRule="exact"/>
        <w:ind w:left="0" w:firstLine="480" w:firstLineChars="200"/>
        <w:rPr>
          <w:rFonts w:hint="eastAsia" w:ascii="宋体" w:hAnsi="宋体" w:eastAsia="宋体"/>
          <w:b w:val="0"/>
          <w:color w:val="auto"/>
          <w:kern w:val="2"/>
          <w:sz w:val="24"/>
          <w:szCs w:val="24"/>
          <w:lang w:val="en-US"/>
        </w:rPr>
      </w:pPr>
      <w:r>
        <w:rPr>
          <w:rFonts w:hint="eastAsia" w:ascii="宋体" w:hAnsi="宋体" w:eastAsia="宋体"/>
          <w:b w:val="0"/>
          <w:color w:val="auto"/>
          <w:kern w:val="2"/>
          <w:sz w:val="24"/>
          <w:szCs w:val="24"/>
          <w:lang w:val="en-US"/>
        </w:rPr>
        <w:t>履约保证金在中标人对合同规定义务</w:t>
      </w:r>
      <w:r>
        <w:rPr>
          <w:rFonts w:hint="eastAsia" w:ascii="宋体" w:hAnsi="宋体" w:eastAsia="宋体"/>
          <w:b w:val="0"/>
          <w:bCs/>
          <w:color w:val="auto"/>
          <w:kern w:val="2"/>
          <w:sz w:val="24"/>
          <w:szCs w:val="24"/>
          <w:lang w:val="zh-CN"/>
        </w:rPr>
        <w:t>履约完毕后一个月之内</w:t>
      </w:r>
      <w:r>
        <w:rPr>
          <w:rFonts w:hint="eastAsia" w:ascii="宋体" w:hAnsi="宋体" w:eastAsia="宋体"/>
          <w:b w:val="0"/>
          <w:color w:val="auto"/>
          <w:kern w:val="2"/>
          <w:sz w:val="24"/>
          <w:szCs w:val="24"/>
          <w:lang w:val="en-US"/>
        </w:rPr>
        <w:t>全额退还（无息）；如果中标人未能履行合同规定的部分或全部义务，该保证金将视情况予以没收。</w:t>
      </w:r>
    </w:p>
    <w:p>
      <w:pPr>
        <w:keepNext w:val="0"/>
        <w:keepLines w:val="0"/>
        <w:pageBreakBefore w:val="0"/>
        <w:widowControl w:val="0"/>
        <w:kinsoku/>
        <w:wordWrap/>
        <w:overflowPunct/>
        <w:topLinePunct w:val="0"/>
        <w:autoSpaceDE/>
        <w:autoSpaceDN/>
        <w:bidi w:val="0"/>
        <w:adjustRightInd/>
        <w:snapToGrid/>
        <w:spacing w:line="240" w:lineRule="exact"/>
        <w:ind w:firstLine="493"/>
        <w:textAlignment w:val="auto"/>
        <w:rPr>
          <w:rFonts w:hint="eastAsia" w:asciiTheme="minorEastAsia" w:hAnsiTheme="minorEastAsia" w:eastAsiaTheme="minorEastAsia" w:cstheme="minorEastAsia"/>
          <w:b w:val="0"/>
          <w:bCs/>
          <w:color w:val="auto"/>
          <w:sz w:val="24"/>
          <w:szCs w:val="22"/>
        </w:rPr>
      </w:pP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1</w:t>
      </w:r>
      <w:r>
        <w:rPr>
          <w:rFonts w:hint="eastAsia" w:asciiTheme="minorEastAsia" w:hAnsiTheme="minorEastAsia" w:eastAsiaTheme="minorEastAsia" w:cstheme="minorEastAsia"/>
          <w:b/>
          <w:color w:val="auto"/>
          <w:sz w:val="24"/>
          <w:szCs w:val="22"/>
        </w:rPr>
        <w:t>. 合同公告</w:t>
      </w:r>
    </w:p>
    <w:p>
      <w:pPr>
        <w:spacing w:line="360" w:lineRule="auto"/>
        <w:ind w:firstLine="495"/>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采购人应当自政府采购合同签订之日起2个工作日内，将政府采购合同在省级以上人民政府财政部门指定的媒体上公告（四川政府采购网），但政府采购合同中涉及国家秘密、商业秘密的内容除外。</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2</w:t>
      </w:r>
      <w:r>
        <w:rPr>
          <w:rFonts w:hint="eastAsia" w:asciiTheme="minorEastAsia" w:hAnsiTheme="minorEastAsia" w:eastAsiaTheme="minorEastAsia" w:cstheme="minorEastAsia"/>
          <w:b/>
          <w:color w:val="auto"/>
          <w:sz w:val="24"/>
          <w:szCs w:val="22"/>
        </w:rPr>
        <w:t>. 合同备案</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color w:val="auto"/>
          <w:sz w:val="24"/>
          <w:szCs w:val="22"/>
        </w:rPr>
        <w:t>采购人应当将政府采购合同副本自签订之日起七个工作日内通过政采云平台报同级财政部门备案。</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3</w:t>
      </w:r>
      <w:r>
        <w:rPr>
          <w:rFonts w:hint="eastAsia" w:asciiTheme="minorEastAsia" w:hAnsiTheme="minorEastAsia" w:eastAsiaTheme="minorEastAsia" w:cstheme="minorEastAsia"/>
          <w:b/>
          <w:color w:val="auto"/>
          <w:sz w:val="24"/>
          <w:szCs w:val="22"/>
        </w:rPr>
        <w:t xml:space="preserve">. 履行合同 </w:t>
      </w:r>
    </w:p>
    <w:p>
      <w:pPr>
        <w:spacing w:line="40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 xml:space="preserve"> 33.1 中标人与采购人签订合同后，合同双方应严格执行合同条款，履行合同规定的义务，保证合同的顺利完成。</w:t>
      </w:r>
    </w:p>
    <w:p>
      <w:pPr>
        <w:spacing w:line="400" w:lineRule="exact"/>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33.2 在合同履行过程中，如发生合同纠纷，合同双方应合同相关约定进行处理。</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4</w:t>
      </w:r>
      <w:r>
        <w:rPr>
          <w:rFonts w:hint="eastAsia" w:asciiTheme="minorEastAsia" w:hAnsiTheme="minorEastAsia" w:eastAsiaTheme="minorEastAsia" w:cstheme="minorEastAsia"/>
          <w:b/>
          <w:color w:val="auto"/>
          <w:sz w:val="24"/>
          <w:szCs w:val="22"/>
        </w:rPr>
        <w:t xml:space="preserve">. 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color w:val="auto"/>
          <w:sz w:val="24"/>
        </w:rPr>
        <w:t>严格按照政府采购相关法律法规以及财库〔2016〕205号的要求进行验收。</w:t>
      </w:r>
    </w:p>
    <w:p>
      <w:pPr>
        <w:spacing w:line="360" w:lineRule="auto"/>
        <w:ind w:firstLine="495"/>
        <w:rPr>
          <w:rFonts w:hint="eastAsia" w:asciiTheme="minorEastAsia" w:hAnsiTheme="minorEastAsia" w:eastAsiaTheme="minorEastAsia" w:cstheme="minorEastAsia"/>
          <w:b/>
          <w:color w:val="auto"/>
          <w:sz w:val="24"/>
          <w:szCs w:val="22"/>
        </w:rPr>
      </w:pPr>
      <w:r>
        <w:rPr>
          <w:rFonts w:hint="eastAsia" w:asciiTheme="minorEastAsia" w:hAnsiTheme="minorEastAsia" w:eastAsiaTheme="minorEastAsia" w:cstheme="minorEastAsia"/>
          <w:b/>
          <w:color w:val="auto"/>
          <w:sz w:val="24"/>
          <w:szCs w:val="22"/>
        </w:rPr>
        <w:t>3</w:t>
      </w:r>
      <w:r>
        <w:rPr>
          <w:rFonts w:hint="eastAsia" w:asciiTheme="minorEastAsia" w:hAnsiTheme="minorEastAsia" w:eastAsiaTheme="minorEastAsia" w:cstheme="minorEastAsia"/>
          <w:b/>
          <w:color w:val="auto"/>
          <w:sz w:val="24"/>
          <w:szCs w:val="22"/>
          <w:lang w:val="en-US" w:eastAsia="zh-CN"/>
        </w:rPr>
        <w:t>5</w:t>
      </w:r>
      <w:r>
        <w:rPr>
          <w:rFonts w:hint="eastAsia" w:asciiTheme="minorEastAsia" w:hAnsiTheme="minorEastAsia" w:eastAsiaTheme="minorEastAsia" w:cstheme="minorEastAsia"/>
          <w:b/>
          <w:color w:val="auto"/>
          <w:sz w:val="24"/>
          <w:szCs w:val="22"/>
        </w:rPr>
        <w:t>.资金支付</w:t>
      </w:r>
    </w:p>
    <w:p>
      <w:pPr>
        <w:spacing w:line="360" w:lineRule="auto"/>
        <w:ind w:firstLine="495"/>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2"/>
        </w:rPr>
        <w:t>采购人将按照政府采购合同规定，及时向中标供应商支付采购资金。本项目采购资金付款详见第</w:t>
      </w:r>
      <w:r>
        <w:rPr>
          <w:rFonts w:hint="eastAsia" w:asciiTheme="minorEastAsia" w:hAnsiTheme="minorEastAsia" w:eastAsiaTheme="minorEastAsia" w:cstheme="minorEastAsia"/>
          <w:color w:val="auto"/>
          <w:sz w:val="24"/>
          <w:szCs w:val="22"/>
          <w:lang w:eastAsia="zh-CN"/>
        </w:rPr>
        <w:t>六</w:t>
      </w:r>
      <w:r>
        <w:rPr>
          <w:rFonts w:hint="eastAsia" w:asciiTheme="minorEastAsia" w:hAnsiTheme="minorEastAsia" w:eastAsiaTheme="minorEastAsia" w:cstheme="minorEastAsia"/>
          <w:color w:val="auto"/>
          <w:sz w:val="24"/>
          <w:szCs w:val="22"/>
        </w:rPr>
        <w:t>章商务要求中付款方式。</w:t>
      </w:r>
    </w:p>
    <w:bookmarkEnd w:id="98"/>
    <w:bookmarkEnd w:id="99"/>
    <w:bookmarkEnd w:id="102"/>
    <w:p>
      <w:pPr>
        <w:pStyle w:val="4"/>
        <w:spacing w:line="276" w:lineRule="auto"/>
        <w:jc w:val="center"/>
        <w:rPr>
          <w:rFonts w:hint="eastAsia" w:asciiTheme="minorEastAsia" w:hAnsiTheme="minorEastAsia" w:eastAsiaTheme="minorEastAsia" w:cstheme="minorEastAsia"/>
          <w:color w:val="auto"/>
          <w:szCs w:val="28"/>
        </w:rPr>
      </w:pPr>
      <w:bookmarkStart w:id="103" w:name="_Toc217446074"/>
      <w:bookmarkStart w:id="104" w:name="_Toc183682380"/>
      <w:bookmarkStart w:id="105" w:name="_Toc183582243"/>
      <w:r>
        <w:rPr>
          <w:rFonts w:hint="eastAsia" w:asciiTheme="minorEastAsia" w:hAnsiTheme="minorEastAsia" w:eastAsiaTheme="minorEastAsia" w:cstheme="minorEastAsia"/>
          <w:color w:val="auto"/>
          <w:szCs w:val="28"/>
        </w:rPr>
        <w:t>七、投标纪律要求</w:t>
      </w:r>
      <w:bookmarkEnd w:id="103"/>
    </w:p>
    <w:p>
      <w:pPr>
        <w:pStyle w:val="5"/>
        <w:spacing w:line="276" w:lineRule="auto"/>
        <w:ind w:firstLine="482" w:firstLineChars="200"/>
        <w:rPr>
          <w:rFonts w:hint="eastAsia" w:asciiTheme="minorEastAsia" w:hAnsiTheme="minorEastAsia" w:eastAsiaTheme="minorEastAsia" w:cstheme="minorEastAsia"/>
          <w:bCs w:val="0"/>
          <w:color w:val="auto"/>
          <w:sz w:val="24"/>
          <w:szCs w:val="24"/>
        </w:rPr>
      </w:pPr>
      <w:bookmarkStart w:id="106" w:name="_Toc217446075"/>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val="en-US" w:eastAsia="zh-CN"/>
        </w:rPr>
        <w:t>6</w:t>
      </w:r>
      <w:r>
        <w:rPr>
          <w:rFonts w:hint="eastAsia" w:asciiTheme="minorEastAsia" w:hAnsiTheme="minorEastAsia" w:eastAsiaTheme="minorEastAsia" w:cstheme="minorEastAsia"/>
          <w:color w:val="auto"/>
          <w:sz w:val="24"/>
        </w:rPr>
        <w:t xml:space="preserve">. </w:t>
      </w:r>
      <w:bookmarkEnd w:id="106"/>
      <w:r>
        <w:rPr>
          <w:rFonts w:hint="eastAsia" w:asciiTheme="minorEastAsia" w:hAnsiTheme="minorEastAsia" w:eastAsiaTheme="minorEastAsia" w:cstheme="minorEastAsia"/>
          <w:bCs w:val="0"/>
          <w:color w:val="auto"/>
          <w:sz w:val="24"/>
          <w:szCs w:val="24"/>
        </w:rPr>
        <w:t>投标人纪律要求</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投标人应当遵循公平竞争的原则，不得恶意串通，不得妨碍其他投标人的竞争行为，不得损害采购人或者其他投标人的合法权益。</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在评标过程中发现投标人有上述情形的，评标委员会应当认定其投标无效，并书面报告本级财政部门。</w:t>
      </w:r>
    </w:p>
    <w:p>
      <w:pPr>
        <w:pStyle w:val="8"/>
        <w:spacing w:line="360" w:lineRule="auto"/>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val="en-US" w:eastAsia="zh-CN"/>
        </w:rPr>
        <w:t>6</w:t>
      </w:r>
      <w:r>
        <w:rPr>
          <w:rFonts w:hint="eastAsia" w:asciiTheme="minorEastAsia" w:hAnsiTheme="minorEastAsia" w:eastAsiaTheme="minorEastAsia" w:cstheme="minorEastAsia"/>
          <w:color w:val="auto"/>
          <w:sz w:val="24"/>
        </w:rPr>
        <w:t>.1投标人参加投标不得有下列情形：</w:t>
      </w:r>
      <w:bookmarkStart w:id="107" w:name="_Toc217446076"/>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（1）提供虚假材料谋取中标；</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（2）采取不正当手段诋毁、排挤其他投标人；</w:t>
      </w:r>
    </w:p>
    <w:p>
      <w:pPr>
        <w:pStyle w:val="8"/>
        <w:spacing w:line="360" w:lineRule="auto"/>
        <w:ind w:firstLine="480"/>
        <w:rPr>
          <w:rFonts w:hint="eastAsia" w:asciiTheme="minorEastAsia" w:hAnsiTheme="minorEastAsia" w:eastAsiaTheme="minorEastAsia" w:cstheme="minorEastAsia"/>
          <w:b/>
          <w:bCs/>
          <w:color w:val="auto"/>
          <w:kern w:val="0"/>
          <w:sz w:val="24"/>
          <w:szCs w:val="20"/>
        </w:rPr>
      </w:pPr>
      <w:r>
        <w:rPr>
          <w:rFonts w:hint="eastAsia" w:asciiTheme="minorEastAsia" w:hAnsiTheme="minorEastAsia" w:eastAsiaTheme="minorEastAsia" w:cstheme="minorEastAsia"/>
          <w:color w:val="auto"/>
          <w:kern w:val="0"/>
          <w:sz w:val="24"/>
          <w:szCs w:val="20"/>
        </w:rPr>
        <w:t>（3）与采购人、采购代理机构其他投标人恶意串通；</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（4）向采购人、采购代理机构、评标委员会成员行贿或者提供其他不正当利益；</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（5）在招标过程中与采购人、采购代理机构进行协商谈判；</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（6）中标或者成交后无正当理由拒不与采购人签订政府采购合同；</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（7）未按照采购文件确定的事项签订政府采购合同；</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（8）将政府采购合同转包或者违规分包；</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（9）提供假冒伪劣产品；</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（10）擅自变更、中止或者终止政府采购合同；</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（11）拒绝有关部门的监督检查或者向监督检查部门提供虚假情况；</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（12）法律法规规定的其他情形。</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投标人有上述情形的，按照规定追究法律责任，具备（1）-（10）条情形之一的，同时将取消中标资格或者认定中标无效。</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3</w:t>
      </w:r>
      <w:r>
        <w:rPr>
          <w:rFonts w:hint="eastAsia" w:asciiTheme="minorEastAsia" w:hAnsiTheme="minorEastAsia" w:eastAsiaTheme="minorEastAsia" w:cstheme="minorEastAsia"/>
          <w:color w:val="auto"/>
          <w:kern w:val="0"/>
          <w:sz w:val="24"/>
          <w:szCs w:val="20"/>
          <w:lang w:val="en-US" w:eastAsia="zh-CN"/>
        </w:rPr>
        <w:t>6</w:t>
      </w:r>
      <w:r>
        <w:rPr>
          <w:rFonts w:hint="eastAsia" w:asciiTheme="minorEastAsia" w:hAnsiTheme="minorEastAsia" w:eastAsiaTheme="minorEastAsia" w:cstheme="minorEastAsia"/>
          <w:color w:val="auto"/>
          <w:kern w:val="0"/>
          <w:sz w:val="24"/>
          <w:szCs w:val="20"/>
        </w:rPr>
        <w:t>.2 投标人有下列情形之一的，视为投标人串通投标，其投标无效：</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（1）不同投标人的投标文件由同一单位或者个人编制；</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（2）不同投标人委托同一单位或者个人办理投标事宜；</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（3）不同投标人的投标文件载明的项目管理成员或者联系人员为同一人；</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（4）不同投标人的投标文件异常一致或者投标报价呈规律性差异；</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（5）不同投标人的投标文件相互混装；</w:t>
      </w:r>
    </w:p>
    <w:p>
      <w:pPr>
        <w:pStyle w:val="8"/>
        <w:spacing w:line="360" w:lineRule="auto"/>
        <w:ind w:firstLine="480"/>
        <w:rPr>
          <w:rFonts w:hint="eastAsia" w:asciiTheme="minorEastAsia" w:hAnsiTheme="minorEastAsia" w:eastAsiaTheme="minorEastAsia" w:cstheme="minorEastAsia"/>
          <w:color w:val="auto"/>
          <w:kern w:val="0"/>
          <w:sz w:val="24"/>
          <w:szCs w:val="20"/>
        </w:rPr>
      </w:pPr>
      <w:r>
        <w:rPr>
          <w:rFonts w:hint="eastAsia" w:asciiTheme="minorEastAsia" w:hAnsiTheme="minorEastAsia" w:eastAsiaTheme="minorEastAsia" w:cstheme="minorEastAsia"/>
          <w:color w:val="auto"/>
          <w:kern w:val="0"/>
          <w:sz w:val="24"/>
          <w:szCs w:val="20"/>
        </w:rPr>
        <w:t>（6）不同投标人的投标保证金从同一单位或者个人的账户转出。</w:t>
      </w:r>
    </w:p>
    <w:p>
      <w:pPr>
        <w:pStyle w:val="4"/>
        <w:spacing w:line="276" w:lineRule="auto"/>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八、</w:t>
      </w:r>
      <w:bookmarkEnd w:id="107"/>
      <w:bookmarkStart w:id="108" w:name="_Toc217446078"/>
      <w:r>
        <w:rPr>
          <w:rFonts w:hint="eastAsia" w:asciiTheme="minorEastAsia" w:hAnsiTheme="minorEastAsia" w:eastAsiaTheme="minorEastAsia" w:cstheme="minorEastAsia"/>
          <w:color w:val="auto"/>
          <w:szCs w:val="28"/>
        </w:rPr>
        <w:t>询问、质疑和投诉</w:t>
      </w:r>
      <w:bookmarkEnd w:id="108"/>
      <w:bookmarkStart w:id="109" w:name="_Toc217446079"/>
    </w:p>
    <w:bookmarkEnd w:id="109"/>
    <w:p>
      <w:pPr>
        <w:pStyle w:val="28"/>
        <w:spacing w:line="360" w:lineRule="auto"/>
        <w:ind w:left="0" w:leftChars="0"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3</w:t>
      </w:r>
      <w:r>
        <w:rPr>
          <w:rFonts w:hint="eastAsia" w:asciiTheme="minorEastAsia" w:hAnsiTheme="minorEastAsia" w:eastAsiaTheme="minorEastAsia" w:cstheme="minorEastAsia"/>
          <w:b/>
          <w:color w:val="auto"/>
          <w:sz w:val="24"/>
          <w:lang w:val="en-US" w:eastAsia="zh-CN"/>
        </w:rPr>
        <w:t>7</w:t>
      </w:r>
      <w:r>
        <w:rPr>
          <w:rFonts w:hint="eastAsia" w:asciiTheme="minorEastAsia" w:hAnsiTheme="minorEastAsia" w:eastAsiaTheme="minorEastAsia" w:cstheme="minorEastAsia"/>
          <w:color w:val="auto"/>
          <w:sz w:val="24"/>
        </w:rPr>
        <w:t>．</w:t>
      </w:r>
      <w:bookmarkEnd w:id="104"/>
      <w:bookmarkEnd w:id="105"/>
      <w:r>
        <w:rPr>
          <w:rFonts w:hint="eastAsia" w:asciiTheme="minorEastAsia" w:hAnsiTheme="minorEastAsia" w:eastAsiaTheme="minorEastAsia" w:cstheme="minorEastAsia"/>
          <w:color w:val="auto"/>
          <w:sz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hint="eastAsia" w:asciiTheme="minorEastAsia" w:hAnsiTheme="minorEastAsia" w:eastAsiaTheme="minorEastAsia" w:cstheme="minorEastAsia"/>
          <w:bCs w:val="0"/>
          <w:color w:val="auto"/>
          <w:szCs w:val="28"/>
        </w:rPr>
      </w:pPr>
      <w:r>
        <w:rPr>
          <w:rFonts w:hint="eastAsia" w:asciiTheme="minorEastAsia" w:hAnsiTheme="minorEastAsia" w:eastAsiaTheme="minorEastAsia" w:cstheme="minorEastAsia"/>
          <w:bCs w:val="0"/>
          <w:color w:val="auto"/>
          <w:szCs w:val="28"/>
        </w:rPr>
        <w:t>九、其他</w:t>
      </w:r>
    </w:p>
    <w:p>
      <w:pPr>
        <w:pStyle w:val="28"/>
        <w:spacing w:line="360" w:lineRule="auto"/>
        <w:ind w:left="0" w:leftChars="0" w:firstLine="361"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4"/>
        </w:rPr>
        <w:t>3</w:t>
      </w:r>
      <w:r>
        <w:rPr>
          <w:rFonts w:hint="eastAsia" w:asciiTheme="minorEastAsia" w:hAnsiTheme="minorEastAsia" w:eastAsiaTheme="minorEastAsia" w:cstheme="minorEastAsia"/>
          <w:b/>
          <w:color w:val="auto"/>
          <w:sz w:val="24"/>
          <w:lang w:val="en-US" w:eastAsia="zh-CN"/>
        </w:rPr>
        <w:t>8</w:t>
      </w:r>
      <w:r>
        <w:rPr>
          <w:rFonts w:hint="eastAsia" w:asciiTheme="minorEastAsia" w:hAnsiTheme="minorEastAsia" w:eastAsiaTheme="minorEastAsia" w:cstheme="minorEastAsia"/>
          <w:b/>
          <w:color w:val="auto"/>
          <w:sz w:val="24"/>
        </w:rPr>
        <w:t>.</w:t>
      </w:r>
      <w:r>
        <w:rPr>
          <w:rFonts w:hint="eastAsia" w:asciiTheme="minorEastAsia" w:hAnsiTheme="minorEastAsia" w:eastAsiaTheme="minorEastAsia" w:cstheme="minorEastAsia"/>
          <w:color w:val="auto"/>
          <w:sz w:val="24"/>
        </w:rPr>
        <w:t>本招标文件中所引相关法律制度规定，在政府采购中有变化的，按照变化后的相关法律制度规定执行。本章和第六章中“1.总则、2.评标方法、3.评标程序”规定的内容条款，在本项目投标截止时间届满后，因相关法律制度规定的变化导致不符合相关法律制度规定的，直接按照变化后的相关法律制度规定执行，本招标文件不再做调整。</w:t>
      </w:r>
    </w:p>
    <w:p>
      <w:pPr>
        <w:pStyle w:val="28"/>
        <w:spacing w:line="360" w:lineRule="auto"/>
        <w:ind w:left="0" w:leftChars="0" w:firstLine="361" w:firstLineChars="15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sz w:val="24"/>
          <w:lang w:val="en-US" w:eastAsia="zh-CN"/>
        </w:rPr>
        <w:t>39</w:t>
      </w:r>
      <w:r>
        <w:rPr>
          <w:rFonts w:hint="eastAsia" w:asciiTheme="minorEastAsia" w:hAnsiTheme="minorEastAsia" w:eastAsiaTheme="minorEastAsia" w:cstheme="minorEastAsia"/>
          <w:color w:val="auto"/>
          <w:sz w:val="24"/>
        </w:rPr>
        <w:t>.（实质性要求）国家或行业主管部门对采购产品的技术标准、质量标准和资格资质条件等有强制性规定的，必须符合其要求。</w:t>
      </w:r>
    </w:p>
    <w:p>
      <w:pPr>
        <w:pStyle w:val="28"/>
        <w:spacing w:line="360" w:lineRule="auto"/>
        <w:ind w:left="0" w:leftChars="0" w:firstLine="361" w:firstLineChars="15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lang w:val="en-US" w:eastAsia="zh-CN"/>
        </w:rPr>
        <w:t>40.</w:t>
      </w:r>
      <w:r>
        <w:rPr>
          <w:rFonts w:hint="eastAsia" w:asciiTheme="minorEastAsia" w:hAnsiTheme="minorEastAsia" w:eastAsiaTheme="minorEastAsia" w:cstheme="minorEastAsia"/>
          <w:b/>
          <w:bCs/>
          <w:color w:val="auto"/>
          <w:sz w:val="24"/>
        </w:rPr>
        <w:t>本章中实质性要求的说明</w:t>
      </w:r>
    </w:p>
    <w:p>
      <w:pPr>
        <w:pStyle w:val="28"/>
        <w:spacing w:line="360" w:lineRule="auto"/>
        <w:ind w:left="0" w:leftChars="0" w:firstLine="360" w:firstLineChars="15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val="0"/>
          <w:bCs w:val="0"/>
          <w:color w:val="auto"/>
          <w:sz w:val="24"/>
        </w:rPr>
        <w:t>本章中作为实质性要求的内容，除明确要求提供承诺函等证明材料的外，采购人或采购代理机构或评标委员会在评审时，仅对投标文件是否违背实质性要求进行审查。</w:t>
      </w:r>
      <w:r>
        <w:rPr>
          <w:rFonts w:hint="eastAsia" w:asciiTheme="minorEastAsia" w:hAnsiTheme="minorEastAsia" w:eastAsiaTheme="minorEastAsia" w:cstheme="minorEastAsia"/>
          <w:b/>
          <w:bCs/>
          <w:color w:val="auto"/>
          <w:sz w:val="24"/>
        </w:rPr>
        <w:br w:type="page"/>
      </w:r>
    </w:p>
    <w:p>
      <w:pPr>
        <w:pStyle w:val="43"/>
        <w:rPr>
          <w:rFonts w:hint="eastAsia" w:asciiTheme="minorEastAsia" w:hAnsiTheme="minorEastAsia" w:eastAsiaTheme="minorEastAsia" w:cstheme="minorEastAsia"/>
          <w:color w:val="auto"/>
        </w:rPr>
      </w:pPr>
      <w:bookmarkStart w:id="110" w:name="_Toc13209"/>
      <w:bookmarkStart w:id="111" w:name="_Toc1752"/>
      <w:bookmarkStart w:id="112" w:name="_Toc10597"/>
      <w:r>
        <w:rPr>
          <w:rFonts w:hint="eastAsia" w:asciiTheme="minorEastAsia" w:hAnsiTheme="minorEastAsia" w:eastAsiaTheme="minorEastAsia" w:cstheme="minorEastAsia"/>
          <w:color w:val="auto"/>
        </w:rPr>
        <w:t>第三章 投标文件格式</w:t>
      </w:r>
      <w:bookmarkEnd w:id="110"/>
      <w:bookmarkEnd w:id="111"/>
      <w:bookmarkEnd w:id="112"/>
    </w:p>
    <w:p>
      <w:pPr>
        <w:pStyle w:val="4"/>
        <w:spacing w:line="34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bookmarkStart w:id="113" w:name="_Toc217446082"/>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b w:val="0"/>
          <w:color w:val="auto"/>
          <w:sz w:val="24"/>
          <w:szCs w:val="24"/>
        </w:rPr>
        <w:t>一、本章所制投标文件格式，除格式中明确将该格式作为实质性要求的，一律不具有强制性。</w:t>
      </w:r>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b w:val="0"/>
          <w:color w:val="auto"/>
          <w:sz w:val="24"/>
          <w:szCs w:val="24"/>
        </w:rPr>
        <w:t>二、本章所制投标文件格式有关表格中的备注栏，由投标人根据自身投标情况作解释性说明，不作为必填项。</w:t>
      </w:r>
    </w:p>
    <w:p>
      <w:pPr>
        <w:pStyle w:val="4"/>
        <w:spacing w:line="360" w:lineRule="auto"/>
        <w:ind w:firstLine="480" w:firstLineChars="200"/>
        <w:jc w:val="lef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b w:val="0"/>
          <w:color w:val="auto"/>
          <w:sz w:val="24"/>
          <w:szCs w:val="24"/>
        </w:rPr>
        <w:t>三、本章所制投标文件格式中需要填写的相关内容事项，可能会与本采购项目无关，在不改变投标文件原义、不影响本项目采购需求的情况下，投标人可以不予填写，但应当注明。</w:t>
      </w:r>
    </w:p>
    <w:p>
      <w:pPr>
        <w:pStyle w:val="4"/>
        <w:spacing w:line="340" w:lineRule="exact"/>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p>
    <w:p>
      <w:pPr>
        <w:widowControl/>
        <w:jc w:val="left"/>
        <w:rPr>
          <w:rFonts w:hint="eastAsia" w:asciiTheme="minorEastAsia" w:hAnsiTheme="minorEastAsia" w:eastAsiaTheme="minorEastAsia" w:cstheme="minorEastAsia"/>
          <w:b/>
          <w:bCs/>
          <w:color w:val="auto"/>
          <w:kern w:val="2"/>
          <w:sz w:val="32"/>
          <w:szCs w:val="32"/>
        </w:rPr>
      </w:pPr>
      <w:r>
        <w:rPr>
          <w:rFonts w:hint="eastAsia" w:asciiTheme="minorEastAsia" w:hAnsiTheme="minorEastAsia" w:eastAsiaTheme="minorEastAsia" w:cstheme="minorEastAsia"/>
          <w:color w:val="auto"/>
        </w:rPr>
        <w:br w:type="page"/>
      </w:r>
    </w:p>
    <w:bookmarkEnd w:id="113"/>
    <w:p>
      <w:pPr>
        <w:pStyle w:val="4"/>
        <w:spacing w:line="340" w:lineRule="exact"/>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格式3.1</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2249" w:firstLineChars="200"/>
        <w:jc w:val="center"/>
        <w:rPr>
          <w:rFonts w:hint="eastAsia" w:asciiTheme="minorEastAsia" w:hAnsiTheme="minorEastAsia" w:eastAsiaTheme="minorEastAsia" w:cstheme="minorEastAsia"/>
          <w:color w:val="auto"/>
          <w:sz w:val="112"/>
          <w:szCs w:val="112"/>
        </w:rPr>
      </w:pPr>
    </w:p>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112"/>
          <w:szCs w:val="112"/>
        </w:rPr>
        <w:t>资格性投标文件</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采购项目名称：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采购项目编号：</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lang w:eastAsia="zh-CN"/>
        </w:rPr>
        <w:t>包件号及名称：</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投标人名称：</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rPr>
        <w:t>（加盖公章或电子签章）</w:t>
      </w:r>
    </w:p>
    <w:p>
      <w:pPr>
        <w:pStyle w:val="4"/>
        <w:spacing w:line="340" w:lineRule="exact"/>
        <w:ind w:firstLine="643" w:firstLineChars="200"/>
        <w:jc w:val="left"/>
        <w:rPr>
          <w:rFonts w:hint="eastAsia" w:asciiTheme="minorEastAsia" w:hAnsiTheme="minorEastAsia" w:eastAsiaTheme="minorEastAsia" w:cstheme="minorEastAsia"/>
          <w:color w:val="auto"/>
        </w:rPr>
      </w:pP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日    期：</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年</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 xml:space="preserve"> 月</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 xml:space="preserve"> 日 </w:t>
      </w:r>
    </w:p>
    <w:p>
      <w:pPr>
        <w:widowControl/>
        <w:jc w:val="left"/>
        <w:rPr>
          <w:rFonts w:hint="eastAsia" w:asciiTheme="minorEastAsia" w:hAnsiTheme="minorEastAsia" w:eastAsiaTheme="minorEastAsia" w:cstheme="minorEastAsia"/>
          <w:b/>
          <w:bCs/>
          <w:color w:val="auto"/>
          <w:kern w:val="2"/>
          <w:sz w:val="32"/>
          <w:szCs w:val="28"/>
        </w:rPr>
      </w:pPr>
      <w:r>
        <w:rPr>
          <w:rFonts w:hint="eastAsia" w:asciiTheme="minorEastAsia" w:hAnsiTheme="minorEastAsia" w:eastAsiaTheme="minorEastAsia" w:cstheme="minorEastAsia"/>
          <w:color w:val="auto"/>
          <w:szCs w:val="28"/>
        </w:rPr>
        <w:br w:type="page"/>
      </w:r>
    </w:p>
    <w:p>
      <w:pPr>
        <w:pStyle w:val="4"/>
        <w:spacing w:line="340" w:lineRule="exact"/>
        <w:ind w:firstLine="562" w:firstLineChars="200"/>
        <w:jc w:val="center"/>
        <w:rPr>
          <w:rFonts w:hint="eastAsia" w:asciiTheme="minorEastAsia" w:hAnsiTheme="minorEastAsia" w:eastAsiaTheme="minorEastAsia" w:cstheme="minorEastAsia"/>
          <w:color w:val="auto"/>
          <w:szCs w:val="28"/>
        </w:rPr>
      </w:pPr>
      <w:r>
        <w:rPr>
          <w:rStyle w:val="105"/>
          <w:rFonts w:hint="eastAsia" w:asciiTheme="minorEastAsia" w:hAnsiTheme="minorEastAsia" w:eastAsiaTheme="minorEastAsia" w:cstheme="minorEastAsia"/>
          <w:color w:val="auto"/>
        </w:rPr>
        <w:t>一</w:t>
      </w:r>
      <w:r>
        <w:rPr>
          <w:rFonts w:hint="eastAsia" w:asciiTheme="minorEastAsia" w:hAnsiTheme="minorEastAsia" w:eastAsiaTheme="minorEastAsia" w:cstheme="minorEastAsia"/>
          <w:color w:val="auto"/>
          <w:szCs w:val="28"/>
        </w:rPr>
        <w:t>、关于资格的声明函</w:t>
      </w: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致：</w:t>
      </w:r>
      <w:r>
        <w:rPr>
          <w:rFonts w:hint="eastAsia" w:asciiTheme="minorEastAsia" w:hAnsiTheme="minorEastAsia" w:eastAsiaTheme="minorEastAsia" w:cstheme="minorEastAsia"/>
          <w:color w:val="auto"/>
          <w:sz w:val="28"/>
          <w:szCs w:val="28"/>
          <w:u w:val="single"/>
          <w:lang w:eastAsia="zh-CN"/>
        </w:rPr>
        <w:t>成都市均益建设工程造价咨询有限责任公司</w:t>
      </w:r>
      <w:r>
        <w:rPr>
          <w:rFonts w:hint="eastAsia" w:asciiTheme="minorEastAsia" w:hAnsiTheme="minorEastAsia" w:eastAsiaTheme="minorEastAsia" w:cstheme="minorEastAsia"/>
          <w:color w:val="auto"/>
          <w:sz w:val="28"/>
          <w:szCs w:val="28"/>
        </w:rPr>
        <w:t>（采购代理机构）</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关于贵方组织的</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sz w:val="28"/>
          <w:szCs w:val="28"/>
          <w:u w:val="single"/>
          <w:lang w:val="en-US" w:eastAsia="zh-CN"/>
        </w:rPr>
        <w:t xml:space="preserve">          项目</w:t>
      </w:r>
      <w:r>
        <w:rPr>
          <w:rFonts w:hint="eastAsia" w:asciiTheme="minorEastAsia" w:hAnsiTheme="minorEastAsia" w:eastAsiaTheme="minorEastAsia" w:cstheme="minorEastAsia"/>
          <w:color w:val="auto"/>
          <w:sz w:val="28"/>
          <w:szCs w:val="28"/>
        </w:rPr>
        <w:t>（采购项目编号：</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）（包件号及名称：</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），本单位愿意参加投标，并提供本项目</w:t>
      </w:r>
      <w:r>
        <w:rPr>
          <w:rFonts w:hint="eastAsia" w:asciiTheme="minorEastAsia" w:hAnsiTheme="minorEastAsia" w:eastAsiaTheme="minorEastAsia" w:cstheme="minorEastAsia"/>
          <w:color w:val="auto"/>
          <w:sz w:val="28"/>
          <w:szCs w:val="28"/>
          <w:lang w:eastAsia="zh-CN"/>
        </w:rPr>
        <w:t>招标</w:t>
      </w:r>
      <w:r>
        <w:rPr>
          <w:rFonts w:hint="eastAsia" w:asciiTheme="minorEastAsia" w:hAnsiTheme="minorEastAsia" w:eastAsiaTheme="minorEastAsia" w:cstheme="minorEastAsia"/>
          <w:color w:val="auto"/>
          <w:sz w:val="28"/>
          <w:szCs w:val="28"/>
        </w:rPr>
        <w:t>文件中规定的要求，本单位确认资格性投标文件中所有提交的文件和材料是真实的、准确的。</w:t>
      </w: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rPr>
      </w:pPr>
    </w:p>
    <w:p>
      <w:pPr>
        <w:spacing w:line="360" w:lineRule="auto"/>
        <w:ind w:firstLine="560" w:firstLineChars="200"/>
        <w:rPr>
          <w:rFonts w:hint="eastAsia" w:asciiTheme="minorEastAsia" w:hAnsiTheme="minorEastAsia" w:eastAsiaTheme="minorEastAsia" w:cstheme="minorEastAsia"/>
          <w:color w:val="auto"/>
          <w:sz w:val="28"/>
          <w:szCs w:val="28"/>
          <w:lang w:val="en-US"/>
        </w:rPr>
      </w:pPr>
      <w:r>
        <w:rPr>
          <w:rFonts w:hint="eastAsia" w:asciiTheme="minorEastAsia" w:hAnsiTheme="minorEastAsia" w:eastAsiaTheme="minorEastAsia" w:cstheme="minorEastAsia"/>
          <w:color w:val="auto"/>
          <w:sz w:val="28"/>
          <w:szCs w:val="28"/>
          <w:lang w:val="en-US"/>
        </w:rPr>
        <w:t>投标人名称（加盖公章或电子签章）：</w:t>
      </w:r>
    </w:p>
    <w:p>
      <w:pPr>
        <w:spacing w:line="360" w:lineRule="auto"/>
        <w:ind w:firstLine="560" w:firstLineChars="200"/>
        <w:rPr>
          <w:rFonts w:hint="eastAsia" w:asciiTheme="minorEastAsia" w:hAnsiTheme="minorEastAsia" w:eastAsiaTheme="minorEastAsia" w:cstheme="minorEastAsia"/>
          <w:color w:val="auto"/>
          <w:sz w:val="28"/>
          <w:szCs w:val="28"/>
          <w:lang w:val="en-US"/>
        </w:rPr>
      </w:pPr>
      <w:r>
        <w:rPr>
          <w:rFonts w:hint="eastAsia" w:asciiTheme="minorEastAsia" w:hAnsiTheme="minorEastAsia" w:eastAsiaTheme="minorEastAsia" w:cstheme="minorEastAsia"/>
          <w:color w:val="auto"/>
          <w:sz w:val="28"/>
          <w:szCs w:val="28"/>
          <w:lang w:val="en-US"/>
        </w:rPr>
        <w:t>法定代表人或代理人（签字或加盖印章）：</w:t>
      </w:r>
    </w:p>
    <w:p>
      <w:pPr>
        <w:spacing w:line="360" w:lineRule="auto"/>
        <w:ind w:firstLine="560" w:firstLineChars="200"/>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8"/>
          <w:szCs w:val="28"/>
          <w:lang w:val="en-US"/>
        </w:rPr>
        <w:t>日  期:</w:t>
      </w:r>
    </w:p>
    <w:p>
      <w:pPr>
        <w:spacing w:line="360" w:lineRule="auto"/>
        <w:ind w:firstLine="480" w:firstLineChars="200"/>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 w:val="24"/>
          <w:szCs w:val="24"/>
        </w:rPr>
        <w:br w:type="page"/>
      </w:r>
    </w:p>
    <w:p>
      <w:pPr>
        <w:pStyle w:val="2"/>
        <w:spacing w:line="360" w:lineRule="auto"/>
        <w:jc w:val="center"/>
        <w:rPr>
          <w:rFonts w:hint="eastAsia" w:asciiTheme="minorEastAsia" w:hAnsiTheme="minorEastAsia" w:eastAsiaTheme="minorEastAsia" w:cstheme="minorEastAsia"/>
          <w:b/>
          <w:bCs/>
          <w:color w:val="auto"/>
          <w:kern w:val="2"/>
          <w:sz w:val="32"/>
          <w:szCs w:val="28"/>
        </w:rPr>
      </w:pPr>
      <w:r>
        <w:rPr>
          <w:rFonts w:hint="eastAsia" w:asciiTheme="minorEastAsia" w:hAnsiTheme="minorEastAsia" w:eastAsiaTheme="minorEastAsia" w:cstheme="minorEastAsia"/>
          <w:b/>
          <w:bCs/>
          <w:color w:val="auto"/>
          <w:kern w:val="2"/>
          <w:sz w:val="32"/>
          <w:szCs w:val="28"/>
        </w:rPr>
        <w:t>二、法定代表人授权委托书及法定代表人身份证、代理人身份证复印件</w:t>
      </w:r>
    </w:p>
    <w:p>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成都市均益建设工程造价咨询有限责任公司</w:t>
      </w:r>
      <w:r>
        <w:rPr>
          <w:rFonts w:hint="eastAsia" w:asciiTheme="minorEastAsia" w:hAnsiTheme="minorEastAsia" w:eastAsiaTheme="minorEastAsia" w:cstheme="minorEastAsia"/>
          <w:color w:val="auto"/>
          <w:sz w:val="24"/>
          <w:szCs w:val="24"/>
        </w:rPr>
        <w:t>：</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本授权声明：</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（投标人名称）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（法定代表人姓名、职务）授权</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（被授权人姓名、职务）为我方 </w:t>
      </w:r>
      <w:r>
        <w:rPr>
          <w:rFonts w:hint="eastAsia" w:asciiTheme="minorEastAsia" w:hAnsiTheme="minorEastAsia" w:eastAsiaTheme="minorEastAsia" w:cstheme="minorEastAsia"/>
          <w:color w:val="auto"/>
          <w:sz w:val="24"/>
          <w:szCs w:val="24"/>
          <w:u w:val="single"/>
        </w:rPr>
        <w:t xml:space="preserve">                   项目</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采购项目</w:t>
      </w:r>
      <w:r>
        <w:rPr>
          <w:rFonts w:hint="eastAsia" w:asciiTheme="minorEastAsia" w:hAnsiTheme="minorEastAsia" w:eastAsiaTheme="minorEastAsia" w:cstheme="minorEastAsia"/>
          <w:color w:val="auto"/>
          <w:sz w:val="24"/>
          <w:szCs w:val="24"/>
        </w:rPr>
        <w:t xml:space="preserve">编号：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）（包件号及名称：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）投标活动的合法代表，以代理人在本次招标中所签署的一切文件和处理的一切有关事宜，我公司均予承认，所产生的法律后果均由我单位承担。</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代理人无转委托权，本授权书自</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日生效。</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委托期限：从本授权委托书签署之日起至规定的“投标有效期”结束为止。</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特此声明。</w:t>
      </w:r>
    </w:p>
    <w:p>
      <w:pPr>
        <w:spacing w:line="360" w:lineRule="auto"/>
        <w:ind w:firstLine="480" w:firstLineChars="200"/>
        <w:rPr>
          <w:rFonts w:hint="eastAsia" w:asciiTheme="minorEastAsia" w:hAnsiTheme="minorEastAsia" w:eastAsiaTheme="minorEastAsia" w:cstheme="minorEastAsia"/>
          <w:color w:val="auto"/>
          <w:sz w:val="24"/>
          <w:szCs w:val="24"/>
        </w:rPr>
      </w:pP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法定代表人（签字或加盖印章）：</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被授权代表（签字或加盖印章）：</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投标人名称（加盖公章或电子签章）：</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    期：</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说明：1）附有法定代表人身份证复印件和代理人身份证复印件（身份证两面均应复印）时才能生效。2）投标文件均由投标人法定代表人签字</w:t>
      </w:r>
      <w:r>
        <w:rPr>
          <w:rFonts w:hint="eastAsia" w:asciiTheme="minorEastAsia" w:hAnsiTheme="minorEastAsia" w:eastAsiaTheme="minorEastAsia" w:cstheme="minorEastAsia"/>
          <w:color w:val="auto"/>
          <w:sz w:val="24"/>
          <w:szCs w:val="24"/>
          <w:lang w:val="en-US"/>
        </w:rPr>
        <w:t>或加盖印章</w:t>
      </w:r>
      <w:r>
        <w:rPr>
          <w:rFonts w:hint="eastAsia" w:asciiTheme="minorEastAsia" w:hAnsiTheme="minorEastAsia" w:eastAsiaTheme="minorEastAsia" w:cstheme="minorEastAsia"/>
          <w:color w:val="auto"/>
          <w:sz w:val="24"/>
          <w:szCs w:val="24"/>
        </w:rPr>
        <w:t>的,资格性投标文件中可不提供法定代表人授权委托书及代理人身份证复印件，但必须提供法定代表人身份证复印件。</w:t>
      </w:r>
    </w:p>
    <w:p>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法定代表人身份证和代理人身份证样式(仅供参考)：</w:t>
      </w: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mc:AlternateContent>
          <mc:Choice Requires="wps">
            <w:drawing>
              <wp:anchor distT="0" distB="0" distL="114300" distR="114300" simplePos="0" relativeHeight="251662336" behindDoc="0" locked="0" layoutInCell="1" allowOverlap="1">
                <wp:simplePos x="0" y="0"/>
                <wp:positionH relativeFrom="column">
                  <wp:posOffset>2871470</wp:posOffset>
                </wp:positionH>
                <wp:positionV relativeFrom="paragraph">
                  <wp:posOffset>36830</wp:posOffset>
                </wp:positionV>
                <wp:extent cx="2386330" cy="1348105"/>
                <wp:effectExtent l="4445" t="4445" r="0" b="0"/>
                <wp:wrapTight wrapText="bothSides">
                  <wp:wrapPolygon>
                    <wp:start x="-40" y="-71"/>
                    <wp:lineTo x="-40" y="21295"/>
                    <wp:lineTo x="21514" y="21295"/>
                    <wp:lineTo x="21514" y="-71"/>
                    <wp:lineTo x="-40" y="-71"/>
                  </wp:wrapPolygon>
                </wp:wrapTight>
                <wp:docPr id="2" name="文本框 2"/>
                <wp:cNvGraphicFramePr/>
                <a:graphic xmlns:a="http://schemas.openxmlformats.org/drawingml/2006/main">
                  <a:graphicData uri="http://schemas.microsoft.com/office/word/2010/wordprocessingShape">
                    <wps:wsp>
                      <wps:cNvSpPr txBox="1"/>
                      <wps:spPr>
                        <a:xfrm>
                          <a:off x="0" y="0"/>
                          <a:ext cx="2386330" cy="134810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rPr>
                            </w:pPr>
                          </w:p>
                          <w:p>
                            <w:pPr>
                              <w:ind w:firstLine="0" w:firstLineChars="0"/>
                              <w:jc w:val="center"/>
                              <w:rPr>
                                <w:color w:val="auto"/>
                              </w:rPr>
                            </w:pPr>
                            <w:r>
                              <w:rPr>
                                <w:rFonts w:hint="eastAsia"/>
                                <w:color w:val="auto"/>
                              </w:rPr>
                              <w:t>身份证复印件背面</w:t>
                            </w:r>
                          </w:p>
                        </w:txbxContent>
                      </wps:txbx>
                      <wps:bodyPr upright="1"/>
                    </wps:wsp>
                  </a:graphicData>
                </a:graphic>
              </wp:anchor>
            </w:drawing>
          </mc:Choice>
          <mc:Fallback>
            <w:pict>
              <v:shape id="_x0000_s1026" o:spid="_x0000_s1026" o:spt="202" type="#_x0000_t202" style="position:absolute;left:0pt;margin-left:226.1pt;margin-top:2.9pt;height:106.15pt;width:187.9pt;mso-wrap-distance-left:9pt;mso-wrap-distance-right:9pt;z-index:251662336;mso-width-relative:page;mso-height-relative:page;" fillcolor="#FFFFFF" filled="t" stroked="t" coordsize="21600,21600" wrapcoords="-40 -71 -40 21295 21514 21295 21514 -71 -40 -71" o:gfxdata="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fxX/3XAAAACQEAAA8AAAAAAAAAAQAgAAAA&#10;IgAAAGRycy9kb3ducmV2LnhtbFBLAQIUABQAAAAIAIdO4kDC3e1cDAIAADYEAAAOAAAAAAAAAAEA&#10;IAAAACYBAABkcnMvZTJvRG9jLnhtbFBLBQYAAAAABgAGAFkBAACkBQAAAAA=&#10;">
                <v:fill on="t" focussize="0,0"/>
                <v:stroke color="#000000" joinstyle="miter" dashstyle="dash"/>
                <v:imagedata o:title=""/>
                <o:lock v:ext="edit" aspectratio="f"/>
                <v:textbox>
                  <w:txbxContent>
                    <w:p>
                      <w:pPr>
                        <w:rPr>
                          <w:rFonts w:hint="eastAsia"/>
                        </w:rPr>
                      </w:pPr>
                    </w:p>
                    <w:p>
                      <w:pPr>
                        <w:ind w:firstLine="0" w:firstLineChars="0"/>
                        <w:jc w:val="center"/>
                        <w:rPr>
                          <w:color w:val="auto"/>
                        </w:rPr>
                      </w:pPr>
                      <w:r>
                        <w:rPr>
                          <w:rFonts w:hint="eastAsia"/>
                          <w:color w:val="auto"/>
                        </w:rPr>
                        <w:t>身份证复印件背面</w:t>
                      </w:r>
                    </w:p>
                  </w:txbxContent>
                </v:textbox>
                <w10:wrap type="tight"/>
              </v:shape>
            </w:pict>
          </mc:Fallback>
        </mc:AlternateContent>
      </w:r>
      <w:r>
        <w:rPr>
          <w:rFonts w:hint="eastAsia" w:asciiTheme="minorEastAsia" w:hAnsiTheme="minorEastAsia" w:eastAsiaTheme="minorEastAsia" w:cstheme="minorEastAsia"/>
          <w:color w:val="auto"/>
        </w:rPr>
        <mc:AlternateContent>
          <mc:Choice Requires="wps">
            <w:drawing>
              <wp:anchor distT="0" distB="0" distL="114300" distR="114300" simplePos="0" relativeHeight="251661312" behindDoc="1" locked="0" layoutInCell="1" allowOverlap="1">
                <wp:simplePos x="0" y="0"/>
                <wp:positionH relativeFrom="column">
                  <wp:posOffset>325120</wp:posOffset>
                </wp:positionH>
                <wp:positionV relativeFrom="paragraph">
                  <wp:posOffset>8255</wp:posOffset>
                </wp:positionV>
                <wp:extent cx="2376805" cy="1329055"/>
                <wp:effectExtent l="4445" t="4445" r="38100" b="57150"/>
                <wp:wrapTight wrapText="bothSides">
                  <wp:wrapPolygon>
                    <wp:start x="-40" y="-83"/>
                    <wp:lineTo x="-40" y="21280"/>
                    <wp:lineTo x="21427" y="21280"/>
                    <wp:lineTo x="21427" y="-83"/>
                    <wp:lineTo x="-40" y="-83"/>
                  </wp:wrapPolygon>
                </wp:wrapTight>
                <wp:docPr id="5" name="文本框 5"/>
                <wp:cNvGraphicFramePr/>
                <a:graphic xmlns:a="http://schemas.openxmlformats.org/drawingml/2006/main">
                  <a:graphicData uri="http://schemas.microsoft.com/office/word/2010/wordprocessingShape">
                    <wps:wsp>
                      <wps:cNvSpPr txBox="1"/>
                      <wps:spPr>
                        <a:xfrm>
                          <a:off x="0" y="0"/>
                          <a:ext cx="2376805" cy="1329055"/>
                        </a:xfrm>
                        <a:prstGeom prst="rect">
                          <a:avLst/>
                        </a:prstGeom>
                        <a:solidFill>
                          <a:srgbClr val="FFFFFF"/>
                        </a:solidFill>
                        <a:ln w="9525" cap="flat" cmpd="sng">
                          <a:solidFill>
                            <a:srgbClr val="000000"/>
                          </a:solidFill>
                          <a:prstDash val="dash"/>
                          <a:miter/>
                          <a:headEnd type="none" w="med" len="med"/>
                          <a:tailEnd type="none" w="med" len="med"/>
                        </a:ln>
                      </wps:spPr>
                      <wps:txbx>
                        <w:txbxContent>
                          <w:p>
                            <w:pPr>
                              <w:rPr>
                                <w:rFonts w:hint="eastAsia"/>
                              </w:rPr>
                            </w:pPr>
                          </w:p>
                          <w:p>
                            <w:pPr>
                              <w:ind w:firstLine="0" w:firstLineChars="0"/>
                              <w:jc w:val="center"/>
                              <w:rPr>
                                <w:color w:val="auto"/>
                              </w:rPr>
                            </w:pPr>
                            <w:r>
                              <w:rPr>
                                <w:rFonts w:hint="eastAsia"/>
                                <w:color w:val="auto"/>
                              </w:rPr>
                              <w:t>身份证复印件正面</w:t>
                            </w:r>
                          </w:p>
                        </w:txbxContent>
                      </wps:txbx>
                      <wps:bodyPr upright="1"/>
                    </wps:wsp>
                  </a:graphicData>
                </a:graphic>
              </wp:anchor>
            </w:drawing>
          </mc:Choice>
          <mc:Fallback>
            <w:pict>
              <v:shape id="_x0000_s1026" o:spid="_x0000_s1026" o:spt="202" type="#_x0000_t202" style="position:absolute;left:0pt;margin-left:25.6pt;margin-top:0.65pt;height:104.65pt;width:187.15pt;mso-wrap-distance-left:9pt;mso-wrap-distance-right:9pt;z-index:-251655168;mso-width-relative:page;mso-height-relative:page;" fillcolor="#FFFFFF" filled="t" stroked="t" coordsize="21600,21600" wrapcoords="-40 -83 -40 21280 21427 21280 21427 -83 -40 -83" o:gfxdata="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l4C9cAAAAIAQAADwAAAAAAAAABACAA&#10;AAAiAAAAZHJzL2Rvd25yZXYueG1sUEsBAhQAFAAAAAgAh07iQDBtqLoOAgAANgQAAA4AAAAAAAAA&#10;AQAgAAAAJgEAAGRycy9lMm9Eb2MueG1sUEsFBgAAAAAGAAYAWQEAAKYFAAAAAA==&#10;">
                <v:fill on="t" focussize="0,0"/>
                <v:stroke color="#000000" joinstyle="miter" dashstyle="dash"/>
                <v:imagedata o:title=""/>
                <o:lock v:ext="edit" aspectratio="f"/>
                <v:textbox>
                  <w:txbxContent>
                    <w:p>
                      <w:pPr>
                        <w:rPr>
                          <w:rFonts w:hint="eastAsia"/>
                        </w:rPr>
                      </w:pPr>
                    </w:p>
                    <w:p>
                      <w:pPr>
                        <w:ind w:firstLine="0" w:firstLineChars="0"/>
                        <w:jc w:val="center"/>
                        <w:rPr>
                          <w:color w:val="auto"/>
                        </w:rPr>
                      </w:pPr>
                      <w:r>
                        <w:rPr>
                          <w:rFonts w:hint="eastAsia"/>
                          <w:color w:val="auto"/>
                        </w:rPr>
                        <w:t>身份证复印件正面</w:t>
                      </w:r>
                    </w:p>
                  </w:txbxContent>
                </v:textbox>
                <w10:wrap type="tight"/>
              </v:shape>
            </w:pict>
          </mc:Fallback>
        </mc:AlternateContent>
      </w:r>
    </w:p>
    <w:p>
      <w:pPr>
        <w:rPr>
          <w:rFonts w:hint="eastAsia" w:asciiTheme="minorEastAsia" w:hAnsiTheme="minorEastAsia" w:eastAsiaTheme="minorEastAsia" w:cstheme="minorEastAsia"/>
          <w:color w:val="auto"/>
        </w:rPr>
      </w:pPr>
    </w:p>
    <w:p>
      <w:pPr>
        <w:ind w:left="843" w:hanging="840" w:hangingChars="350"/>
        <w:jc w:val="left"/>
        <w:rPr>
          <w:rFonts w:hint="eastAsia" w:asciiTheme="minorEastAsia" w:hAnsiTheme="minorEastAsia" w:eastAsiaTheme="minorEastAsia" w:cstheme="minorEastAsia"/>
          <w:color w:val="auto"/>
          <w:sz w:val="24"/>
        </w:rPr>
      </w:pPr>
    </w:p>
    <w:p>
      <w:pPr>
        <w:ind w:left="843" w:hanging="840" w:hangingChars="350"/>
        <w:jc w:val="left"/>
        <w:rPr>
          <w:rFonts w:hint="eastAsia" w:asciiTheme="minorEastAsia" w:hAnsiTheme="minorEastAsia" w:eastAsiaTheme="minorEastAsia" w:cstheme="minorEastAsia"/>
          <w:color w:val="auto"/>
          <w:sz w:val="24"/>
        </w:rPr>
      </w:pPr>
    </w:p>
    <w:p>
      <w:pPr>
        <w:ind w:left="840" w:hanging="840" w:hangingChars="350"/>
        <w:jc w:val="left"/>
        <w:rPr>
          <w:rFonts w:hint="eastAsia" w:asciiTheme="minorEastAsia" w:hAnsiTheme="minorEastAsia" w:eastAsiaTheme="minorEastAsia" w:cstheme="minorEastAsia"/>
          <w:b w:val="0"/>
          <w:color w:val="auto"/>
          <w:sz w:val="24"/>
          <w:szCs w:val="24"/>
        </w:rPr>
      </w:pPr>
    </w:p>
    <w:p>
      <w:pPr>
        <w:ind w:left="840" w:hanging="840" w:hangingChars="350"/>
        <w:jc w:val="left"/>
        <w:rPr>
          <w:rFonts w:hint="eastAsia" w:asciiTheme="minorEastAsia" w:hAnsiTheme="minorEastAsia" w:eastAsiaTheme="minorEastAsia" w:cstheme="minorEastAsia"/>
          <w:b w:val="0"/>
          <w:color w:val="auto"/>
          <w:sz w:val="24"/>
          <w:szCs w:val="24"/>
        </w:rPr>
      </w:pPr>
    </w:p>
    <w:p>
      <w:pPr>
        <w:ind w:left="1041" w:leftChars="200" w:hanging="361" w:hangingChars="1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附： 委托代理人投标使用</w:t>
      </w:r>
    </w:p>
    <w:p>
      <w:pPr>
        <w:pStyle w:val="4"/>
        <w:tabs>
          <w:tab w:val="left" w:pos="567"/>
        </w:tabs>
        <w:ind w:firstLine="562"/>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三、法定代表人身份证明</w:t>
      </w:r>
    </w:p>
    <w:p>
      <w:pPr>
        <w:pStyle w:val="4"/>
        <w:tabs>
          <w:tab w:val="left" w:pos="567"/>
        </w:tabs>
        <w:ind w:firstLine="560"/>
        <w:rPr>
          <w:rFonts w:hint="eastAsia" w:asciiTheme="minorEastAsia" w:hAnsiTheme="minorEastAsia" w:eastAsiaTheme="minorEastAsia" w:cstheme="minorEastAsia"/>
          <w:color w:val="auto"/>
        </w:rPr>
      </w:pPr>
    </w:p>
    <w:p>
      <w:pPr>
        <w:spacing w:line="400" w:lineRule="exact"/>
        <w:ind w:firstLine="480"/>
        <w:rPr>
          <w:rFonts w:hint="eastAsia" w:asciiTheme="minorEastAsia" w:hAnsiTheme="minorEastAsia" w:eastAsiaTheme="minorEastAsia" w:cstheme="minorEastAsia"/>
          <w:b w:val="0"/>
          <w:color w:val="auto"/>
          <w:sz w:val="24"/>
          <w:u w:val="single"/>
        </w:rPr>
      </w:pPr>
      <w:r>
        <w:rPr>
          <w:rFonts w:hint="eastAsia" w:asciiTheme="minorEastAsia" w:hAnsiTheme="minorEastAsia" w:eastAsiaTheme="minorEastAsia" w:cstheme="minorEastAsia"/>
          <w:b w:val="0"/>
          <w:color w:val="auto"/>
          <w:sz w:val="24"/>
        </w:rPr>
        <w:t>投标人名称：</w:t>
      </w: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单位性质：</w:t>
      </w:r>
    </w:p>
    <w:p>
      <w:pPr>
        <w:spacing w:line="400" w:lineRule="exact"/>
        <w:ind w:firstLine="480"/>
        <w:rPr>
          <w:rFonts w:hint="eastAsia" w:asciiTheme="minorEastAsia" w:hAnsiTheme="minorEastAsia" w:eastAsiaTheme="minorEastAsia" w:cstheme="minorEastAsia"/>
          <w:b w:val="0"/>
          <w:color w:val="auto"/>
          <w:sz w:val="24"/>
          <w:u w:val="single"/>
        </w:rPr>
      </w:pPr>
      <w:r>
        <w:rPr>
          <w:rFonts w:hint="eastAsia" w:asciiTheme="minorEastAsia" w:hAnsiTheme="minorEastAsia" w:eastAsiaTheme="minorEastAsia" w:cstheme="minorEastAsia"/>
          <w:b w:val="0"/>
          <w:color w:val="auto"/>
          <w:sz w:val="24"/>
        </w:rPr>
        <w:t>地址：</w:t>
      </w: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成立时间：   年  月   日</w:t>
      </w:r>
    </w:p>
    <w:p>
      <w:pPr>
        <w:spacing w:line="400" w:lineRule="exact"/>
        <w:ind w:firstLine="480"/>
        <w:rPr>
          <w:rFonts w:hint="eastAsia" w:asciiTheme="minorEastAsia" w:hAnsiTheme="minorEastAsia" w:eastAsiaTheme="minorEastAsia" w:cstheme="minorEastAsia"/>
          <w:b w:val="0"/>
          <w:color w:val="auto"/>
          <w:sz w:val="24"/>
          <w:u w:val="single"/>
        </w:rPr>
      </w:pPr>
      <w:r>
        <w:rPr>
          <w:rFonts w:hint="eastAsia" w:asciiTheme="minorEastAsia" w:hAnsiTheme="minorEastAsia" w:eastAsiaTheme="minorEastAsia" w:cstheme="minorEastAsia"/>
          <w:b w:val="0"/>
          <w:color w:val="auto"/>
          <w:sz w:val="24"/>
        </w:rPr>
        <w:t>经营期限：</w:t>
      </w: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姓名：</w:t>
      </w:r>
      <w:r>
        <w:rPr>
          <w:rFonts w:hint="eastAsia" w:asciiTheme="minorEastAsia" w:hAnsiTheme="minorEastAsia" w:eastAsiaTheme="minorEastAsia" w:cstheme="minorEastAsia"/>
          <w:b w:val="0"/>
          <w:color w:val="auto"/>
          <w:sz w:val="24"/>
          <w:u w:val="single"/>
          <w:lang w:val="en-US" w:eastAsia="zh-CN"/>
        </w:rPr>
        <w:t xml:space="preserve">         </w:t>
      </w:r>
      <w:r>
        <w:rPr>
          <w:rFonts w:hint="eastAsia" w:asciiTheme="minorEastAsia" w:hAnsiTheme="minorEastAsia" w:eastAsiaTheme="minorEastAsia" w:cstheme="minorEastAsia"/>
          <w:b w:val="0"/>
          <w:color w:val="auto"/>
          <w:sz w:val="24"/>
        </w:rPr>
        <w:t xml:space="preserve">系 </w:t>
      </w:r>
      <w:r>
        <w:rPr>
          <w:rFonts w:hint="eastAsia" w:asciiTheme="minorEastAsia" w:hAnsiTheme="minorEastAsia" w:eastAsiaTheme="minorEastAsia" w:cstheme="minorEastAsia"/>
          <w:b w:val="0"/>
          <w:color w:val="auto"/>
          <w:sz w:val="24"/>
          <w:u w:val="single"/>
        </w:rPr>
        <w:t xml:space="preserve"> （投标人全称）</w:t>
      </w:r>
      <w:r>
        <w:rPr>
          <w:rFonts w:hint="eastAsia" w:asciiTheme="minorEastAsia" w:hAnsiTheme="minorEastAsia" w:eastAsiaTheme="minorEastAsia" w:cstheme="minorEastAsia"/>
          <w:b w:val="0"/>
          <w:color w:val="auto"/>
          <w:sz w:val="24"/>
        </w:rPr>
        <w:t>的法定代表人（职务：</w:t>
      </w:r>
      <w:r>
        <w:rPr>
          <w:rFonts w:hint="eastAsia" w:asciiTheme="minorEastAsia" w:hAnsiTheme="minorEastAsia" w:eastAsiaTheme="minorEastAsia" w:cstheme="minorEastAsia"/>
          <w:b w:val="0"/>
          <w:color w:val="auto"/>
          <w:sz w:val="24"/>
          <w:u w:val="single"/>
        </w:rPr>
        <w:t xml:space="preserve">   </w:t>
      </w:r>
      <w:r>
        <w:rPr>
          <w:rFonts w:hint="eastAsia" w:asciiTheme="minorEastAsia" w:hAnsiTheme="minorEastAsia" w:eastAsiaTheme="minorEastAsia" w:cstheme="minorEastAsia"/>
          <w:b w:val="0"/>
          <w:color w:val="auto"/>
          <w:sz w:val="24"/>
        </w:rPr>
        <w:t>电话：</w:t>
      </w:r>
      <w:r>
        <w:rPr>
          <w:rFonts w:hint="eastAsia" w:asciiTheme="minorEastAsia" w:hAnsiTheme="minorEastAsia" w:eastAsiaTheme="minorEastAsia" w:cstheme="minorEastAsia"/>
          <w:b w:val="0"/>
          <w:color w:val="auto"/>
          <w:sz w:val="24"/>
          <w:u w:val="single"/>
        </w:rPr>
        <w:t xml:space="preserve">   </w:t>
      </w:r>
      <w:r>
        <w:rPr>
          <w:rFonts w:hint="eastAsia" w:asciiTheme="minorEastAsia" w:hAnsiTheme="minorEastAsia" w:eastAsiaTheme="minorEastAsia" w:cstheme="minorEastAsia"/>
          <w:b w:val="0"/>
          <w:color w:val="auto"/>
          <w:sz w:val="24"/>
        </w:rPr>
        <w:t>）</w:t>
      </w: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特此证明</w:t>
      </w: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480"/>
        <w:rPr>
          <w:rFonts w:hint="eastAsia" w:asciiTheme="minorEastAsia" w:hAnsiTheme="minorEastAsia" w:eastAsiaTheme="minorEastAsia" w:cstheme="minorEastAsia"/>
          <w:b w:val="0"/>
          <w:color w:val="auto"/>
          <w:sz w:val="24"/>
        </w:rPr>
      </w:pPr>
    </w:p>
    <w:p>
      <w:pPr>
        <w:spacing w:line="400" w:lineRule="exact"/>
        <w:ind w:firstLine="360" w:firstLineChars="15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szCs w:val="24"/>
        </w:rPr>
        <w:t>投标人名称（加盖公章或电子签章）：</w:t>
      </w:r>
    </w:p>
    <w:p>
      <w:pPr>
        <w:spacing w:line="400" w:lineRule="exact"/>
        <w:ind w:firstLine="360" w:firstLineChars="150"/>
        <w:rPr>
          <w:rFonts w:hint="eastAsia" w:asciiTheme="minorEastAsia" w:hAnsiTheme="minorEastAsia" w:eastAsiaTheme="minorEastAsia" w:cstheme="minorEastAsia"/>
          <w:b w:val="0"/>
          <w:color w:val="auto"/>
          <w:szCs w:val="28"/>
          <w:u w:val="single"/>
        </w:rPr>
      </w:pPr>
      <w:r>
        <w:rPr>
          <w:rFonts w:hint="eastAsia" w:asciiTheme="minorEastAsia" w:hAnsiTheme="minorEastAsia" w:eastAsiaTheme="minorEastAsia" w:cstheme="minorEastAsia"/>
          <w:b w:val="0"/>
          <w:color w:val="auto"/>
          <w:sz w:val="24"/>
        </w:rPr>
        <w:t>日期：</w:t>
      </w:r>
    </w:p>
    <w:p>
      <w:pPr>
        <w:ind w:firstLine="640"/>
        <w:rPr>
          <w:rFonts w:hint="eastAsia" w:asciiTheme="minorEastAsia" w:hAnsiTheme="minorEastAsia" w:eastAsiaTheme="minorEastAsia" w:cstheme="minorEastAsia"/>
          <w:b w:val="0"/>
          <w:color w:val="auto"/>
          <w:szCs w:val="28"/>
          <w:u w:val="single"/>
        </w:rPr>
      </w:pPr>
    </w:p>
    <w:p>
      <w:pPr>
        <w:ind w:firstLine="640"/>
        <w:rPr>
          <w:rFonts w:hint="eastAsia" w:asciiTheme="minorEastAsia" w:hAnsiTheme="minorEastAsia" w:eastAsiaTheme="minorEastAsia" w:cstheme="minorEastAsia"/>
          <w:b w:val="0"/>
          <w:color w:val="auto"/>
          <w:szCs w:val="28"/>
          <w:u w:val="single"/>
        </w:rPr>
      </w:pPr>
    </w:p>
    <w:p>
      <w:pPr>
        <w:ind w:left="843" w:hanging="843" w:hangingChars="35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附：</w:t>
      </w:r>
    </w:p>
    <w:p>
      <w:pPr>
        <w:widowControl/>
        <w:numPr>
          <w:ilvl w:val="0"/>
          <w:numId w:val="9"/>
        </w:numPr>
        <w:snapToGrid/>
        <w:ind w:firstLine="482"/>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法定代表人身份证复印件（正反面）并加盖公章或电子签章</w:t>
      </w:r>
    </w:p>
    <w:p>
      <w:pPr>
        <w:widowControl/>
        <w:snapToGrid/>
        <w:ind w:left="480" w:firstLine="0" w:firstLineChars="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2、法定代表人投标使用。</w:t>
      </w:r>
    </w:p>
    <w:p>
      <w:pPr>
        <w:rPr>
          <w:rFonts w:hint="eastAsia" w:asciiTheme="minorEastAsia" w:hAnsiTheme="minorEastAsia" w:eastAsiaTheme="minorEastAsia" w:cstheme="minorEastAsia"/>
          <w:b/>
          <w:color w:val="auto"/>
          <w:sz w:val="32"/>
          <w:szCs w:val="32"/>
        </w:rPr>
      </w:pPr>
    </w:p>
    <w:p>
      <w:pP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br w:type="page"/>
      </w:r>
    </w:p>
    <w:p>
      <w:pPr>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32"/>
          <w:szCs w:val="32"/>
          <w:lang w:eastAsia="zh-CN"/>
        </w:rPr>
        <w:t>四</w:t>
      </w:r>
      <w:r>
        <w:rPr>
          <w:rFonts w:hint="eastAsia" w:asciiTheme="minorEastAsia" w:hAnsiTheme="minorEastAsia" w:eastAsiaTheme="minorEastAsia" w:cstheme="minorEastAsia"/>
          <w:b/>
          <w:color w:val="auto"/>
          <w:sz w:val="32"/>
          <w:szCs w:val="32"/>
        </w:rPr>
        <w:t>、</w:t>
      </w:r>
      <w:r>
        <w:rPr>
          <w:rFonts w:hint="eastAsia" w:asciiTheme="minorEastAsia" w:hAnsiTheme="minorEastAsia" w:eastAsiaTheme="minorEastAsia" w:cstheme="minorEastAsia"/>
          <w:b/>
          <w:color w:val="auto"/>
          <w:sz w:val="32"/>
          <w:szCs w:val="32"/>
          <w:lang w:val="en-US"/>
        </w:rPr>
        <w:t>相关资格</w:t>
      </w:r>
      <w:r>
        <w:rPr>
          <w:rFonts w:hint="eastAsia" w:asciiTheme="minorEastAsia" w:hAnsiTheme="minorEastAsia" w:eastAsiaTheme="minorEastAsia" w:cstheme="minorEastAsia"/>
          <w:b/>
          <w:color w:val="auto"/>
          <w:sz w:val="32"/>
          <w:szCs w:val="32"/>
        </w:rPr>
        <w:t>承诺函</w:t>
      </w: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采购项目名称：</w:t>
      </w: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采购项目编号：</w:t>
      </w: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包件号及名称：</w:t>
      </w:r>
    </w:p>
    <w:p>
      <w:pPr>
        <w:widowControl/>
        <w:spacing w:line="360" w:lineRule="auto"/>
        <w:jc w:val="left"/>
        <w:outlineLvl w:val="1"/>
        <w:rPr>
          <w:rFonts w:hint="eastAsia" w:asciiTheme="minorEastAsia" w:hAnsiTheme="minorEastAsia" w:eastAsiaTheme="minorEastAsia" w:cstheme="minorEastAsia"/>
          <w:color w:val="auto"/>
          <w:sz w:val="24"/>
        </w:rPr>
      </w:pPr>
    </w:p>
    <w:p>
      <w:pPr>
        <w:widowControl/>
        <w:spacing w:line="360" w:lineRule="auto"/>
        <w:jc w:val="left"/>
        <w:outlineLvl w:val="1"/>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成都市均益建设工程造价咨询有限责任公司</w:t>
      </w:r>
      <w:r>
        <w:rPr>
          <w:rFonts w:hint="eastAsia" w:asciiTheme="minorEastAsia" w:hAnsiTheme="minorEastAsia" w:eastAsiaTheme="minorEastAsia" w:cstheme="minorEastAsia"/>
          <w:color w:val="auto"/>
          <w:sz w:val="24"/>
        </w:rPr>
        <w:t>：</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作为本项目的投标人，我单位不属于“单位负责人为同一人或者存在直接控股、管理关系的不同投标人不得参加同一合同项下的政府采购活动”、“2家以上的投标人不得在同一合同项下的采购项目中，同时委托同一个自然人、同一家庭的人员、同一单位的人员作为其代理人”等条款及其它相关法律法规规定的回避对象。</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lang w:val="en-US"/>
        </w:rPr>
        <w:t>参与本项目投标前，</w:t>
      </w:r>
      <w:r>
        <w:rPr>
          <w:rFonts w:hint="eastAsia" w:asciiTheme="minorEastAsia" w:hAnsiTheme="minorEastAsia" w:eastAsiaTheme="minorEastAsia" w:cstheme="minorEastAsia"/>
          <w:b w:val="0"/>
          <w:color w:val="auto"/>
          <w:sz w:val="24"/>
        </w:rPr>
        <w:t>我单位未对本次采购项目提供过整体设计、规范编制或者项目管理、监理服务。</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我单位实际控制人或者中高级管理人员，不存在同时是采购代理机构工作人员的情形。</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我单位不存在同一母公司的两家以上的子公司，以不同供应商身份同时参加本项目同一合同项下的采购活动的情形。</w:t>
      </w:r>
    </w:p>
    <w:p>
      <w:pPr>
        <w:spacing w:line="560" w:lineRule="atLeast"/>
        <w:ind w:firstLine="480"/>
        <w:rPr>
          <w:rFonts w:hint="eastAsia" w:asciiTheme="minorEastAsia" w:hAnsiTheme="minorEastAsia" w:eastAsiaTheme="minorEastAsia" w:cstheme="minorEastAsia"/>
          <w:b w:val="0"/>
          <w:color w:val="auto"/>
          <w:sz w:val="24"/>
          <w:szCs w:val="24"/>
          <w:lang w:val="en-US"/>
        </w:rPr>
      </w:pPr>
      <w:r>
        <w:rPr>
          <w:rFonts w:hint="eastAsia" w:asciiTheme="minorEastAsia" w:hAnsiTheme="minorEastAsia" w:eastAsiaTheme="minorEastAsia" w:cstheme="minorEastAsia"/>
          <w:b w:val="0"/>
          <w:color w:val="auto"/>
          <w:sz w:val="24"/>
          <w:szCs w:val="24"/>
          <w:lang w:val="en-US"/>
        </w:rPr>
        <w:t>我单位不存在与采购代理机构有关联关系，或者是采购代理机构的母公司或子公司参加本项目政府采购活动的情形。</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kern w:val="2"/>
          <w:sz w:val="24"/>
          <w:szCs w:val="24"/>
          <w:lang w:val="en-US"/>
        </w:rPr>
        <w:t>我单位及其现任法定代表人、主要负责人不存在行贿犯罪记录</w:t>
      </w:r>
    </w:p>
    <w:p>
      <w:pPr>
        <w:spacing w:line="560" w:lineRule="atLeast"/>
        <w:ind w:firstLine="480"/>
        <w:rPr>
          <w:rFonts w:hint="eastAsia" w:asciiTheme="minorEastAsia" w:hAnsiTheme="minorEastAsia" w:eastAsiaTheme="minorEastAsia" w:cstheme="minorEastAsia"/>
          <w:b w:val="0"/>
          <w:color w:val="auto"/>
          <w:kern w:val="2"/>
          <w:sz w:val="24"/>
          <w:szCs w:val="24"/>
          <w:lang w:val="en-US" w:eastAsia="zh-CN"/>
        </w:rPr>
      </w:pPr>
      <w:r>
        <w:rPr>
          <w:rFonts w:hint="eastAsia" w:asciiTheme="minorEastAsia" w:hAnsiTheme="minorEastAsia" w:eastAsiaTheme="minorEastAsia" w:cstheme="minorEastAsia"/>
          <w:b w:val="0"/>
          <w:color w:val="auto"/>
          <w:sz w:val="24"/>
        </w:rPr>
        <w:t>声明：我单位</w:t>
      </w:r>
      <w:r>
        <w:rPr>
          <w:rFonts w:hint="eastAsia" w:asciiTheme="minorEastAsia" w:hAnsiTheme="minorEastAsia" w:eastAsiaTheme="minorEastAsia" w:cstheme="minorEastAsia"/>
          <w:b w:val="0"/>
          <w:color w:val="auto"/>
          <w:kern w:val="2"/>
          <w:sz w:val="24"/>
          <w:szCs w:val="24"/>
          <w:lang w:val="en-US"/>
        </w:rPr>
        <w:t>具有独立承担民事责任的能力</w:t>
      </w:r>
      <w:r>
        <w:rPr>
          <w:rFonts w:hint="eastAsia" w:asciiTheme="minorEastAsia" w:hAnsiTheme="minorEastAsia" w:eastAsiaTheme="minorEastAsia" w:cstheme="minorEastAsia"/>
          <w:b w:val="0"/>
          <w:color w:val="auto"/>
          <w:kern w:val="2"/>
          <w:sz w:val="24"/>
          <w:szCs w:val="24"/>
          <w:lang w:val="en-US"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kern w:val="2"/>
          <w:sz w:val="24"/>
          <w:szCs w:val="24"/>
          <w:lang w:val="en-US"/>
        </w:rPr>
        <w:t>我单位具有依法缴纳税收和社会保障资金的良好记录</w:t>
      </w:r>
      <w:r>
        <w:rPr>
          <w:rFonts w:hint="eastAsia" w:asciiTheme="minorEastAsia" w:hAnsiTheme="minorEastAsia" w:eastAsiaTheme="minorEastAsia" w:cstheme="minorEastAsia"/>
          <w:b w:val="0"/>
          <w:color w:val="auto"/>
          <w:kern w:val="2"/>
          <w:sz w:val="24"/>
          <w:szCs w:val="24"/>
          <w:lang w:val="en-US"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sz w:val="24"/>
        </w:rPr>
        <w:t>我单位参加政府采购活动前3年内在经营活动中没有重大违法记录</w:t>
      </w:r>
      <w:r>
        <w:rPr>
          <w:rFonts w:hint="eastAsia" w:asciiTheme="minorEastAsia" w:hAnsiTheme="minorEastAsia" w:eastAsiaTheme="minorEastAsia" w:cstheme="minorEastAsia"/>
          <w:b w:val="0"/>
          <w:color w:val="auto"/>
          <w:sz w:val="24"/>
          <w:lang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sz w:val="24"/>
        </w:rPr>
        <w:t>我单位具有良好的商业信誉</w:t>
      </w:r>
      <w:r>
        <w:rPr>
          <w:rFonts w:hint="eastAsia" w:asciiTheme="minorEastAsia" w:hAnsiTheme="minorEastAsia" w:eastAsiaTheme="minorEastAsia" w:cstheme="minorEastAsia"/>
          <w:b w:val="0"/>
          <w:color w:val="auto"/>
          <w:kern w:val="2"/>
          <w:sz w:val="24"/>
          <w:szCs w:val="24"/>
          <w:lang w:val="en-US"/>
        </w:rPr>
        <w:t>和健全的财务会计制度</w:t>
      </w:r>
      <w:r>
        <w:rPr>
          <w:rFonts w:hint="eastAsia" w:asciiTheme="minorEastAsia" w:hAnsiTheme="minorEastAsia" w:eastAsiaTheme="minorEastAsia" w:cstheme="minorEastAsia"/>
          <w:b w:val="0"/>
          <w:color w:val="auto"/>
          <w:sz w:val="24"/>
          <w:lang w:eastAsia="zh-CN"/>
        </w:rPr>
        <w:t>；</w:t>
      </w:r>
    </w:p>
    <w:p>
      <w:pPr>
        <w:spacing w:line="560" w:lineRule="atLeast"/>
        <w:ind w:firstLine="1200" w:firstLineChars="500"/>
        <w:rPr>
          <w:rFonts w:hint="eastAsia" w:asciiTheme="minorEastAsia" w:hAnsiTheme="minorEastAsia" w:eastAsiaTheme="minorEastAsia" w:cstheme="minorEastAsia"/>
          <w:b w:val="0"/>
          <w:color w:val="auto"/>
          <w:sz w:val="24"/>
          <w:lang w:eastAsia="zh-CN"/>
        </w:rPr>
      </w:pPr>
      <w:r>
        <w:rPr>
          <w:rFonts w:hint="eastAsia" w:asciiTheme="minorEastAsia" w:hAnsiTheme="minorEastAsia" w:eastAsiaTheme="minorEastAsia" w:cstheme="minorEastAsia"/>
          <w:b w:val="0"/>
          <w:color w:val="auto"/>
          <w:sz w:val="24"/>
        </w:rPr>
        <w:t>我单位具有履行合同所必需的设备和专业技术能力</w:t>
      </w:r>
      <w:r>
        <w:rPr>
          <w:rFonts w:hint="eastAsia" w:asciiTheme="minorEastAsia" w:hAnsiTheme="minorEastAsia" w:eastAsiaTheme="minorEastAsia" w:cstheme="minorEastAsia"/>
          <w:b w:val="0"/>
          <w:color w:val="auto"/>
          <w:sz w:val="24"/>
          <w:lang w:eastAsia="zh-CN"/>
        </w:rPr>
        <w:t>；</w:t>
      </w:r>
    </w:p>
    <w:p>
      <w:pPr>
        <w:spacing w:line="560" w:lineRule="atLeast"/>
        <w:ind w:firstLine="1200" w:firstLineChars="50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我单位具备法律、行政法规规定的其他条件。</w:t>
      </w:r>
    </w:p>
    <w:p>
      <w:pPr>
        <w:spacing w:line="560" w:lineRule="atLeast"/>
        <w:ind w:firstLine="1200" w:firstLineChars="50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我单位承诺对上述事项的真实性负责；如有虚假，我单位愿意承担相应的法律责任。</w:t>
      </w:r>
    </w:p>
    <w:p>
      <w:pPr>
        <w:spacing w:line="560" w:lineRule="atLeast"/>
        <w:ind w:firstLine="480"/>
        <w:rPr>
          <w:rFonts w:hint="eastAsia" w:asciiTheme="minorEastAsia" w:hAnsiTheme="minorEastAsia" w:eastAsiaTheme="minorEastAsia" w:cstheme="minorEastAsia"/>
          <w:b w:val="0"/>
          <w:color w:val="auto"/>
          <w:sz w:val="24"/>
        </w:rPr>
      </w:pP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投标人名称（加盖公章或电子签章）：</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法定代表人或代理人（签字</w:t>
      </w:r>
      <w:r>
        <w:rPr>
          <w:rFonts w:hint="eastAsia" w:asciiTheme="minorEastAsia" w:hAnsiTheme="minorEastAsia" w:eastAsiaTheme="minorEastAsia" w:cstheme="minorEastAsia"/>
          <w:b w:val="0"/>
          <w:color w:val="auto"/>
          <w:kern w:val="2"/>
          <w:sz w:val="24"/>
          <w:szCs w:val="24"/>
          <w:lang w:val="en-US"/>
        </w:rPr>
        <w:t>或加盖印章</w:t>
      </w:r>
      <w:r>
        <w:rPr>
          <w:rFonts w:hint="eastAsia" w:asciiTheme="minorEastAsia" w:hAnsiTheme="minorEastAsia" w:eastAsiaTheme="minorEastAsia" w:cstheme="minorEastAsia"/>
          <w:b w:val="0"/>
          <w:color w:val="auto"/>
          <w:sz w:val="24"/>
        </w:rPr>
        <w:t>）：</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rPr>
        <w:t>日  期:</w:t>
      </w:r>
    </w:p>
    <w:p>
      <w:pPr>
        <w:spacing w:line="560" w:lineRule="atLeast"/>
        <w:ind w:firstLine="482"/>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w:t>
      </w:r>
    </w:p>
    <w:p>
      <w:pPr>
        <w:spacing w:line="560" w:lineRule="atLeast"/>
        <w:ind w:firstLine="480"/>
        <w:rPr>
          <w:rFonts w:hint="eastAsia" w:asciiTheme="minorEastAsia" w:hAnsiTheme="minorEastAsia" w:eastAsiaTheme="minorEastAsia" w:cstheme="minorEastAsia"/>
          <w:b w:val="0"/>
          <w:color w:val="auto"/>
          <w:sz w:val="24"/>
          <w:szCs w:val="20"/>
        </w:rPr>
      </w:pPr>
      <w:r>
        <w:rPr>
          <w:rFonts w:hint="eastAsia" w:asciiTheme="minorEastAsia" w:hAnsiTheme="minorEastAsia" w:eastAsiaTheme="minorEastAsia" w:cstheme="minorEastAsia"/>
          <w:b w:val="0"/>
          <w:color w:val="auto"/>
          <w:sz w:val="24"/>
          <w:szCs w:val="20"/>
          <w:lang w:val="en-US"/>
        </w:rPr>
        <w:t>1</w:t>
      </w:r>
      <w:r>
        <w:rPr>
          <w:rFonts w:hint="eastAsia" w:asciiTheme="minorEastAsia" w:hAnsiTheme="minorEastAsia" w:eastAsiaTheme="minorEastAsia" w:cstheme="minorEastAsia"/>
          <w:b w:val="0"/>
          <w:color w:val="auto"/>
          <w:sz w:val="24"/>
          <w:szCs w:val="20"/>
        </w:rPr>
        <w:t>.</w:t>
      </w:r>
      <w:r>
        <w:rPr>
          <w:rFonts w:hint="eastAsia" w:asciiTheme="minorEastAsia" w:hAnsiTheme="minorEastAsia" w:eastAsiaTheme="minorEastAsia" w:cstheme="minorEastAsia"/>
          <w:b w:val="0"/>
          <w:color w:val="auto"/>
          <w:sz w:val="24"/>
          <w:szCs w:val="20"/>
          <w:lang w:val="en-US"/>
        </w:rPr>
        <w:t>投标人应根据自身实际情况据实进行承诺。</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szCs w:val="20"/>
          <w:lang w:val="en-US"/>
        </w:rPr>
        <w:t>2.</w:t>
      </w:r>
      <w:r>
        <w:rPr>
          <w:rFonts w:hint="eastAsia" w:asciiTheme="minorEastAsia" w:hAnsiTheme="minorEastAsia" w:eastAsiaTheme="minorEastAsia" w:cstheme="minorEastAsia"/>
          <w:b w:val="0"/>
          <w:color w:val="auto"/>
          <w:sz w:val="24"/>
        </w:rPr>
        <w:t>投标人在参加政府采购活动前三年，政府采购合同履约过程中及其他经营活动履约过程中未依法履约被有关部门处罚（处理）的，不能认定为具有良好的商业信誉。</w:t>
      </w:r>
    </w:p>
    <w:p>
      <w:pPr>
        <w:spacing w:line="560" w:lineRule="atLeast"/>
        <w:ind w:firstLine="480"/>
        <w:rPr>
          <w:rFonts w:hint="eastAsia" w:asciiTheme="minorEastAsia" w:hAnsiTheme="minorEastAsia" w:eastAsiaTheme="minorEastAsia" w:cstheme="minorEastAsia"/>
          <w:b w:val="0"/>
          <w:color w:val="auto"/>
          <w:sz w:val="24"/>
        </w:rPr>
      </w:pPr>
      <w:r>
        <w:rPr>
          <w:rFonts w:hint="eastAsia" w:asciiTheme="minorEastAsia" w:hAnsiTheme="minorEastAsia" w:eastAsiaTheme="minorEastAsia" w:cstheme="minorEastAsia"/>
          <w:b w:val="0"/>
          <w:color w:val="auto"/>
          <w:sz w:val="24"/>
          <w:lang w:val="en-US"/>
        </w:rPr>
        <w:t>3</w:t>
      </w:r>
      <w:r>
        <w:rPr>
          <w:rFonts w:hint="eastAsia" w:asciiTheme="minorEastAsia" w:hAnsiTheme="minorEastAsia" w:eastAsiaTheme="minorEastAsia" w:cstheme="minorEastAsia"/>
          <w:b w:val="0"/>
          <w:color w:val="auto"/>
          <w:sz w:val="24"/>
        </w:rPr>
        <w:t>.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2"/>
        <w:tabs>
          <w:tab w:val="left" w:pos="402"/>
          <w:tab w:val="center" w:pos="5656"/>
        </w:tabs>
        <w:spacing w:line="360" w:lineRule="auto"/>
        <w:ind w:firstLine="600" w:firstLineChars="25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b w:val="0"/>
          <w:color w:val="auto"/>
          <w:sz w:val="24"/>
          <w:lang w:val="en-US"/>
        </w:rPr>
        <w:t>4</w:t>
      </w:r>
      <w:r>
        <w:rPr>
          <w:rFonts w:hint="eastAsia" w:asciiTheme="minorEastAsia" w:hAnsiTheme="minorEastAsia" w:eastAsiaTheme="minorEastAsia" w:cstheme="minorEastAsia"/>
          <w:b w:val="0"/>
          <w:color w:val="auto"/>
          <w:sz w:val="24"/>
        </w:rPr>
        <w:t>.此承诺函为参考格式，投标人可根据自身情况调整并进行承诺。</w:t>
      </w:r>
    </w:p>
    <w:p>
      <w:pPr>
        <w:pStyle w:val="4"/>
        <w:spacing w:line="34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t>五、投标人应当提供的资格、资质性文件及其他具有类似效力的要求的相关证明材料</w:t>
      </w:r>
    </w:p>
    <w:p>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br w:type="page"/>
      </w:r>
    </w:p>
    <w:p>
      <w:pPr>
        <w:pStyle w:val="28"/>
        <w:spacing w:line="720" w:lineRule="auto"/>
        <w:ind w:left="0" w:leftChars="0" w:firstLine="0" w:firstLineChars="0"/>
        <w:jc w:val="center"/>
        <w:rPr>
          <w:rFonts w:hint="eastAsia" w:ascii="宋体" w:hAnsi="宋体" w:cs="宋体"/>
          <w:b/>
          <w:color w:val="auto"/>
          <w:sz w:val="32"/>
          <w:szCs w:val="32"/>
        </w:rPr>
      </w:pPr>
      <w:r>
        <w:rPr>
          <w:rFonts w:hint="eastAsia" w:ascii="宋体" w:hAnsi="宋体" w:cs="宋体"/>
          <w:b/>
          <w:color w:val="auto"/>
          <w:sz w:val="32"/>
          <w:szCs w:val="32"/>
          <w:lang w:eastAsia="zh-CN"/>
        </w:rPr>
        <w:t>六</w:t>
      </w:r>
      <w:r>
        <w:rPr>
          <w:rFonts w:hint="eastAsia" w:ascii="宋体" w:hAnsi="宋体" w:cs="宋体"/>
          <w:b/>
          <w:color w:val="auto"/>
          <w:sz w:val="32"/>
          <w:szCs w:val="32"/>
        </w:rPr>
        <w:t>、</w:t>
      </w:r>
      <w:r>
        <w:rPr>
          <w:rFonts w:hint="eastAsia" w:ascii="宋体" w:hAnsi="宋体" w:cs="宋体"/>
          <w:b/>
          <w:color w:val="auto"/>
          <w:sz w:val="32"/>
          <w:szCs w:val="32"/>
          <w:lang w:eastAsia="zh-CN"/>
        </w:rPr>
        <w:t>投标人</w:t>
      </w:r>
      <w:r>
        <w:rPr>
          <w:rFonts w:hint="eastAsia" w:ascii="宋体" w:hAnsi="宋体" w:cs="宋体"/>
          <w:b/>
          <w:color w:val="auto"/>
          <w:sz w:val="32"/>
          <w:szCs w:val="32"/>
        </w:rPr>
        <w:t>认为需要提供的其他材料</w:t>
      </w:r>
    </w:p>
    <w:p>
      <w:pPr>
        <w:spacing w:line="720" w:lineRule="auto"/>
        <w:jc w:val="center"/>
        <w:rPr>
          <w:rFonts w:hint="eastAsia" w:ascii="宋体" w:hAnsi="宋体" w:cs="宋体"/>
          <w:color w:val="auto"/>
          <w:sz w:val="32"/>
          <w:szCs w:val="32"/>
        </w:rPr>
      </w:pPr>
      <w:r>
        <w:rPr>
          <w:rFonts w:hint="eastAsia" w:ascii="宋体" w:hAnsi="宋体" w:cs="宋体"/>
          <w:color w:val="auto"/>
          <w:sz w:val="32"/>
          <w:szCs w:val="32"/>
        </w:rPr>
        <w:t>（格式自拟）</w:t>
      </w:r>
    </w:p>
    <w:p>
      <w:pPr>
        <w:pStyle w:val="2"/>
        <w:rPr>
          <w:rFonts w:hint="eastAsia" w:asciiTheme="minorEastAsia" w:hAnsiTheme="minorEastAsia" w:eastAsiaTheme="minorEastAsia" w:cstheme="minorEastAsia"/>
          <w:color w:val="auto"/>
        </w:rPr>
      </w:pPr>
    </w:p>
    <w:p>
      <w:pPr>
        <w:pStyle w:val="2"/>
        <w:rPr>
          <w:rFonts w:hint="eastAsia" w:asciiTheme="minorEastAsia" w:hAnsiTheme="minorEastAsia" w:eastAsiaTheme="minorEastAsia" w:cstheme="minorEastAsia"/>
          <w:b/>
          <w:bCs/>
          <w:color w:val="auto"/>
          <w:kern w:val="2"/>
          <w:sz w:val="32"/>
          <w:szCs w:val="32"/>
        </w:rPr>
      </w:pPr>
    </w:p>
    <w:p>
      <w:pPr>
        <w:rPr>
          <w:rFonts w:hint="eastAsia" w:asciiTheme="minorEastAsia" w:hAnsiTheme="minorEastAsia" w:eastAsiaTheme="minorEastAsia" w:cstheme="minorEastAsia"/>
          <w:b/>
          <w:bCs/>
          <w:color w:val="auto"/>
          <w:kern w:val="2"/>
          <w:sz w:val="32"/>
          <w:szCs w:val="32"/>
        </w:rPr>
      </w:pPr>
    </w:p>
    <w:p>
      <w:pPr>
        <w:pStyle w:val="2"/>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4"/>
        <w:spacing w:line="340" w:lineRule="exact"/>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t>格式3.</w:t>
      </w:r>
      <w:r>
        <w:rPr>
          <w:rFonts w:hint="eastAsia" w:asciiTheme="minorEastAsia" w:hAnsiTheme="minorEastAsia" w:eastAsiaTheme="minorEastAsia" w:cstheme="minorEastAsia"/>
          <w:color w:val="auto"/>
          <w:lang w:val="en-US" w:eastAsia="zh-CN"/>
        </w:rPr>
        <w:t>2</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2249" w:firstLineChars="200"/>
        <w:jc w:val="center"/>
        <w:rPr>
          <w:rFonts w:hint="eastAsia" w:asciiTheme="minorEastAsia" w:hAnsiTheme="minorEastAsia" w:eastAsiaTheme="minorEastAsia" w:cstheme="minorEastAsia"/>
          <w:color w:val="auto"/>
          <w:sz w:val="112"/>
          <w:szCs w:val="112"/>
        </w:rPr>
      </w:pPr>
    </w:p>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112"/>
          <w:szCs w:val="112"/>
        </w:rPr>
        <w:t>其他投标文件</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采购项目名称： </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采购项目编号：</w:t>
      </w:r>
    </w:p>
    <w:p>
      <w:pPr>
        <w:pStyle w:val="4"/>
        <w:spacing w:line="340" w:lineRule="exact"/>
        <w:ind w:firstLine="643" w:firstLineChars="200"/>
        <w:jc w:val="left"/>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lang w:eastAsia="zh-CN"/>
        </w:rPr>
        <w:t>包件号及名称：</w:t>
      </w: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w:t>
      </w:r>
    </w:p>
    <w:p>
      <w:pPr>
        <w:pStyle w:val="4"/>
        <w:spacing w:line="340" w:lineRule="exact"/>
        <w:ind w:firstLine="643" w:firstLineChars="20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投标人名称：</w:t>
      </w:r>
      <w:r>
        <w:rPr>
          <w:rFonts w:hint="eastAsia" w:asciiTheme="minorEastAsia" w:hAnsiTheme="minorEastAsia" w:eastAsiaTheme="minorEastAsia" w:cstheme="minorEastAsia"/>
          <w:color w:val="auto"/>
          <w:u w:val="single"/>
        </w:rPr>
        <w:t xml:space="preserve">            （加盖公章或电子签章）</w:t>
      </w:r>
      <w:r>
        <w:rPr>
          <w:rFonts w:hint="eastAsia" w:asciiTheme="minorEastAsia" w:hAnsiTheme="minorEastAsia" w:eastAsiaTheme="minorEastAsia" w:cstheme="minorEastAsia"/>
          <w:color w:val="auto"/>
        </w:rPr>
        <w:t xml:space="preserve"> </w:t>
      </w:r>
    </w:p>
    <w:p>
      <w:pPr>
        <w:pStyle w:val="4"/>
        <w:spacing w:line="340" w:lineRule="exact"/>
        <w:ind w:firstLine="643" w:firstLineChars="200"/>
        <w:jc w:val="left"/>
        <w:rPr>
          <w:rFonts w:hint="eastAsia" w:asciiTheme="minorEastAsia" w:hAnsiTheme="minorEastAsia" w:eastAsiaTheme="minorEastAsia" w:cstheme="minorEastAsia"/>
          <w:color w:val="auto"/>
        </w:rPr>
      </w:pPr>
    </w:p>
    <w:p>
      <w:pPr>
        <w:pStyle w:val="4"/>
        <w:spacing w:line="340" w:lineRule="exact"/>
        <w:ind w:firstLine="643"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日    期：</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年</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月</w:t>
      </w:r>
      <w:r>
        <w:rPr>
          <w:rFonts w:hint="eastAsia" w:asciiTheme="minorEastAsia" w:hAnsiTheme="minorEastAsia" w:eastAsiaTheme="minorEastAsia" w:cstheme="minorEastAsia"/>
          <w:color w:val="auto"/>
          <w:u w:val="single"/>
        </w:rPr>
        <w:t xml:space="preserve">    </w:t>
      </w:r>
      <w:r>
        <w:rPr>
          <w:rFonts w:hint="eastAsia" w:asciiTheme="minorEastAsia" w:hAnsiTheme="minorEastAsia" w:eastAsiaTheme="minorEastAsia" w:cstheme="minorEastAsia"/>
          <w:color w:val="auto"/>
        </w:rPr>
        <w:t xml:space="preserve">日 </w:t>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br w:type="page"/>
      </w:r>
    </w:p>
    <w:p>
      <w:pPr>
        <w:pStyle w:val="4"/>
        <w:spacing w:line="340" w:lineRule="exact"/>
        <w:ind w:firstLine="643" w:firstLineChars="200"/>
        <w:jc w:val="center"/>
        <w:rPr>
          <w:rFonts w:hint="eastAsia" w:asciiTheme="minorEastAsia" w:hAnsiTheme="minorEastAsia" w:eastAsiaTheme="minorEastAsia" w:cstheme="minorEastAsia"/>
          <w:color w:val="auto"/>
          <w:szCs w:val="28"/>
        </w:rPr>
      </w:pPr>
      <w:r>
        <w:rPr>
          <w:rFonts w:hint="eastAsia" w:asciiTheme="minorEastAsia" w:hAnsiTheme="minorEastAsia" w:eastAsiaTheme="minorEastAsia" w:cstheme="minorEastAsia"/>
          <w:color w:val="auto"/>
          <w:szCs w:val="28"/>
        </w:rPr>
        <w:t xml:space="preserve"> 一、投 标 函</w:t>
      </w:r>
    </w:p>
    <w:p>
      <w:pPr>
        <w:pStyle w:val="28"/>
        <w:spacing w:after="0" w:line="360" w:lineRule="auto"/>
        <w:ind w:left="0" w:leftChars="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lang w:eastAsia="zh-CN"/>
        </w:rPr>
        <w:t>成都市均益建设工程造价咨询有限责任公司</w:t>
      </w:r>
      <w:r>
        <w:rPr>
          <w:rFonts w:hint="eastAsia" w:asciiTheme="minorEastAsia" w:hAnsiTheme="minorEastAsia" w:eastAsiaTheme="minorEastAsia" w:cstheme="minorEastAsia"/>
          <w:bCs/>
          <w:color w:val="auto"/>
          <w:sz w:val="24"/>
        </w:rPr>
        <w:t>：</w:t>
      </w:r>
    </w:p>
    <w:p>
      <w:pPr>
        <w:pStyle w:val="28"/>
        <w:keepNext w:val="0"/>
        <w:keepLines w:val="0"/>
        <w:pageBreakBefore w:val="0"/>
        <w:widowControl w:val="0"/>
        <w:kinsoku/>
        <w:wordWrap/>
        <w:overflowPunct/>
        <w:topLinePunct w:val="0"/>
        <w:autoSpaceDE/>
        <w:autoSpaceDN/>
        <w:bidi w:val="0"/>
        <w:adjustRightInd/>
        <w:snapToGrid/>
        <w:spacing w:after="0" w:line="360" w:lineRule="auto"/>
        <w:ind w:left="0" w:leftChars="0" w:firstLine="420"/>
        <w:textAlignment w:val="auto"/>
        <w:rPr>
          <w:rFonts w:hint="eastAsia" w:asciiTheme="minorEastAsia" w:hAnsiTheme="minorEastAsia" w:eastAsiaTheme="minorEastAsia" w:cstheme="minorEastAsia"/>
          <w:b w:val="0"/>
          <w:bCs/>
          <w:color w:val="auto"/>
          <w:sz w:val="24"/>
        </w:rPr>
      </w:pPr>
      <w:bookmarkStart w:id="114" w:name="_Toc217446083"/>
      <w:r>
        <w:rPr>
          <w:rFonts w:hint="eastAsia"/>
          <w:b w:val="0"/>
          <w:bCs/>
          <w:color w:val="auto"/>
          <w:kern w:val="2"/>
          <w:sz w:val="24"/>
          <w:szCs w:val="24"/>
          <w:lang w:val="en-US"/>
        </w:rPr>
        <w:t>我方全面研究了</w:t>
      </w:r>
      <w:r>
        <w:rPr>
          <w:rFonts w:hint="eastAsia"/>
          <w:b w:val="0"/>
          <w:bCs/>
          <w:color w:val="auto"/>
          <w:kern w:val="2"/>
          <w:sz w:val="24"/>
          <w:szCs w:val="24"/>
          <w:u w:val="single"/>
          <w:lang w:val="en-US"/>
        </w:rPr>
        <w:t xml:space="preserve">             项目</w:t>
      </w:r>
      <w:r>
        <w:rPr>
          <w:rFonts w:hint="eastAsia"/>
          <w:b w:val="0"/>
          <w:bCs/>
          <w:color w:val="auto"/>
          <w:kern w:val="2"/>
          <w:sz w:val="24"/>
          <w:szCs w:val="24"/>
          <w:lang w:val="en-US"/>
        </w:rPr>
        <w:t>的招标文件（采购项目编号：</w:t>
      </w:r>
      <w:r>
        <w:rPr>
          <w:rFonts w:hint="eastAsia"/>
          <w:b w:val="0"/>
          <w:bCs/>
          <w:color w:val="auto"/>
          <w:kern w:val="2"/>
          <w:sz w:val="24"/>
          <w:szCs w:val="24"/>
          <w:u w:val="single"/>
          <w:lang w:val="en-US"/>
        </w:rPr>
        <w:t xml:space="preserve">         </w:t>
      </w:r>
      <w:r>
        <w:rPr>
          <w:rFonts w:hint="eastAsia"/>
          <w:b w:val="0"/>
          <w:bCs/>
          <w:color w:val="auto"/>
          <w:kern w:val="2"/>
          <w:sz w:val="24"/>
          <w:szCs w:val="24"/>
          <w:lang w:val="en-US"/>
        </w:rPr>
        <w:t>）（包件号</w:t>
      </w:r>
      <w:r>
        <w:rPr>
          <w:b w:val="0"/>
          <w:bCs/>
          <w:color w:val="auto"/>
          <w:kern w:val="2"/>
          <w:sz w:val="24"/>
          <w:szCs w:val="24"/>
          <w:lang w:val="en-US"/>
        </w:rPr>
        <w:t>及名称：</w:t>
      </w:r>
      <w:r>
        <w:rPr>
          <w:rFonts w:hint="eastAsia"/>
          <w:b w:val="0"/>
          <w:bCs/>
          <w:color w:val="auto"/>
          <w:kern w:val="2"/>
          <w:sz w:val="24"/>
          <w:szCs w:val="24"/>
          <w:u w:val="single"/>
          <w:lang w:val="en-US"/>
        </w:rPr>
        <w:t xml:space="preserve">        </w:t>
      </w:r>
      <w:r>
        <w:rPr>
          <w:rFonts w:hint="eastAsia"/>
          <w:b w:val="0"/>
          <w:bCs/>
          <w:color w:val="auto"/>
          <w:kern w:val="2"/>
          <w:sz w:val="24"/>
          <w:szCs w:val="24"/>
          <w:lang w:val="en-US"/>
        </w:rPr>
        <w:t>），决定参加贵单位组织的本项目的投标。我方授权</w:t>
      </w:r>
      <w:r>
        <w:rPr>
          <w:rFonts w:hint="eastAsia"/>
          <w:b w:val="0"/>
          <w:bCs/>
          <w:color w:val="auto"/>
          <w:kern w:val="2"/>
          <w:sz w:val="24"/>
          <w:szCs w:val="24"/>
          <w:u w:val="single"/>
          <w:lang w:val="en-US"/>
        </w:rPr>
        <w:t xml:space="preserve">    （姓名、职务）</w:t>
      </w:r>
      <w:r>
        <w:rPr>
          <w:rFonts w:hint="eastAsia"/>
          <w:b w:val="0"/>
          <w:bCs/>
          <w:color w:val="auto"/>
          <w:kern w:val="2"/>
          <w:sz w:val="24"/>
          <w:szCs w:val="24"/>
          <w:lang w:val="en-US"/>
        </w:rPr>
        <w:t>代表我方</w:t>
      </w:r>
      <w:r>
        <w:rPr>
          <w:rFonts w:hint="eastAsia"/>
          <w:b w:val="0"/>
          <w:bCs/>
          <w:color w:val="auto"/>
          <w:kern w:val="2"/>
          <w:sz w:val="24"/>
          <w:szCs w:val="24"/>
          <w:u w:val="single"/>
          <w:lang w:val="en-US"/>
        </w:rPr>
        <w:t xml:space="preserve">  （投标单位的名称）</w:t>
      </w:r>
      <w:r>
        <w:rPr>
          <w:rFonts w:hint="eastAsia"/>
          <w:b w:val="0"/>
          <w:bCs/>
          <w:color w:val="auto"/>
          <w:kern w:val="2"/>
          <w:sz w:val="24"/>
          <w:szCs w:val="24"/>
          <w:lang w:val="en-US"/>
        </w:rPr>
        <w:t>全权处理本项目投标的有关事宜。</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1、我方自愿按照招标文件规定的各项要求向采购人提供所需服务/货物，投标总价见开标一览表。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2、一旦我方中标，我方将严格履行合同规定的责任和义务。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3</w:t>
      </w:r>
      <w:r>
        <w:rPr>
          <w:rFonts w:hint="eastAsia"/>
          <w:b w:val="0"/>
          <w:color w:val="auto"/>
          <w:kern w:val="2"/>
          <w:sz w:val="24"/>
          <w:szCs w:val="24"/>
          <w:lang w:val="en-US"/>
        </w:rPr>
        <w:t>、本项目投标有效期为投标截止之日起90天。</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4</w:t>
      </w:r>
      <w:r>
        <w:rPr>
          <w:rFonts w:hint="eastAsia"/>
          <w:b w:val="0"/>
          <w:color w:val="auto"/>
          <w:kern w:val="2"/>
          <w:sz w:val="24"/>
          <w:szCs w:val="24"/>
          <w:lang w:val="en-US"/>
        </w:rPr>
        <w:t>、我方已详细阅读和审查了全部招标文件，包括修改文件（如有）以及全部相关资料和有关附件，并对上述文件均无异议。我方完全接受本项目招标文件规定的实质性要求，如对招标文件有异议，已经在投标截止时间届满前依法进行了维权救济，不存在对招标文件有异议的同时又参加投标以求侥幸中标或者为实现其他非法目的的行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5</w:t>
      </w:r>
      <w:r>
        <w:rPr>
          <w:rFonts w:hint="eastAsia"/>
          <w:b w:val="0"/>
          <w:color w:val="auto"/>
          <w:kern w:val="2"/>
          <w:sz w:val="24"/>
          <w:szCs w:val="24"/>
          <w:lang w:val="en-US"/>
        </w:rPr>
        <w:t>、</w:t>
      </w:r>
      <w:r>
        <w:rPr>
          <w:rFonts w:ascii="Times New Roman"/>
          <w:b w:val="0"/>
          <w:color w:val="auto"/>
          <w:kern w:val="2"/>
          <w:sz w:val="24"/>
          <w:szCs w:val="24"/>
          <w:lang w:val="en-US"/>
        </w:rPr>
        <w:t>国家</w:t>
      </w:r>
      <w:r>
        <w:rPr>
          <w:rFonts w:hint="eastAsia" w:ascii="Times New Roman"/>
          <w:b w:val="0"/>
          <w:color w:val="auto"/>
          <w:kern w:val="2"/>
          <w:sz w:val="24"/>
          <w:szCs w:val="24"/>
          <w:lang w:val="en-US"/>
        </w:rPr>
        <w:t>或行业主管部门</w:t>
      </w:r>
      <w:r>
        <w:rPr>
          <w:rFonts w:ascii="Times New Roman"/>
          <w:b w:val="0"/>
          <w:color w:val="auto"/>
          <w:kern w:val="2"/>
          <w:sz w:val="24"/>
          <w:szCs w:val="24"/>
          <w:lang w:val="en-US"/>
        </w:rPr>
        <w:t>对</w:t>
      </w:r>
      <w:r>
        <w:rPr>
          <w:rFonts w:hint="eastAsia" w:ascii="Times New Roman"/>
          <w:b w:val="0"/>
          <w:color w:val="auto"/>
          <w:kern w:val="2"/>
          <w:sz w:val="24"/>
          <w:szCs w:val="24"/>
          <w:lang w:val="en-US"/>
        </w:rPr>
        <w:t>投标人和采购产品的</w:t>
      </w:r>
      <w:r>
        <w:rPr>
          <w:rFonts w:ascii="Times New Roman"/>
          <w:b w:val="0"/>
          <w:color w:val="auto"/>
          <w:kern w:val="2"/>
          <w:sz w:val="24"/>
          <w:szCs w:val="24"/>
          <w:lang w:val="en-US"/>
        </w:rPr>
        <w:t>技术</w:t>
      </w:r>
      <w:r>
        <w:rPr>
          <w:rFonts w:hint="eastAsia" w:ascii="Times New Roman"/>
          <w:b w:val="0"/>
          <w:color w:val="auto"/>
          <w:kern w:val="2"/>
          <w:sz w:val="24"/>
          <w:szCs w:val="24"/>
          <w:lang w:val="en-US"/>
        </w:rPr>
        <w:t>标准、</w:t>
      </w:r>
      <w:r>
        <w:rPr>
          <w:rFonts w:ascii="Times New Roman"/>
          <w:b w:val="0"/>
          <w:color w:val="auto"/>
          <w:kern w:val="2"/>
          <w:sz w:val="24"/>
          <w:szCs w:val="24"/>
          <w:lang w:val="en-US"/>
        </w:rPr>
        <w:t>质量</w:t>
      </w:r>
      <w:r>
        <w:rPr>
          <w:rFonts w:hint="eastAsia" w:ascii="Times New Roman"/>
          <w:b w:val="0"/>
          <w:color w:val="auto"/>
          <w:kern w:val="2"/>
          <w:sz w:val="24"/>
          <w:szCs w:val="24"/>
          <w:lang w:val="en-US"/>
        </w:rPr>
        <w:t>标准和资格资质条件</w:t>
      </w:r>
      <w:r>
        <w:rPr>
          <w:rFonts w:ascii="Times New Roman"/>
          <w:b w:val="0"/>
          <w:color w:val="auto"/>
          <w:kern w:val="2"/>
          <w:sz w:val="24"/>
          <w:szCs w:val="24"/>
          <w:lang w:val="en-US"/>
        </w:rPr>
        <w:t>等有</w:t>
      </w:r>
      <w:r>
        <w:rPr>
          <w:rFonts w:hint="eastAsia" w:ascii="Times New Roman"/>
          <w:b w:val="0"/>
          <w:color w:val="auto"/>
          <w:kern w:val="2"/>
          <w:sz w:val="24"/>
          <w:szCs w:val="24"/>
          <w:lang w:val="en-US"/>
        </w:rPr>
        <w:t>强制性规定</w:t>
      </w:r>
      <w:r>
        <w:rPr>
          <w:rFonts w:ascii="Times New Roman"/>
          <w:b w:val="0"/>
          <w:color w:val="auto"/>
          <w:kern w:val="2"/>
          <w:sz w:val="24"/>
          <w:szCs w:val="24"/>
          <w:lang w:val="en-US"/>
        </w:rPr>
        <w:t>的</w:t>
      </w:r>
      <w:r>
        <w:rPr>
          <w:rFonts w:hint="eastAsia" w:ascii="Times New Roman"/>
          <w:b w:val="0"/>
          <w:color w:val="auto"/>
          <w:kern w:val="2"/>
          <w:sz w:val="24"/>
          <w:szCs w:val="24"/>
          <w:lang w:val="en-US"/>
        </w:rPr>
        <w:t>，我方符合其要求。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6</w:t>
      </w:r>
      <w:r>
        <w:rPr>
          <w:rFonts w:hint="eastAsia"/>
          <w:b w:val="0"/>
          <w:color w:val="auto"/>
          <w:kern w:val="2"/>
          <w:sz w:val="24"/>
          <w:szCs w:val="24"/>
          <w:lang w:val="en-US"/>
        </w:rPr>
        <w:t>、我方愿意提供贵单位可能另外要求的，与投标有关的文件资料，并保证我方已提供和将要提供的文件资料是真实、准确的。</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7</w:t>
      </w:r>
      <w:r>
        <w:rPr>
          <w:rFonts w:hint="eastAsia"/>
          <w:b w:val="0"/>
          <w:color w:val="auto"/>
          <w:kern w:val="2"/>
          <w:sz w:val="24"/>
          <w:szCs w:val="24"/>
          <w:lang w:val="en-US"/>
        </w:rPr>
        <w:t>、我方完全响应招标文件中关于知识产权的要求。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8</w:t>
      </w:r>
      <w:r>
        <w:rPr>
          <w:rFonts w:hint="eastAsia"/>
          <w:b w:val="0"/>
          <w:color w:val="auto"/>
          <w:kern w:val="2"/>
          <w:sz w:val="24"/>
          <w:szCs w:val="24"/>
          <w:lang w:val="en-US"/>
        </w:rPr>
        <w:t>、我方完全理解采购人不一定将合同授予最低报价的投标人的行为。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eastAsia="zh-CN"/>
        </w:rPr>
        <w:t>9</w:t>
      </w:r>
      <w:r>
        <w:rPr>
          <w:rFonts w:hint="eastAsia"/>
          <w:b w:val="0"/>
          <w:color w:val="auto"/>
          <w:kern w:val="2"/>
          <w:sz w:val="24"/>
          <w:szCs w:val="24"/>
          <w:lang w:val="en-US"/>
        </w:rPr>
        <w:t>、我方单位及其现任法定代表人、主要负责人不存在行贿犯罪记录</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bCs/>
          <w:color w:val="auto"/>
          <w:kern w:val="2"/>
          <w:sz w:val="24"/>
          <w:szCs w:val="24"/>
          <w:lang w:val="en-US"/>
        </w:rPr>
      </w:pPr>
      <w:r>
        <w:rPr>
          <w:rFonts w:hint="eastAsia"/>
          <w:b w:val="0"/>
          <w:bCs/>
          <w:color w:val="auto"/>
          <w:kern w:val="2"/>
          <w:sz w:val="24"/>
          <w:szCs w:val="24"/>
          <w:lang w:val="en-US"/>
        </w:rPr>
        <w:t>1</w:t>
      </w:r>
      <w:r>
        <w:rPr>
          <w:rFonts w:hint="eastAsia"/>
          <w:b w:val="0"/>
          <w:bCs/>
          <w:color w:val="auto"/>
          <w:kern w:val="2"/>
          <w:sz w:val="24"/>
          <w:szCs w:val="24"/>
          <w:lang w:val="en-US" w:eastAsia="zh-CN"/>
        </w:rPr>
        <w:t>0</w:t>
      </w:r>
      <w:r>
        <w:rPr>
          <w:rFonts w:hint="eastAsia"/>
          <w:b w:val="0"/>
          <w:bCs/>
          <w:color w:val="auto"/>
          <w:kern w:val="2"/>
          <w:sz w:val="24"/>
          <w:szCs w:val="24"/>
          <w:lang w:val="en-US"/>
        </w:rPr>
        <w:t>、若我方中标，我方承诺按照本招标文件约定支付招标代理服务费，否则视为虚假应标并承担由此带来的一切后果。</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通讯地址：</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联系电话：</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传    真：</w:t>
      </w:r>
    </w:p>
    <w:p>
      <w:pPr>
        <w:spacing w:line="420" w:lineRule="exact"/>
        <w:ind w:firstLine="480"/>
        <w:rPr>
          <w:rFonts w:hint="eastAsia"/>
          <w:b w:val="0"/>
          <w:color w:val="auto"/>
          <w:kern w:val="2"/>
          <w:sz w:val="24"/>
          <w:szCs w:val="24"/>
          <w:lang w:val="en-US"/>
        </w:rPr>
      </w:pPr>
      <w:r>
        <w:rPr>
          <w:rFonts w:hint="eastAsia"/>
          <w:b w:val="0"/>
          <w:color w:val="auto"/>
          <w:kern w:val="2"/>
          <w:sz w:val="24"/>
          <w:szCs w:val="24"/>
          <w:lang w:val="en-US"/>
        </w:rPr>
        <w:t>日    期：</w:t>
      </w:r>
      <w:r>
        <w:rPr>
          <w:rFonts w:hint="eastAsia"/>
          <w:b w:val="0"/>
          <w:color w:val="auto"/>
          <w:kern w:val="2"/>
          <w:sz w:val="24"/>
          <w:szCs w:val="24"/>
          <w:lang w:val="en-US"/>
        </w:rPr>
        <w:br w:type="page"/>
      </w:r>
    </w:p>
    <w:p>
      <w:pPr>
        <w:widowControl/>
        <w:jc w:val="center"/>
        <w:outlineLvl w:val="1"/>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二、</w:t>
      </w:r>
      <w:r>
        <w:rPr>
          <w:rFonts w:hint="eastAsia" w:asciiTheme="minorEastAsia" w:hAnsiTheme="minorEastAsia" w:eastAsiaTheme="minorEastAsia" w:cstheme="minorEastAsia"/>
          <w:b/>
          <w:color w:val="auto"/>
          <w:sz w:val="32"/>
          <w:szCs w:val="32"/>
          <w:lang w:eastAsia="zh-CN"/>
        </w:rPr>
        <w:t>开标一览表</w:t>
      </w:r>
    </w:p>
    <w:p>
      <w:pPr>
        <w:widowControl/>
        <w:jc w:val="center"/>
        <w:outlineLvl w:val="1"/>
        <w:rPr>
          <w:rFonts w:hint="eastAsia" w:asciiTheme="minorEastAsia" w:hAnsiTheme="minorEastAsia" w:eastAsiaTheme="minorEastAsia" w:cstheme="minorEastAsia"/>
          <w:b/>
          <w:color w:val="auto"/>
          <w:sz w:val="24"/>
          <w:szCs w:val="24"/>
        </w:rPr>
      </w:pP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b w:val="0"/>
          <w:color w:val="auto"/>
          <w:sz w:val="24"/>
        </w:rPr>
      </w:pPr>
      <w:r>
        <w:rPr>
          <w:rFonts w:hint="eastAsia"/>
          <w:b w:val="0"/>
          <w:color w:val="auto"/>
          <w:sz w:val="24"/>
        </w:rPr>
        <w:t>采购项目名称：</w:t>
      </w:r>
    </w:p>
    <w:p>
      <w:pPr>
        <w:keepNext w:val="0"/>
        <w:keepLines w:val="0"/>
        <w:pageBreakBefore w:val="0"/>
        <w:kinsoku/>
        <w:wordWrap/>
        <w:overflowPunct/>
        <w:topLinePunct w:val="0"/>
        <w:autoSpaceDE/>
        <w:autoSpaceDN/>
        <w:bidi w:val="0"/>
        <w:adjustRightInd/>
        <w:snapToGrid/>
        <w:spacing w:line="360" w:lineRule="auto"/>
        <w:ind w:firstLine="0" w:firstLineChars="0"/>
        <w:textAlignment w:val="auto"/>
        <w:rPr>
          <w:b w:val="0"/>
          <w:color w:val="auto"/>
          <w:sz w:val="24"/>
        </w:rPr>
      </w:pPr>
      <w:r>
        <w:rPr>
          <w:rFonts w:hint="eastAsia"/>
          <w:b w:val="0"/>
          <w:color w:val="auto"/>
          <w:sz w:val="24"/>
        </w:rPr>
        <w:t>采购项目编号：</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1"/>
        <w:rPr>
          <w:rFonts w:hint="eastAsia" w:asciiTheme="minorEastAsia" w:hAnsiTheme="minorEastAsia" w:eastAsiaTheme="minorEastAsia" w:cstheme="minorEastAsia"/>
          <w:color w:val="auto"/>
          <w:sz w:val="24"/>
        </w:rPr>
      </w:pPr>
      <w:r>
        <w:rPr>
          <w:rFonts w:hint="eastAsia"/>
          <w:b w:val="0"/>
          <w:color w:val="auto"/>
          <w:sz w:val="24"/>
        </w:rPr>
        <w:t>包件号</w:t>
      </w:r>
      <w:r>
        <w:rPr>
          <w:b w:val="0"/>
          <w:color w:val="auto"/>
          <w:sz w:val="24"/>
        </w:rPr>
        <w:t>及名称：</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064"/>
        <w:gridCol w:w="1920"/>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2268" w:type="dxa"/>
            <w:noWrap w:val="0"/>
            <w:vAlign w:val="center"/>
          </w:tcPr>
          <w:p>
            <w:pPr>
              <w:snapToGrid w:val="0"/>
              <w:spacing w:line="360" w:lineRule="auto"/>
              <w:ind w:firstLine="0" w:firstLineChars="0"/>
              <w:jc w:val="center"/>
              <w:rPr>
                <w:rFonts w:hAnsi="宋体"/>
                <w:b w:val="0"/>
                <w:color w:val="auto"/>
                <w:sz w:val="24"/>
                <w:szCs w:val="32"/>
                <w:lang w:val="zh-CN"/>
              </w:rPr>
            </w:pPr>
            <w:r>
              <w:rPr>
                <w:rFonts w:hint="eastAsia" w:hAnsi="宋体"/>
                <w:b w:val="0"/>
                <w:color w:val="auto"/>
                <w:sz w:val="24"/>
                <w:szCs w:val="32"/>
                <w:lang w:val="zh-CN"/>
              </w:rPr>
              <w:t>服务内容</w:t>
            </w:r>
          </w:p>
        </w:tc>
        <w:tc>
          <w:tcPr>
            <w:tcW w:w="3064" w:type="dxa"/>
            <w:noWrap w:val="0"/>
            <w:vAlign w:val="center"/>
          </w:tcPr>
          <w:p>
            <w:pPr>
              <w:widowControl/>
              <w:snapToGrid w:val="0"/>
              <w:spacing w:line="360" w:lineRule="auto"/>
              <w:ind w:firstLine="0" w:firstLineChars="0"/>
              <w:jc w:val="center"/>
              <w:rPr>
                <w:rFonts w:hint="eastAsia" w:hAnsi="宋体" w:eastAsia="宋体"/>
                <w:b w:val="0"/>
                <w:color w:val="auto"/>
                <w:sz w:val="24"/>
                <w:szCs w:val="32"/>
                <w:lang w:val="zh-CN" w:eastAsia="zh-CN"/>
              </w:rPr>
            </w:pPr>
            <w:r>
              <w:rPr>
                <w:rFonts w:hint="eastAsia" w:hAnsi="宋体"/>
                <w:b w:val="0"/>
                <w:color w:val="auto"/>
                <w:sz w:val="24"/>
                <w:szCs w:val="32"/>
                <w:lang w:val="zh-CN"/>
              </w:rPr>
              <w:t>投标报价</w:t>
            </w:r>
            <w:r>
              <w:rPr>
                <w:rFonts w:hint="eastAsia" w:hAnsi="宋体"/>
                <w:b w:val="0"/>
                <w:color w:val="auto"/>
                <w:sz w:val="24"/>
                <w:szCs w:val="32"/>
                <w:lang w:val="zh-CN" w:eastAsia="zh-CN"/>
              </w:rPr>
              <w:t>（元）</w:t>
            </w:r>
          </w:p>
        </w:tc>
        <w:tc>
          <w:tcPr>
            <w:tcW w:w="1920" w:type="dxa"/>
            <w:noWrap w:val="0"/>
            <w:vAlign w:val="center"/>
          </w:tcPr>
          <w:p>
            <w:pPr>
              <w:widowControl/>
              <w:snapToGrid w:val="0"/>
              <w:spacing w:line="360" w:lineRule="auto"/>
              <w:ind w:firstLine="0" w:firstLineChars="0"/>
              <w:jc w:val="center"/>
              <w:rPr>
                <w:rFonts w:hAnsi="宋体"/>
                <w:b w:val="0"/>
                <w:color w:val="auto"/>
                <w:sz w:val="24"/>
                <w:szCs w:val="32"/>
                <w:lang w:val="zh-CN"/>
              </w:rPr>
            </w:pPr>
            <w:r>
              <w:rPr>
                <w:rFonts w:hint="eastAsia" w:hAnsi="宋体"/>
                <w:b w:val="0"/>
                <w:color w:val="auto"/>
                <w:sz w:val="24"/>
                <w:szCs w:val="32"/>
                <w:lang w:val="zh-CN" w:eastAsia="zh-CN"/>
              </w:rPr>
              <w:t>服务</w:t>
            </w:r>
            <w:r>
              <w:rPr>
                <w:rFonts w:hint="eastAsia" w:hAnsi="宋体"/>
                <w:b w:val="0"/>
                <w:color w:val="auto"/>
                <w:sz w:val="24"/>
                <w:szCs w:val="32"/>
                <w:lang w:val="zh-CN"/>
              </w:rPr>
              <w:t>期限</w:t>
            </w:r>
          </w:p>
        </w:tc>
        <w:tc>
          <w:tcPr>
            <w:tcW w:w="2100" w:type="dxa"/>
            <w:noWrap w:val="0"/>
            <w:vAlign w:val="center"/>
          </w:tcPr>
          <w:p>
            <w:pPr>
              <w:snapToGrid w:val="0"/>
              <w:spacing w:line="360" w:lineRule="auto"/>
              <w:ind w:firstLine="0" w:firstLineChars="0"/>
              <w:jc w:val="center"/>
              <w:outlineLvl w:val="5"/>
              <w:rPr>
                <w:rFonts w:hAnsi="宋体"/>
                <w:b w:val="0"/>
                <w:color w:val="auto"/>
                <w:sz w:val="24"/>
                <w:szCs w:val="32"/>
                <w:lang w:val="zh-CN"/>
              </w:rPr>
            </w:pPr>
            <w:r>
              <w:rPr>
                <w:rFonts w:hint="eastAsia" w:hAnsi="宋体"/>
                <w:b w:val="0"/>
                <w:color w:val="auto"/>
                <w:sz w:val="24"/>
                <w:szCs w:val="32"/>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268" w:type="dxa"/>
            <w:noWrap w:val="0"/>
            <w:vAlign w:val="center"/>
          </w:tcPr>
          <w:p>
            <w:pPr>
              <w:snapToGrid w:val="0"/>
              <w:spacing w:line="360" w:lineRule="auto"/>
              <w:ind w:firstLine="480" w:firstLineChars="200"/>
              <w:jc w:val="center"/>
              <w:outlineLvl w:val="5"/>
              <w:rPr>
                <w:rFonts w:hAnsi="宋体"/>
                <w:b w:val="0"/>
                <w:color w:val="auto"/>
                <w:sz w:val="24"/>
                <w:szCs w:val="32"/>
                <w:lang w:val="zh-CN"/>
              </w:rPr>
            </w:pPr>
          </w:p>
        </w:tc>
        <w:tc>
          <w:tcPr>
            <w:tcW w:w="3064" w:type="dxa"/>
            <w:noWrap w:val="0"/>
            <w:vAlign w:val="center"/>
          </w:tcPr>
          <w:p>
            <w:pPr>
              <w:snapToGrid w:val="0"/>
              <w:spacing w:line="360" w:lineRule="auto"/>
              <w:ind w:firstLine="480" w:firstLineChars="200"/>
              <w:jc w:val="center"/>
              <w:outlineLvl w:val="5"/>
              <w:rPr>
                <w:rFonts w:hAnsi="宋体"/>
                <w:b w:val="0"/>
                <w:color w:val="auto"/>
                <w:sz w:val="24"/>
                <w:szCs w:val="32"/>
                <w:lang w:val="zh-CN"/>
              </w:rPr>
            </w:pPr>
          </w:p>
        </w:tc>
        <w:tc>
          <w:tcPr>
            <w:tcW w:w="1920" w:type="dxa"/>
            <w:noWrap w:val="0"/>
            <w:vAlign w:val="center"/>
          </w:tcPr>
          <w:p>
            <w:pPr>
              <w:snapToGrid w:val="0"/>
              <w:spacing w:line="360" w:lineRule="auto"/>
              <w:ind w:firstLine="480" w:firstLineChars="200"/>
              <w:jc w:val="center"/>
              <w:outlineLvl w:val="5"/>
              <w:rPr>
                <w:rFonts w:hAnsi="宋体"/>
                <w:b w:val="0"/>
                <w:color w:val="auto"/>
                <w:sz w:val="24"/>
                <w:szCs w:val="32"/>
                <w:lang w:val="zh-CN"/>
              </w:rPr>
            </w:pPr>
          </w:p>
        </w:tc>
        <w:tc>
          <w:tcPr>
            <w:tcW w:w="2100" w:type="dxa"/>
            <w:noWrap w:val="0"/>
            <w:vAlign w:val="center"/>
          </w:tcPr>
          <w:p>
            <w:pPr>
              <w:snapToGrid w:val="0"/>
              <w:spacing w:line="360" w:lineRule="auto"/>
              <w:ind w:firstLine="480" w:firstLineChars="200"/>
              <w:jc w:val="center"/>
              <w:outlineLvl w:val="5"/>
              <w:rPr>
                <w:rFonts w:hAnsi="宋体"/>
                <w:b w:val="0"/>
                <w:color w:val="auto"/>
                <w:sz w:val="24"/>
                <w:szCs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9352" w:type="dxa"/>
            <w:gridSpan w:val="4"/>
            <w:noWrap w:val="0"/>
            <w:vAlign w:val="center"/>
          </w:tcPr>
          <w:p>
            <w:pPr>
              <w:snapToGrid w:val="0"/>
              <w:spacing w:line="360" w:lineRule="auto"/>
              <w:ind w:left="0" w:leftChars="0" w:firstLine="0" w:firstLineChars="0"/>
              <w:jc w:val="left"/>
              <w:outlineLvl w:val="5"/>
              <w:rPr>
                <w:rFonts w:hAnsi="宋体"/>
                <w:b w:val="0"/>
                <w:color w:val="auto"/>
                <w:sz w:val="24"/>
                <w:szCs w:val="32"/>
                <w:lang w:val="zh-CN"/>
              </w:rPr>
            </w:pPr>
            <w:r>
              <w:rPr>
                <w:rFonts w:hint="eastAsia" w:hAnsi="宋体"/>
                <w:b w:val="0"/>
                <w:bCs/>
                <w:color w:val="auto"/>
                <w:sz w:val="24"/>
                <w:szCs w:val="32"/>
                <w:lang w:val="zh-CN" w:eastAsia="zh-CN"/>
              </w:rPr>
              <w:t>报价合计（元）：</w:t>
            </w:r>
            <w:r>
              <w:rPr>
                <w:rFonts w:hint="eastAsia" w:hAnsi="宋体"/>
                <w:b w:val="0"/>
                <w:bCs/>
                <w:color w:val="auto"/>
                <w:sz w:val="24"/>
                <w:szCs w:val="32"/>
                <w:lang w:val="zh-CN"/>
              </w:rPr>
              <w:t xml:space="preserve">小写：              </w:t>
            </w:r>
            <w:r>
              <w:rPr>
                <w:rFonts w:hint="eastAsia" w:hAnsi="宋体"/>
                <w:b w:val="0"/>
                <w:bCs/>
                <w:color w:val="auto"/>
                <w:sz w:val="24"/>
                <w:szCs w:val="32"/>
                <w:lang w:val="en-US"/>
              </w:rPr>
              <w:t>；</w:t>
            </w:r>
            <w:r>
              <w:rPr>
                <w:rFonts w:hint="eastAsia" w:hAnsi="宋体"/>
                <w:b w:val="0"/>
                <w:bCs/>
                <w:color w:val="auto"/>
                <w:sz w:val="24"/>
                <w:szCs w:val="32"/>
                <w:lang w:val="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352" w:type="dxa"/>
            <w:gridSpan w:val="4"/>
            <w:noWrap w:val="0"/>
            <w:vAlign w:val="center"/>
          </w:tcPr>
          <w:p>
            <w:pPr>
              <w:adjustRightInd w:val="0"/>
              <w:snapToGrid w:val="0"/>
              <w:spacing w:line="360" w:lineRule="auto"/>
              <w:ind w:firstLine="0" w:firstLineChars="0"/>
              <w:outlineLvl w:val="2"/>
              <w:rPr>
                <w:rFonts w:hAnsi="宋体"/>
                <w:b w:val="0"/>
                <w:color w:val="auto"/>
                <w:sz w:val="24"/>
                <w:szCs w:val="32"/>
                <w:lang w:val="zh-CN"/>
              </w:rPr>
            </w:pPr>
            <w:r>
              <w:rPr>
                <w:rFonts w:hint="eastAsia" w:hAnsi="宋体"/>
                <w:b w:val="0"/>
                <w:color w:val="auto"/>
                <w:sz w:val="24"/>
                <w:szCs w:val="32"/>
                <w:lang w:val="zh-CN"/>
              </w:rPr>
              <w:t>注：</w:t>
            </w:r>
            <w:r>
              <w:rPr>
                <w:rFonts w:hAnsi="宋体"/>
                <w:b w:val="0"/>
                <w:color w:val="auto"/>
                <w:sz w:val="24"/>
                <w:szCs w:val="32"/>
                <w:lang w:val="zh-CN"/>
              </w:rPr>
              <w:t>1.</w:t>
            </w:r>
            <w:r>
              <w:rPr>
                <w:rFonts w:hint="eastAsia" w:hAnsi="宋体"/>
                <w:b w:val="0"/>
                <w:color w:val="auto"/>
                <w:sz w:val="24"/>
                <w:szCs w:val="32"/>
                <w:lang w:val="zh-CN"/>
              </w:rPr>
              <w:t>报价应当包含完成本项目所需的所有费用。</w:t>
            </w:r>
          </w:p>
          <w:p>
            <w:pPr>
              <w:adjustRightInd w:val="0"/>
              <w:snapToGrid w:val="0"/>
              <w:spacing w:line="360" w:lineRule="auto"/>
              <w:ind w:firstLine="480" w:firstLineChars="200"/>
              <w:outlineLvl w:val="2"/>
              <w:rPr>
                <w:rFonts w:hAnsi="宋体"/>
                <w:b w:val="0"/>
                <w:color w:val="auto"/>
                <w:sz w:val="24"/>
                <w:szCs w:val="32"/>
                <w:lang w:val="zh-CN"/>
              </w:rPr>
            </w:pPr>
            <w:r>
              <w:rPr>
                <w:rFonts w:hint="eastAsia" w:hAnsi="宋体"/>
                <w:b w:val="0"/>
                <w:color w:val="auto"/>
                <w:sz w:val="24"/>
                <w:szCs w:val="32"/>
                <w:lang w:val="zh-CN"/>
              </w:rPr>
              <w:t>2.“开标一览表”为多页的，每页均需由法定代表人或授权代表签字并盖投标人公章。</w:t>
            </w:r>
          </w:p>
          <w:p>
            <w:pPr>
              <w:snapToGrid w:val="0"/>
              <w:spacing w:line="360" w:lineRule="auto"/>
              <w:ind w:firstLine="480" w:firstLineChars="200"/>
              <w:outlineLvl w:val="5"/>
              <w:rPr>
                <w:rFonts w:hint="eastAsia" w:hAnsi="宋体"/>
                <w:b w:val="0"/>
                <w:color w:val="auto"/>
                <w:sz w:val="24"/>
                <w:szCs w:val="32"/>
                <w:lang w:val="zh-CN"/>
              </w:rPr>
            </w:pPr>
            <w:r>
              <w:rPr>
                <w:rFonts w:hint="eastAsia" w:hAnsi="宋体"/>
                <w:b w:val="0"/>
                <w:color w:val="auto"/>
                <w:sz w:val="24"/>
                <w:szCs w:val="32"/>
                <w:lang w:val="zh-CN"/>
              </w:rPr>
              <w:t>3.以上表格如不能完全表达清楚投标人认为必要的费用明细，投标人可自行补充。</w:t>
            </w:r>
          </w:p>
          <w:p>
            <w:pPr>
              <w:snapToGrid w:val="0"/>
              <w:spacing w:line="360" w:lineRule="auto"/>
              <w:ind w:firstLine="480" w:firstLineChars="200"/>
              <w:outlineLvl w:val="5"/>
              <w:rPr>
                <w:rFonts w:hint="eastAsia" w:hAnsi="宋体"/>
                <w:b w:val="0"/>
                <w:color w:val="auto"/>
                <w:sz w:val="24"/>
                <w:szCs w:val="32"/>
                <w:lang w:val="zh-CN"/>
              </w:rPr>
            </w:pPr>
            <w:r>
              <w:rPr>
                <w:rFonts w:hint="eastAsia" w:hAnsi="宋体"/>
                <w:b w:val="0"/>
                <w:color w:val="auto"/>
                <w:sz w:val="24"/>
                <w:szCs w:val="32"/>
                <w:lang w:val="zh-CN"/>
              </w:rPr>
              <w:t>4.“开标一览表”除了单独密封递交外，还应编制于其他响应性投标文件（正副本）内，如有遗漏，将视为无效投标。</w:t>
            </w:r>
          </w:p>
          <w:p>
            <w:pPr>
              <w:snapToGrid w:val="0"/>
              <w:spacing w:line="360" w:lineRule="auto"/>
              <w:ind w:firstLine="480" w:firstLineChars="200"/>
              <w:outlineLvl w:val="5"/>
              <w:rPr>
                <w:rFonts w:hAnsi="宋体"/>
                <w:b/>
                <w:color w:val="FF0000"/>
                <w:sz w:val="32"/>
                <w:szCs w:val="32"/>
                <w:lang w:val="zh-CN"/>
              </w:rPr>
            </w:pPr>
            <w:r>
              <w:rPr>
                <w:rFonts w:hint="eastAsia" w:hAnsi="宋体"/>
                <w:b w:val="0"/>
                <w:color w:val="auto"/>
                <w:sz w:val="24"/>
                <w:szCs w:val="32"/>
                <w:lang w:val="zh-CN"/>
              </w:rPr>
              <w:t>5. 对小型和微型企业，监狱企业、残疾人福利性单位的价格（如涉及）给予10%的扣除，用扣除后的价格参与评审。</w:t>
            </w:r>
          </w:p>
        </w:tc>
      </w:tr>
    </w:tbl>
    <w:p>
      <w:pPr>
        <w:pStyle w:val="4"/>
        <w:spacing w:line="340" w:lineRule="exact"/>
        <w:rPr>
          <w:rFonts w:hint="eastAsia" w:asciiTheme="minorEastAsia" w:hAnsiTheme="minorEastAsia" w:eastAsiaTheme="minorEastAsia" w:cstheme="minorEastAsia"/>
          <w:color w:val="auto"/>
        </w:rPr>
      </w:pPr>
    </w:p>
    <w:p>
      <w:pPr>
        <w:snapToGrid/>
        <w:spacing w:line="520" w:lineRule="exact"/>
        <w:ind w:left="1615" w:leftChars="228" w:hanging="840" w:hangingChars="35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snapToGrid/>
        <w:spacing w:line="520" w:lineRule="exact"/>
        <w:ind w:left="1615" w:leftChars="228" w:hanging="840" w:hangingChars="35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left="1615" w:leftChars="228" w:hanging="840" w:hangingChars="350"/>
        <w:rPr>
          <w:rFonts w:hint="eastAsia"/>
          <w:b w:val="0"/>
          <w:color w:val="auto"/>
          <w:kern w:val="2"/>
          <w:sz w:val="24"/>
          <w:szCs w:val="24"/>
          <w:lang w:val="en-US"/>
        </w:rPr>
      </w:pPr>
      <w:r>
        <w:rPr>
          <w:rFonts w:hint="eastAsia"/>
          <w:b w:val="0"/>
          <w:color w:val="auto"/>
          <w:kern w:val="2"/>
          <w:sz w:val="24"/>
          <w:szCs w:val="24"/>
          <w:lang w:val="en-US"/>
        </w:rPr>
        <w:t>日  期:</w:t>
      </w: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p>
    <w:bookmarkEnd w:id="114"/>
    <w:p>
      <w:pPr>
        <w:pStyle w:val="4"/>
        <w:spacing w:line="400" w:lineRule="exact"/>
        <w:jc w:val="center"/>
        <w:rPr>
          <w:rFonts w:hint="eastAsia" w:asciiTheme="minorEastAsia" w:hAnsiTheme="minorEastAsia" w:eastAsiaTheme="minorEastAsia" w:cstheme="minorEastAsia"/>
          <w:bCs w:val="0"/>
          <w:color w:val="auto"/>
          <w:kern w:val="0"/>
          <w:szCs w:val="28"/>
        </w:rPr>
      </w:pPr>
      <w:bookmarkStart w:id="115" w:name="_Toc217446086"/>
      <w:r>
        <w:rPr>
          <w:rFonts w:hint="eastAsia" w:asciiTheme="minorEastAsia" w:hAnsiTheme="minorEastAsia" w:eastAsiaTheme="minorEastAsia" w:cstheme="minorEastAsia"/>
          <w:bCs w:val="0"/>
          <w:color w:val="auto"/>
          <w:lang w:eastAsia="zh-CN"/>
        </w:rPr>
        <w:t>三</w:t>
      </w:r>
      <w:r>
        <w:rPr>
          <w:rFonts w:hint="eastAsia" w:asciiTheme="minorEastAsia" w:hAnsiTheme="minorEastAsia" w:eastAsiaTheme="minorEastAsia" w:cstheme="minorEastAsia"/>
          <w:bCs w:val="0"/>
          <w:color w:val="auto"/>
        </w:rPr>
        <w:t>、</w:t>
      </w:r>
      <w:bookmarkEnd w:id="115"/>
      <w:r>
        <w:rPr>
          <w:rFonts w:hint="eastAsia" w:asciiTheme="minorEastAsia" w:hAnsiTheme="minorEastAsia" w:eastAsiaTheme="minorEastAsia" w:cstheme="minorEastAsia"/>
          <w:bCs w:val="0"/>
          <w:color w:val="auto"/>
          <w:kern w:val="0"/>
          <w:szCs w:val="28"/>
        </w:rPr>
        <w:t>服务偏离表</w:t>
      </w:r>
    </w:p>
    <w:p>
      <w:pPr>
        <w:autoSpaceDE w:val="0"/>
        <w:autoSpaceDN w:val="0"/>
        <w:adjustRightInd w:val="0"/>
        <w:spacing w:before="120" w:beforeLines="50" w:after="120" w:afterLines="50" w:line="400" w:lineRule="exact"/>
        <w:jc w:val="center"/>
        <w:rPr>
          <w:rFonts w:hint="eastAsia" w:asciiTheme="minorEastAsia" w:hAnsiTheme="minorEastAsia" w:eastAsiaTheme="minorEastAsia" w:cstheme="minorEastAsia"/>
          <w:color w:val="auto"/>
          <w:sz w:val="20"/>
        </w:rPr>
      </w:pPr>
    </w:p>
    <w:p>
      <w:pPr>
        <w:spacing w:line="520" w:lineRule="exact"/>
        <w:ind w:firstLine="480"/>
        <w:rPr>
          <w:rFonts w:hint="eastAsia"/>
          <w:b w:val="0"/>
          <w:color w:val="auto"/>
          <w:kern w:val="2"/>
          <w:sz w:val="24"/>
          <w:szCs w:val="24"/>
          <w:lang w:val="en-US"/>
        </w:rPr>
      </w:pPr>
      <w:r>
        <w:rPr>
          <w:rFonts w:hint="eastAsia"/>
          <w:b w:val="0"/>
          <w:color w:val="auto"/>
          <w:kern w:val="2"/>
          <w:sz w:val="24"/>
          <w:szCs w:val="24"/>
          <w:lang w:val="en-US"/>
        </w:rPr>
        <w:t>采购项目名称：</w:t>
      </w:r>
    </w:p>
    <w:p>
      <w:pPr>
        <w:spacing w:line="520" w:lineRule="exact"/>
        <w:ind w:firstLine="480"/>
        <w:rPr>
          <w:b w:val="0"/>
          <w:color w:val="auto"/>
          <w:kern w:val="2"/>
          <w:sz w:val="24"/>
          <w:szCs w:val="24"/>
          <w:lang w:val="en-US"/>
        </w:rPr>
      </w:pPr>
      <w:r>
        <w:rPr>
          <w:rFonts w:hint="eastAsia"/>
          <w:b w:val="0"/>
          <w:color w:val="auto"/>
          <w:kern w:val="2"/>
          <w:sz w:val="24"/>
          <w:szCs w:val="24"/>
          <w:lang w:val="en-US"/>
        </w:rPr>
        <w:t>采购项目编号：</w:t>
      </w:r>
    </w:p>
    <w:p>
      <w:pPr>
        <w:spacing w:line="520" w:lineRule="exact"/>
        <w:ind w:firstLine="480"/>
        <w:rPr>
          <w:rFonts w:hint="eastAsia"/>
          <w:b w:val="0"/>
          <w:color w:val="auto"/>
          <w:kern w:val="2"/>
          <w:sz w:val="24"/>
          <w:szCs w:val="24"/>
          <w:lang w:val="en-US"/>
        </w:rPr>
      </w:pPr>
      <w:r>
        <w:rPr>
          <w:rFonts w:hint="eastAsia"/>
          <w:b w:val="0"/>
          <w:color w:val="auto"/>
          <w:kern w:val="2"/>
          <w:sz w:val="24"/>
          <w:szCs w:val="24"/>
          <w:lang w:val="en-US"/>
        </w:rPr>
        <w:t>包件</w:t>
      </w:r>
      <w:r>
        <w:rPr>
          <w:b w:val="0"/>
          <w:color w:val="auto"/>
          <w:kern w:val="2"/>
          <w:sz w:val="24"/>
          <w:szCs w:val="24"/>
          <w:lang w:val="en-US"/>
        </w:rPr>
        <w:t>号及名称：</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698"/>
        <w:gridCol w:w="2686"/>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581" w:type="dxa"/>
            <w:noWrap w:val="0"/>
            <w:vAlign w:val="center"/>
          </w:tcPr>
          <w:p>
            <w:pPr>
              <w:spacing w:before="156" w:beforeLines="50" w:after="156" w:afterLines="50" w:line="240" w:lineRule="auto"/>
              <w:ind w:firstLine="0" w:firstLineChars="0"/>
              <w:jc w:val="center"/>
              <w:rPr>
                <w:rFonts w:cs="宋体-方正超大字符集"/>
                <w:color w:val="auto"/>
                <w:kern w:val="2"/>
                <w:sz w:val="24"/>
                <w:szCs w:val="24"/>
                <w:lang w:val="en-US"/>
              </w:rPr>
            </w:pPr>
            <w:r>
              <w:rPr>
                <w:rFonts w:hint="eastAsia" w:cs="宋体-方正超大字符集"/>
                <w:color w:val="auto"/>
                <w:kern w:val="2"/>
                <w:sz w:val="24"/>
                <w:szCs w:val="24"/>
                <w:lang w:val="en-US"/>
              </w:rPr>
              <w:t>编号</w:t>
            </w:r>
          </w:p>
        </w:tc>
        <w:tc>
          <w:tcPr>
            <w:tcW w:w="2698" w:type="dxa"/>
            <w:noWrap w:val="0"/>
            <w:vAlign w:val="center"/>
          </w:tcPr>
          <w:p>
            <w:pPr>
              <w:spacing w:before="156" w:beforeLines="50" w:after="156" w:afterLines="50" w:line="240" w:lineRule="auto"/>
              <w:ind w:firstLine="0" w:firstLineChars="0"/>
              <w:jc w:val="center"/>
              <w:rPr>
                <w:rFonts w:cs="宋体-方正超大字符集"/>
                <w:b w:val="0"/>
                <w:color w:val="auto"/>
                <w:kern w:val="2"/>
                <w:sz w:val="24"/>
                <w:szCs w:val="24"/>
                <w:lang w:val="en-US"/>
              </w:rPr>
            </w:pPr>
            <w:r>
              <w:rPr>
                <w:rFonts w:hint="eastAsia" w:cs="宋体-方正超大字符集"/>
                <w:color w:val="auto"/>
                <w:kern w:val="2"/>
                <w:sz w:val="24"/>
                <w:szCs w:val="24"/>
                <w:lang w:val="en-US"/>
              </w:rPr>
              <w:t>招标文件要求</w:t>
            </w:r>
          </w:p>
        </w:tc>
        <w:tc>
          <w:tcPr>
            <w:tcW w:w="2686" w:type="dxa"/>
            <w:noWrap w:val="0"/>
            <w:vAlign w:val="center"/>
          </w:tcPr>
          <w:p>
            <w:pPr>
              <w:spacing w:before="156" w:beforeLines="50" w:after="156" w:afterLines="50" w:line="240" w:lineRule="auto"/>
              <w:ind w:firstLine="0" w:firstLineChars="0"/>
              <w:jc w:val="center"/>
              <w:rPr>
                <w:rFonts w:cs="宋体-方正超大字符集"/>
                <w:color w:val="auto"/>
                <w:kern w:val="2"/>
                <w:sz w:val="24"/>
                <w:szCs w:val="24"/>
                <w:lang w:val="en-US"/>
              </w:rPr>
            </w:pPr>
            <w:r>
              <w:rPr>
                <w:rFonts w:hint="eastAsia" w:cs="宋体-方正超大字符集"/>
                <w:color w:val="auto"/>
                <w:kern w:val="2"/>
                <w:sz w:val="24"/>
                <w:szCs w:val="24"/>
                <w:lang w:val="en-US"/>
              </w:rPr>
              <w:t>投标响应</w:t>
            </w:r>
          </w:p>
        </w:tc>
        <w:tc>
          <w:tcPr>
            <w:tcW w:w="1298" w:type="dxa"/>
            <w:noWrap w:val="0"/>
            <w:vAlign w:val="center"/>
          </w:tcPr>
          <w:p>
            <w:pPr>
              <w:spacing w:before="156" w:beforeLines="50" w:after="156" w:afterLines="50" w:line="240" w:lineRule="auto"/>
              <w:ind w:firstLine="0" w:firstLineChars="0"/>
              <w:jc w:val="center"/>
              <w:rPr>
                <w:rFonts w:cs="宋体-方正超大字符集"/>
                <w:color w:val="auto"/>
                <w:kern w:val="2"/>
                <w:sz w:val="24"/>
                <w:szCs w:val="24"/>
                <w:lang w:val="en-US"/>
              </w:rPr>
            </w:pPr>
            <w:r>
              <w:rPr>
                <w:rFonts w:hint="eastAsia" w:cs="宋体-方正超大字符集"/>
                <w:color w:val="auto"/>
                <w:kern w:val="2"/>
                <w:sz w:val="24"/>
                <w:szCs w:val="24"/>
                <w:lang w:val="en-US"/>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81" w:type="dxa"/>
            <w:noWrap w:val="0"/>
            <w:vAlign w:val="center"/>
          </w:tcPr>
          <w:p>
            <w:pPr>
              <w:ind w:firstLine="0" w:firstLineChars="0"/>
              <w:jc w:val="center"/>
              <w:rPr>
                <w:b w:val="0"/>
                <w:color w:val="auto"/>
                <w:sz w:val="24"/>
              </w:rPr>
            </w:pPr>
            <w:r>
              <w:rPr>
                <w:rFonts w:hint="eastAsia"/>
                <w:b w:val="0"/>
                <w:color w:val="auto"/>
                <w:sz w:val="24"/>
              </w:rPr>
              <w:t>1</w:t>
            </w:r>
          </w:p>
        </w:tc>
        <w:tc>
          <w:tcPr>
            <w:tcW w:w="2698" w:type="dxa"/>
            <w:noWrap w:val="0"/>
            <w:vAlign w:val="center"/>
          </w:tcPr>
          <w:p>
            <w:pPr>
              <w:rPr>
                <w:rFonts w:hint="eastAsia"/>
                <w:color w:val="auto"/>
              </w:rPr>
            </w:pPr>
          </w:p>
        </w:tc>
        <w:tc>
          <w:tcPr>
            <w:tcW w:w="2686" w:type="dxa"/>
            <w:noWrap w:val="0"/>
            <w:vAlign w:val="center"/>
          </w:tcPr>
          <w:p>
            <w:pPr>
              <w:rPr>
                <w:color w:val="auto"/>
              </w:rPr>
            </w:pPr>
          </w:p>
        </w:tc>
        <w:tc>
          <w:tcPr>
            <w:tcW w:w="1298" w:type="dxa"/>
            <w:noWrap w:val="0"/>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81" w:type="dxa"/>
            <w:noWrap w:val="0"/>
            <w:vAlign w:val="center"/>
          </w:tcPr>
          <w:p>
            <w:pPr>
              <w:ind w:firstLine="0" w:firstLineChars="0"/>
              <w:jc w:val="center"/>
              <w:rPr>
                <w:rFonts w:hint="eastAsia"/>
                <w:b w:val="0"/>
                <w:color w:val="auto"/>
                <w:sz w:val="24"/>
              </w:rPr>
            </w:pPr>
            <w:r>
              <w:rPr>
                <w:rFonts w:hint="eastAsia"/>
                <w:b w:val="0"/>
                <w:color w:val="auto"/>
                <w:sz w:val="24"/>
              </w:rPr>
              <w:t>2</w:t>
            </w:r>
          </w:p>
        </w:tc>
        <w:tc>
          <w:tcPr>
            <w:tcW w:w="2698" w:type="dxa"/>
            <w:noWrap w:val="0"/>
            <w:vAlign w:val="center"/>
          </w:tcPr>
          <w:p>
            <w:pPr>
              <w:rPr>
                <w:rFonts w:hint="eastAsia"/>
                <w:color w:val="auto"/>
              </w:rPr>
            </w:pPr>
          </w:p>
        </w:tc>
        <w:tc>
          <w:tcPr>
            <w:tcW w:w="2686" w:type="dxa"/>
            <w:noWrap w:val="0"/>
            <w:vAlign w:val="center"/>
          </w:tcPr>
          <w:p>
            <w:pPr>
              <w:rPr>
                <w:color w:val="auto"/>
              </w:rPr>
            </w:pPr>
          </w:p>
        </w:tc>
        <w:tc>
          <w:tcPr>
            <w:tcW w:w="1298" w:type="dxa"/>
            <w:noWrap w:val="0"/>
            <w:vAlign w:val="center"/>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581" w:type="dxa"/>
            <w:noWrap w:val="0"/>
            <w:vAlign w:val="center"/>
          </w:tcPr>
          <w:p>
            <w:pPr>
              <w:ind w:firstLine="0" w:firstLineChars="0"/>
              <w:jc w:val="center"/>
              <w:rPr>
                <w:rFonts w:hint="eastAsia" w:cs="宋体-方正超大字符集"/>
                <w:b w:val="0"/>
                <w:color w:val="auto"/>
                <w:sz w:val="24"/>
              </w:rPr>
            </w:pPr>
            <w:r>
              <w:rPr>
                <w:b w:val="0"/>
                <w:color w:val="auto"/>
                <w:sz w:val="24"/>
              </w:rPr>
              <w:t>…</w:t>
            </w:r>
          </w:p>
        </w:tc>
        <w:tc>
          <w:tcPr>
            <w:tcW w:w="2698" w:type="dxa"/>
            <w:noWrap w:val="0"/>
            <w:vAlign w:val="center"/>
          </w:tcPr>
          <w:p>
            <w:pPr>
              <w:rPr>
                <w:rFonts w:hint="eastAsia"/>
                <w:color w:val="auto"/>
              </w:rPr>
            </w:pPr>
          </w:p>
        </w:tc>
        <w:tc>
          <w:tcPr>
            <w:tcW w:w="2686" w:type="dxa"/>
            <w:noWrap w:val="0"/>
            <w:vAlign w:val="center"/>
          </w:tcPr>
          <w:p>
            <w:pPr>
              <w:rPr>
                <w:color w:val="auto"/>
              </w:rPr>
            </w:pPr>
          </w:p>
        </w:tc>
        <w:tc>
          <w:tcPr>
            <w:tcW w:w="1298" w:type="dxa"/>
            <w:noWrap w:val="0"/>
            <w:vAlign w:val="center"/>
          </w:tcPr>
          <w:p>
            <w:pPr>
              <w:rPr>
                <w:color w:val="auto"/>
              </w:rPr>
            </w:pPr>
          </w:p>
        </w:tc>
      </w:tr>
    </w:tbl>
    <w:p>
      <w:pPr>
        <w:snapToGrid/>
        <w:spacing w:line="520" w:lineRule="exact"/>
        <w:ind w:firstLine="0" w:firstLineChars="0"/>
        <w:jc w:val="left"/>
        <w:rPr>
          <w:rFonts w:hint="eastAsia"/>
          <w:b w:val="0"/>
          <w:color w:val="auto"/>
          <w:kern w:val="2"/>
          <w:sz w:val="24"/>
          <w:szCs w:val="24"/>
          <w:lang w:val="en-US"/>
        </w:rPr>
      </w:pPr>
      <w:r>
        <w:rPr>
          <w:rFonts w:hint="eastAsia"/>
          <w:b w:val="0"/>
          <w:color w:val="auto"/>
          <w:kern w:val="2"/>
          <w:sz w:val="24"/>
          <w:szCs w:val="24"/>
          <w:lang w:val="en-US"/>
        </w:rPr>
        <w:t>注：</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1.以上表格格式行可增减。</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rPr>
        <w:t>2.</w:t>
      </w:r>
      <w:r>
        <w:rPr>
          <w:rFonts w:hint="eastAsia"/>
          <w:b w:val="0"/>
          <w:color w:val="auto"/>
          <w:kern w:val="2"/>
          <w:sz w:val="24"/>
          <w:szCs w:val="24"/>
          <w:lang w:val="en-US"/>
        </w:rPr>
        <w:t>投标人必须据实填写，不得虚假响应，否则将取消其投标或中标资格。若采购人在项目实施中发现投标人虚假响应，则采购人有权单方面中止合同，并没收投标人的全部履约保证金。</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3.如投标人完全响应招标文件，则不用在此表中列明；投标人如有偏离，只需填写有偏离（包括正偏离或负偏离）部分。</w:t>
      </w:r>
    </w:p>
    <w:p>
      <w:pPr>
        <w:snapToGrid/>
        <w:spacing w:line="520" w:lineRule="exact"/>
        <w:ind w:firstLine="480"/>
        <w:jc w:val="left"/>
        <w:rPr>
          <w:rFonts w:hint="eastAsia"/>
          <w:b w:val="0"/>
          <w:color w:val="auto"/>
          <w:kern w:val="2"/>
          <w:sz w:val="24"/>
          <w:szCs w:val="24"/>
          <w:lang w:val="en-US"/>
        </w:rPr>
      </w:pPr>
    </w:p>
    <w:p>
      <w:pPr>
        <w:snapToGrid/>
        <w:spacing w:line="520" w:lineRule="exact"/>
        <w:ind w:firstLine="480"/>
        <w:jc w:val="left"/>
        <w:rPr>
          <w:rFonts w:hint="eastAsia"/>
          <w:b w:val="0"/>
          <w:color w:val="auto"/>
          <w:kern w:val="2"/>
          <w:sz w:val="24"/>
          <w:szCs w:val="24"/>
          <w:lang w:val="en-US"/>
        </w:rPr>
      </w:pPr>
    </w:p>
    <w:p>
      <w:pPr>
        <w:snapToGrid/>
        <w:spacing w:line="520" w:lineRule="exact"/>
        <w:ind w:firstLine="480"/>
        <w:jc w:val="left"/>
        <w:rPr>
          <w:b w:val="0"/>
          <w:color w:val="auto"/>
          <w:kern w:val="2"/>
          <w:sz w:val="24"/>
          <w:szCs w:val="24"/>
          <w:lang w:val="en-US"/>
        </w:rPr>
      </w:pPr>
      <w:r>
        <w:rPr>
          <w:rFonts w:hint="eastAsia"/>
          <w:b w:val="0"/>
          <w:color w:val="auto"/>
          <w:kern w:val="2"/>
          <w:sz w:val="24"/>
          <w:szCs w:val="24"/>
          <w:lang w:val="en-US"/>
        </w:rPr>
        <w:t>投标人名称（加盖公章或电子签章）：</w:t>
      </w:r>
    </w:p>
    <w:p>
      <w:pPr>
        <w:snapToGrid/>
        <w:spacing w:line="520" w:lineRule="exact"/>
        <w:ind w:firstLine="480"/>
        <w:jc w:val="left"/>
        <w:rPr>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日  期</w:t>
      </w:r>
      <w:r>
        <w:rPr>
          <w:b w:val="0"/>
          <w:color w:val="auto"/>
          <w:kern w:val="2"/>
          <w:sz w:val="24"/>
          <w:szCs w:val="24"/>
          <w:lang w:val="en-US"/>
        </w:rPr>
        <w:t>:</w:t>
      </w:r>
    </w:p>
    <w:p>
      <w:pPr>
        <w:snapToGrid/>
        <w:spacing w:line="520" w:lineRule="exact"/>
        <w:jc w:val="left"/>
        <w:rPr>
          <w:rFonts w:hint="eastAsia"/>
          <w:color w:val="auto"/>
        </w:rPr>
      </w:pPr>
    </w:p>
    <w:p>
      <w:pPr>
        <w:pStyle w:val="4"/>
        <w:spacing w:line="400" w:lineRule="exact"/>
        <w:jc w:val="center"/>
        <w:rPr>
          <w:rFonts w:hint="eastAsia" w:asciiTheme="minorEastAsia" w:hAnsiTheme="minorEastAsia" w:eastAsiaTheme="minorEastAsia" w:cstheme="minorEastAsia"/>
          <w:bCs w:val="0"/>
          <w:color w:val="auto"/>
          <w:lang w:val="en-US" w:eastAsia="zh-CN"/>
        </w:rPr>
      </w:pPr>
      <w:bookmarkStart w:id="116" w:name="_Toc494198606"/>
      <w:r>
        <w:rPr>
          <w:rFonts w:hint="eastAsia" w:asciiTheme="minorEastAsia" w:hAnsiTheme="minorEastAsia" w:eastAsiaTheme="minorEastAsia" w:cstheme="minorEastAsia"/>
          <w:bCs w:val="0"/>
          <w:color w:val="auto"/>
          <w:lang w:val="en-US" w:eastAsia="zh-CN"/>
        </w:rPr>
        <w:t>四、商务偏离表</w:t>
      </w:r>
      <w:bookmarkEnd w:id="116"/>
    </w:p>
    <w:p>
      <w:pPr>
        <w:ind w:firstLine="480"/>
        <w:rPr>
          <w:rFonts w:hint="eastAsia"/>
          <w:b w:val="0"/>
          <w:color w:val="auto"/>
          <w:kern w:val="2"/>
          <w:sz w:val="24"/>
          <w:szCs w:val="24"/>
          <w:lang w:val="en-US"/>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采购项目名称：</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采购项目编号：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包件号及名称：</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799"/>
        <w:gridCol w:w="2799"/>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58" w:type="dxa"/>
            <w:noWrap w:val="0"/>
            <w:vAlign w:val="center"/>
          </w:tcPr>
          <w:p>
            <w:pPr>
              <w:ind w:firstLine="0" w:firstLineChars="0"/>
              <w:rPr>
                <w:rFonts w:hint="eastAsia"/>
                <w:color w:val="auto"/>
                <w:sz w:val="24"/>
              </w:rPr>
            </w:pPr>
            <w:r>
              <w:rPr>
                <w:rFonts w:hint="eastAsia"/>
                <w:color w:val="auto"/>
                <w:sz w:val="24"/>
              </w:rPr>
              <w:t>序号</w:t>
            </w:r>
          </w:p>
        </w:tc>
        <w:tc>
          <w:tcPr>
            <w:tcW w:w="2799" w:type="dxa"/>
            <w:noWrap w:val="0"/>
            <w:vAlign w:val="center"/>
          </w:tcPr>
          <w:p>
            <w:pPr>
              <w:ind w:firstLine="482"/>
              <w:jc w:val="center"/>
              <w:rPr>
                <w:rFonts w:hint="eastAsia"/>
                <w:color w:val="auto"/>
                <w:sz w:val="24"/>
              </w:rPr>
            </w:pPr>
            <w:r>
              <w:rPr>
                <w:rFonts w:hint="eastAsia"/>
                <w:color w:val="auto"/>
                <w:sz w:val="24"/>
              </w:rPr>
              <w:t>商务要求</w:t>
            </w:r>
          </w:p>
        </w:tc>
        <w:tc>
          <w:tcPr>
            <w:tcW w:w="2799" w:type="dxa"/>
            <w:noWrap w:val="0"/>
            <w:vAlign w:val="center"/>
          </w:tcPr>
          <w:p>
            <w:pPr>
              <w:ind w:firstLine="482"/>
              <w:jc w:val="center"/>
              <w:rPr>
                <w:rFonts w:hint="eastAsia"/>
                <w:color w:val="auto"/>
                <w:sz w:val="24"/>
              </w:rPr>
            </w:pPr>
            <w:r>
              <w:rPr>
                <w:rFonts w:hint="eastAsia"/>
                <w:color w:val="auto"/>
                <w:sz w:val="24"/>
              </w:rPr>
              <w:t>投标文件响应</w:t>
            </w:r>
          </w:p>
        </w:tc>
        <w:tc>
          <w:tcPr>
            <w:tcW w:w="2799" w:type="dxa"/>
            <w:noWrap w:val="0"/>
            <w:vAlign w:val="center"/>
          </w:tcPr>
          <w:p>
            <w:pPr>
              <w:ind w:firstLine="482"/>
              <w:jc w:val="center"/>
              <w:rPr>
                <w:rFonts w:hint="eastAsia"/>
                <w:color w:val="auto"/>
                <w:sz w:val="24"/>
              </w:rPr>
            </w:pPr>
            <w:r>
              <w:rPr>
                <w:rFonts w:hint="eastAsia"/>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958"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c>
          <w:tcPr>
            <w:tcW w:w="2799" w:type="dxa"/>
            <w:noWrap w:val="0"/>
            <w:vAlign w:val="top"/>
          </w:tcPr>
          <w:p>
            <w:pPr>
              <w:ind w:firstLine="482"/>
              <w:jc w:val="center"/>
              <w:rPr>
                <w:rFonts w:hint="eastAsia"/>
                <w:color w:val="auto"/>
                <w:sz w:val="24"/>
              </w:rPr>
            </w:pPr>
          </w:p>
        </w:tc>
      </w:tr>
    </w:tbl>
    <w:p>
      <w:pPr>
        <w:snapToGrid/>
        <w:spacing w:line="400" w:lineRule="exact"/>
        <w:ind w:firstLine="0" w:firstLineChars="0"/>
        <w:rPr>
          <w:rFonts w:hint="eastAsia"/>
          <w:b w:val="0"/>
          <w:color w:val="auto"/>
          <w:kern w:val="2"/>
          <w:sz w:val="24"/>
          <w:szCs w:val="24"/>
          <w:lang w:val="en-US"/>
        </w:rPr>
      </w:pPr>
      <w:r>
        <w:rPr>
          <w:rFonts w:hint="eastAsia"/>
          <w:b w:val="0"/>
          <w:color w:val="auto"/>
          <w:kern w:val="2"/>
          <w:sz w:val="24"/>
          <w:szCs w:val="24"/>
          <w:lang w:val="en-US"/>
        </w:rPr>
        <w:t>注：</w:t>
      </w:r>
    </w:p>
    <w:p>
      <w:pPr>
        <w:spacing w:line="400" w:lineRule="exact"/>
        <w:ind w:firstLine="480"/>
        <w:jc w:val="left"/>
        <w:rPr>
          <w:rFonts w:hint="eastAsia"/>
          <w:b w:val="0"/>
          <w:color w:val="auto"/>
          <w:sz w:val="24"/>
        </w:rPr>
      </w:pPr>
      <w:r>
        <w:rPr>
          <w:rFonts w:hint="eastAsia"/>
          <w:b w:val="0"/>
          <w:color w:val="auto"/>
          <w:sz w:val="24"/>
        </w:rPr>
        <w:t>1.以上表格格式行可增减。</w:t>
      </w:r>
    </w:p>
    <w:p>
      <w:pPr>
        <w:spacing w:line="400" w:lineRule="exact"/>
        <w:ind w:firstLine="480"/>
        <w:jc w:val="left"/>
        <w:rPr>
          <w:rFonts w:hint="eastAsia"/>
          <w:b w:val="0"/>
          <w:color w:val="auto"/>
          <w:sz w:val="24"/>
        </w:rPr>
      </w:pPr>
      <w:r>
        <w:rPr>
          <w:rFonts w:hint="eastAsia"/>
          <w:b w:val="0"/>
          <w:color w:val="auto"/>
          <w:sz w:val="24"/>
        </w:rPr>
        <w:t>2.投标人必须据实填写，不得虚假响应；否则，其投标文件无效并按规定追究其相关责任。</w:t>
      </w:r>
    </w:p>
    <w:p>
      <w:pPr>
        <w:ind w:firstLine="480"/>
        <w:rPr>
          <w:rFonts w:hint="eastAsia"/>
          <w:color w:val="auto"/>
          <w:sz w:val="24"/>
        </w:rPr>
      </w:pPr>
      <w:r>
        <w:rPr>
          <w:rFonts w:hint="eastAsia"/>
          <w:b w:val="0"/>
          <w:color w:val="auto"/>
          <w:sz w:val="24"/>
        </w:rPr>
        <w:t>3.如投标人完全响应招标文件，则不用在此表中列明；投标人如有偏离，只需填写有偏离（包括正偏离或负偏离）部分。</w:t>
      </w:r>
    </w:p>
    <w:p>
      <w:pPr>
        <w:rPr>
          <w:rFonts w:hint="eastAsia"/>
          <w:color w:val="auto"/>
          <w:lang w:val="en-US"/>
        </w:rPr>
      </w:pP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 xml:space="preserve">日  期:   </w:t>
      </w:r>
    </w:p>
    <w:p>
      <w:pPr>
        <w:snapToGrid/>
        <w:spacing w:line="520" w:lineRule="exact"/>
        <w:ind w:firstLine="480"/>
        <w:jc w:val="left"/>
        <w:rPr>
          <w:rFonts w:hint="eastAsia"/>
          <w:b w:val="0"/>
          <w:color w:val="auto"/>
          <w:kern w:val="2"/>
          <w:sz w:val="24"/>
          <w:szCs w:val="24"/>
          <w:lang w:val="en-US"/>
        </w:rPr>
      </w:pPr>
    </w:p>
    <w:p>
      <w:pPr>
        <w:rPr>
          <w:rFonts w:hint="eastAsia"/>
          <w:color w:val="auto"/>
        </w:rPr>
      </w:pPr>
    </w:p>
    <w:p>
      <w:pPr>
        <w:rPr>
          <w:rFonts w:hint="eastAsia"/>
          <w:color w:val="auto"/>
        </w:rPr>
      </w:pPr>
    </w:p>
    <w:p>
      <w:pPr>
        <w:rPr>
          <w:rFonts w:hint="eastAsia"/>
          <w:color w:val="auto"/>
        </w:rPr>
      </w:pPr>
    </w:p>
    <w:p>
      <w:pPr>
        <w:rPr>
          <w:rFonts w:hint="eastAsia" w:asciiTheme="minorEastAsia" w:hAnsiTheme="minorEastAsia" w:eastAsiaTheme="minorEastAsia" w:cstheme="minorEastAsia"/>
          <w:bCs w:val="0"/>
          <w:color w:val="auto"/>
          <w:lang w:val="en-US" w:eastAsia="zh-CN"/>
        </w:rPr>
      </w:pPr>
      <w:bookmarkStart w:id="117" w:name="_Toc346010016"/>
      <w:bookmarkStart w:id="118" w:name="_Toc217446088"/>
      <w:bookmarkStart w:id="119" w:name="_Toc494198607"/>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五、投标人基本情况表</w:t>
      </w:r>
      <w:bookmarkEnd w:id="117"/>
      <w:bookmarkEnd w:id="118"/>
      <w:bookmarkEnd w:id="119"/>
    </w:p>
    <w:tbl>
      <w:tblPr>
        <w:tblStyle w:val="47"/>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807"/>
        <w:gridCol w:w="184"/>
        <w:gridCol w:w="1164"/>
        <w:gridCol w:w="1255"/>
        <w:gridCol w:w="868"/>
        <w:gridCol w:w="318"/>
        <w:gridCol w:w="970"/>
        <w:gridCol w:w="273"/>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lang w:eastAsia="zh-CN"/>
              </w:rPr>
              <w:t>投标人</w:t>
            </w:r>
            <w:r>
              <w:rPr>
                <w:rFonts w:hint="eastAsia" w:asciiTheme="minorEastAsia" w:hAnsiTheme="minorEastAsia" w:eastAsiaTheme="minorEastAsia" w:cstheme="minorEastAsia"/>
                <w:bCs/>
                <w:color w:val="auto"/>
                <w:sz w:val="24"/>
                <w:szCs w:val="24"/>
              </w:rPr>
              <w:t>名称</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注册地址</w:t>
            </w:r>
          </w:p>
        </w:tc>
        <w:tc>
          <w:tcPr>
            <w:tcW w:w="4278" w:type="dxa"/>
            <w:gridSpan w:val="5"/>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88"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邮政编码</w:t>
            </w:r>
          </w:p>
        </w:tc>
        <w:tc>
          <w:tcPr>
            <w:tcW w:w="1534"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19" w:type="dxa"/>
            <w:vMerge w:val="restart"/>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联系方式</w:t>
            </w:r>
          </w:p>
        </w:tc>
        <w:tc>
          <w:tcPr>
            <w:tcW w:w="991"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联系人</w:t>
            </w:r>
          </w:p>
        </w:tc>
        <w:tc>
          <w:tcPr>
            <w:tcW w:w="3287" w:type="dxa"/>
            <w:gridSpan w:val="3"/>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88"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联系电话</w:t>
            </w:r>
          </w:p>
        </w:tc>
        <w:tc>
          <w:tcPr>
            <w:tcW w:w="1534"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519" w:type="dxa"/>
            <w:vMerge w:val="continue"/>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991"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传真</w:t>
            </w:r>
          </w:p>
        </w:tc>
        <w:tc>
          <w:tcPr>
            <w:tcW w:w="3287" w:type="dxa"/>
            <w:gridSpan w:val="3"/>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88"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网址</w:t>
            </w:r>
          </w:p>
        </w:tc>
        <w:tc>
          <w:tcPr>
            <w:tcW w:w="1534"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组织结构</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法定代表人</w:t>
            </w:r>
          </w:p>
        </w:tc>
        <w:tc>
          <w:tcPr>
            <w:tcW w:w="807"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姓名</w:t>
            </w:r>
          </w:p>
        </w:tc>
        <w:tc>
          <w:tcPr>
            <w:tcW w:w="1348"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55"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职称</w:t>
            </w:r>
          </w:p>
        </w:tc>
        <w:tc>
          <w:tcPr>
            <w:tcW w:w="1186"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1243" w:type="dxa"/>
            <w:gridSpan w:val="2"/>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联系电话</w:t>
            </w:r>
          </w:p>
        </w:tc>
        <w:tc>
          <w:tcPr>
            <w:tcW w:w="1261"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1"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成立时间</w:t>
            </w:r>
          </w:p>
        </w:tc>
        <w:tc>
          <w:tcPr>
            <w:tcW w:w="2155" w:type="dxa"/>
            <w:gridSpan w:val="3"/>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c>
          <w:tcPr>
            <w:tcW w:w="4945" w:type="dxa"/>
            <w:gridSpan w:val="6"/>
            <w:noWrap w:val="0"/>
            <w:vAlign w:val="center"/>
          </w:tcPr>
          <w:p>
            <w:pPr>
              <w:ind w:firstLine="0" w:firstLineChars="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营业执照</w:t>
            </w:r>
            <w:r>
              <w:rPr>
                <w:rFonts w:hint="eastAsia" w:asciiTheme="minorEastAsia" w:hAnsiTheme="minorEastAsia" w:eastAsiaTheme="minorEastAsia" w:cstheme="minorEastAsia"/>
                <w:color w:val="auto"/>
                <w:sz w:val="24"/>
                <w:szCs w:val="24"/>
              </w:rPr>
              <w:t>号</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注册资金</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开户银行</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账号</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4"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经营范围</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519" w:type="dxa"/>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备注</w:t>
            </w:r>
          </w:p>
        </w:tc>
        <w:tc>
          <w:tcPr>
            <w:tcW w:w="7100" w:type="dxa"/>
            <w:gridSpan w:val="9"/>
            <w:noWrap w:val="0"/>
            <w:vAlign w:val="center"/>
          </w:tcPr>
          <w:p>
            <w:pPr>
              <w:ind w:firstLine="0" w:firstLineChars="0"/>
              <w:jc w:val="center"/>
              <w:rPr>
                <w:rFonts w:hint="eastAsia" w:asciiTheme="minorEastAsia" w:hAnsiTheme="minorEastAsia" w:eastAsiaTheme="minorEastAsia" w:cstheme="minorEastAsia"/>
                <w:bCs/>
                <w:color w:val="auto"/>
                <w:sz w:val="24"/>
                <w:szCs w:val="24"/>
              </w:rPr>
            </w:pPr>
          </w:p>
        </w:tc>
      </w:tr>
    </w:tbl>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snapToGrid/>
        <w:spacing w:line="520" w:lineRule="exact"/>
        <w:ind w:firstLine="480"/>
        <w:jc w:val="left"/>
        <w:rPr>
          <w:rFonts w:hint="eastAsia"/>
          <w:b w:val="0"/>
          <w:color w:val="auto"/>
          <w:kern w:val="2"/>
          <w:sz w:val="24"/>
          <w:szCs w:val="24"/>
          <w:lang w:val="en-US"/>
        </w:rPr>
      </w:pPr>
      <w:r>
        <w:rPr>
          <w:rFonts w:hint="eastAsia"/>
          <w:b w:val="0"/>
          <w:color w:val="auto"/>
          <w:kern w:val="2"/>
          <w:sz w:val="24"/>
          <w:szCs w:val="24"/>
          <w:lang w:val="en-US"/>
        </w:rPr>
        <w:t>日  期:</w:t>
      </w:r>
    </w:p>
    <w:p>
      <w:pPr>
        <w:rPr>
          <w:rFonts w:hint="eastAsia" w:asciiTheme="minorEastAsia" w:hAnsiTheme="minorEastAsia" w:eastAsiaTheme="minorEastAsia" w:cstheme="minorEastAsia"/>
          <w:bCs w:val="0"/>
          <w:color w:val="auto"/>
          <w:lang w:val="en-US" w:eastAsia="zh-CN"/>
        </w:rPr>
      </w:pPr>
      <w:bookmarkStart w:id="120" w:name="_Toc494198609"/>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六、实施本项目的主要人员情况表</w:t>
      </w:r>
      <w:bookmarkEnd w:id="120"/>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采购项目名称：</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采购项目编号：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包件号及名称：</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901"/>
        <w:gridCol w:w="901"/>
        <w:gridCol w:w="901"/>
        <w:gridCol w:w="1168"/>
        <w:gridCol w:w="1276"/>
        <w:gridCol w:w="708"/>
        <w:gridCol w:w="716"/>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类别</w:t>
            </w:r>
          </w:p>
        </w:tc>
        <w:tc>
          <w:tcPr>
            <w:tcW w:w="901"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职务</w:t>
            </w:r>
          </w:p>
        </w:tc>
        <w:tc>
          <w:tcPr>
            <w:tcW w:w="901"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姓名</w:t>
            </w:r>
          </w:p>
        </w:tc>
        <w:tc>
          <w:tcPr>
            <w:tcW w:w="901"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职称</w:t>
            </w:r>
          </w:p>
        </w:tc>
        <w:tc>
          <w:tcPr>
            <w:tcW w:w="1168"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常住地</w:t>
            </w:r>
          </w:p>
        </w:tc>
        <w:tc>
          <w:tcPr>
            <w:tcW w:w="3517" w:type="dxa"/>
            <w:gridSpan w:val="4"/>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相关资料（无可不提供）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168" w:type="dxa"/>
            <w:vMerge w:val="continue"/>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276"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证书名称</w:t>
            </w:r>
          </w:p>
        </w:tc>
        <w:tc>
          <w:tcPr>
            <w:tcW w:w="708"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级别</w:t>
            </w:r>
          </w:p>
        </w:tc>
        <w:tc>
          <w:tcPr>
            <w:tcW w:w="716"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证号</w:t>
            </w:r>
          </w:p>
        </w:tc>
        <w:tc>
          <w:tcPr>
            <w:tcW w:w="817" w:type="dxa"/>
            <w:noWrap w:val="0"/>
            <w:vAlign w:val="center"/>
          </w:tcPr>
          <w:p>
            <w:pPr>
              <w:snapToGrid/>
              <w:spacing w:line="400" w:lineRule="exact"/>
              <w:ind w:firstLine="0" w:firstLineChars="0"/>
              <w:jc w:val="center"/>
              <w:rPr>
                <w:rFonts w:hint="eastAsia" w:cs="Arial"/>
                <w:b w:val="0"/>
                <w:color w:val="auto"/>
                <w:kern w:val="2"/>
                <w:sz w:val="24"/>
                <w:szCs w:val="24"/>
                <w:lang w:val="en-US"/>
              </w:rPr>
            </w:pPr>
            <w:r>
              <w:rPr>
                <w:rFonts w:hint="eastAsia" w:cs="Arial"/>
                <w:b w:val="0"/>
                <w:color w:val="auto"/>
                <w:kern w:val="2"/>
                <w:sz w:val="24"/>
                <w:szCs w:val="24"/>
                <w:lang w:val="en-U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901"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168"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1276"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708"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716"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c>
          <w:tcPr>
            <w:tcW w:w="817" w:type="dxa"/>
            <w:noWrap w:val="0"/>
            <w:vAlign w:val="center"/>
          </w:tcPr>
          <w:p>
            <w:pPr>
              <w:snapToGrid/>
              <w:spacing w:line="400" w:lineRule="exact"/>
              <w:ind w:firstLine="0" w:firstLineChars="0"/>
              <w:jc w:val="center"/>
              <w:rPr>
                <w:rFonts w:hint="eastAsia" w:cs="Arial"/>
                <w:b w:val="0"/>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restart"/>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restart"/>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65" w:type="dxa"/>
            <w:vMerge w:val="continue"/>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901" w:type="dxa"/>
            <w:noWrap w:val="0"/>
            <w:vAlign w:val="center"/>
          </w:tcPr>
          <w:p>
            <w:pPr>
              <w:rPr>
                <w:rFonts w:hint="eastAsia"/>
                <w:color w:val="auto"/>
              </w:rPr>
            </w:pPr>
          </w:p>
        </w:tc>
        <w:tc>
          <w:tcPr>
            <w:tcW w:w="1168" w:type="dxa"/>
            <w:noWrap w:val="0"/>
            <w:vAlign w:val="center"/>
          </w:tcPr>
          <w:p>
            <w:pPr>
              <w:rPr>
                <w:rFonts w:hint="eastAsia"/>
                <w:color w:val="auto"/>
              </w:rPr>
            </w:pPr>
          </w:p>
        </w:tc>
        <w:tc>
          <w:tcPr>
            <w:tcW w:w="1276" w:type="dxa"/>
            <w:noWrap w:val="0"/>
            <w:vAlign w:val="center"/>
          </w:tcPr>
          <w:p>
            <w:pPr>
              <w:rPr>
                <w:rFonts w:hint="eastAsia"/>
                <w:color w:val="auto"/>
              </w:rPr>
            </w:pPr>
          </w:p>
        </w:tc>
        <w:tc>
          <w:tcPr>
            <w:tcW w:w="708" w:type="dxa"/>
            <w:noWrap w:val="0"/>
            <w:vAlign w:val="center"/>
          </w:tcPr>
          <w:p>
            <w:pPr>
              <w:rPr>
                <w:rFonts w:hint="eastAsia"/>
                <w:color w:val="auto"/>
              </w:rPr>
            </w:pPr>
          </w:p>
        </w:tc>
        <w:tc>
          <w:tcPr>
            <w:tcW w:w="716" w:type="dxa"/>
            <w:noWrap w:val="0"/>
            <w:vAlign w:val="center"/>
          </w:tcPr>
          <w:p>
            <w:pPr>
              <w:rPr>
                <w:rFonts w:hint="eastAsia"/>
                <w:color w:val="auto"/>
              </w:rPr>
            </w:pPr>
          </w:p>
        </w:tc>
        <w:tc>
          <w:tcPr>
            <w:tcW w:w="817" w:type="dxa"/>
            <w:noWrap w:val="0"/>
            <w:vAlign w:val="center"/>
          </w:tcPr>
          <w:p>
            <w:pPr>
              <w:rPr>
                <w:rFonts w:hint="eastAsia"/>
                <w:color w:val="auto"/>
              </w:rPr>
            </w:pPr>
          </w:p>
        </w:tc>
      </w:tr>
    </w:tbl>
    <w:p>
      <w:pPr>
        <w:ind w:firstLine="482"/>
        <w:rPr>
          <w:rFonts w:hint="eastAsia"/>
          <w:color w:val="auto"/>
          <w:kern w:val="2"/>
          <w:sz w:val="24"/>
          <w:szCs w:val="24"/>
          <w:lang w:val="en-US"/>
        </w:rPr>
      </w:pPr>
      <w:r>
        <w:rPr>
          <w:rFonts w:hint="eastAsia"/>
          <w:color w:val="auto"/>
          <w:kern w:val="2"/>
          <w:sz w:val="24"/>
          <w:szCs w:val="24"/>
          <w:lang w:val="en-US"/>
        </w:rPr>
        <w:t>注：</w:t>
      </w:r>
    </w:p>
    <w:p>
      <w:pPr>
        <w:ind w:firstLine="482"/>
        <w:rPr>
          <w:color w:val="auto"/>
          <w:kern w:val="2"/>
          <w:sz w:val="24"/>
          <w:szCs w:val="24"/>
          <w:lang w:val="en-US"/>
        </w:rPr>
      </w:pPr>
      <w:r>
        <w:rPr>
          <w:rFonts w:hint="eastAsia"/>
          <w:color w:val="auto"/>
          <w:kern w:val="2"/>
          <w:sz w:val="24"/>
          <w:szCs w:val="24"/>
          <w:lang w:val="en-US"/>
        </w:rPr>
        <w:t>1.以上表格格式行可增减。</w:t>
      </w:r>
    </w:p>
    <w:p>
      <w:pPr>
        <w:ind w:firstLine="482"/>
        <w:rPr>
          <w:rFonts w:hint="eastAsia"/>
          <w:color w:val="auto"/>
          <w:kern w:val="2"/>
          <w:sz w:val="24"/>
          <w:szCs w:val="24"/>
          <w:lang w:val="en-US"/>
        </w:rPr>
      </w:pPr>
      <w:r>
        <w:rPr>
          <w:rFonts w:hint="eastAsia"/>
          <w:color w:val="auto"/>
          <w:kern w:val="2"/>
          <w:sz w:val="24"/>
          <w:szCs w:val="24"/>
          <w:lang w:val="en-US" w:eastAsia="zh-CN"/>
        </w:rPr>
        <w:t>2</w:t>
      </w:r>
      <w:r>
        <w:rPr>
          <w:rFonts w:hint="eastAsia"/>
          <w:color w:val="auto"/>
          <w:kern w:val="2"/>
          <w:sz w:val="24"/>
          <w:szCs w:val="24"/>
          <w:lang w:val="en-US"/>
        </w:rPr>
        <w:t>.</w:t>
      </w:r>
      <w:r>
        <w:rPr>
          <w:rFonts w:hint="eastAsia" w:cs="Arial"/>
          <w:color w:val="auto"/>
          <w:sz w:val="24"/>
        </w:rPr>
        <w:t>人员证明材料要求详见综合评分明细表</w:t>
      </w:r>
      <w:r>
        <w:rPr>
          <w:rFonts w:hint="eastAsia"/>
          <w:color w:val="auto"/>
          <w:kern w:val="2"/>
          <w:sz w:val="24"/>
          <w:szCs w:val="24"/>
          <w:lang w:val="en-US"/>
        </w:rPr>
        <w:t>。</w:t>
      </w:r>
    </w:p>
    <w:p>
      <w:pPr>
        <w:ind w:firstLine="480"/>
        <w:rPr>
          <w:rFonts w:hint="eastAsia"/>
          <w:b w:val="0"/>
          <w:color w:val="auto"/>
          <w:kern w:val="2"/>
          <w:sz w:val="24"/>
          <w:szCs w:val="24"/>
          <w:lang w:val="en-US"/>
        </w:rPr>
      </w:pPr>
    </w:p>
    <w:p>
      <w:pPr>
        <w:ind w:firstLine="480"/>
        <w:rPr>
          <w:rFonts w:hint="eastAsia"/>
          <w:b w:val="0"/>
          <w:color w:val="auto"/>
          <w:kern w:val="2"/>
          <w:sz w:val="24"/>
          <w:szCs w:val="24"/>
          <w:lang w:val="en-US"/>
        </w:rPr>
      </w:pPr>
    </w:p>
    <w:p>
      <w:pPr>
        <w:ind w:firstLine="48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ind w:firstLine="480"/>
        <w:rPr>
          <w:rFonts w:hint="eastAsia"/>
          <w:b w:val="0"/>
          <w:color w:val="auto"/>
          <w:kern w:val="2"/>
          <w:sz w:val="24"/>
          <w:szCs w:val="24"/>
          <w:lang w:val="en-US"/>
        </w:rPr>
      </w:pPr>
      <w:r>
        <w:rPr>
          <w:rFonts w:hint="eastAsia"/>
          <w:b w:val="0"/>
          <w:color w:val="auto"/>
          <w:kern w:val="2"/>
          <w:sz w:val="24"/>
          <w:szCs w:val="24"/>
          <w:lang w:val="en-US"/>
        </w:rPr>
        <w:t>日  期:</w:t>
      </w:r>
    </w:p>
    <w:p>
      <w:pPr>
        <w:ind w:firstLine="480"/>
        <w:rPr>
          <w:rFonts w:hint="eastAsia"/>
          <w:b w:val="0"/>
          <w:color w:val="auto"/>
          <w:kern w:val="2"/>
          <w:sz w:val="24"/>
          <w:szCs w:val="24"/>
          <w:lang w:val="en-US"/>
        </w:rPr>
      </w:pPr>
    </w:p>
    <w:p>
      <w:pPr>
        <w:ind w:firstLine="0" w:firstLineChars="0"/>
        <w:rPr>
          <w:rFonts w:hint="eastAsia"/>
          <w:b w:val="0"/>
          <w:color w:val="auto"/>
          <w:kern w:val="2"/>
          <w:sz w:val="24"/>
          <w:szCs w:val="24"/>
          <w:lang w:val="en-US"/>
        </w:rPr>
      </w:pPr>
    </w:p>
    <w:p>
      <w:pPr>
        <w:pStyle w:val="4"/>
        <w:spacing w:line="400" w:lineRule="exact"/>
        <w:jc w:val="center"/>
        <w:rPr>
          <w:rFonts w:hint="eastAsia" w:asciiTheme="minorEastAsia" w:hAnsiTheme="minorEastAsia" w:eastAsiaTheme="minorEastAsia" w:cstheme="minorEastAsia"/>
          <w:bCs w:val="0"/>
          <w:color w:val="auto"/>
          <w:lang w:val="en-US" w:eastAsia="zh-CN"/>
        </w:rPr>
      </w:pPr>
    </w:p>
    <w:p>
      <w:pP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七、投标人类似项目业绩一览表</w:t>
      </w:r>
    </w:p>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b w:val="0"/>
          <w:color w:val="auto"/>
          <w:sz w:val="24"/>
        </w:rPr>
      </w:pPr>
      <w:r>
        <w:rPr>
          <w:rFonts w:hint="eastAsia"/>
          <w:b w:val="0"/>
          <w:color w:val="auto"/>
          <w:sz w:val="24"/>
        </w:rPr>
        <w:t>采购项目名称：</w:t>
      </w:r>
    </w:p>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b w:val="0"/>
          <w:color w:val="auto"/>
          <w:sz w:val="24"/>
        </w:rPr>
      </w:pPr>
      <w:r>
        <w:rPr>
          <w:rFonts w:hint="eastAsia"/>
          <w:b w:val="0"/>
          <w:color w:val="auto"/>
          <w:sz w:val="24"/>
        </w:rPr>
        <w:t>采购项目编号：</w:t>
      </w:r>
    </w:p>
    <w:p>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b w:val="0"/>
          <w:color w:val="auto"/>
          <w:sz w:val="24"/>
        </w:rPr>
      </w:pPr>
      <w:r>
        <w:rPr>
          <w:rFonts w:hint="eastAsia"/>
          <w:b w:val="0"/>
          <w:color w:val="auto"/>
          <w:sz w:val="24"/>
        </w:rPr>
        <w:t>包件号及名称：</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noWrap w:val="0"/>
            <w:vAlign w:val="center"/>
          </w:tcPr>
          <w:p>
            <w:pPr>
              <w:spacing w:line="400" w:lineRule="exact"/>
              <w:ind w:firstLine="120" w:firstLineChars="50"/>
              <w:jc w:val="center"/>
              <w:rPr>
                <w:rFonts w:hint="eastAsia" w:cs="Arial"/>
                <w:b w:val="0"/>
                <w:color w:val="auto"/>
                <w:sz w:val="24"/>
                <w:szCs w:val="24"/>
              </w:rPr>
            </w:pPr>
            <w:r>
              <w:rPr>
                <w:rFonts w:hint="eastAsia" w:cs="Arial"/>
                <w:b w:val="0"/>
                <w:color w:val="auto"/>
                <w:sz w:val="24"/>
                <w:szCs w:val="24"/>
              </w:rPr>
              <w:t>年份</w:t>
            </w:r>
          </w:p>
        </w:tc>
        <w:tc>
          <w:tcPr>
            <w:tcW w:w="1439" w:type="dxa"/>
            <w:noWrap w:val="0"/>
            <w:vAlign w:val="center"/>
          </w:tcPr>
          <w:p>
            <w:pPr>
              <w:spacing w:line="400" w:lineRule="exact"/>
              <w:ind w:firstLine="120" w:firstLineChars="50"/>
              <w:rPr>
                <w:rFonts w:hint="eastAsia" w:cs="Arial"/>
                <w:b w:val="0"/>
                <w:color w:val="auto"/>
                <w:sz w:val="24"/>
                <w:szCs w:val="24"/>
              </w:rPr>
            </w:pPr>
            <w:r>
              <w:rPr>
                <w:rFonts w:hint="eastAsia" w:cs="Arial"/>
                <w:b w:val="0"/>
                <w:color w:val="auto"/>
                <w:sz w:val="24"/>
                <w:szCs w:val="24"/>
              </w:rPr>
              <w:t>业主名称</w:t>
            </w:r>
          </w:p>
        </w:tc>
        <w:tc>
          <w:tcPr>
            <w:tcW w:w="1319" w:type="dxa"/>
            <w:noWrap w:val="0"/>
            <w:vAlign w:val="center"/>
          </w:tcPr>
          <w:p>
            <w:pPr>
              <w:spacing w:line="400" w:lineRule="exact"/>
              <w:ind w:firstLine="0" w:firstLineChars="0"/>
              <w:rPr>
                <w:rFonts w:cs="Arial"/>
                <w:b w:val="0"/>
                <w:color w:val="auto"/>
                <w:sz w:val="24"/>
                <w:szCs w:val="24"/>
              </w:rPr>
            </w:pPr>
            <w:r>
              <w:rPr>
                <w:rFonts w:cs="Arial"/>
                <w:b w:val="0"/>
                <w:color w:val="auto"/>
                <w:sz w:val="24"/>
                <w:szCs w:val="24"/>
              </w:rPr>
              <w:t>项目名称</w:t>
            </w:r>
          </w:p>
        </w:tc>
        <w:tc>
          <w:tcPr>
            <w:tcW w:w="1160" w:type="dxa"/>
            <w:noWrap w:val="0"/>
            <w:vAlign w:val="center"/>
          </w:tcPr>
          <w:p>
            <w:pPr>
              <w:spacing w:line="400" w:lineRule="exact"/>
              <w:ind w:firstLine="0" w:firstLineChars="0"/>
              <w:rPr>
                <w:rFonts w:cs="Arial"/>
                <w:b w:val="0"/>
                <w:color w:val="auto"/>
                <w:sz w:val="24"/>
                <w:szCs w:val="24"/>
              </w:rPr>
            </w:pPr>
            <w:r>
              <w:rPr>
                <w:rFonts w:cs="Arial"/>
                <w:b w:val="0"/>
                <w:color w:val="auto"/>
                <w:sz w:val="24"/>
                <w:szCs w:val="24"/>
              </w:rPr>
              <w:t>完成时间</w:t>
            </w:r>
          </w:p>
        </w:tc>
        <w:tc>
          <w:tcPr>
            <w:tcW w:w="1421" w:type="dxa"/>
            <w:gridSpan w:val="2"/>
            <w:noWrap w:val="0"/>
            <w:vAlign w:val="center"/>
          </w:tcPr>
          <w:p>
            <w:pPr>
              <w:spacing w:line="400" w:lineRule="exact"/>
              <w:ind w:firstLine="120" w:firstLineChars="50"/>
              <w:rPr>
                <w:rFonts w:hint="eastAsia" w:cs="Arial"/>
                <w:b w:val="0"/>
                <w:color w:val="auto"/>
                <w:sz w:val="24"/>
                <w:szCs w:val="24"/>
              </w:rPr>
            </w:pPr>
            <w:r>
              <w:rPr>
                <w:rFonts w:cs="Arial"/>
                <w:b w:val="0"/>
                <w:color w:val="auto"/>
                <w:sz w:val="24"/>
                <w:szCs w:val="24"/>
              </w:rPr>
              <w:t>合同金额</w:t>
            </w:r>
          </w:p>
        </w:tc>
        <w:tc>
          <w:tcPr>
            <w:tcW w:w="1614" w:type="dxa"/>
            <w:gridSpan w:val="2"/>
            <w:tcBorders>
              <w:right w:val="single" w:color="auto" w:sz="4" w:space="0"/>
            </w:tcBorders>
            <w:noWrap w:val="0"/>
            <w:vAlign w:val="center"/>
          </w:tcPr>
          <w:p>
            <w:pPr>
              <w:spacing w:line="400" w:lineRule="exact"/>
              <w:ind w:firstLine="0" w:firstLineChars="0"/>
              <w:rPr>
                <w:rFonts w:hint="eastAsia" w:cs="Arial"/>
                <w:b w:val="0"/>
                <w:color w:val="auto"/>
                <w:sz w:val="24"/>
                <w:szCs w:val="24"/>
              </w:rPr>
            </w:pPr>
            <w:r>
              <w:rPr>
                <w:rFonts w:hint="eastAsia" w:cs="Arial"/>
                <w:b w:val="0"/>
                <w:color w:val="auto"/>
                <w:sz w:val="24"/>
                <w:szCs w:val="24"/>
              </w:rPr>
              <w:t>是否通过验收</w:t>
            </w:r>
          </w:p>
        </w:tc>
        <w:tc>
          <w:tcPr>
            <w:tcW w:w="1387" w:type="dxa"/>
            <w:gridSpan w:val="2"/>
            <w:tcBorders>
              <w:left w:val="single" w:color="auto" w:sz="4" w:space="0"/>
            </w:tcBorders>
            <w:noWrap w:val="0"/>
            <w:vAlign w:val="center"/>
          </w:tcPr>
          <w:p>
            <w:pPr>
              <w:spacing w:line="400" w:lineRule="exact"/>
              <w:ind w:firstLine="360" w:firstLineChars="150"/>
              <w:rPr>
                <w:rFonts w:hint="eastAsia" w:cs="Arial"/>
                <w:b w:val="0"/>
                <w:color w:val="auto"/>
                <w:sz w:val="24"/>
                <w:szCs w:val="24"/>
              </w:rPr>
            </w:pPr>
            <w:r>
              <w:rPr>
                <w:rFonts w:hint="eastAsia" w:cs="Arial"/>
                <w:b w:val="0"/>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rPr>
            </w:pPr>
          </w:p>
        </w:tc>
        <w:tc>
          <w:tcPr>
            <w:tcW w:w="1439" w:type="dxa"/>
            <w:noWrap w:val="0"/>
            <w:vAlign w:val="center"/>
          </w:tcPr>
          <w:p>
            <w:pPr>
              <w:spacing w:line="400" w:lineRule="exact"/>
              <w:jc w:val="center"/>
              <w:rPr>
                <w:rFonts w:cs="Arial"/>
                <w:color w:val="auto"/>
              </w:rPr>
            </w:pPr>
          </w:p>
        </w:tc>
        <w:tc>
          <w:tcPr>
            <w:tcW w:w="1319" w:type="dxa"/>
            <w:noWrap w:val="0"/>
            <w:vAlign w:val="center"/>
          </w:tcPr>
          <w:p>
            <w:pPr>
              <w:spacing w:line="400" w:lineRule="exact"/>
              <w:jc w:val="center"/>
              <w:rPr>
                <w:rFonts w:cs="Arial"/>
                <w:color w:val="auto"/>
              </w:rPr>
            </w:pPr>
          </w:p>
        </w:tc>
        <w:tc>
          <w:tcPr>
            <w:tcW w:w="1160" w:type="dxa"/>
            <w:noWrap w:val="0"/>
            <w:vAlign w:val="center"/>
          </w:tcPr>
          <w:p>
            <w:pPr>
              <w:spacing w:line="400" w:lineRule="exact"/>
              <w:jc w:val="center"/>
              <w:rPr>
                <w:rFonts w:cs="Arial"/>
                <w:color w:val="auto"/>
              </w:rPr>
            </w:pPr>
          </w:p>
        </w:tc>
        <w:tc>
          <w:tcPr>
            <w:tcW w:w="1421" w:type="dxa"/>
            <w:gridSpan w:val="2"/>
            <w:noWrap w:val="0"/>
            <w:vAlign w:val="center"/>
          </w:tcPr>
          <w:p>
            <w:pPr>
              <w:spacing w:line="400" w:lineRule="exact"/>
              <w:jc w:val="center"/>
              <w:rPr>
                <w:rFonts w:cs="Arial"/>
                <w:color w:val="auto"/>
              </w:rPr>
            </w:pPr>
          </w:p>
        </w:tc>
        <w:tc>
          <w:tcPr>
            <w:tcW w:w="1614" w:type="dxa"/>
            <w:gridSpan w:val="2"/>
            <w:tcBorders>
              <w:right w:val="single" w:color="auto" w:sz="4" w:space="0"/>
            </w:tcBorders>
            <w:noWrap w:val="0"/>
            <w:vAlign w:val="center"/>
          </w:tcPr>
          <w:p>
            <w:pPr>
              <w:spacing w:line="400" w:lineRule="exact"/>
              <w:jc w:val="center"/>
              <w:rPr>
                <w:rFonts w:cs="Arial"/>
                <w:color w:val="auto"/>
              </w:rPr>
            </w:pPr>
          </w:p>
        </w:tc>
        <w:tc>
          <w:tcPr>
            <w:tcW w:w="1387" w:type="dxa"/>
            <w:gridSpan w:val="2"/>
            <w:tcBorders>
              <w:left w:val="single" w:color="auto" w:sz="4" w:space="0"/>
            </w:tcBorders>
            <w:noWrap w:val="0"/>
            <w:vAlign w:val="center"/>
          </w:tcPr>
          <w:p>
            <w:pPr>
              <w:spacing w:line="400" w:lineRule="exact"/>
              <w:jc w:val="center"/>
              <w:rPr>
                <w:rFonts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rPr>
            </w:pPr>
          </w:p>
        </w:tc>
        <w:tc>
          <w:tcPr>
            <w:tcW w:w="1439" w:type="dxa"/>
            <w:noWrap w:val="0"/>
            <w:vAlign w:val="center"/>
          </w:tcPr>
          <w:p>
            <w:pPr>
              <w:spacing w:line="400" w:lineRule="exact"/>
              <w:jc w:val="center"/>
              <w:rPr>
                <w:rFonts w:cs="Arial"/>
                <w:color w:val="auto"/>
              </w:rPr>
            </w:pPr>
          </w:p>
        </w:tc>
        <w:tc>
          <w:tcPr>
            <w:tcW w:w="1319" w:type="dxa"/>
            <w:noWrap w:val="0"/>
            <w:vAlign w:val="center"/>
          </w:tcPr>
          <w:p>
            <w:pPr>
              <w:spacing w:line="400" w:lineRule="exact"/>
              <w:jc w:val="center"/>
              <w:rPr>
                <w:rFonts w:cs="Arial"/>
                <w:color w:val="auto"/>
              </w:rPr>
            </w:pPr>
          </w:p>
        </w:tc>
        <w:tc>
          <w:tcPr>
            <w:tcW w:w="1160" w:type="dxa"/>
            <w:noWrap w:val="0"/>
            <w:vAlign w:val="center"/>
          </w:tcPr>
          <w:p>
            <w:pPr>
              <w:spacing w:line="400" w:lineRule="exact"/>
              <w:jc w:val="center"/>
              <w:rPr>
                <w:rFonts w:cs="Arial"/>
                <w:color w:val="auto"/>
              </w:rPr>
            </w:pPr>
          </w:p>
        </w:tc>
        <w:tc>
          <w:tcPr>
            <w:tcW w:w="1421" w:type="dxa"/>
            <w:gridSpan w:val="2"/>
            <w:noWrap w:val="0"/>
            <w:vAlign w:val="center"/>
          </w:tcPr>
          <w:p>
            <w:pPr>
              <w:spacing w:line="400" w:lineRule="exact"/>
              <w:jc w:val="center"/>
              <w:rPr>
                <w:rFonts w:cs="Arial"/>
                <w:color w:val="auto"/>
              </w:rPr>
            </w:pPr>
          </w:p>
        </w:tc>
        <w:tc>
          <w:tcPr>
            <w:tcW w:w="1614" w:type="dxa"/>
            <w:gridSpan w:val="2"/>
            <w:tcBorders>
              <w:right w:val="single" w:color="auto" w:sz="4" w:space="0"/>
            </w:tcBorders>
            <w:noWrap w:val="0"/>
            <w:vAlign w:val="center"/>
          </w:tcPr>
          <w:p>
            <w:pPr>
              <w:spacing w:line="400" w:lineRule="exact"/>
              <w:jc w:val="center"/>
              <w:rPr>
                <w:rFonts w:cs="Arial"/>
                <w:color w:val="auto"/>
              </w:rPr>
            </w:pPr>
          </w:p>
        </w:tc>
        <w:tc>
          <w:tcPr>
            <w:tcW w:w="1387" w:type="dxa"/>
            <w:gridSpan w:val="2"/>
            <w:tcBorders>
              <w:left w:val="single" w:color="auto" w:sz="4" w:space="0"/>
            </w:tcBorders>
            <w:noWrap w:val="0"/>
            <w:vAlign w:val="center"/>
          </w:tcPr>
          <w:p>
            <w:pPr>
              <w:spacing w:line="400" w:lineRule="exact"/>
              <w:jc w:val="center"/>
              <w:rPr>
                <w:rFonts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rPr>
            </w:pPr>
          </w:p>
        </w:tc>
        <w:tc>
          <w:tcPr>
            <w:tcW w:w="1439" w:type="dxa"/>
            <w:noWrap w:val="0"/>
            <w:vAlign w:val="center"/>
          </w:tcPr>
          <w:p>
            <w:pPr>
              <w:spacing w:line="400" w:lineRule="exact"/>
              <w:jc w:val="center"/>
              <w:rPr>
                <w:rFonts w:cs="Arial"/>
                <w:color w:val="auto"/>
              </w:rPr>
            </w:pPr>
          </w:p>
        </w:tc>
        <w:tc>
          <w:tcPr>
            <w:tcW w:w="1319" w:type="dxa"/>
            <w:noWrap w:val="0"/>
            <w:vAlign w:val="center"/>
          </w:tcPr>
          <w:p>
            <w:pPr>
              <w:spacing w:line="400" w:lineRule="exact"/>
              <w:jc w:val="center"/>
              <w:rPr>
                <w:rFonts w:cs="Arial"/>
                <w:color w:val="auto"/>
              </w:rPr>
            </w:pPr>
          </w:p>
        </w:tc>
        <w:tc>
          <w:tcPr>
            <w:tcW w:w="1160" w:type="dxa"/>
            <w:noWrap w:val="0"/>
            <w:vAlign w:val="center"/>
          </w:tcPr>
          <w:p>
            <w:pPr>
              <w:spacing w:line="400" w:lineRule="exact"/>
              <w:jc w:val="center"/>
              <w:rPr>
                <w:rFonts w:cs="Arial"/>
                <w:color w:val="auto"/>
              </w:rPr>
            </w:pPr>
          </w:p>
        </w:tc>
        <w:tc>
          <w:tcPr>
            <w:tcW w:w="1421" w:type="dxa"/>
            <w:gridSpan w:val="2"/>
            <w:noWrap w:val="0"/>
            <w:vAlign w:val="center"/>
          </w:tcPr>
          <w:p>
            <w:pPr>
              <w:spacing w:line="400" w:lineRule="exact"/>
              <w:jc w:val="center"/>
              <w:rPr>
                <w:rFonts w:cs="Arial"/>
                <w:color w:val="auto"/>
              </w:rPr>
            </w:pPr>
          </w:p>
        </w:tc>
        <w:tc>
          <w:tcPr>
            <w:tcW w:w="1614" w:type="dxa"/>
            <w:gridSpan w:val="2"/>
            <w:tcBorders>
              <w:right w:val="single" w:color="auto" w:sz="4" w:space="0"/>
            </w:tcBorders>
            <w:noWrap w:val="0"/>
            <w:vAlign w:val="center"/>
          </w:tcPr>
          <w:p>
            <w:pPr>
              <w:spacing w:line="400" w:lineRule="exact"/>
              <w:jc w:val="center"/>
              <w:rPr>
                <w:rFonts w:cs="Arial"/>
                <w:color w:val="auto"/>
              </w:rPr>
            </w:pPr>
          </w:p>
        </w:tc>
        <w:tc>
          <w:tcPr>
            <w:tcW w:w="1387" w:type="dxa"/>
            <w:gridSpan w:val="2"/>
            <w:tcBorders>
              <w:left w:val="single" w:color="auto" w:sz="4" w:space="0"/>
            </w:tcBorders>
            <w:noWrap w:val="0"/>
            <w:vAlign w:val="center"/>
          </w:tcPr>
          <w:p>
            <w:pPr>
              <w:spacing w:line="400" w:lineRule="exact"/>
              <w:jc w:val="center"/>
              <w:rPr>
                <w:rFonts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noWrap w:val="0"/>
            <w:vAlign w:val="center"/>
          </w:tcPr>
          <w:p>
            <w:pPr>
              <w:spacing w:line="400" w:lineRule="exact"/>
              <w:jc w:val="center"/>
              <w:rPr>
                <w:rFonts w:cs="Arial"/>
                <w:color w:val="auto"/>
              </w:rPr>
            </w:pPr>
          </w:p>
        </w:tc>
        <w:tc>
          <w:tcPr>
            <w:tcW w:w="1439" w:type="dxa"/>
            <w:tcBorders>
              <w:right w:val="single" w:color="auto" w:sz="4" w:space="0"/>
            </w:tcBorders>
            <w:noWrap w:val="0"/>
            <w:vAlign w:val="center"/>
          </w:tcPr>
          <w:p>
            <w:pPr>
              <w:spacing w:line="400" w:lineRule="exact"/>
              <w:jc w:val="center"/>
              <w:rPr>
                <w:rFonts w:cs="Arial"/>
                <w:color w:val="auto"/>
              </w:rPr>
            </w:pPr>
          </w:p>
        </w:tc>
        <w:tc>
          <w:tcPr>
            <w:tcW w:w="1319" w:type="dxa"/>
            <w:tcBorders>
              <w:left w:val="single" w:color="auto" w:sz="4" w:space="0"/>
            </w:tcBorders>
            <w:noWrap w:val="0"/>
            <w:vAlign w:val="center"/>
          </w:tcPr>
          <w:p>
            <w:pPr>
              <w:spacing w:line="400" w:lineRule="exact"/>
              <w:jc w:val="center"/>
              <w:rPr>
                <w:rFonts w:cs="Arial"/>
                <w:color w:val="auto"/>
              </w:rPr>
            </w:pPr>
          </w:p>
        </w:tc>
        <w:tc>
          <w:tcPr>
            <w:tcW w:w="1160" w:type="dxa"/>
            <w:noWrap w:val="0"/>
            <w:vAlign w:val="center"/>
          </w:tcPr>
          <w:p>
            <w:pPr>
              <w:spacing w:line="400" w:lineRule="exact"/>
              <w:jc w:val="center"/>
              <w:rPr>
                <w:rFonts w:cs="Arial"/>
                <w:color w:val="auto"/>
              </w:rPr>
            </w:pPr>
          </w:p>
        </w:tc>
        <w:tc>
          <w:tcPr>
            <w:tcW w:w="1421" w:type="dxa"/>
            <w:gridSpan w:val="2"/>
            <w:noWrap w:val="0"/>
            <w:vAlign w:val="center"/>
          </w:tcPr>
          <w:p>
            <w:pPr>
              <w:spacing w:line="400" w:lineRule="exact"/>
              <w:jc w:val="center"/>
              <w:rPr>
                <w:rFonts w:cs="Arial"/>
                <w:color w:val="auto"/>
              </w:rPr>
            </w:pPr>
          </w:p>
        </w:tc>
        <w:tc>
          <w:tcPr>
            <w:tcW w:w="1614" w:type="dxa"/>
            <w:gridSpan w:val="2"/>
            <w:tcBorders>
              <w:right w:val="single" w:color="auto" w:sz="4" w:space="0"/>
            </w:tcBorders>
            <w:noWrap w:val="0"/>
            <w:vAlign w:val="center"/>
          </w:tcPr>
          <w:p>
            <w:pPr>
              <w:spacing w:line="400" w:lineRule="exact"/>
              <w:jc w:val="center"/>
              <w:rPr>
                <w:rFonts w:cs="Arial"/>
                <w:color w:val="auto"/>
              </w:rPr>
            </w:pPr>
          </w:p>
        </w:tc>
        <w:tc>
          <w:tcPr>
            <w:tcW w:w="1387" w:type="dxa"/>
            <w:gridSpan w:val="2"/>
            <w:tcBorders>
              <w:left w:val="single" w:color="auto" w:sz="4" w:space="0"/>
            </w:tcBorders>
            <w:noWrap w:val="0"/>
            <w:vAlign w:val="center"/>
          </w:tcPr>
          <w:p>
            <w:pPr>
              <w:spacing w:line="400" w:lineRule="exact"/>
              <w:jc w:val="center"/>
              <w:rPr>
                <w:rFonts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noWrap w:val="0"/>
            <w:vAlign w:val="center"/>
          </w:tcPr>
          <w:p>
            <w:pPr>
              <w:spacing w:line="400" w:lineRule="exact"/>
              <w:rPr>
                <w:rFonts w:hint="eastAsia" w:cs="Arial"/>
                <w:color w:val="auto"/>
              </w:rPr>
            </w:pPr>
          </w:p>
        </w:tc>
        <w:tc>
          <w:tcPr>
            <w:tcW w:w="1439" w:type="dxa"/>
            <w:tcBorders>
              <w:left w:val="single" w:color="auto" w:sz="4" w:space="0"/>
              <w:right w:val="single" w:color="auto" w:sz="4" w:space="0"/>
            </w:tcBorders>
            <w:noWrap w:val="0"/>
            <w:vAlign w:val="center"/>
          </w:tcPr>
          <w:p>
            <w:pPr>
              <w:spacing w:line="400" w:lineRule="exact"/>
              <w:rPr>
                <w:rFonts w:hint="eastAsia" w:cs="Arial"/>
                <w:color w:val="auto"/>
              </w:rPr>
            </w:pPr>
          </w:p>
        </w:tc>
        <w:tc>
          <w:tcPr>
            <w:tcW w:w="1319" w:type="dxa"/>
            <w:tcBorders>
              <w:left w:val="single" w:color="auto" w:sz="4" w:space="0"/>
              <w:right w:val="single" w:color="auto" w:sz="4" w:space="0"/>
            </w:tcBorders>
            <w:noWrap w:val="0"/>
            <w:vAlign w:val="center"/>
          </w:tcPr>
          <w:p>
            <w:pPr>
              <w:spacing w:line="400" w:lineRule="exact"/>
              <w:rPr>
                <w:rFonts w:hint="eastAsia" w:cs="Arial"/>
                <w:color w:val="auto"/>
              </w:rPr>
            </w:pPr>
          </w:p>
        </w:tc>
        <w:tc>
          <w:tcPr>
            <w:tcW w:w="1160" w:type="dxa"/>
            <w:tcBorders>
              <w:left w:val="single" w:color="auto" w:sz="4" w:space="0"/>
              <w:right w:val="single" w:color="auto" w:sz="4" w:space="0"/>
            </w:tcBorders>
            <w:noWrap w:val="0"/>
            <w:vAlign w:val="center"/>
          </w:tcPr>
          <w:p>
            <w:pPr>
              <w:spacing w:line="400" w:lineRule="exact"/>
              <w:rPr>
                <w:rFonts w:hint="eastAsia" w:cs="Arial"/>
                <w:color w:val="auto"/>
              </w:rPr>
            </w:pPr>
          </w:p>
        </w:tc>
        <w:tc>
          <w:tcPr>
            <w:tcW w:w="1415" w:type="dxa"/>
            <w:tcBorders>
              <w:left w:val="single" w:color="auto" w:sz="4" w:space="0"/>
              <w:right w:val="single" w:color="auto" w:sz="4" w:space="0"/>
            </w:tcBorders>
            <w:noWrap w:val="0"/>
            <w:vAlign w:val="center"/>
          </w:tcPr>
          <w:p>
            <w:pPr>
              <w:spacing w:line="400" w:lineRule="exact"/>
              <w:rPr>
                <w:rFonts w:hint="eastAsia" w:cs="Arial"/>
                <w:color w:val="auto"/>
              </w:rPr>
            </w:pPr>
          </w:p>
        </w:tc>
        <w:tc>
          <w:tcPr>
            <w:tcW w:w="1605" w:type="dxa"/>
            <w:gridSpan w:val="2"/>
            <w:tcBorders>
              <w:left w:val="single" w:color="auto" w:sz="4" w:space="0"/>
              <w:right w:val="single" w:color="auto" w:sz="4" w:space="0"/>
            </w:tcBorders>
            <w:noWrap w:val="0"/>
            <w:vAlign w:val="center"/>
          </w:tcPr>
          <w:p>
            <w:pPr>
              <w:spacing w:line="400" w:lineRule="exact"/>
              <w:rPr>
                <w:rFonts w:hint="eastAsia" w:cs="Arial"/>
                <w:color w:val="auto"/>
              </w:rPr>
            </w:pPr>
          </w:p>
        </w:tc>
        <w:tc>
          <w:tcPr>
            <w:tcW w:w="1392" w:type="dxa"/>
            <w:gridSpan w:val="2"/>
            <w:tcBorders>
              <w:left w:val="single" w:color="auto" w:sz="4" w:space="0"/>
            </w:tcBorders>
            <w:noWrap w:val="0"/>
            <w:vAlign w:val="center"/>
          </w:tcPr>
          <w:p>
            <w:pPr>
              <w:spacing w:line="400" w:lineRule="exact"/>
              <w:rPr>
                <w:rFonts w:hint="eastAsia" w:cs="Arial"/>
                <w:color w:val="auto"/>
              </w:rPr>
            </w:pPr>
          </w:p>
        </w:tc>
      </w:tr>
    </w:tbl>
    <w:p>
      <w:pPr>
        <w:tabs>
          <w:tab w:val="left" w:pos="555"/>
          <w:tab w:val="left" w:pos="2214"/>
          <w:tab w:val="left" w:pos="3774"/>
          <w:tab w:val="left" w:pos="4854"/>
          <w:tab w:val="left" w:pos="5934"/>
          <w:tab w:val="left" w:pos="7014"/>
          <w:tab w:val="left" w:pos="8214"/>
          <w:tab w:val="left" w:pos="10134"/>
          <w:tab w:val="left" w:pos="11124"/>
        </w:tabs>
        <w:spacing w:line="400" w:lineRule="exact"/>
        <w:ind w:firstLine="482"/>
        <w:rPr>
          <w:rFonts w:hint="eastAsia" w:cs="Arial"/>
          <w:color w:val="auto"/>
          <w:sz w:val="24"/>
        </w:rPr>
      </w:pPr>
      <w:r>
        <w:rPr>
          <w:rFonts w:hint="eastAsia" w:cs="Arial"/>
          <w:color w:val="auto"/>
          <w:sz w:val="24"/>
        </w:rPr>
        <w:t>注：</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2"/>
        <w:rPr>
          <w:rFonts w:hint="eastAsia" w:cs="Arial"/>
          <w:color w:val="auto"/>
          <w:sz w:val="24"/>
        </w:rPr>
      </w:pPr>
      <w:r>
        <w:rPr>
          <w:rFonts w:hint="eastAsia" w:cs="Arial"/>
          <w:bCs/>
          <w:color w:val="auto"/>
          <w:sz w:val="24"/>
        </w:rPr>
        <w:t>1.</w:t>
      </w:r>
      <w:r>
        <w:rPr>
          <w:rFonts w:hint="eastAsia" w:cs="Arial"/>
          <w:color w:val="auto"/>
          <w:sz w:val="24"/>
        </w:rPr>
        <w:t>以上表格格式行可增减。</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2"/>
        <w:rPr>
          <w:rFonts w:hint="eastAsia" w:cs="Arial"/>
          <w:color w:val="auto"/>
          <w:sz w:val="24"/>
        </w:rPr>
      </w:pPr>
      <w:r>
        <w:rPr>
          <w:rFonts w:hint="eastAsia" w:cs="Arial"/>
          <w:color w:val="auto"/>
          <w:sz w:val="24"/>
        </w:rPr>
        <w:t>2.投标人（仅限于投标人自己的）以上业绩证明材料要求详见综合评分明细表。</w:t>
      </w:r>
    </w:p>
    <w:p>
      <w:pPr>
        <w:spacing w:line="400" w:lineRule="exact"/>
        <w:ind w:left="360" w:firstLine="482"/>
        <w:jc w:val="center"/>
        <w:rPr>
          <w:rFonts w:hint="eastAsia" w:cs="Arial"/>
          <w:color w:val="auto"/>
          <w:sz w:val="24"/>
        </w:rPr>
      </w:pPr>
    </w:p>
    <w:p>
      <w:pPr>
        <w:jc w:val="left"/>
        <w:rPr>
          <w:rFonts w:hint="eastAsia" w:cs="Arial"/>
          <w:color w:val="auto"/>
        </w:rPr>
      </w:pPr>
    </w:p>
    <w:p>
      <w:pPr>
        <w:ind w:firstLine="48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ind w:firstLine="480"/>
        <w:rPr>
          <w:rFonts w:hint="eastAsia"/>
          <w:b w:val="0"/>
          <w:color w:val="auto"/>
          <w:sz w:val="24"/>
        </w:rPr>
      </w:pPr>
      <w:r>
        <w:rPr>
          <w:rFonts w:hint="eastAsia"/>
          <w:b w:val="0"/>
          <w:color w:val="auto"/>
          <w:kern w:val="2"/>
          <w:sz w:val="24"/>
          <w:szCs w:val="24"/>
          <w:lang w:val="en-US"/>
        </w:rPr>
        <w:t>日  期:</w:t>
      </w: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480"/>
        <w:rPr>
          <w:rFonts w:hint="eastAsia"/>
          <w:b w:val="0"/>
          <w:color w:val="auto"/>
          <w:sz w:val="24"/>
        </w:rPr>
      </w:pPr>
    </w:p>
    <w:p>
      <w:pPr>
        <w:ind w:firstLine="0" w:firstLineChars="0"/>
        <w:rPr>
          <w:rFonts w:hint="eastAsia"/>
          <w:b w:val="0"/>
          <w:color w:val="auto"/>
          <w:kern w:val="2"/>
          <w:sz w:val="24"/>
          <w:szCs w:val="24"/>
          <w:lang w:val="en-US"/>
        </w:rPr>
      </w:pPr>
    </w:p>
    <w:p>
      <w:pPr>
        <w:rPr>
          <w:rFonts w:hint="eastAsia" w:asciiTheme="minorEastAsia" w:hAnsiTheme="minorEastAsia" w:eastAsiaTheme="minorEastAsia" w:cstheme="minorEastAsia"/>
          <w:bCs w:val="0"/>
          <w:color w:val="auto"/>
          <w:lang w:val="en-US" w:eastAsia="zh-CN"/>
        </w:rPr>
      </w:pPr>
      <w:bookmarkStart w:id="121" w:name="_Toc494198610"/>
      <w:r>
        <w:rPr>
          <w:rFonts w:hint="eastAsia" w:asciiTheme="minorEastAsia" w:hAnsiTheme="minorEastAsia" w:eastAsiaTheme="minorEastAsia" w:cstheme="minorEastAsia"/>
          <w:bCs w:val="0"/>
          <w:color w:val="auto"/>
          <w:lang w:val="en-US" w:eastAsia="zh-CN"/>
        </w:rPr>
        <w:br w:type="page"/>
      </w:r>
    </w:p>
    <w:p>
      <w:pPr>
        <w:pStyle w:val="4"/>
        <w:spacing w:line="400" w:lineRule="exact"/>
        <w:jc w:val="center"/>
        <w:rPr>
          <w:rFonts w:hint="eastAsia" w:asciiTheme="minorEastAsia" w:hAnsiTheme="minorEastAsia" w:eastAsiaTheme="minorEastAsia" w:cstheme="minorEastAsia"/>
          <w:bCs w:val="0"/>
          <w:color w:val="auto"/>
          <w:lang w:val="en-US" w:eastAsia="zh-CN"/>
        </w:rPr>
      </w:pPr>
      <w:r>
        <w:rPr>
          <w:rFonts w:hint="eastAsia" w:asciiTheme="minorEastAsia" w:hAnsiTheme="minorEastAsia" w:eastAsiaTheme="minorEastAsia" w:cstheme="minorEastAsia"/>
          <w:bCs w:val="0"/>
          <w:color w:val="auto"/>
          <w:lang w:val="en-US" w:eastAsia="zh-CN"/>
        </w:rPr>
        <w:t>八、</w:t>
      </w:r>
      <w:bookmarkEnd w:id="121"/>
      <w:r>
        <w:rPr>
          <w:rFonts w:hint="eastAsia" w:asciiTheme="minorEastAsia" w:hAnsiTheme="minorEastAsia" w:eastAsiaTheme="minorEastAsia" w:cstheme="minorEastAsia"/>
          <w:bCs w:val="0"/>
          <w:color w:val="auto"/>
          <w:lang w:val="en-US" w:eastAsia="zh-CN"/>
        </w:rPr>
        <w:t>服务方案</w:t>
      </w:r>
    </w:p>
    <w:p>
      <w:pPr>
        <w:ind w:firstLine="480"/>
        <w:rPr>
          <w:rFonts w:hint="eastAsia"/>
          <w:b w:val="0"/>
          <w:color w:val="auto"/>
          <w:kern w:val="2"/>
          <w:sz w:val="24"/>
          <w:szCs w:val="24"/>
          <w:lang w:val="en-US"/>
        </w:rPr>
      </w:pPr>
    </w:p>
    <w:p>
      <w:pPr>
        <w:ind w:firstLine="480"/>
        <w:rPr>
          <w:rFonts w:hint="eastAsia"/>
          <w:b w:val="0"/>
          <w:color w:val="auto"/>
          <w:kern w:val="2"/>
          <w:sz w:val="24"/>
          <w:szCs w:val="24"/>
          <w:lang w:val="en-US"/>
        </w:rPr>
      </w:pPr>
      <w:r>
        <w:rPr>
          <w:rFonts w:hint="eastAsia"/>
          <w:b w:val="0"/>
          <w:color w:val="auto"/>
          <w:kern w:val="2"/>
          <w:sz w:val="24"/>
          <w:szCs w:val="24"/>
          <w:lang w:val="en-US"/>
        </w:rPr>
        <w:t xml:space="preserve">采购项目名称： </w:t>
      </w:r>
    </w:p>
    <w:p>
      <w:pPr>
        <w:ind w:firstLine="480"/>
        <w:rPr>
          <w:rFonts w:hint="eastAsia"/>
          <w:b w:val="0"/>
          <w:color w:val="auto"/>
          <w:kern w:val="2"/>
          <w:sz w:val="24"/>
          <w:szCs w:val="24"/>
          <w:lang w:val="en-US"/>
        </w:rPr>
      </w:pPr>
      <w:r>
        <w:rPr>
          <w:rFonts w:hint="eastAsia"/>
          <w:b w:val="0"/>
          <w:color w:val="auto"/>
          <w:kern w:val="2"/>
          <w:sz w:val="24"/>
          <w:szCs w:val="24"/>
          <w:lang w:val="en-US"/>
        </w:rPr>
        <w:t>采购项目编号：</w:t>
      </w:r>
    </w:p>
    <w:p>
      <w:pPr>
        <w:ind w:firstLine="480"/>
        <w:rPr>
          <w:rFonts w:hint="eastAsia"/>
          <w:b w:val="0"/>
          <w:color w:val="auto"/>
          <w:kern w:val="2"/>
          <w:sz w:val="24"/>
          <w:szCs w:val="24"/>
          <w:lang w:val="en-US"/>
        </w:rPr>
      </w:pPr>
      <w:r>
        <w:rPr>
          <w:rFonts w:hint="eastAsia"/>
          <w:b w:val="0"/>
          <w:color w:val="auto"/>
          <w:kern w:val="2"/>
          <w:sz w:val="24"/>
          <w:szCs w:val="24"/>
          <w:lang w:val="en-US"/>
        </w:rPr>
        <w:t>包件号及名称：</w:t>
      </w:r>
    </w:p>
    <w:p>
      <w:pPr>
        <w:ind w:firstLine="0" w:firstLineChars="0"/>
        <w:rPr>
          <w:rFonts w:hint="eastAsia"/>
          <w:b w:val="0"/>
          <w:color w:val="auto"/>
          <w:kern w:val="2"/>
          <w:sz w:val="24"/>
          <w:szCs w:val="24"/>
          <w:lang w:val="en-US"/>
        </w:rPr>
      </w:pPr>
    </w:p>
    <w:p>
      <w:pPr>
        <w:rPr>
          <w:rFonts w:hint="eastAsia"/>
          <w:color w:val="auto"/>
        </w:rPr>
      </w:pPr>
    </w:p>
    <w:p>
      <w:pPr>
        <w:rPr>
          <w:rFonts w:hint="eastAsia"/>
          <w:color w:val="auto"/>
        </w:rPr>
      </w:pPr>
    </w:p>
    <w:p>
      <w:pPr>
        <w:ind w:firstLine="480"/>
        <w:rPr>
          <w:rFonts w:hint="eastAsia"/>
          <w:b w:val="0"/>
          <w:color w:val="auto"/>
          <w:kern w:val="2"/>
          <w:sz w:val="24"/>
          <w:szCs w:val="24"/>
          <w:lang w:val="en-US"/>
        </w:rPr>
      </w:pPr>
      <w:r>
        <w:rPr>
          <w:rFonts w:hint="eastAsia"/>
          <w:b w:val="0"/>
          <w:color w:val="auto"/>
          <w:kern w:val="2"/>
          <w:sz w:val="24"/>
          <w:szCs w:val="24"/>
          <w:lang w:val="en-US"/>
        </w:rPr>
        <w:t>由投标人自行编写，格式不限。但应包含且不限于：综合评分明细表涉及内容。</w:t>
      </w:r>
    </w:p>
    <w:p>
      <w:pPr>
        <w:rPr>
          <w:rFonts w:hint="eastAsia"/>
          <w:color w:val="auto"/>
        </w:rPr>
      </w:pPr>
    </w:p>
    <w:p>
      <w:pPr>
        <w:rPr>
          <w:rFonts w:hint="eastAsia"/>
          <w:color w:val="auto"/>
        </w:rPr>
      </w:pPr>
    </w:p>
    <w:p>
      <w:pPr>
        <w:rPr>
          <w:rFonts w:hint="eastAsia"/>
          <w:color w:val="auto"/>
        </w:rPr>
      </w:pPr>
    </w:p>
    <w:p>
      <w:pPr>
        <w:rPr>
          <w:rFonts w:hint="eastAsia"/>
          <w:color w:val="auto"/>
        </w:rPr>
      </w:pPr>
    </w:p>
    <w:p>
      <w:pPr>
        <w:ind w:firstLine="480"/>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ind w:firstLine="480"/>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ind w:firstLine="480"/>
        <w:rPr>
          <w:rFonts w:hint="eastAsia"/>
          <w:b w:val="0"/>
          <w:color w:val="auto"/>
          <w:kern w:val="2"/>
          <w:sz w:val="24"/>
          <w:szCs w:val="24"/>
          <w:lang w:val="en-US"/>
        </w:rPr>
      </w:pPr>
      <w:r>
        <w:rPr>
          <w:rFonts w:hint="eastAsia"/>
          <w:b w:val="0"/>
          <w:color w:val="auto"/>
          <w:kern w:val="2"/>
          <w:sz w:val="24"/>
          <w:szCs w:val="24"/>
          <w:lang w:val="en-US"/>
        </w:rPr>
        <w:t>日  期:</w:t>
      </w:r>
    </w:p>
    <w:p>
      <w:pPr>
        <w:rPr>
          <w:rFonts w:hint="eastAsia"/>
          <w:color w:val="auto"/>
        </w:rPr>
      </w:pPr>
    </w:p>
    <w:p>
      <w:pPr>
        <w:rPr>
          <w:rFonts w:hint="eastAsia"/>
          <w:color w:val="auto"/>
        </w:rPr>
      </w:pPr>
    </w:p>
    <w:p>
      <w:pPr>
        <w:adjustRightInd w:val="0"/>
        <w:spacing w:line="400" w:lineRule="exact"/>
        <w:ind w:firstLine="420" w:firstLineChars="175"/>
        <w:jc w:val="left"/>
        <w:rPr>
          <w:rFonts w:hint="eastAsia" w:asciiTheme="minorEastAsia" w:hAnsiTheme="minorEastAsia" w:eastAsiaTheme="minorEastAsia" w:cstheme="minorEastAsia"/>
          <w:bCs/>
          <w:color w:val="auto"/>
          <w:sz w:val="24"/>
        </w:rPr>
      </w:pPr>
    </w:p>
    <w:p>
      <w:pPr>
        <w:spacing w:line="400" w:lineRule="exact"/>
        <w:rPr>
          <w:rFonts w:hint="eastAsia" w:asciiTheme="minorEastAsia" w:hAnsiTheme="minorEastAsia" w:eastAsiaTheme="minorEastAsia" w:cstheme="minorEastAsia"/>
          <w:color w:val="auto"/>
        </w:rPr>
        <w:sectPr>
          <w:footerReference r:id="rId5" w:type="default"/>
          <w:pgSz w:w="11906" w:h="16838"/>
          <w:pgMar w:top="1091" w:right="1797" w:bottom="1091" w:left="1797" w:header="851" w:footer="992" w:gutter="0"/>
          <w:pgNumType w:start="1"/>
          <w:cols w:space="720" w:num="1"/>
          <w:docGrid w:linePitch="312" w:charSpace="0"/>
        </w:sectPr>
      </w:pPr>
    </w:p>
    <w:p>
      <w:pPr>
        <w:spacing w:line="360" w:lineRule="auto"/>
        <w:jc w:val="center"/>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t>九、中小企业声明函（服务）</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本公司（联合体）郑重声明，根据《政府采购促进中小企业发展管理办法》（财库﹝2020﹞46 号）的规定，本公司 （联合体）参加</w:t>
      </w:r>
      <w:r>
        <w:rPr>
          <w:rFonts w:hint="eastAsia" w:asciiTheme="minorEastAsia" w:hAnsiTheme="minorEastAsia" w:eastAsiaTheme="minorEastAsia" w:cstheme="minorEastAsia"/>
          <w:color w:val="auto"/>
          <w:kern w:val="0"/>
          <w:sz w:val="24"/>
          <w:szCs w:val="24"/>
          <w:u w:val="single"/>
          <w:lang w:bidi="ar"/>
        </w:rPr>
        <w:t>（单位名称）</w:t>
      </w:r>
      <w:r>
        <w:rPr>
          <w:rFonts w:hint="eastAsia" w:asciiTheme="minorEastAsia" w:hAnsiTheme="minorEastAsia" w:eastAsiaTheme="minorEastAsia" w:cstheme="minorEastAsia"/>
          <w:color w:val="auto"/>
          <w:kern w:val="0"/>
          <w:sz w:val="24"/>
          <w:szCs w:val="24"/>
          <w:lang w:bidi="ar"/>
        </w:rPr>
        <w:t>的</w:t>
      </w:r>
      <w:r>
        <w:rPr>
          <w:rFonts w:hint="eastAsia" w:asciiTheme="minorEastAsia" w:hAnsiTheme="minorEastAsia" w:eastAsiaTheme="minorEastAsia" w:cstheme="minorEastAsia"/>
          <w:color w:val="auto"/>
          <w:kern w:val="0"/>
          <w:sz w:val="24"/>
          <w:szCs w:val="24"/>
          <w:u w:val="single"/>
          <w:lang w:bidi="ar"/>
        </w:rPr>
        <w:t>（</w:t>
      </w:r>
      <w:r>
        <w:rPr>
          <w:rFonts w:hint="eastAsia" w:asciiTheme="minorEastAsia" w:hAnsiTheme="minorEastAsia" w:eastAsiaTheme="minorEastAsia" w:cstheme="minorEastAsia"/>
          <w:color w:val="auto"/>
          <w:kern w:val="0"/>
          <w:sz w:val="24"/>
          <w:szCs w:val="24"/>
          <w:u w:val="single"/>
          <w:lang w:eastAsia="zh-CN" w:bidi="ar"/>
        </w:rPr>
        <w:t>采购</w:t>
      </w:r>
      <w:r>
        <w:rPr>
          <w:rFonts w:hint="eastAsia" w:asciiTheme="minorEastAsia" w:hAnsiTheme="minorEastAsia" w:eastAsiaTheme="minorEastAsia" w:cstheme="minorEastAsia"/>
          <w:color w:val="auto"/>
          <w:kern w:val="0"/>
          <w:sz w:val="24"/>
          <w:szCs w:val="24"/>
          <w:u w:val="single"/>
          <w:lang w:bidi="ar"/>
        </w:rPr>
        <w:t>项目名称）</w:t>
      </w:r>
      <w:r>
        <w:rPr>
          <w:rFonts w:hint="eastAsia" w:asciiTheme="minorEastAsia" w:hAnsiTheme="minorEastAsia" w:eastAsiaTheme="minorEastAsia" w:cstheme="minorEastAsia"/>
          <w:color w:val="auto"/>
          <w:kern w:val="0"/>
          <w:sz w:val="24"/>
          <w:szCs w:val="24"/>
          <w:u w:val="single"/>
          <w:lang w:eastAsia="zh-CN" w:bidi="ar"/>
        </w:rPr>
        <w:t>（采购项目编号：</w:t>
      </w:r>
      <w:r>
        <w:rPr>
          <w:rFonts w:hint="eastAsia" w:asciiTheme="minorEastAsia" w:hAnsiTheme="minorEastAsia" w:eastAsiaTheme="minorEastAsia" w:cstheme="minorEastAsia"/>
          <w:color w:val="auto"/>
          <w:kern w:val="0"/>
          <w:sz w:val="24"/>
          <w:szCs w:val="24"/>
          <w:u w:val="single"/>
          <w:lang w:val="en-US" w:eastAsia="zh-CN" w:bidi="ar"/>
        </w:rPr>
        <w:t xml:space="preserve">  </w:t>
      </w:r>
      <w:r>
        <w:rPr>
          <w:rFonts w:hint="eastAsia" w:asciiTheme="minorEastAsia" w:hAnsiTheme="minorEastAsia" w:eastAsiaTheme="minorEastAsia" w:cstheme="minorEastAsia"/>
          <w:color w:val="auto"/>
          <w:kern w:val="0"/>
          <w:sz w:val="24"/>
          <w:szCs w:val="24"/>
          <w:u w:val="single"/>
          <w:lang w:eastAsia="zh-CN" w:bidi="ar"/>
        </w:rPr>
        <w:t>）（包件号及名称：</w:t>
      </w:r>
      <w:r>
        <w:rPr>
          <w:rFonts w:hint="eastAsia" w:asciiTheme="minorEastAsia" w:hAnsiTheme="minorEastAsia" w:eastAsiaTheme="minorEastAsia" w:cstheme="minorEastAsia"/>
          <w:color w:val="auto"/>
          <w:kern w:val="0"/>
          <w:sz w:val="24"/>
          <w:szCs w:val="24"/>
          <w:u w:val="single"/>
          <w:lang w:val="en-US" w:eastAsia="zh-CN" w:bidi="ar"/>
        </w:rPr>
        <w:t xml:space="preserve">  </w:t>
      </w:r>
      <w:r>
        <w:rPr>
          <w:rFonts w:hint="eastAsia" w:asciiTheme="minorEastAsia" w:hAnsiTheme="minorEastAsia" w:eastAsiaTheme="minorEastAsia" w:cstheme="minorEastAsia"/>
          <w:color w:val="auto"/>
          <w:kern w:val="0"/>
          <w:sz w:val="24"/>
          <w:szCs w:val="24"/>
          <w:u w:val="single"/>
          <w:lang w:eastAsia="zh-CN" w:bidi="ar"/>
        </w:rPr>
        <w:t>）</w:t>
      </w:r>
      <w:r>
        <w:rPr>
          <w:rFonts w:hint="eastAsia" w:asciiTheme="minorEastAsia" w:hAnsiTheme="minorEastAsia" w:eastAsiaTheme="minorEastAsia" w:cstheme="minorEastAsia"/>
          <w:color w:val="auto"/>
          <w:kern w:val="0"/>
          <w:sz w:val="24"/>
          <w:szCs w:val="24"/>
          <w:lang w:bidi="ar"/>
        </w:rPr>
        <w:t>采购活动，服务全部由符合政策要求的中小企业承接。相关企业（含联合体中的中小企业、签订分包意向协议的中小企业）的具体情况如下：</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u w:val="none"/>
          <w:lang w:val="en-US" w:eastAsia="zh-CN" w:bidi="ar"/>
        </w:rPr>
        <w:t>1.</w:t>
      </w:r>
      <w:r>
        <w:rPr>
          <w:rFonts w:hint="eastAsia" w:asciiTheme="minorEastAsia" w:hAnsiTheme="minorEastAsia" w:eastAsiaTheme="minorEastAsia" w:cstheme="minorEastAsia"/>
          <w:color w:val="auto"/>
          <w:kern w:val="0"/>
          <w:sz w:val="24"/>
          <w:szCs w:val="24"/>
          <w:u w:val="single"/>
          <w:lang w:bidi="ar"/>
        </w:rPr>
        <w:t xml:space="preserve"> （标的名称） </w:t>
      </w:r>
      <w:r>
        <w:rPr>
          <w:rFonts w:hint="eastAsia" w:asciiTheme="minorEastAsia" w:hAnsiTheme="minorEastAsia" w:eastAsiaTheme="minorEastAsia" w:cstheme="minorEastAsia"/>
          <w:color w:val="auto"/>
          <w:kern w:val="0"/>
          <w:sz w:val="24"/>
          <w:szCs w:val="24"/>
          <w:lang w:bidi="ar"/>
        </w:rPr>
        <w:t>，属于</w:t>
      </w:r>
      <w:r>
        <w:rPr>
          <w:rFonts w:hint="eastAsia" w:asciiTheme="minorEastAsia" w:hAnsiTheme="minorEastAsia" w:eastAsiaTheme="minorEastAsia" w:cstheme="minorEastAsia"/>
          <w:color w:val="auto"/>
          <w:kern w:val="0"/>
          <w:sz w:val="24"/>
          <w:szCs w:val="24"/>
          <w:u w:val="single"/>
          <w:lang w:val="en-US" w:eastAsia="zh-CN" w:bidi="ar"/>
        </w:rPr>
        <w:t xml:space="preserve"> </w:t>
      </w:r>
      <w:r>
        <w:rPr>
          <w:rFonts w:hint="eastAsia" w:asciiTheme="minorEastAsia" w:hAnsiTheme="minorEastAsia" w:eastAsiaTheme="minorEastAsia" w:cstheme="minorEastAsia"/>
          <w:color w:val="auto"/>
          <w:kern w:val="0"/>
          <w:sz w:val="24"/>
          <w:szCs w:val="24"/>
          <w:u w:val="single"/>
          <w:lang w:val="zh-CN" w:eastAsia="zh-CN" w:bidi="ar"/>
        </w:rPr>
        <w:t>其他未列明</w:t>
      </w:r>
      <w:r>
        <w:rPr>
          <w:rFonts w:hint="eastAsia" w:asciiTheme="minorEastAsia" w:hAnsiTheme="minorEastAsia" w:eastAsiaTheme="minorEastAsia" w:cstheme="minorEastAsia"/>
          <w:color w:val="auto"/>
          <w:kern w:val="0"/>
          <w:sz w:val="24"/>
          <w:szCs w:val="24"/>
          <w:u w:val="single"/>
          <w:lang w:val="en-US" w:eastAsia="zh-CN" w:bidi="ar"/>
        </w:rPr>
        <w:t xml:space="preserve">行业 </w:t>
      </w:r>
      <w:r>
        <w:rPr>
          <w:rFonts w:hint="eastAsia" w:asciiTheme="minorEastAsia" w:hAnsiTheme="minorEastAsia" w:eastAsiaTheme="minorEastAsia" w:cstheme="minorEastAsia"/>
          <w:color w:val="auto"/>
          <w:kern w:val="0"/>
          <w:sz w:val="24"/>
          <w:szCs w:val="24"/>
          <w:lang w:bidi="ar"/>
        </w:rPr>
        <w:t>；承接企业为</w:t>
      </w:r>
      <w:r>
        <w:rPr>
          <w:rFonts w:hint="eastAsia" w:asciiTheme="minorEastAsia" w:hAnsiTheme="minorEastAsia" w:eastAsiaTheme="minorEastAsia" w:cstheme="minorEastAsia"/>
          <w:color w:val="auto"/>
          <w:kern w:val="0"/>
          <w:sz w:val="24"/>
          <w:szCs w:val="24"/>
          <w:u w:val="single"/>
          <w:lang w:bidi="ar"/>
        </w:rPr>
        <w:t>（企业名称）</w:t>
      </w:r>
      <w:r>
        <w:rPr>
          <w:rFonts w:hint="eastAsia" w:asciiTheme="minorEastAsia" w:hAnsiTheme="minorEastAsia" w:eastAsiaTheme="minorEastAsia" w:cstheme="minorEastAsia"/>
          <w:color w:val="auto"/>
          <w:kern w:val="0"/>
          <w:sz w:val="24"/>
          <w:szCs w:val="24"/>
          <w:lang w:bidi="ar"/>
        </w:rPr>
        <w:t>，从业人员</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人，营业收入为</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万元，资产总额为</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万元，属于</w:t>
      </w:r>
      <w:r>
        <w:rPr>
          <w:rFonts w:hint="eastAsia" w:asciiTheme="minorEastAsia" w:hAnsiTheme="minorEastAsia" w:eastAsiaTheme="minorEastAsia" w:cstheme="minorEastAsia"/>
          <w:color w:val="auto"/>
          <w:kern w:val="0"/>
          <w:sz w:val="24"/>
          <w:szCs w:val="24"/>
          <w:u w:val="single"/>
          <w:lang w:bidi="ar"/>
        </w:rPr>
        <w:t>（中型企业、小型企业、微型企业）</w:t>
      </w:r>
      <w:r>
        <w:rPr>
          <w:rFonts w:hint="eastAsia" w:asciiTheme="minorEastAsia" w:hAnsiTheme="minorEastAsia" w:eastAsiaTheme="minorEastAsia" w:cstheme="minorEastAsia"/>
          <w:color w:val="auto"/>
          <w:kern w:val="0"/>
          <w:sz w:val="24"/>
          <w:szCs w:val="24"/>
          <w:lang w:bidi="ar"/>
        </w:rPr>
        <w:t xml:space="preserve">； </w:t>
      </w:r>
    </w:p>
    <w:p>
      <w:pPr>
        <w:pStyle w:val="56"/>
        <w:numPr>
          <w:ilvl w:val="4"/>
          <w:numId w:val="0"/>
        </w:numPr>
        <w:ind w:leftChars="0" w:firstLine="480" w:firstLineChars="200"/>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u w:val="none"/>
          <w:lang w:val="en-US" w:eastAsia="zh-CN" w:bidi="ar"/>
        </w:rPr>
        <w:t>2.</w:t>
      </w:r>
      <w:r>
        <w:rPr>
          <w:rFonts w:hint="eastAsia" w:asciiTheme="minorEastAsia" w:hAnsiTheme="minorEastAsia" w:eastAsiaTheme="minorEastAsia" w:cstheme="minorEastAsia"/>
          <w:color w:val="auto"/>
          <w:kern w:val="0"/>
          <w:sz w:val="24"/>
          <w:szCs w:val="24"/>
          <w:u w:val="single"/>
          <w:lang w:bidi="ar"/>
        </w:rPr>
        <w:t xml:space="preserve"> （标的名称） </w:t>
      </w:r>
      <w:r>
        <w:rPr>
          <w:rFonts w:hint="eastAsia" w:asciiTheme="minorEastAsia" w:hAnsiTheme="minorEastAsia" w:eastAsiaTheme="minorEastAsia" w:cstheme="minorEastAsia"/>
          <w:color w:val="auto"/>
          <w:kern w:val="0"/>
          <w:sz w:val="24"/>
          <w:szCs w:val="24"/>
          <w:lang w:bidi="ar"/>
        </w:rPr>
        <w:t>，属于</w:t>
      </w:r>
      <w:r>
        <w:rPr>
          <w:rFonts w:hint="eastAsia" w:asciiTheme="minorEastAsia" w:hAnsiTheme="minorEastAsia" w:eastAsiaTheme="minorEastAsia" w:cstheme="minorEastAsia"/>
          <w:color w:val="auto"/>
          <w:kern w:val="0"/>
          <w:sz w:val="24"/>
          <w:szCs w:val="24"/>
          <w:u w:val="single"/>
          <w:lang w:val="en-US" w:eastAsia="zh-CN" w:bidi="ar"/>
        </w:rPr>
        <w:t xml:space="preserve"> </w:t>
      </w:r>
      <w:r>
        <w:rPr>
          <w:rFonts w:hint="eastAsia" w:asciiTheme="minorEastAsia" w:hAnsiTheme="minorEastAsia" w:eastAsiaTheme="minorEastAsia" w:cstheme="minorEastAsia"/>
          <w:color w:val="auto"/>
          <w:kern w:val="0"/>
          <w:sz w:val="24"/>
          <w:szCs w:val="24"/>
          <w:u w:val="single"/>
          <w:lang w:val="zh-CN" w:eastAsia="zh-CN" w:bidi="ar"/>
        </w:rPr>
        <w:t>其他未列明</w:t>
      </w:r>
      <w:r>
        <w:rPr>
          <w:rFonts w:hint="eastAsia" w:asciiTheme="minorEastAsia" w:hAnsiTheme="minorEastAsia" w:eastAsiaTheme="minorEastAsia" w:cstheme="minorEastAsia"/>
          <w:color w:val="auto"/>
          <w:kern w:val="0"/>
          <w:sz w:val="24"/>
          <w:szCs w:val="24"/>
          <w:u w:val="single"/>
          <w:lang w:val="en-US" w:eastAsia="zh-CN" w:bidi="ar"/>
        </w:rPr>
        <w:t xml:space="preserve">行业 </w:t>
      </w:r>
      <w:r>
        <w:rPr>
          <w:rFonts w:hint="eastAsia" w:asciiTheme="minorEastAsia" w:hAnsiTheme="minorEastAsia" w:eastAsiaTheme="minorEastAsia" w:cstheme="minorEastAsia"/>
          <w:color w:val="auto"/>
          <w:kern w:val="0"/>
          <w:sz w:val="24"/>
          <w:szCs w:val="24"/>
          <w:lang w:bidi="ar"/>
        </w:rPr>
        <w:t>；承接企业为</w:t>
      </w:r>
      <w:r>
        <w:rPr>
          <w:rFonts w:hint="eastAsia" w:asciiTheme="minorEastAsia" w:hAnsiTheme="minorEastAsia" w:eastAsiaTheme="minorEastAsia" w:cstheme="minorEastAsia"/>
          <w:color w:val="auto"/>
          <w:kern w:val="0"/>
          <w:sz w:val="24"/>
          <w:szCs w:val="24"/>
          <w:u w:val="single"/>
          <w:lang w:bidi="ar"/>
        </w:rPr>
        <w:t>（企业名称）</w:t>
      </w:r>
      <w:r>
        <w:rPr>
          <w:rFonts w:hint="eastAsia" w:asciiTheme="minorEastAsia" w:hAnsiTheme="minorEastAsia" w:eastAsiaTheme="minorEastAsia" w:cstheme="minorEastAsia"/>
          <w:color w:val="auto"/>
          <w:kern w:val="0"/>
          <w:sz w:val="24"/>
          <w:szCs w:val="24"/>
          <w:lang w:bidi="ar"/>
        </w:rPr>
        <w:t>，从业人员</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人，营业收入为</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万元，资产总额为</w:t>
      </w:r>
      <w:r>
        <w:rPr>
          <w:rFonts w:hint="eastAsia" w:asciiTheme="minorEastAsia" w:hAnsiTheme="minorEastAsia" w:eastAsiaTheme="minorEastAsia" w:cstheme="minorEastAsia"/>
          <w:color w:val="auto"/>
          <w:kern w:val="0"/>
          <w:sz w:val="24"/>
          <w:szCs w:val="24"/>
          <w:u w:val="single"/>
          <w:lang w:bidi="ar"/>
        </w:rPr>
        <w:t xml:space="preserve">  </w:t>
      </w:r>
      <w:r>
        <w:rPr>
          <w:rFonts w:hint="eastAsia" w:asciiTheme="minorEastAsia" w:hAnsiTheme="minorEastAsia" w:eastAsiaTheme="minorEastAsia" w:cstheme="minorEastAsia"/>
          <w:color w:val="auto"/>
          <w:kern w:val="0"/>
          <w:sz w:val="24"/>
          <w:szCs w:val="24"/>
          <w:lang w:bidi="ar"/>
        </w:rPr>
        <w:t>万元，属于</w:t>
      </w:r>
      <w:r>
        <w:rPr>
          <w:rFonts w:hint="eastAsia" w:asciiTheme="minorEastAsia" w:hAnsiTheme="minorEastAsia" w:eastAsiaTheme="minorEastAsia" w:cstheme="minorEastAsia"/>
          <w:color w:val="auto"/>
          <w:kern w:val="0"/>
          <w:sz w:val="24"/>
          <w:szCs w:val="24"/>
          <w:u w:val="single"/>
          <w:lang w:bidi="ar"/>
        </w:rPr>
        <w:t>（中型企业、小型企业、微型企业）</w:t>
      </w:r>
      <w:r>
        <w:rPr>
          <w:rFonts w:hint="eastAsia" w:asciiTheme="minorEastAsia" w:hAnsiTheme="minorEastAsia" w:eastAsiaTheme="minorEastAsia" w:cstheme="minorEastAsia"/>
          <w:color w:val="auto"/>
          <w:kern w:val="0"/>
          <w:sz w:val="24"/>
          <w:szCs w:val="24"/>
          <w:lang w:bidi="ar"/>
        </w:rPr>
        <w:t xml:space="preserve">； </w:t>
      </w:r>
    </w:p>
    <w:p>
      <w:pPr>
        <w:pStyle w:val="57"/>
        <w:ind w:firstLine="480" w:firstLineChars="200"/>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以上企业，不属于大企业的分支机构，不存在控股股东为大企业的情形，也不存在与大企业的负责人为同一人的情形。</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 xml:space="preserve">本企业对上述声明内容的真实性负责。如有虚假，将依法承担相应责任。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kern w:val="0"/>
          <w:sz w:val="24"/>
          <w:szCs w:val="24"/>
          <w:lang w:bidi="ar"/>
        </w:rPr>
      </w:pP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 xml:space="preserve">投标人名称（加盖公章或电子签章）：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 xml:space="preserve">日 期： </w:t>
      </w:r>
    </w:p>
    <w:p>
      <w:pPr>
        <w:keepNext w:val="0"/>
        <w:keepLines w:val="0"/>
        <w:pageBreakBefore w:val="0"/>
        <w:kinsoku/>
        <w:wordWrap/>
        <w:overflowPunct/>
        <w:topLinePunct w:val="0"/>
        <w:autoSpaceDE/>
        <w:autoSpaceDN/>
        <w:bidi w:val="0"/>
        <w:adjustRightInd w:val="0"/>
        <w:snapToGrid/>
        <w:spacing w:line="360" w:lineRule="auto"/>
        <w:ind w:firstLine="48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pPr>
        <w:keepNext w:val="0"/>
        <w:keepLines w:val="0"/>
        <w:pageBreakBefore w:val="0"/>
        <w:widowControl/>
        <w:kinsoku/>
        <w:wordWrap/>
        <w:overflowPunct/>
        <w:topLinePunct w:val="0"/>
        <w:autoSpaceDE/>
        <w:autoSpaceDN/>
        <w:bidi w:val="0"/>
        <w:snapToGrid/>
        <w:spacing w:line="360" w:lineRule="auto"/>
        <w:ind w:firstLine="480"/>
        <w:jc w:val="left"/>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说明：</w:t>
      </w:r>
    </w:p>
    <w:p>
      <w:pPr>
        <w:snapToGrid w:val="0"/>
        <w:spacing w:line="360" w:lineRule="auto"/>
        <w:ind w:firstLine="504" w:firstLineChars="200"/>
        <w:rPr>
          <w:rFonts w:hint="eastAsia" w:hAnsi="宋体"/>
          <w:b w:val="0"/>
          <w:color w:val="auto"/>
          <w:sz w:val="24"/>
          <w:szCs w:val="24"/>
          <w:lang w:val="zh-CN"/>
        </w:rPr>
      </w:pPr>
      <w:r>
        <w:rPr>
          <w:rFonts w:hint="eastAsia" w:hAnsi="宋体"/>
          <w:b w:val="0"/>
          <w:color w:val="auto"/>
          <w:spacing w:val="6"/>
          <w:sz w:val="24"/>
          <w:szCs w:val="24"/>
          <w:lang w:val="zh-CN"/>
        </w:rPr>
        <w:t>1.</w:t>
      </w:r>
      <w:r>
        <w:rPr>
          <w:rFonts w:hint="eastAsia" w:hAnsi="宋体"/>
          <w:b w:val="0"/>
          <w:color w:val="auto"/>
          <w:sz w:val="24"/>
          <w:szCs w:val="24"/>
          <w:lang w:val="zh-CN"/>
        </w:rPr>
        <w:t>如未提供中小企业声明函，则不能享受招标文件规定的价格扣除，但不影响投标人投标文件的有效性。</w:t>
      </w:r>
    </w:p>
    <w:p>
      <w:pPr>
        <w:snapToGrid w:val="0"/>
        <w:spacing w:line="360" w:lineRule="auto"/>
        <w:ind w:firstLine="480" w:firstLineChars="200"/>
        <w:rPr>
          <w:rFonts w:hint="eastAsia" w:hAnsi="宋体"/>
          <w:b w:val="0"/>
          <w:color w:val="auto"/>
          <w:sz w:val="24"/>
          <w:szCs w:val="24"/>
          <w:lang w:val="zh-CN"/>
        </w:rPr>
      </w:pPr>
      <w:r>
        <w:rPr>
          <w:rFonts w:hint="eastAsia" w:hAnsi="宋体"/>
          <w:b w:val="0"/>
          <w:color w:val="auto"/>
          <w:sz w:val="24"/>
          <w:szCs w:val="24"/>
          <w:lang w:val="zh-CN"/>
        </w:rPr>
        <w:t>2.投标人参加政府采购活动时，提供虚假中小企业声明函的，以提供虚假材料谋取中标处理。</w:t>
      </w:r>
    </w:p>
    <w:p>
      <w:pPr>
        <w:snapToGrid w:val="0"/>
        <w:spacing w:line="360" w:lineRule="auto"/>
        <w:ind w:firstLine="480" w:firstLineChars="200"/>
        <w:rPr>
          <w:rFonts w:hint="eastAsia" w:hAnsi="宋体"/>
          <w:b w:val="0"/>
          <w:bCs/>
          <w:color w:val="auto"/>
          <w:sz w:val="24"/>
          <w:szCs w:val="24"/>
          <w:lang w:val="zh-CN"/>
        </w:rPr>
      </w:pPr>
      <w:r>
        <w:rPr>
          <w:rFonts w:hint="eastAsia" w:hAnsi="宋体"/>
          <w:b w:val="0"/>
          <w:bCs/>
          <w:color w:val="auto"/>
          <w:sz w:val="24"/>
          <w:szCs w:val="24"/>
          <w:lang w:val="zh-CN"/>
        </w:rPr>
        <w:t>3.从业人员、营业收入、资产总额填报上一年度数据，无上一年度数据的新成立企业可不填报。</w:t>
      </w:r>
    </w:p>
    <w:p>
      <w:pPr>
        <w:snapToGrid w:val="0"/>
        <w:spacing w:line="360" w:lineRule="auto"/>
        <w:ind w:firstLine="506" w:firstLineChars="200"/>
        <w:rPr>
          <w:rFonts w:hint="eastAsia" w:hAnsi="宋体"/>
          <w:b/>
          <w:color w:val="auto"/>
          <w:spacing w:val="6"/>
          <w:sz w:val="24"/>
          <w:szCs w:val="24"/>
          <w:lang w:val="zh-CN"/>
        </w:rPr>
      </w:pPr>
    </w:p>
    <w:p>
      <w:pPr>
        <w:rPr>
          <w:rFonts w:hint="eastAsia" w:asciiTheme="minorEastAsia" w:hAnsiTheme="minorEastAsia" w:eastAsiaTheme="minorEastAsia" w:cstheme="minorEastAsia"/>
          <w:b/>
          <w:bCs/>
          <w:color w:val="auto"/>
          <w:kern w:val="2"/>
          <w:sz w:val="32"/>
          <w:szCs w:val="32"/>
        </w:rPr>
      </w:pPr>
      <w:r>
        <w:rPr>
          <w:rFonts w:hint="eastAsia" w:asciiTheme="minorEastAsia" w:hAnsiTheme="minorEastAsia" w:eastAsiaTheme="minorEastAsia" w:cstheme="minorEastAsia"/>
          <w:b/>
          <w:bCs/>
          <w:color w:val="auto"/>
          <w:kern w:val="2"/>
          <w:sz w:val="32"/>
          <w:szCs w:val="32"/>
        </w:rPr>
        <w:br w:type="page"/>
      </w:r>
    </w:p>
    <w:p>
      <w:pPr>
        <w:spacing w:line="720" w:lineRule="auto"/>
        <w:ind w:firstLine="0" w:firstLineChars="0"/>
        <w:jc w:val="center"/>
        <w:rPr>
          <w:rFonts w:hint="eastAsia" w:ascii="宋体" w:hAnsi="宋体" w:cs="宋体"/>
          <w:color w:val="auto"/>
        </w:rPr>
      </w:pPr>
      <w:r>
        <w:rPr>
          <w:rFonts w:hint="eastAsia" w:hAnsi="宋体" w:cs="宋体"/>
          <w:b/>
          <w:bCs/>
          <w:color w:val="auto"/>
          <w:sz w:val="32"/>
          <w:szCs w:val="32"/>
          <w:lang w:eastAsia="zh-CN"/>
        </w:rPr>
        <w:t>十</w:t>
      </w:r>
      <w:r>
        <w:rPr>
          <w:rFonts w:hint="eastAsia" w:ascii="宋体" w:hAnsi="宋体" w:cs="宋体"/>
          <w:b/>
          <w:bCs/>
          <w:color w:val="auto"/>
          <w:sz w:val="32"/>
          <w:szCs w:val="32"/>
        </w:rPr>
        <w:t>、监狱企业证明材料（如有）</w:t>
      </w:r>
    </w:p>
    <w:p>
      <w:pPr>
        <w:ind w:firstLine="480"/>
        <w:rPr>
          <w:rFonts w:hint="eastAsia" w:ascii="宋体" w:hAnsi="宋体" w:cs="宋体"/>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参加政府采购活动的监狱企业应当提供省级以上监狱管理局、戒毒管理局（含新疆生产建设兵团）出具的属于监狱企业的证明文件复印件加盖</w:t>
      </w: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rPr>
        <w:t>公章。</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w:t>
      </w:r>
    </w:p>
    <w:p>
      <w:pPr>
        <w:snapToGrid w:val="0"/>
        <w:spacing w:line="360" w:lineRule="auto"/>
        <w:ind w:firstLine="504" w:firstLineChars="200"/>
        <w:rPr>
          <w:rFonts w:hint="eastAsia" w:hAnsi="宋体"/>
          <w:b w:val="0"/>
          <w:color w:val="auto"/>
          <w:spacing w:val="6"/>
          <w:sz w:val="24"/>
          <w:szCs w:val="24"/>
          <w:lang w:val="zh-CN"/>
        </w:rPr>
      </w:pPr>
      <w:r>
        <w:rPr>
          <w:rFonts w:hint="eastAsia" w:hAnsi="宋体"/>
          <w:b w:val="0"/>
          <w:color w:val="auto"/>
          <w:spacing w:val="6"/>
          <w:sz w:val="24"/>
          <w:szCs w:val="24"/>
          <w:lang w:val="zh-CN"/>
        </w:rPr>
        <w:t>1.参加政府采购活动的监狱企业应当提供省级以上监狱管理局、戒毒管理局（含新疆生产建设兵团）出具的属于监狱企业的证明文件，否则视为无效投标。</w:t>
      </w:r>
      <w:r>
        <w:rPr>
          <w:rFonts w:hint="eastAsia" w:hAnsi="宋体"/>
          <w:b w:val="0"/>
          <w:color w:val="auto"/>
          <w:spacing w:val="6"/>
          <w:sz w:val="24"/>
          <w:szCs w:val="24"/>
          <w:lang w:val="zh-CN"/>
        </w:rPr>
        <w:br w:type="textWrapping"/>
      </w:r>
      <w:r>
        <w:rPr>
          <w:rFonts w:hint="eastAsia" w:hAnsi="宋体"/>
          <w:b w:val="0"/>
          <w:color w:val="auto"/>
          <w:spacing w:val="6"/>
          <w:sz w:val="24"/>
          <w:szCs w:val="24"/>
          <w:lang w:val="en-US" w:eastAsia="zh-CN"/>
        </w:rPr>
        <w:t xml:space="preserve">    </w:t>
      </w:r>
      <w:r>
        <w:rPr>
          <w:rFonts w:hint="eastAsia" w:hAnsi="宋体"/>
          <w:b w:val="0"/>
          <w:color w:val="auto"/>
          <w:spacing w:val="6"/>
          <w:sz w:val="24"/>
          <w:szCs w:val="24"/>
          <w:lang w:val="zh-CN"/>
        </w:rPr>
        <w:t>2.投标人参加政府采购活动时，提供虚假监狱企业证明材料的，以提供虚假材料谋取中标处理。</w:t>
      </w:r>
    </w:p>
    <w:p>
      <w:pPr>
        <w:pStyle w:val="28"/>
        <w:spacing w:line="720" w:lineRule="auto"/>
        <w:ind w:left="0" w:leftChars="0" w:firstLine="0" w:firstLineChars="0"/>
        <w:jc w:val="center"/>
        <w:rPr>
          <w:rFonts w:hint="eastAsia" w:ascii="宋体" w:hAnsi="宋体" w:cs="宋体"/>
          <w:b/>
          <w:color w:val="auto"/>
          <w:sz w:val="32"/>
          <w:szCs w:val="32"/>
        </w:rPr>
      </w:pPr>
    </w:p>
    <w:p>
      <w:pPr>
        <w:pStyle w:val="28"/>
        <w:spacing w:line="720" w:lineRule="auto"/>
        <w:ind w:left="0" w:leftChars="0" w:firstLine="0" w:firstLineChars="0"/>
        <w:jc w:val="center"/>
        <w:rPr>
          <w:rFonts w:hint="eastAsia" w:ascii="宋体" w:hAnsi="宋体" w:cs="宋体"/>
          <w:b/>
          <w:color w:val="auto"/>
          <w:sz w:val="32"/>
          <w:szCs w:val="32"/>
        </w:rPr>
      </w:pPr>
    </w:p>
    <w:p>
      <w:pPr>
        <w:spacing w:line="588" w:lineRule="exact"/>
        <w:ind w:firstLine="643"/>
        <w:jc w:val="center"/>
        <w:rPr>
          <w:rFonts w:hint="eastAsia" w:ascii="宋体" w:hAnsi="宋体" w:cs="宋体"/>
          <w:b/>
          <w:color w:val="auto"/>
          <w:spacing w:val="6"/>
          <w:sz w:val="32"/>
          <w:szCs w:val="32"/>
        </w:rPr>
      </w:pPr>
      <w:r>
        <w:rPr>
          <w:rFonts w:hint="eastAsia" w:hAnsi="宋体" w:cs="宋体"/>
          <w:b/>
          <w:color w:val="auto"/>
          <w:sz w:val="32"/>
          <w:szCs w:val="32"/>
          <w:lang w:eastAsia="zh-CN"/>
        </w:rPr>
        <w:t>十一</w:t>
      </w:r>
      <w:r>
        <w:rPr>
          <w:rFonts w:hint="eastAsia" w:ascii="宋体" w:hAnsi="宋体" w:cs="宋体"/>
          <w:b/>
          <w:color w:val="auto"/>
          <w:sz w:val="32"/>
          <w:szCs w:val="32"/>
        </w:rPr>
        <w:t>、</w:t>
      </w:r>
      <w:r>
        <w:rPr>
          <w:rFonts w:hint="eastAsia" w:ascii="宋体" w:hAnsi="宋体" w:cs="宋体"/>
          <w:b/>
          <w:color w:val="auto"/>
          <w:spacing w:val="6"/>
          <w:sz w:val="32"/>
          <w:szCs w:val="32"/>
        </w:rPr>
        <w:t>残疾人福利性单位声明函</w:t>
      </w:r>
      <w:r>
        <w:rPr>
          <w:rFonts w:hint="eastAsia" w:ascii="宋体" w:hAnsi="宋体" w:cs="宋体"/>
          <w:b/>
          <w:bCs/>
          <w:color w:val="auto"/>
          <w:sz w:val="32"/>
          <w:szCs w:val="32"/>
        </w:rPr>
        <w:t>（如有）</w:t>
      </w:r>
    </w:p>
    <w:p>
      <w:pPr>
        <w:spacing w:line="588" w:lineRule="exact"/>
        <w:ind w:firstLine="626"/>
        <w:rPr>
          <w:rFonts w:hint="eastAsia" w:ascii="宋体" w:hAnsi="宋体" w:cs="宋体"/>
          <w:b/>
          <w:color w:val="auto"/>
          <w:spacing w:val="6"/>
          <w:sz w:val="30"/>
          <w:szCs w:val="30"/>
        </w:rPr>
      </w:pP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本单位郑重声明，根据《财政部 民政部 中国残疾人联合会关于促进残疾人就业政府采购政策的通知》（财库〔2017〕 141号）的规定，本单位为符合条件的残疾人福利性单位，且本单位参加______单位的______项目</w:t>
      </w:r>
      <w:r>
        <w:rPr>
          <w:rFonts w:hint="eastAsia" w:asciiTheme="minorEastAsia" w:hAnsiTheme="minorEastAsia" w:eastAsiaTheme="minorEastAsia" w:cstheme="minorEastAsia"/>
          <w:color w:val="auto"/>
          <w:sz w:val="24"/>
          <w:szCs w:val="24"/>
          <w:lang w:eastAsia="zh-CN"/>
        </w:rPr>
        <w:t>（包件号及名称：</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采购活动提供本单位制造的货物（由本单位承担工程/提供服务），或者提供其他残疾人福利性单位制造的货物（不包括使用非残疾人福利性单位注册商标的货物）。</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本单位对上述声明的真实性负责。如有虚假，将依法承担相应责任。</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　　</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投标人名称：</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（加盖公章或电子签章）</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法定代表人或授权代表（签字或</w:t>
      </w:r>
      <w:r>
        <w:rPr>
          <w:rFonts w:hint="eastAsia" w:asciiTheme="minorEastAsia" w:hAnsiTheme="minorEastAsia" w:eastAsiaTheme="minorEastAsia" w:cstheme="minorEastAsia"/>
          <w:color w:val="auto"/>
          <w:sz w:val="24"/>
          <w:szCs w:val="24"/>
          <w:lang w:eastAsia="zh-CN"/>
        </w:rPr>
        <w:t>加盖</w:t>
      </w:r>
      <w:r>
        <w:rPr>
          <w:rFonts w:hint="eastAsia" w:asciiTheme="minorEastAsia" w:hAnsiTheme="minorEastAsia" w:eastAsiaTheme="minorEastAsia" w:cstheme="minorEastAsia"/>
          <w:color w:val="auto"/>
          <w:sz w:val="24"/>
          <w:szCs w:val="24"/>
        </w:rPr>
        <w:t>印章）：</w:t>
      </w:r>
      <w:r>
        <w:rPr>
          <w:rFonts w:hint="eastAsia" w:asciiTheme="minorEastAsia" w:hAnsiTheme="minorEastAsia" w:eastAsiaTheme="minorEastAsia" w:cstheme="minorEastAsia"/>
          <w:color w:val="auto"/>
          <w:sz w:val="24"/>
          <w:szCs w:val="24"/>
          <w:u w:val="single"/>
        </w:rPr>
        <w:t xml:space="preserve">      </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  期：  </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说明：</w:t>
      </w:r>
    </w:p>
    <w:p>
      <w:pPr>
        <w:snapToGrid w:val="0"/>
        <w:spacing w:line="360" w:lineRule="auto"/>
        <w:ind w:firstLine="504" w:firstLineChars="200"/>
        <w:rPr>
          <w:rFonts w:hint="eastAsia" w:hAnsi="宋体"/>
          <w:b w:val="0"/>
          <w:color w:val="auto"/>
          <w:spacing w:val="6"/>
          <w:sz w:val="24"/>
          <w:szCs w:val="24"/>
          <w:lang w:val="zh-CN" w:eastAsia="zh-CN"/>
        </w:rPr>
      </w:pPr>
      <w:r>
        <w:rPr>
          <w:rFonts w:hint="eastAsia" w:hAnsi="宋体"/>
          <w:b w:val="0"/>
          <w:color w:val="auto"/>
          <w:spacing w:val="6"/>
          <w:sz w:val="24"/>
          <w:szCs w:val="24"/>
          <w:lang w:val="zh-CN"/>
        </w:rPr>
        <w:t>1.如未提供残疾人福利性单位声明函，则不能享受招标文件规定的价格扣除，但不影响投标人投标文件的有效性。</w:t>
      </w:r>
      <w:r>
        <w:rPr>
          <w:rFonts w:hint="eastAsia" w:hAnsi="宋体"/>
          <w:b w:val="0"/>
          <w:color w:val="auto"/>
          <w:spacing w:val="6"/>
          <w:sz w:val="24"/>
          <w:szCs w:val="24"/>
          <w:lang w:val="zh-CN"/>
        </w:rPr>
        <w:br w:type="textWrapping"/>
      </w:r>
      <w:r>
        <w:rPr>
          <w:rFonts w:hint="eastAsia" w:hAnsi="宋体"/>
          <w:b w:val="0"/>
          <w:color w:val="auto"/>
          <w:spacing w:val="6"/>
          <w:sz w:val="24"/>
          <w:szCs w:val="24"/>
          <w:lang w:val="en-US" w:eastAsia="zh-CN"/>
        </w:rPr>
        <w:t xml:space="preserve">    </w:t>
      </w:r>
      <w:r>
        <w:rPr>
          <w:rFonts w:hint="eastAsia" w:hAnsi="宋体"/>
          <w:b w:val="0"/>
          <w:color w:val="auto"/>
          <w:spacing w:val="6"/>
          <w:sz w:val="24"/>
          <w:szCs w:val="24"/>
          <w:lang w:val="zh-CN"/>
        </w:rPr>
        <w:t>2.投标人参加政府采购活动时，提供虚假残疾人福利性单位声明函的，以提供虚假材料谋取中标处理。</w:t>
      </w:r>
    </w:p>
    <w:p>
      <w:pPr>
        <w:rPr>
          <w:rFonts w:hint="eastAsia" w:asciiTheme="minorEastAsia" w:hAnsiTheme="minorEastAsia" w:eastAsiaTheme="minorEastAsia" w:cstheme="minorEastAsia"/>
          <w:b/>
          <w:color w:val="auto"/>
          <w:kern w:val="2"/>
          <w:sz w:val="32"/>
          <w:szCs w:val="28"/>
          <w:lang w:eastAsia="zh-CN"/>
        </w:rPr>
      </w:pPr>
      <w:r>
        <w:rPr>
          <w:rFonts w:hint="eastAsia" w:asciiTheme="minorEastAsia" w:hAnsiTheme="minorEastAsia" w:eastAsiaTheme="minorEastAsia" w:cstheme="minorEastAsia"/>
          <w:b/>
          <w:color w:val="auto"/>
          <w:kern w:val="2"/>
          <w:sz w:val="32"/>
          <w:szCs w:val="28"/>
          <w:lang w:eastAsia="zh-CN"/>
        </w:rPr>
        <w:br w:type="page"/>
      </w:r>
    </w:p>
    <w:p>
      <w:pPr>
        <w:spacing w:line="588" w:lineRule="exact"/>
        <w:jc w:val="center"/>
        <w:rPr>
          <w:rFonts w:hint="eastAsia" w:asciiTheme="minorEastAsia" w:hAnsiTheme="minorEastAsia" w:eastAsiaTheme="minorEastAsia" w:cstheme="minorEastAsia"/>
          <w:b/>
          <w:color w:val="auto"/>
          <w:kern w:val="2"/>
          <w:sz w:val="32"/>
          <w:szCs w:val="28"/>
        </w:rPr>
      </w:pPr>
      <w:r>
        <w:rPr>
          <w:rFonts w:hint="eastAsia" w:asciiTheme="minorEastAsia" w:hAnsiTheme="minorEastAsia" w:eastAsiaTheme="minorEastAsia" w:cstheme="minorEastAsia"/>
          <w:b/>
          <w:color w:val="auto"/>
          <w:kern w:val="2"/>
          <w:sz w:val="32"/>
          <w:szCs w:val="28"/>
          <w:lang w:eastAsia="zh-CN"/>
        </w:rPr>
        <w:t>十二</w:t>
      </w:r>
      <w:r>
        <w:rPr>
          <w:rFonts w:hint="eastAsia" w:asciiTheme="minorEastAsia" w:hAnsiTheme="minorEastAsia" w:eastAsiaTheme="minorEastAsia" w:cstheme="minorEastAsia"/>
          <w:b/>
          <w:color w:val="auto"/>
          <w:kern w:val="2"/>
          <w:sz w:val="32"/>
          <w:szCs w:val="28"/>
        </w:rPr>
        <w:t>、诚信情况承诺函</w:t>
      </w:r>
    </w:p>
    <w:p>
      <w:pPr>
        <w:spacing w:line="360" w:lineRule="auto"/>
        <w:rPr>
          <w:rFonts w:hint="eastAsia" w:asciiTheme="minorEastAsia" w:hAnsiTheme="minorEastAsia" w:eastAsiaTheme="minorEastAsia" w:cstheme="minorEastAsia"/>
          <w:bCs/>
          <w:color w:val="auto"/>
          <w:sz w:val="24"/>
        </w:rPr>
      </w:pPr>
    </w:p>
    <w:p>
      <w:pPr>
        <w:spacing w:line="360" w:lineRule="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lang w:eastAsia="zh-CN"/>
        </w:rPr>
        <w:t>成都市均益建设工程造价咨询有限责任公司</w:t>
      </w:r>
      <w:r>
        <w:rPr>
          <w:rFonts w:hint="eastAsia" w:asciiTheme="minorEastAsia" w:hAnsiTheme="minorEastAsia" w:eastAsiaTheme="minorEastAsia" w:cstheme="minorEastAsia"/>
          <w:bCs/>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eastAsia"/>
          <w:b w:val="0"/>
          <w:color w:val="auto"/>
        </w:rPr>
      </w:pPr>
      <w:r>
        <w:rPr>
          <w:rFonts w:hint="eastAsia" w:asciiTheme="minorEastAsia" w:hAnsiTheme="minorEastAsia" w:eastAsiaTheme="minorEastAsia" w:cstheme="minorEastAsia"/>
          <w:bCs/>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b w:val="0"/>
          <w:color w:val="auto"/>
          <w:kern w:val="2"/>
          <w:sz w:val="24"/>
          <w:szCs w:val="24"/>
          <w:lang w:val="en-US"/>
        </w:rPr>
      </w:pPr>
      <w:r>
        <w:rPr>
          <w:rFonts w:hint="eastAsia"/>
          <w:b w:val="0"/>
          <w:color w:val="auto"/>
          <w:kern w:val="2"/>
          <w:sz w:val="24"/>
          <w:szCs w:val="24"/>
          <w:lang w:val="en-US" w:eastAsia="zh-CN"/>
        </w:rPr>
        <w:t>我单位</w:t>
      </w:r>
      <w:r>
        <w:rPr>
          <w:b w:val="0"/>
          <w:color w:val="auto"/>
          <w:kern w:val="2"/>
          <w:sz w:val="24"/>
          <w:szCs w:val="24"/>
          <w:lang w:val="en-US"/>
        </w:rPr>
        <w:t>在递交投标文件截止日前被财政部门记入诚信档案的且在有效期内的失信行为的有</w:t>
      </w:r>
      <w:r>
        <w:rPr>
          <w:b w:val="0"/>
          <w:color w:val="auto"/>
          <w:kern w:val="2"/>
          <w:sz w:val="24"/>
          <w:szCs w:val="24"/>
          <w:u w:val="single"/>
          <w:lang w:val="en-US"/>
        </w:rPr>
        <w:t xml:space="preserve">    </w:t>
      </w:r>
      <w:r>
        <w:rPr>
          <w:b w:val="0"/>
          <w:color w:val="auto"/>
          <w:kern w:val="2"/>
          <w:sz w:val="24"/>
          <w:szCs w:val="24"/>
          <w:lang w:val="en-US"/>
        </w:rPr>
        <w:t>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val="0"/>
          <w:color w:val="auto"/>
          <w:kern w:val="2"/>
          <w:sz w:val="24"/>
          <w:szCs w:val="24"/>
          <w:lang w:val="en-US"/>
        </w:rPr>
      </w:pPr>
      <w:r>
        <w:rPr>
          <w:rFonts w:hint="eastAsia"/>
          <w:b w:val="0"/>
          <w:color w:val="auto"/>
          <w:kern w:val="2"/>
          <w:sz w:val="24"/>
          <w:szCs w:val="24"/>
          <w:lang w:val="en-US"/>
        </w:rPr>
        <w:t>我单位在递交投标文件截止日前被工商部门、税务部门、审判机关及其他有关部门单位认定且处于有效期内的失信行为的有</w:t>
      </w:r>
      <w:r>
        <w:rPr>
          <w:b w:val="0"/>
          <w:color w:val="auto"/>
          <w:kern w:val="2"/>
          <w:sz w:val="24"/>
          <w:szCs w:val="24"/>
          <w:u w:val="single"/>
          <w:lang w:val="en-US"/>
        </w:rPr>
        <w:t xml:space="preserve">    </w:t>
      </w:r>
      <w:r>
        <w:rPr>
          <w:b w:val="0"/>
          <w:color w:val="auto"/>
          <w:kern w:val="2"/>
          <w:sz w:val="24"/>
          <w:szCs w:val="24"/>
          <w:lang w:val="en-US"/>
        </w:rPr>
        <w:t>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b w:val="0"/>
          <w:color w:val="auto"/>
          <w:kern w:val="2"/>
          <w:sz w:val="24"/>
          <w:szCs w:val="24"/>
          <w:lang w:val="en-US"/>
        </w:rPr>
      </w:pPr>
      <w:r>
        <w:rPr>
          <w:rFonts w:hint="eastAsia"/>
          <w:b w:val="0"/>
          <w:color w:val="auto"/>
          <w:kern w:val="2"/>
          <w:sz w:val="24"/>
          <w:szCs w:val="24"/>
          <w:lang w:val="en-US"/>
        </w:rPr>
        <w:t>本公司对上述承诺的真实性负责。如有虚假，将依法承担相应责任。</w:t>
      </w:r>
    </w:p>
    <w:p>
      <w:pPr>
        <w:ind w:firstLine="0" w:firstLineChars="0"/>
        <w:rPr>
          <w:rFonts w:hint="eastAsia"/>
          <w:b w:val="0"/>
          <w:color w:val="auto"/>
        </w:rPr>
      </w:pPr>
    </w:p>
    <w:p>
      <w:pPr>
        <w:ind w:firstLine="640"/>
        <w:rPr>
          <w:b w:val="0"/>
          <w:color w:val="auto"/>
        </w:rPr>
      </w:pPr>
    </w:p>
    <w:p>
      <w:pPr>
        <w:spacing w:line="480" w:lineRule="auto"/>
        <w:ind w:firstLine="480"/>
        <w:rPr>
          <w:b w:val="0"/>
          <w:color w:val="auto"/>
          <w:sz w:val="24"/>
          <w:szCs w:val="24"/>
        </w:rPr>
      </w:pPr>
    </w:p>
    <w:p>
      <w:pPr>
        <w:adjustRightInd w:val="0"/>
        <w:ind w:firstLine="640"/>
        <w:jc w:val="left"/>
        <w:rPr>
          <w:b w:val="0"/>
          <w:bCs/>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投标人名称（加盖公章或电子签章）：</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b w:val="0"/>
          <w:color w:val="auto"/>
          <w:kern w:val="2"/>
          <w:sz w:val="24"/>
          <w:szCs w:val="24"/>
          <w:lang w:val="en-US"/>
        </w:rPr>
      </w:pPr>
      <w:r>
        <w:rPr>
          <w:rFonts w:hint="eastAsia"/>
          <w:b w:val="0"/>
          <w:color w:val="auto"/>
          <w:kern w:val="2"/>
          <w:sz w:val="24"/>
          <w:szCs w:val="24"/>
          <w:lang w:val="en-US"/>
        </w:rPr>
        <w:t>法定代表人或代理人（签字或加盖印章）：</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color w:val="auto"/>
        </w:rPr>
      </w:pPr>
      <w:r>
        <w:rPr>
          <w:rFonts w:hint="eastAsia"/>
          <w:b w:val="0"/>
          <w:color w:val="auto"/>
          <w:kern w:val="2"/>
          <w:sz w:val="24"/>
          <w:szCs w:val="24"/>
          <w:lang w:val="en-US"/>
        </w:rPr>
        <w:t>日  期:</w:t>
      </w:r>
    </w:p>
    <w:p>
      <w:pPr>
        <w:rPr>
          <w:rFonts w:hint="eastAsia"/>
          <w:color w:val="auto"/>
        </w:rPr>
      </w:pPr>
    </w:p>
    <w:p>
      <w:pPr>
        <w:spacing w:line="560" w:lineRule="atLeast"/>
        <w:ind w:firstLine="482"/>
        <w:rPr>
          <w:rFonts w:hint="eastAsia"/>
          <w:color w:val="auto"/>
          <w:sz w:val="24"/>
        </w:rPr>
      </w:pPr>
      <w:r>
        <w:rPr>
          <w:rFonts w:hint="eastAsia"/>
          <w:color w:val="auto"/>
          <w:sz w:val="24"/>
        </w:rPr>
        <w:t>注：</w:t>
      </w:r>
    </w:p>
    <w:p>
      <w:pPr>
        <w:spacing w:line="560" w:lineRule="atLeast"/>
        <w:ind w:firstLine="480"/>
        <w:rPr>
          <w:rFonts w:hint="eastAsia"/>
          <w:b w:val="0"/>
          <w:color w:val="auto"/>
          <w:sz w:val="24"/>
          <w:szCs w:val="20"/>
        </w:rPr>
      </w:pPr>
      <w:r>
        <w:rPr>
          <w:rFonts w:hint="eastAsia"/>
          <w:b w:val="0"/>
          <w:color w:val="auto"/>
          <w:sz w:val="24"/>
          <w:szCs w:val="20"/>
          <w:lang w:val="en-US"/>
        </w:rPr>
        <w:t>投标人应根据自身实际情况据实进行承诺，“无”请填写“0次”或“零次”或“/”。</w:t>
      </w:r>
    </w:p>
    <w:p>
      <w:pPr>
        <w:rPr>
          <w:rFonts w:hint="eastAsia" w:asciiTheme="minorEastAsia" w:hAnsiTheme="minorEastAsia" w:eastAsiaTheme="minorEastAsia" w:cstheme="minorEastAsia"/>
          <w:bCs/>
          <w:color w:val="auto"/>
          <w:sz w:val="24"/>
        </w:rPr>
      </w:pP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kern w:val="2"/>
          <w:sz w:val="32"/>
          <w:szCs w:val="28"/>
          <w:lang w:val="en-US" w:eastAsia="zh-CN"/>
        </w:rPr>
      </w:pPr>
      <w:bookmarkStart w:id="122" w:name="_Toc27105"/>
      <w:bookmarkStart w:id="123" w:name="_Toc19480"/>
      <w:r>
        <w:rPr>
          <w:rFonts w:hint="eastAsia" w:asciiTheme="minorEastAsia" w:hAnsiTheme="minorEastAsia" w:eastAsiaTheme="minorEastAsia" w:cstheme="minorEastAsia"/>
          <w:b/>
          <w:color w:val="auto"/>
          <w:kern w:val="2"/>
          <w:sz w:val="32"/>
          <w:szCs w:val="28"/>
          <w:lang w:val="en-US" w:eastAsia="zh-CN"/>
        </w:rPr>
        <w:t>十三、投标人认为需要提供的其他文件和资料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kern w:val="2"/>
          <w:sz w:val="32"/>
          <w:szCs w:val="28"/>
          <w:lang w:val="en-US" w:eastAsia="zh-CN"/>
        </w:rPr>
      </w:pPr>
    </w:p>
    <w:p>
      <w:pPr>
        <w:pStyle w:val="2"/>
        <w:rPr>
          <w:rFonts w:hint="eastAsia" w:asciiTheme="minorEastAsia" w:hAnsiTheme="minorEastAsia" w:eastAsiaTheme="minorEastAsia" w:cstheme="minorEastAsia"/>
          <w:b/>
          <w:color w:val="auto"/>
          <w:kern w:val="2"/>
          <w:sz w:val="32"/>
          <w:szCs w:val="28"/>
          <w:lang w:val="en-US" w:eastAsia="zh-CN"/>
        </w:rPr>
      </w:pPr>
    </w:p>
    <w:p>
      <w:pPr>
        <w:rPr>
          <w:rStyle w:val="58"/>
          <w:rFonts w:hint="eastAsia"/>
          <w:color w:val="auto"/>
          <w:sz w:val="32"/>
          <w:szCs w:val="40"/>
          <w:lang w:val="en-US" w:eastAsia="zh-CN"/>
        </w:rPr>
      </w:pPr>
      <w:r>
        <w:rPr>
          <w:rStyle w:val="58"/>
          <w:rFonts w:hint="eastAsia"/>
          <w:color w:val="auto"/>
          <w:sz w:val="32"/>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58"/>
          <w:rFonts w:hint="eastAsia"/>
          <w:color w:val="auto"/>
          <w:sz w:val="32"/>
          <w:szCs w:val="40"/>
          <w:lang w:val="en-US" w:eastAsia="zh-CN"/>
        </w:rPr>
      </w:pPr>
      <w:bookmarkStart w:id="124" w:name="_Toc6494"/>
      <w:r>
        <w:rPr>
          <w:rStyle w:val="58"/>
          <w:rFonts w:hint="eastAsia"/>
          <w:color w:val="auto"/>
          <w:sz w:val="32"/>
          <w:szCs w:val="40"/>
          <w:lang w:val="en-US" w:eastAsia="zh-CN"/>
        </w:rPr>
        <w:t>第四章  投标人和投标产品的资格、资质性及其他具有类似效力的要求</w:t>
      </w:r>
      <w:bookmarkEnd w:id="122"/>
      <w:bookmarkEnd w:id="123"/>
    </w:p>
    <w:bookmarkEnd w:id="124"/>
    <w:p>
      <w:pPr>
        <w:spacing w:line="560" w:lineRule="exact"/>
        <w:ind w:firstLine="0" w:firstLineChars="0"/>
        <w:rPr>
          <w:rFonts w:hint="eastAsia"/>
          <w:color w:val="auto"/>
          <w:sz w:val="24"/>
          <w:szCs w:val="24"/>
        </w:rPr>
      </w:pPr>
      <w:r>
        <w:rPr>
          <w:rFonts w:hint="eastAsia"/>
          <w:b/>
          <w:bCs/>
          <w:color w:val="auto"/>
          <w:sz w:val="24"/>
          <w:szCs w:val="24"/>
        </w:rPr>
        <w:t>一、投标人的资格、资质性要求</w:t>
      </w:r>
    </w:p>
    <w:p>
      <w:pPr>
        <w:spacing w:line="560" w:lineRule="exact"/>
        <w:ind w:firstLine="480"/>
        <w:rPr>
          <w:rFonts w:hint="eastAsia"/>
          <w:b w:val="0"/>
          <w:color w:val="auto"/>
          <w:sz w:val="24"/>
          <w:szCs w:val="24"/>
        </w:rPr>
      </w:pPr>
      <w:r>
        <w:rPr>
          <w:rFonts w:hint="eastAsia"/>
          <w:b w:val="0"/>
          <w:color w:val="auto"/>
          <w:sz w:val="24"/>
          <w:szCs w:val="24"/>
        </w:rPr>
        <w:t>（一）《中华人民共和国政府采购法》第二十二条第一款第1项至第5项规定的条件：</w:t>
      </w:r>
    </w:p>
    <w:p>
      <w:pPr>
        <w:spacing w:line="560" w:lineRule="exact"/>
        <w:ind w:firstLine="480"/>
        <w:rPr>
          <w:rFonts w:hint="eastAsia"/>
          <w:b w:val="0"/>
          <w:color w:val="auto"/>
          <w:sz w:val="24"/>
          <w:szCs w:val="24"/>
        </w:rPr>
      </w:pPr>
      <w:r>
        <w:rPr>
          <w:rFonts w:hint="eastAsia"/>
          <w:b w:val="0"/>
          <w:color w:val="auto"/>
          <w:sz w:val="24"/>
          <w:szCs w:val="24"/>
        </w:rPr>
        <w:t>1、具有独立承担民事责任能力；</w:t>
      </w:r>
    </w:p>
    <w:p>
      <w:pPr>
        <w:spacing w:line="560" w:lineRule="exact"/>
        <w:ind w:firstLine="480"/>
        <w:rPr>
          <w:rFonts w:hint="eastAsia"/>
          <w:b w:val="0"/>
          <w:color w:val="auto"/>
          <w:sz w:val="24"/>
          <w:szCs w:val="24"/>
        </w:rPr>
      </w:pPr>
      <w:r>
        <w:rPr>
          <w:rFonts w:hint="eastAsia"/>
          <w:b w:val="0"/>
          <w:color w:val="auto"/>
          <w:sz w:val="24"/>
          <w:szCs w:val="24"/>
        </w:rPr>
        <w:t>2、具有良好的商业信誉和健全的财务会计制度；</w:t>
      </w:r>
    </w:p>
    <w:p>
      <w:pPr>
        <w:spacing w:line="560" w:lineRule="exact"/>
        <w:ind w:firstLine="480"/>
        <w:rPr>
          <w:rFonts w:hint="eastAsia"/>
          <w:b w:val="0"/>
          <w:color w:val="auto"/>
          <w:sz w:val="24"/>
          <w:szCs w:val="24"/>
        </w:rPr>
      </w:pPr>
      <w:r>
        <w:rPr>
          <w:rFonts w:hint="eastAsia"/>
          <w:b w:val="0"/>
          <w:color w:val="auto"/>
          <w:sz w:val="24"/>
          <w:szCs w:val="24"/>
        </w:rPr>
        <w:t>3、具有履行合同所必需的设备和专业技术能力；</w:t>
      </w:r>
    </w:p>
    <w:p>
      <w:pPr>
        <w:spacing w:line="560" w:lineRule="exact"/>
        <w:ind w:firstLine="480"/>
        <w:rPr>
          <w:rFonts w:hint="eastAsia"/>
          <w:b w:val="0"/>
          <w:color w:val="auto"/>
          <w:sz w:val="24"/>
          <w:szCs w:val="24"/>
        </w:rPr>
      </w:pPr>
      <w:r>
        <w:rPr>
          <w:rFonts w:hint="eastAsia"/>
          <w:b w:val="0"/>
          <w:color w:val="auto"/>
          <w:sz w:val="24"/>
          <w:szCs w:val="24"/>
        </w:rPr>
        <w:t>4、有依法缴纳税收和社会保障资金的良好记录；</w:t>
      </w:r>
    </w:p>
    <w:p>
      <w:pPr>
        <w:spacing w:line="560" w:lineRule="exact"/>
        <w:ind w:firstLine="480"/>
        <w:rPr>
          <w:rFonts w:hint="eastAsia"/>
          <w:b w:val="0"/>
          <w:color w:val="auto"/>
          <w:sz w:val="24"/>
          <w:szCs w:val="24"/>
        </w:rPr>
      </w:pPr>
      <w:r>
        <w:rPr>
          <w:rFonts w:hint="eastAsia"/>
          <w:b w:val="0"/>
          <w:color w:val="auto"/>
          <w:sz w:val="24"/>
          <w:szCs w:val="24"/>
        </w:rPr>
        <w:t>5、参加政府采购活动前三年内，在经营活动中没有重大违法记录；</w:t>
      </w:r>
    </w:p>
    <w:p>
      <w:pPr>
        <w:spacing w:line="560" w:lineRule="exact"/>
        <w:ind w:firstLine="480"/>
        <w:rPr>
          <w:rFonts w:hint="eastAsia"/>
          <w:b w:val="0"/>
          <w:color w:val="auto"/>
          <w:sz w:val="24"/>
          <w:szCs w:val="24"/>
        </w:rPr>
      </w:pPr>
      <w:r>
        <w:rPr>
          <w:rFonts w:hint="eastAsia"/>
          <w:b w:val="0"/>
          <w:color w:val="auto"/>
          <w:sz w:val="24"/>
          <w:szCs w:val="24"/>
        </w:rPr>
        <w:t>（二）法律、行政法规规定的其他条件；</w:t>
      </w:r>
    </w:p>
    <w:p>
      <w:pPr>
        <w:spacing w:line="560" w:lineRule="exact"/>
        <w:ind w:firstLine="480"/>
        <w:rPr>
          <w:rFonts w:hint="eastAsia" w:ascii="宋体" w:eastAsia="宋体" w:cs="Times New Roman"/>
          <w:b w:val="0"/>
          <w:color w:val="auto"/>
          <w:sz w:val="24"/>
          <w:szCs w:val="24"/>
        </w:rPr>
      </w:pPr>
      <w:r>
        <w:rPr>
          <w:rFonts w:hint="eastAsia" w:ascii="宋体" w:eastAsia="宋体" w:cs="Times New Roman"/>
          <w:b w:val="0"/>
          <w:color w:val="auto"/>
          <w:sz w:val="24"/>
          <w:szCs w:val="24"/>
        </w:rPr>
        <w:t>（三）根据采购项目提出的特殊条件：</w:t>
      </w:r>
    </w:p>
    <w:p>
      <w:pPr>
        <w:spacing w:line="560" w:lineRule="exact"/>
        <w:ind w:firstLine="480" w:firstLineChars="200"/>
        <w:rPr>
          <w:rFonts w:hint="eastAsia" w:ascii="宋体" w:eastAsia="宋体" w:cs="Times New Roman"/>
          <w:b w:val="0"/>
          <w:color w:val="auto"/>
          <w:sz w:val="24"/>
          <w:szCs w:val="24"/>
        </w:rPr>
      </w:pPr>
      <w:r>
        <w:rPr>
          <w:rFonts w:hint="eastAsia" w:ascii="宋体" w:eastAsia="宋体" w:cs="Times New Roman"/>
          <w:b w:val="0"/>
          <w:color w:val="auto"/>
          <w:sz w:val="24"/>
          <w:szCs w:val="24"/>
        </w:rPr>
        <w:t xml:space="preserve">1、具有省级及以上行政主管部门颁发的CMA检验检测机构资质认定证书； </w:t>
      </w:r>
    </w:p>
    <w:p>
      <w:pPr>
        <w:spacing w:line="560" w:lineRule="exact"/>
        <w:ind w:firstLine="480"/>
        <w:rPr>
          <w:rFonts w:hint="eastAsia" w:ascii="宋体" w:eastAsia="宋体" w:cs="Times New Roman"/>
          <w:b w:val="0"/>
          <w:color w:val="auto"/>
          <w:sz w:val="24"/>
          <w:szCs w:val="24"/>
        </w:rPr>
      </w:pPr>
      <w:r>
        <w:rPr>
          <w:rFonts w:hint="eastAsia" w:ascii="宋体" w:eastAsia="宋体" w:cs="Times New Roman"/>
          <w:b w:val="0"/>
          <w:color w:val="auto"/>
          <w:sz w:val="24"/>
          <w:szCs w:val="24"/>
        </w:rPr>
        <w:t>2、参加本项目政府采购活动的投标人及其现任法定代表人/主要负责人不得具有行贿犯罪记录。</w:t>
      </w:r>
    </w:p>
    <w:p>
      <w:pPr>
        <w:spacing w:line="560" w:lineRule="exact"/>
        <w:ind w:firstLine="480"/>
        <w:rPr>
          <w:rFonts w:hint="eastAsia" w:ascii="宋体" w:hAnsi="宋体"/>
          <w:b w:val="0"/>
          <w:bCs/>
          <w:color w:val="auto"/>
          <w:kern w:val="0"/>
          <w:sz w:val="24"/>
          <w:lang w:val="en-US" w:eastAsia="zh-CN"/>
        </w:rPr>
      </w:pPr>
      <w:r>
        <w:rPr>
          <w:rFonts w:hint="eastAsia"/>
          <w:b w:val="0"/>
          <w:color w:val="auto"/>
          <w:sz w:val="24"/>
          <w:szCs w:val="24"/>
        </w:rPr>
        <w:t>（</w:t>
      </w:r>
      <w:r>
        <w:rPr>
          <w:rFonts w:hint="eastAsia"/>
          <w:b w:val="0"/>
          <w:color w:val="auto"/>
          <w:sz w:val="24"/>
          <w:szCs w:val="24"/>
          <w:lang w:val="en-US" w:eastAsia="zh-CN"/>
        </w:rPr>
        <w:t>四</w:t>
      </w:r>
      <w:r>
        <w:rPr>
          <w:rFonts w:hint="eastAsia"/>
          <w:b w:val="0"/>
          <w:color w:val="auto"/>
          <w:sz w:val="24"/>
          <w:szCs w:val="24"/>
        </w:rPr>
        <w:t>）</w:t>
      </w:r>
      <w:r>
        <w:rPr>
          <w:rFonts w:hint="eastAsia" w:ascii="宋体" w:hAnsi="宋体" w:eastAsia="宋体" w:cs="宋体"/>
          <w:b w:val="0"/>
          <w:bCs/>
          <w:color w:val="auto"/>
          <w:sz w:val="24"/>
          <w:szCs w:val="24"/>
        </w:rPr>
        <w:t>落实政府采购政策需满足的资格要求：本项目不属于专门面向中小企业采购的项目</w:t>
      </w:r>
      <w:r>
        <w:rPr>
          <w:rFonts w:hint="eastAsia" w:eastAsia="宋体" w:cs="宋体"/>
          <w:b w:val="0"/>
          <w:bCs/>
          <w:color w:val="auto"/>
          <w:sz w:val="24"/>
          <w:szCs w:val="24"/>
          <w:lang w:eastAsia="zh-CN"/>
        </w:rPr>
        <w:t>。</w:t>
      </w:r>
      <w:r>
        <w:rPr>
          <w:rFonts w:hint="eastAsia" w:ascii="宋体" w:hAnsi="宋体" w:eastAsia="宋体" w:cs="宋体"/>
          <w:b w:val="0"/>
          <w:bCs/>
          <w:color w:val="auto"/>
          <w:sz w:val="24"/>
          <w:szCs w:val="24"/>
        </w:rPr>
        <w:t xml:space="preserve">    </w:t>
      </w:r>
    </w:p>
    <w:p>
      <w:pPr>
        <w:spacing w:line="560" w:lineRule="exact"/>
        <w:ind w:firstLine="0" w:firstLineChars="0"/>
        <w:rPr>
          <w:rFonts w:hint="eastAsia"/>
          <w:color w:val="auto"/>
          <w:sz w:val="24"/>
          <w:szCs w:val="24"/>
        </w:rPr>
      </w:pPr>
      <w:r>
        <w:rPr>
          <w:rFonts w:hint="eastAsia"/>
          <w:b/>
          <w:bCs/>
          <w:color w:val="auto"/>
          <w:sz w:val="24"/>
          <w:szCs w:val="24"/>
        </w:rPr>
        <w:t>二、投标产品的资格、资质性要求：</w:t>
      </w:r>
    </w:p>
    <w:p>
      <w:pPr>
        <w:spacing w:line="560" w:lineRule="exact"/>
        <w:ind w:firstLine="480"/>
        <w:rPr>
          <w:rFonts w:hint="eastAsia"/>
          <w:b w:val="0"/>
          <w:color w:val="auto"/>
          <w:sz w:val="24"/>
          <w:szCs w:val="24"/>
        </w:rPr>
      </w:pPr>
      <w:r>
        <w:rPr>
          <w:rFonts w:hint="eastAsia"/>
          <w:b w:val="0"/>
          <w:color w:val="auto"/>
          <w:sz w:val="24"/>
          <w:szCs w:val="24"/>
        </w:rPr>
        <w:t>无。</w:t>
      </w:r>
    </w:p>
    <w:p>
      <w:pPr>
        <w:spacing w:line="560" w:lineRule="exact"/>
        <w:ind w:firstLine="0" w:firstLineChars="0"/>
        <w:rPr>
          <w:rFonts w:hint="eastAsia"/>
          <w:color w:val="auto"/>
          <w:sz w:val="24"/>
          <w:szCs w:val="24"/>
        </w:rPr>
      </w:pPr>
      <w:r>
        <w:rPr>
          <w:rFonts w:hint="eastAsia"/>
          <w:b/>
          <w:bCs/>
          <w:color w:val="auto"/>
          <w:sz w:val="24"/>
          <w:szCs w:val="24"/>
        </w:rPr>
        <w:t>三、其他类似效力要求：</w:t>
      </w:r>
    </w:p>
    <w:p>
      <w:pPr>
        <w:spacing w:line="560" w:lineRule="exact"/>
        <w:ind w:firstLine="480"/>
        <w:rPr>
          <w:rFonts w:hint="eastAsia"/>
          <w:b w:val="0"/>
          <w:color w:val="auto"/>
          <w:sz w:val="24"/>
          <w:szCs w:val="24"/>
        </w:rPr>
      </w:pPr>
      <w:r>
        <w:rPr>
          <w:rFonts w:hint="eastAsia"/>
          <w:b w:val="0"/>
          <w:color w:val="auto"/>
          <w:sz w:val="24"/>
          <w:szCs w:val="24"/>
        </w:rPr>
        <w:t>1、授权参加本次投标活动的投标人代表；</w:t>
      </w:r>
    </w:p>
    <w:p>
      <w:pPr>
        <w:spacing w:line="540" w:lineRule="exact"/>
        <w:ind w:firstLine="480"/>
        <w:rPr>
          <w:rFonts w:hint="eastAsia"/>
          <w:b w:val="0"/>
          <w:color w:val="auto"/>
          <w:sz w:val="24"/>
          <w:szCs w:val="24"/>
        </w:rPr>
      </w:pPr>
      <w:r>
        <w:rPr>
          <w:rFonts w:hint="eastAsia"/>
          <w:b w:val="0"/>
          <w:color w:val="auto"/>
          <w:sz w:val="24"/>
          <w:szCs w:val="24"/>
        </w:rPr>
        <w:t>2、不属于禁止参加投标的任一情形。</w:t>
      </w:r>
    </w:p>
    <w:p>
      <w:pPr>
        <w:ind w:firstLine="0" w:firstLineChars="0"/>
        <w:rPr>
          <w:rFonts w:hint="eastAsia"/>
          <w:color w:val="auto"/>
          <w:sz w:val="24"/>
          <w:szCs w:val="24"/>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b/>
          <w:bCs/>
          <w:color w:val="auto"/>
          <w:sz w:val="24"/>
          <w:szCs w:val="24"/>
        </w:rPr>
      </w:pPr>
      <w:r>
        <w:rPr>
          <w:rFonts w:hint="eastAsia"/>
          <w:b w:val="0"/>
          <w:bCs w:val="0"/>
          <w:color w:val="auto"/>
          <w:sz w:val="24"/>
          <w:szCs w:val="24"/>
        </w:rPr>
        <w:t>注：1.本项目确定供应商重大违法记录中较大数额罚款的金额标准为：</w:t>
      </w:r>
      <w:r>
        <w:rPr>
          <w:rFonts w:hint="eastAsia"/>
          <w:b/>
          <w:bCs/>
          <w:color w:val="auto"/>
          <w:sz w:val="24"/>
          <w:szCs w:val="24"/>
        </w:rPr>
        <w:t>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b w:val="0"/>
          <w:bCs w:val="0"/>
          <w:color w:val="auto"/>
        </w:rPr>
        <w:sectPr>
          <w:footerReference r:id="rId6" w:type="default"/>
          <w:pgSz w:w="11906" w:h="16838"/>
          <w:pgMar w:top="1089" w:right="1797" w:bottom="1089" w:left="1797" w:header="851" w:footer="992" w:gutter="0"/>
          <w:cols w:space="720" w:num="1"/>
          <w:docGrid w:linePitch="462" w:charSpace="0"/>
        </w:sectPr>
      </w:pPr>
      <w:r>
        <w:rPr>
          <w:rFonts w:hint="eastAsia"/>
          <w:b w:val="0"/>
          <w:bCs w:val="0"/>
          <w:color w:val="auto"/>
          <w:sz w:val="24"/>
          <w:szCs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3"/>
        <w:rPr>
          <w:rFonts w:hint="eastAsia" w:asciiTheme="minorEastAsia" w:hAnsiTheme="minorEastAsia" w:eastAsiaTheme="minorEastAsia" w:cstheme="minorEastAsia"/>
          <w:color w:val="auto"/>
        </w:rPr>
      </w:pPr>
      <w:bookmarkStart w:id="125" w:name="_Toc22342"/>
      <w:bookmarkStart w:id="126" w:name="_Toc25394"/>
      <w:bookmarkStart w:id="127" w:name="_Toc9602"/>
      <w:r>
        <w:rPr>
          <w:rFonts w:hint="eastAsia" w:asciiTheme="minorEastAsia" w:hAnsiTheme="minorEastAsia" w:eastAsiaTheme="minorEastAsia" w:cstheme="minorEastAsia"/>
          <w:color w:val="auto"/>
        </w:rPr>
        <w:t>第五章  投标人应当提供的资格、资质性及其他具有类似效力的要求的相关证明材料</w:t>
      </w:r>
      <w:bookmarkEnd w:id="125"/>
      <w:bookmarkEnd w:id="126"/>
      <w:bookmarkEnd w:id="127"/>
    </w:p>
    <w:p>
      <w:pPr>
        <w:spacing w:line="520" w:lineRule="exact"/>
        <w:ind w:firstLine="0" w:firstLineChars="0"/>
        <w:rPr>
          <w:rFonts w:hint="eastAsia"/>
          <w:color w:val="auto"/>
          <w:sz w:val="24"/>
          <w:szCs w:val="24"/>
        </w:rPr>
      </w:pPr>
      <w:r>
        <w:rPr>
          <w:rFonts w:hint="eastAsia"/>
          <w:b/>
          <w:bCs/>
          <w:color w:val="auto"/>
          <w:sz w:val="24"/>
          <w:szCs w:val="24"/>
        </w:rPr>
        <w:t>一、投标人的资格、资质性要求相关证明材料：</w:t>
      </w:r>
    </w:p>
    <w:p>
      <w:pPr>
        <w:spacing w:line="520" w:lineRule="exact"/>
        <w:ind w:firstLine="480"/>
        <w:rPr>
          <w:rFonts w:hint="eastAsia"/>
          <w:b w:val="0"/>
          <w:color w:val="auto"/>
          <w:sz w:val="24"/>
          <w:szCs w:val="24"/>
        </w:rPr>
      </w:pPr>
      <w:r>
        <w:rPr>
          <w:rFonts w:hint="eastAsia"/>
          <w:b w:val="0"/>
          <w:color w:val="auto"/>
          <w:sz w:val="24"/>
          <w:szCs w:val="24"/>
        </w:rPr>
        <w:t>1、具有独立承担民事责任能力的证明材料复印件（①法人或其他组织的营业执照（或法人证书）或执业许可证明材料。</w:t>
      </w:r>
      <w:r>
        <w:rPr>
          <w:rFonts w:hint="eastAsia"/>
          <w:b w:val="0"/>
          <w:bCs/>
          <w:color w:val="auto"/>
          <w:sz w:val="24"/>
          <w:szCs w:val="24"/>
        </w:rPr>
        <w:t>②自然人的提供身份证复印件</w:t>
      </w:r>
      <w:r>
        <w:rPr>
          <w:rFonts w:hint="eastAsia"/>
          <w:b w:val="0"/>
          <w:color w:val="auto"/>
          <w:sz w:val="24"/>
          <w:szCs w:val="24"/>
        </w:rPr>
        <w:t>）；</w:t>
      </w:r>
    </w:p>
    <w:p>
      <w:pPr>
        <w:spacing w:line="520" w:lineRule="exact"/>
        <w:ind w:firstLine="480"/>
        <w:rPr>
          <w:rFonts w:hint="eastAsia"/>
          <w:b w:val="0"/>
          <w:color w:val="auto"/>
          <w:sz w:val="24"/>
          <w:szCs w:val="24"/>
        </w:rPr>
      </w:pPr>
      <w:r>
        <w:rPr>
          <w:rFonts w:hint="eastAsia"/>
          <w:b w:val="0"/>
          <w:color w:val="auto"/>
          <w:sz w:val="24"/>
          <w:szCs w:val="24"/>
        </w:rPr>
        <w:t>2、具有良好的商业信誉承诺函原件；</w:t>
      </w:r>
    </w:p>
    <w:p>
      <w:pPr>
        <w:spacing w:line="520" w:lineRule="exact"/>
        <w:ind w:firstLine="480"/>
        <w:rPr>
          <w:rFonts w:hint="eastAsia"/>
          <w:b w:val="0"/>
          <w:color w:val="auto"/>
          <w:sz w:val="24"/>
          <w:szCs w:val="24"/>
        </w:rPr>
      </w:pPr>
      <w:r>
        <w:rPr>
          <w:rFonts w:hint="eastAsia"/>
          <w:b w:val="0"/>
          <w:color w:val="auto"/>
          <w:sz w:val="24"/>
          <w:szCs w:val="24"/>
        </w:rPr>
        <w:t>3、</w:t>
      </w:r>
      <w:r>
        <w:rPr>
          <w:b w:val="0"/>
          <w:color w:val="auto"/>
          <w:sz w:val="24"/>
          <w:szCs w:val="24"/>
        </w:rPr>
        <w:t>财务状况报告，依法缴纳税收和社会保障资金的相关材料</w:t>
      </w:r>
      <w:r>
        <w:rPr>
          <w:rFonts w:hint="eastAsia"/>
          <w:b w:val="0"/>
          <w:color w:val="auto"/>
          <w:sz w:val="24"/>
          <w:szCs w:val="24"/>
        </w:rPr>
        <w:t>：</w:t>
      </w:r>
    </w:p>
    <w:p>
      <w:pPr>
        <w:spacing w:line="520" w:lineRule="exact"/>
        <w:ind w:firstLine="360" w:firstLineChars="150"/>
        <w:rPr>
          <w:rFonts w:hint="eastAsia" w:eastAsia="宋体"/>
          <w:b w:val="0"/>
          <w:color w:val="auto"/>
          <w:sz w:val="24"/>
          <w:szCs w:val="24"/>
          <w:lang w:eastAsia="zh-CN"/>
        </w:rPr>
      </w:pPr>
      <w:r>
        <w:rPr>
          <w:rFonts w:hint="eastAsia"/>
          <w:b w:val="0"/>
          <w:color w:val="auto"/>
          <w:sz w:val="24"/>
          <w:szCs w:val="24"/>
        </w:rPr>
        <w:t>（</w:t>
      </w:r>
      <w:r>
        <w:rPr>
          <w:b w:val="0"/>
          <w:color w:val="auto"/>
          <w:sz w:val="24"/>
          <w:szCs w:val="24"/>
        </w:rPr>
        <w:t>1）</w:t>
      </w:r>
      <w:r>
        <w:rPr>
          <w:rFonts w:hint="eastAsia"/>
          <w:b w:val="0"/>
          <w:color w:val="auto"/>
          <w:sz w:val="24"/>
          <w:szCs w:val="24"/>
        </w:rPr>
        <w:t>①</w:t>
      </w:r>
      <w:r>
        <w:rPr>
          <w:b w:val="0"/>
          <w:color w:val="auto"/>
          <w:sz w:val="24"/>
          <w:szCs w:val="24"/>
        </w:rPr>
        <w:t>201</w:t>
      </w:r>
      <w:r>
        <w:rPr>
          <w:rFonts w:hint="eastAsia"/>
          <w:b w:val="0"/>
          <w:color w:val="auto"/>
          <w:sz w:val="24"/>
          <w:szCs w:val="24"/>
          <w:lang w:val="en-US" w:eastAsia="zh-CN"/>
        </w:rPr>
        <w:t>9</w:t>
      </w:r>
      <w:r>
        <w:rPr>
          <w:b w:val="0"/>
          <w:color w:val="auto"/>
          <w:sz w:val="24"/>
          <w:szCs w:val="24"/>
        </w:rPr>
        <w:t>年度或 20</w:t>
      </w:r>
      <w:r>
        <w:rPr>
          <w:rFonts w:hint="eastAsia"/>
          <w:b w:val="0"/>
          <w:color w:val="auto"/>
          <w:sz w:val="24"/>
          <w:szCs w:val="24"/>
          <w:lang w:val="en-US" w:eastAsia="zh-CN"/>
        </w:rPr>
        <w:t>20</w:t>
      </w:r>
      <w:r>
        <w:rPr>
          <w:b w:val="0"/>
          <w:color w:val="auto"/>
          <w:sz w:val="24"/>
          <w:szCs w:val="24"/>
        </w:rPr>
        <w:t>年度经审计的财务报告(包含审计报告和审计报告中所涉及的财务报表、报表附注)复印件</w:t>
      </w:r>
      <w:r>
        <w:rPr>
          <w:rFonts w:hint="eastAsia"/>
          <w:b w:val="0"/>
          <w:color w:val="auto"/>
          <w:sz w:val="24"/>
          <w:szCs w:val="24"/>
        </w:rPr>
        <w:t>②</w:t>
      </w:r>
      <w:r>
        <w:rPr>
          <w:b w:val="0"/>
          <w:color w:val="auto"/>
          <w:sz w:val="24"/>
          <w:szCs w:val="24"/>
        </w:rPr>
        <w:t>201</w:t>
      </w:r>
      <w:r>
        <w:rPr>
          <w:rFonts w:hint="eastAsia"/>
          <w:b w:val="0"/>
          <w:color w:val="auto"/>
          <w:sz w:val="24"/>
          <w:szCs w:val="24"/>
          <w:lang w:val="en-US" w:eastAsia="zh-CN"/>
        </w:rPr>
        <w:t>9</w:t>
      </w:r>
      <w:r>
        <w:rPr>
          <w:b w:val="0"/>
          <w:color w:val="auto"/>
          <w:sz w:val="24"/>
          <w:szCs w:val="24"/>
        </w:rPr>
        <w:t>年度或 20</w:t>
      </w:r>
      <w:r>
        <w:rPr>
          <w:rFonts w:hint="eastAsia"/>
          <w:b w:val="0"/>
          <w:color w:val="auto"/>
          <w:sz w:val="24"/>
          <w:szCs w:val="24"/>
          <w:lang w:val="en-US" w:eastAsia="zh-CN"/>
        </w:rPr>
        <w:t>20</w:t>
      </w:r>
      <w:r>
        <w:rPr>
          <w:b w:val="0"/>
          <w:color w:val="auto"/>
          <w:sz w:val="24"/>
          <w:szCs w:val="24"/>
        </w:rPr>
        <w:t>年度</w:t>
      </w:r>
      <w:r>
        <w:rPr>
          <w:rFonts w:hint="eastAsia"/>
          <w:b w:val="0"/>
          <w:color w:val="auto"/>
          <w:sz w:val="24"/>
          <w:szCs w:val="24"/>
        </w:rPr>
        <w:t>内部</w:t>
      </w:r>
      <w:r>
        <w:rPr>
          <w:b w:val="0"/>
          <w:color w:val="auto"/>
          <w:sz w:val="24"/>
          <w:szCs w:val="24"/>
        </w:rPr>
        <w:t>财务报表复印件（至少包含资产负债表）</w:t>
      </w:r>
      <w:r>
        <w:rPr>
          <w:rFonts w:hint="eastAsia"/>
          <w:b w:val="0"/>
          <w:color w:val="auto"/>
          <w:sz w:val="24"/>
          <w:szCs w:val="24"/>
        </w:rPr>
        <w:t>③</w:t>
      </w:r>
      <w:r>
        <w:rPr>
          <w:b w:val="0"/>
          <w:color w:val="auto"/>
          <w:sz w:val="24"/>
          <w:szCs w:val="24"/>
        </w:rPr>
        <w:t>银行出具的资信证明复印件</w:t>
      </w:r>
      <w:r>
        <w:rPr>
          <w:rFonts w:hint="eastAsia"/>
          <w:b w:val="0"/>
          <w:color w:val="auto"/>
          <w:sz w:val="24"/>
          <w:szCs w:val="24"/>
          <w:lang w:eastAsia="zh-CN"/>
        </w:rPr>
        <w:t>④具有</w:t>
      </w:r>
      <w:r>
        <w:rPr>
          <w:rFonts w:hint="eastAsia"/>
          <w:b w:val="0"/>
          <w:color w:val="auto"/>
          <w:sz w:val="24"/>
          <w:szCs w:val="24"/>
        </w:rPr>
        <w:t>健全的财务会计制度</w:t>
      </w:r>
      <w:r>
        <w:rPr>
          <w:rFonts w:hint="eastAsia"/>
          <w:b w:val="0"/>
          <w:color w:val="auto"/>
          <w:sz w:val="24"/>
          <w:szCs w:val="24"/>
          <w:lang w:eastAsia="zh-CN"/>
        </w:rPr>
        <w:t>承诺函原件；</w:t>
      </w:r>
    </w:p>
    <w:p>
      <w:pPr>
        <w:spacing w:line="520" w:lineRule="exact"/>
        <w:ind w:firstLine="480"/>
        <w:rPr>
          <w:rFonts w:hint="eastAsia"/>
          <w:b w:val="0"/>
          <w:bCs/>
          <w:color w:val="auto"/>
          <w:sz w:val="24"/>
          <w:szCs w:val="24"/>
        </w:rPr>
      </w:pPr>
      <w:r>
        <w:rPr>
          <w:b w:val="0"/>
          <w:color w:val="auto"/>
          <w:sz w:val="24"/>
          <w:szCs w:val="24"/>
        </w:rPr>
        <w:t>注：以上</w:t>
      </w:r>
      <w:r>
        <w:rPr>
          <w:rFonts w:hint="eastAsia"/>
          <w:b w:val="0"/>
          <w:color w:val="auto"/>
          <w:sz w:val="24"/>
          <w:szCs w:val="24"/>
        </w:rPr>
        <w:t>①②③</w:t>
      </w:r>
      <w:r>
        <w:rPr>
          <w:rFonts w:hint="eastAsia"/>
          <w:b w:val="0"/>
          <w:color w:val="auto"/>
          <w:sz w:val="24"/>
          <w:szCs w:val="24"/>
          <w:lang w:eastAsia="zh-CN"/>
        </w:rPr>
        <w:t>④</w:t>
      </w:r>
      <w:r>
        <w:rPr>
          <w:b w:val="0"/>
          <w:color w:val="auto"/>
          <w:sz w:val="24"/>
          <w:szCs w:val="24"/>
        </w:rPr>
        <w:t>提供任一即可，</w:t>
      </w:r>
      <w:r>
        <w:rPr>
          <w:rFonts w:hint="eastAsia"/>
          <w:b w:val="0"/>
          <w:color w:val="auto"/>
          <w:sz w:val="24"/>
          <w:szCs w:val="24"/>
          <w:lang w:eastAsia="zh-CN"/>
        </w:rPr>
        <w:t>若</w:t>
      </w:r>
      <w:r>
        <w:rPr>
          <w:rFonts w:hint="eastAsia"/>
          <w:b w:val="0"/>
          <w:bCs/>
          <w:color w:val="auto"/>
          <w:sz w:val="24"/>
          <w:szCs w:val="24"/>
        </w:rPr>
        <w:t>投标人</w:t>
      </w:r>
      <w:r>
        <w:rPr>
          <w:b w:val="0"/>
          <w:bCs/>
          <w:color w:val="auto"/>
          <w:sz w:val="24"/>
          <w:szCs w:val="24"/>
        </w:rPr>
        <w:t>成立时间至首次递交响应文件截止时间为止不足一年的</w:t>
      </w:r>
      <w:r>
        <w:rPr>
          <w:rFonts w:hint="eastAsia"/>
          <w:b w:val="0"/>
          <w:bCs/>
          <w:color w:val="auto"/>
          <w:sz w:val="24"/>
          <w:szCs w:val="24"/>
        </w:rPr>
        <w:t>或投标人</w:t>
      </w:r>
      <w:r>
        <w:rPr>
          <w:b w:val="0"/>
          <w:bCs/>
          <w:color w:val="auto"/>
          <w:sz w:val="24"/>
          <w:szCs w:val="24"/>
        </w:rPr>
        <w:t>为事业单位或其他组织的提供其具有健全的财务会计制度的承诺函原件即可；</w:t>
      </w:r>
    </w:p>
    <w:p>
      <w:pPr>
        <w:spacing w:line="520" w:lineRule="exact"/>
        <w:ind w:firstLine="480"/>
        <w:rPr>
          <w:rFonts w:hint="eastAsia"/>
          <w:b w:val="0"/>
          <w:color w:val="auto"/>
          <w:sz w:val="24"/>
          <w:szCs w:val="24"/>
        </w:rPr>
      </w:pPr>
      <w:r>
        <w:rPr>
          <w:rFonts w:hint="eastAsia"/>
          <w:b w:val="0"/>
          <w:color w:val="auto"/>
          <w:sz w:val="24"/>
          <w:szCs w:val="24"/>
        </w:rPr>
        <w:t>（2）20</w:t>
      </w:r>
      <w:r>
        <w:rPr>
          <w:rFonts w:hint="eastAsia"/>
          <w:b w:val="0"/>
          <w:color w:val="auto"/>
          <w:sz w:val="24"/>
          <w:szCs w:val="24"/>
          <w:lang w:val="en-US" w:eastAsia="zh-CN"/>
        </w:rPr>
        <w:t>20</w:t>
      </w:r>
      <w:r>
        <w:rPr>
          <w:rFonts w:hint="eastAsia"/>
          <w:b w:val="0"/>
          <w:color w:val="auto"/>
          <w:sz w:val="24"/>
          <w:szCs w:val="24"/>
        </w:rPr>
        <w:t>年</w:t>
      </w:r>
      <w:r>
        <w:rPr>
          <w:rFonts w:hint="eastAsia"/>
          <w:b w:val="0"/>
          <w:color w:val="auto"/>
          <w:sz w:val="24"/>
          <w:szCs w:val="24"/>
          <w:lang w:val="en-US" w:eastAsia="zh-CN"/>
        </w:rPr>
        <w:t>6月</w:t>
      </w:r>
      <w:r>
        <w:rPr>
          <w:rFonts w:hint="eastAsia"/>
          <w:b w:val="0"/>
          <w:color w:val="auto"/>
          <w:sz w:val="24"/>
          <w:szCs w:val="24"/>
        </w:rPr>
        <w:t>以来任意1个月的税收缴纳证明材料复印件或税收缴纳的承诺函原件（注：证明材料可为银行电子回单或者税务部门出具的纳税证明或完税证明或有效票据的复印件）；</w:t>
      </w:r>
    </w:p>
    <w:p>
      <w:pPr>
        <w:spacing w:line="520" w:lineRule="exact"/>
        <w:ind w:firstLine="480"/>
        <w:rPr>
          <w:rFonts w:hint="eastAsia"/>
          <w:b w:val="0"/>
          <w:color w:val="auto"/>
          <w:sz w:val="24"/>
          <w:szCs w:val="24"/>
        </w:rPr>
      </w:pPr>
      <w:r>
        <w:rPr>
          <w:rFonts w:hint="eastAsia"/>
          <w:b w:val="0"/>
          <w:color w:val="auto"/>
          <w:sz w:val="24"/>
          <w:szCs w:val="24"/>
        </w:rPr>
        <w:t>（3）20</w:t>
      </w:r>
      <w:r>
        <w:rPr>
          <w:rFonts w:hint="eastAsia"/>
          <w:b w:val="0"/>
          <w:color w:val="auto"/>
          <w:sz w:val="24"/>
          <w:szCs w:val="24"/>
          <w:lang w:val="en-US" w:eastAsia="zh-CN"/>
        </w:rPr>
        <w:t>20</w:t>
      </w:r>
      <w:r>
        <w:rPr>
          <w:rFonts w:hint="eastAsia"/>
          <w:b w:val="0"/>
          <w:color w:val="auto"/>
          <w:sz w:val="24"/>
          <w:szCs w:val="24"/>
        </w:rPr>
        <w:t>年</w:t>
      </w:r>
      <w:r>
        <w:rPr>
          <w:rFonts w:hint="eastAsia"/>
          <w:b w:val="0"/>
          <w:color w:val="auto"/>
          <w:sz w:val="24"/>
          <w:szCs w:val="24"/>
          <w:lang w:val="en-US" w:eastAsia="zh-CN"/>
        </w:rPr>
        <w:t>6月</w:t>
      </w:r>
      <w:r>
        <w:rPr>
          <w:rFonts w:hint="eastAsia"/>
          <w:b w:val="0"/>
          <w:color w:val="auto"/>
          <w:sz w:val="24"/>
          <w:szCs w:val="24"/>
        </w:rPr>
        <w:t>以来任意1个月的社保缴纳证明材料复印件或社保缴纳的承诺函原件（注：证明材料可为银行电子回单或社保部门出具的社保缴纳证明材料或有效票据复印件）</w:t>
      </w:r>
      <w:r>
        <w:rPr>
          <w:b w:val="0"/>
          <w:color w:val="auto"/>
          <w:sz w:val="24"/>
          <w:szCs w:val="24"/>
        </w:rPr>
        <w:t>；</w:t>
      </w:r>
    </w:p>
    <w:p>
      <w:pPr>
        <w:spacing w:line="520" w:lineRule="exact"/>
        <w:ind w:firstLine="480"/>
        <w:rPr>
          <w:rFonts w:hint="eastAsia"/>
          <w:b w:val="0"/>
          <w:color w:val="auto"/>
          <w:sz w:val="24"/>
          <w:szCs w:val="24"/>
        </w:rPr>
      </w:pPr>
      <w:r>
        <w:rPr>
          <w:rFonts w:hint="eastAsia"/>
          <w:b w:val="0"/>
          <w:color w:val="auto"/>
          <w:sz w:val="24"/>
          <w:szCs w:val="24"/>
        </w:rPr>
        <w:t>4、</w:t>
      </w:r>
      <w:r>
        <w:rPr>
          <w:b w:val="0"/>
          <w:color w:val="auto"/>
          <w:sz w:val="24"/>
          <w:szCs w:val="24"/>
        </w:rPr>
        <w:t>具备履行合同所必需的设备和专业技术能力的证明材料</w:t>
      </w:r>
      <w:r>
        <w:rPr>
          <w:rFonts w:hint="eastAsia"/>
          <w:b w:val="0"/>
          <w:color w:val="auto"/>
          <w:sz w:val="24"/>
          <w:szCs w:val="24"/>
        </w:rPr>
        <w:t xml:space="preserve"> (承诺函原件)；</w:t>
      </w:r>
    </w:p>
    <w:p>
      <w:pPr>
        <w:spacing w:line="520" w:lineRule="exact"/>
        <w:ind w:firstLine="480"/>
        <w:rPr>
          <w:rFonts w:hint="eastAsia"/>
          <w:b w:val="0"/>
          <w:color w:val="auto"/>
          <w:sz w:val="24"/>
          <w:szCs w:val="24"/>
        </w:rPr>
      </w:pPr>
      <w:r>
        <w:rPr>
          <w:rFonts w:hint="eastAsia"/>
          <w:b w:val="0"/>
          <w:color w:val="auto"/>
          <w:sz w:val="24"/>
          <w:szCs w:val="24"/>
        </w:rPr>
        <w:t>5、参加政府采购活动前3年内在经营活动中没有重大违法记录的证明材料(承诺函原件)；</w:t>
      </w:r>
    </w:p>
    <w:p>
      <w:pPr>
        <w:spacing w:line="520" w:lineRule="exact"/>
        <w:ind w:firstLine="480"/>
        <w:rPr>
          <w:rFonts w:hint="eastAsia"/>
          <w:b w:val="0"/>
          <w:color w:val="auto"/>
          <w:sz w:val="24"/>
          <w:szCs w:val="24"/>
        </w:rPr>
      </w:pPr>
      <w:r>
        <w:rPr>
          <w:rFonts w:hint="eastAsia"/>
          <w:b w:val="0"/>
          <w:color w:val="auto"/>
          <w:sz w:val="24"/>
          <w:szCs w:val="24"/>
        </w:rPr>
        <w:t>（二）法律、行政法规规定的其他条件：</w:t>
      </w:r>
    </w:p>
    <w:p>
      <w:pPr>
        <w:spacing w:line="520" w:lineRule="exact"/>
        <w:ind w:firstLine="480"/>
        <w:rPr>
          <w:rFonts w:hint="eastAsia"/>
          <w:b w:val="0"/>
          <w:color w:val="auto"/>
          <w:sz w:val="24"/>
          <w:szCs w:val="24"/>
        </w:rPr>
      </w:pPr>
      <w:r>
        <w:rPr>
          <w:rFonts w:hint="eastAsia"/>
          <w:b w:val="0"/>
          <w:color w:val="auto"/>
          <w:sz w:val="24"/>
          <w:szCs w:val="24"/>
        </w:rPr>
        <w:t>具备法律、行政法规规定的其他条件的证明材料复印件或承诺函原件。</w:t>
      </w:r>
    </w:p>
    <w:p>
      <w:pPr>
        <w:spacing w:line="520" w:lineRule="exact"/>
        <w:ind w:firstLine="480"/>
        <w:rPr>
          <w:rFonts w:hint="eastAsia"/>
          <w:b w:val="0"/>
          <w:color w:val="auto"/>
          <w:sz w:val="24"/>
          <w:szCs w:val="24"/>
          <w:lang w:val="zh-CN" w:eastAsia="zh-CN"/>
        </w:rPr>
      </w:pPr>
      <w:r>
        <w:rPr>
          <w:rFonts w:hint="eastAsia"/>
          <w:b w:val="0"/>
          <w:color w:val="auto"/>
          <w:sz w:val="24"/>
          <w:szCs w:val="24"/>
        </w:rPr>
        <w:t>（三）根据采购项目提出的特殊条件：</w:t>
      </w:r>
    </w:p>
    <w:p>
      <w:pPr>
        <w:spacing w:line="520" w:lineRule="exact"/>
        <w:ind w:firstLine="720" w:firstLineChars="300"/>
        <w:rPr>
          <w:rFonts w:hint="eastAsia" w:ascii="宋体" w:eastAsia="宋体" w:cs="Times New Roman"/>
          <w:b w:val="0"/>
          <w:color w:val="auto"/>
          <w:sz w:val="24"/>
          <w:szCs w:val="24"/>
          <w:lang w:val="en-US" w:eastAsia="zh-CN"/>
        </w:rPr>
      </w:pPr>
      <w:r>
        <w:rPr>
          <w:rFonts w:hint="eastAsia" w:ascii="宋体" w:eastAsia="宋体" w:cs="Times New Roman"/>
          <w:b w:val="0"/>
          <w:color w:val="auto"/>
          <w:sz w:val="24"/>
          <w:szCs w:val="24"/>
          <w:lang w:val="en-US" w:eastAsia="zh-CN"/>
        </w:rPr>
        <w:t>1、</w:t>
      </w:r>
      <w:r>
        <w:rPr>
          <w:rFonts w:hint="eastAsia" w:cs="Times New Roman"/>
          <w:b w:val="0"/>
          <w:color w:val="auto"/>
          <w:sz w:val="24"/>
          <w:szCs w:val="24"/>
          <w:lang w:val="en-US" w:eastAsia="zh-CN"/>
        </w:rPr>
        <w:t>提供</w:t>
      </w:r>
      <w:r>
        <w:rPr>
          <w:rFonts w:hint="eastAsia" w:ascii="宋体" w:eastAsia="宋体" w:cs="Times New Roman"/>
          <w:b w:val="0"/>
          <w:color w:val="auto"/>
          <w:sz w:val="24"/>
          <w:szCs w:val="24"/>
          <w:lang w:val="en-US" w:eastAsia="zh-CN"/>
        </w:rPr>
        <w:t>省级及以上行政主管部门颁发的CMA检验检测机构资质认定证书；</w:t>
      </w:r>
      <w:bookmarkStart w:id="128" w:name="_Hlk35851232"/>
      <w:r>
        <w:rPr>
          <w:rFonts w:hint="eastAsia"/>
          <w:b w:val="0"/>
          <w:bCs/>
          <w:color w:val="auto"/>
          <w:kern w:val="2"/>
          <w:sz w:val="24"/>
          <w:szCs w:val="24"/>
          <w:lang w:val="en-US" w:eastAsia="zh-CN"/>
        </w:rPr>
        <w:t>（复印件并加盖鲜章）</w:t>
      </w:r>
      <w:r>
        <w:rPr>
          <w:rFonts w:hint="eastAsia" w:ascii="宋体" w:eastAsia="宋体" w:cs="Times New Roman"/>
          <w:b w:val="0"/>
          <w:color w:val="auto"/>
          <w:sz w:val="24"/>
          <w:szCs w:val="24"/>
          <w:lang w:val="en-US" w:eastAsia="zh-CN"/>
        </w:rPr>
        <w:t xml:space="preserve"> </w:t>
      </w:r>
    </w:p>
    <w:p>
      <w:pPr>
        <w:spacing w:line="520" w:lineRule="exact"/>
        <w:ind w:firstLine="720" w:firstLineChars="300"/>
        <w:rPr>
          <w:rFonts w:hint="eastAsia" w:ascii="宋体" w:eastAsia="宋体" w:cs="Times New Roman"/>
          <w:b w:val="0"/>
          <w:color w:val="auto"/>
          <w:sz w:val="24"/>
          <w:szCs w:val="24"/>
          <w:lang w:val="en-US" w:eastAsia="zh-CN"/>
        </w:rPr>
      </w:pPr>
      <w:r>
        <w:rPr>
          <w:rFonts w:hint="eastAsia" w:ascii="宋体" w:eastAsia="宋体" w:cs="Times New Roman"/>
          <w:b w:val="0"/>
          <w:color w:val="auto"/>
          <w:sz w:val="24"/>
          <w:szCs w:val="24"/>
          <w:lang w:val="en-US" w:eastAsia="zh-CN"/>
        </w:rPr>
        <w:t>2、参加本项目政府采购活动的投标人及其现任法定代表人/主要负责人不得具有行贿犯罪记录。</w:t>
      </w:r>
      <w:r>
        <w:rPr>
          <w:rFonts w:hint="eastAsia"/>
          <w:b w:val="0"/>
          <w:bCs/>
          <w:color w:val="auto"/>
          <w:kern w:val="2"/>
          <w:sz w:val="24"/>
          <w:szCs w:val="24"/>
          <w:lang w:val="en-US" w:eastAsia="zh-CN"/>
        </w:rPr>
        <w:t>（承诺函原件）</w:t>
      </w:r>
    </w:p>
    <w:bookmarkEnd w:id="128"/>
    <w:p>
      <w:pPr>
        <w:spacing w:line="520" w:lineRule="exact"/>
        <w:ind w:firstLine="0" w:firstLineChars="0"/>
        <w:rPr>
          <w:rFonts w:hint="eastAsia"/>
          <w:b/>
          <w:bCs/>
          <w:color w:val="auto"/>
          <w:sz w:val="24"/>
          <w:szCs w:val="24"/>
        </w:rPr>
      </w:pPr>
      <w:r>
        <w:rPr>
          <w:rFonts w:hint="eastAsia"/>
          <w:b/>
          <w:bCs/>
          <w:color w:val="auto"/>
          <w:sz w:val="24"/>
          <w:szCs w:val="24"/>
        </w:rPr>
        <w:t>二、投标产品的资格、资质性要求相关证明材料：</w:t>
      </w:r>
    </w:p>
    <w:p>
      <w:pPr>
        <w:spacing w:line="520" w:lineRule="exact"/>
        <w:ind w:firstLine="480"/>
        <w:rPr>
          <w:rFonts w:hint="eastAsia"/>
          <w:b w:val="0"/>
          <w:color w:val="auto"/>
          <w:sz w:val="24"/>
          <w:szCs w:val="24"/>
        </w:rPr>
      </w:pPr>
      <w:r>
        <w:rPr>
          <w:rFonts w:hint="eastAsia"/>
          <w:b w:val="0"/>
          <w:color w:val="auto"/>
          <w:sz w:val="24"/>
          <w:szCs w:val="24"/>
        </w:rPr>
        <w:t>无。</w:t>
      </w:r>
    </w:p>
    <w:p>
      <w:pPr>
        <w:spacing w:line="520" w:lineRule="exact"/>
        <w:ind w:firstLine="0" w:firstLineChars="0"/>
        <w:rPr>
          <w:rFonts w:hint="eastAsia"/>
          <w:b/>
          <w:bCs/>
          <w:color w:val="auto"/>
          <w:sz w:val="24"/>
          <w:szCs w:val="24"/>
        </w:rPr>
      </w:pPr>
      <w:r>
        <w:rPr>
          <w:rFonts w:hint="eastAsia"/>
          <w:b/>
          <w:bCs/>
          <w:color w:val="auto"/>
          <w:sz w:val="24"/>
          <w:szCs w:val="24"/>
        </w:rPr>
        <w:t>三、其他类似效力要求相关证明材料：</w:t>
      </w:r>
    </w:p>
    <w:p>
      <w:pPr>
        <w:spacing w:line="520" w:lineRule="exact"/>
        <w:ind w:firstLine="480"/>
        <w:rPr>
          <w:rFonts w:hint="eastAsia"/>
          <w:b w:val="0"/>
          <w:color w:val="auto"/>
          <w:sz w:val="24"/>
          <w:szCs w:val="24"/>
        </w:rPr>
      </w:pPr>
      <w:r>
        <w:rPr>
          <w:rFonts w:hint="eastAsia"/>
          <w:b w:val="0"/>
          <w:color w:val="auto"/>
          <w:sz w:val="24"/>
          <w:szCs w:val="24"/>
        </w:rPr>
        <w:t>1、法定代表人授权委托书原件及法定代表人身份证、代理人身份证复印件（注：①授权书格式按本招标文件第</w:t>
      </w:r>
      <w:r>
        <w:rPr>
          <w:rFonts w:hint="eastAsia"/>
          <w:b w:val="0"/>
          <w:color w:val="auto"/>
          <w:sz w:val="24"/>
          <w:szCs w:val="24"/>
          <w:lang w:val="en-US" w:eastAsia="zh-CN"/>
        </w:rPr>
        <w:t>三</w:t>
      </w:r>
      <w:r>
        <w:rPr>
          <w:rFonts w:hint="eastAsia"/>
          <w:b w:val="0"/>
          <w:color w:val="auto"/>
          <w:sz w:val="24"/>
          <w:szCs w:val="24"/>
        </w:rPr>
        <w:t>章“法定代表人授权委托书及代理人身份证复印件”格式提供；②如投标文件均由投标人法定代表人签字</w:t>
      </w:r>
      <w:r>
        <w:rPr>
          <w:rFonts w:hint="eastAsia"/>
          <w:b w:val="0"/>
          <w:color w:val="auto"/>
          <w:kern w:val="2"/>
          <w:sz w:val="24"/>
          <w:szCs w:val="24"/>
          <w:lang w:val="en-US"/>
        </w:rPr>
        <w:t>或加盖印章</w:t>
      </w:r>
      <w:r>
        <w:rPr>
          <w:rFonts w:hint="eastAsia"/>
          <w:b w:val="0"/>
          <w:color w:val="auto"/>
          <w:sz w:val="24"/>
          <w:szCs w:val="24"/>
        </w:rPr>
        <w:t>的，则可不提供法定代表人授权委托书及代理人身份证复印件但必须提供法定代表人身份证复印件；</w:t>
      </w:r>
      <w:r>
        <w:rPr>
          <w:rFonts w:hint="eastAsia"/>
          <w:b w:val="0"/>
          <w:color w:val="auto"/>
          <w:sz w:val="24"/>
          <w:szCs w:val="24"/>
          <w:lang w:eastAsia="zh-CN"/>
        </w:rPr>
        <w:t>）</w:t>
      </w:r>
      <w:r>
        <w:rPr>
          <w:rFonts w:hint="eastAsia"/>
          <w:b w:val="0"/>
          <w:color w:val="auto"/>
          <w:sz w:val="24"/>
          <w:szCs w:val="24"/>
        </w:rPr>
        <w:t xml:space="preserve"> </w:t>
      </w:r>
    </w:p>
    <w:p>
      <w:pPr>
        <w:spacing w:line="520" w:lineRule="exact"/>
        <w:ind w:firstLine="480"/>
        <w:rPr>
          <w:rFonts w:hint="eastAsia"/>
          <w:b w:val="0"/>
          <w:color w:val="auto"/>
          <w:sz w:val="24"/>
          <w:szCs w:val="24"/>
        </w:rPr>
      </w:pPr>
      <w:r>
        <w:rPr>
          <w:rFonts w:hint="eastAsia"/>
          <w:b w:val="0"/>
          <w:color w:val="auto"/>
          <w:sz w:val="24"/>
          <w:szCs w:val="24"/>
        </w:rPr>
        <w:t>2、</w:t>
      </w:r>
      <w:r>
        <w:rPr>
          <w:rFonts w:hint="eastAsia"/>
          <w:b w:val="0"/>
          <w:color w:val="auto"/>
          <w:kern w:val="2"/>
          <w:sz w:val="24"/>
          <w:szCs w:val="24"/>
          <w:lang w:val="en-US"/>
        </w:rPr>
        <w:t>不属于禁止参加投标任一情形（相关资格承诺函原件）</w:t>
      </w:r>
      <w:r>
        <w:rPr>
          <w:rFonts w:hint="eastAsia"/>
          <w:b w:val="0"/>
          <w:color w:val="auto"/>
          <w:sz w:val="24"/>
          <w:szCs w:val="24"/>
        </w:rPr>
        <w:t>。</w:t>
      </w:r>
    </w:p>
    <w:p>
      <w:pPr>
        <w:spacing w:line="520" w:lineRule="exact"/>
        <w:ind w:firstLine="0" w:firstLineChars="0"/>
        <w:rPr>
          <w:rFonts w:hint="eastAsia"/>
          <w:b w:val="0"/>
          <w:color w:val="auto"/>
          <w:sz w:val="24"/>
          <w:szCs w:val="24"/>
        </w:rPr>
      </w:pPr>
      <w:r>
        <w:rPr>
          <w:rFonts w:hint="eastAsia"/>
          <w:b w:val="0"/>
          <w:color w:val="auto"/>
          <w:sz w:val="24"/>
          <w:szCs w:val="24"/>
        </w:rPr>
        <w:t>注意：</w:t>
      </w:r>
    </w:p>
    <w:p>
      <w:pPr>
        <w:spacing w:line="520" w:lineRule="exact"/>
        <w:ind w:firstLine="480"/>
        <w:rPr>
          <w:rFonts w:hint="eastAsia"/>
          <w:b w:val="0"/>
          <w:color w:val="auto"/>
          <w:sz w:val="24"/>
          <w:szCs w:val="24"/>
        </w:rPr>
      </w:pPr>
      <w:r>
        <w:rPr>
          <w:rFonts w:hint="eastAsia"/>
          <w:b w:val="0"/>
          <w:color w:val="auto"/>
          <w:sz w:val="24"/>
          <w:szCs w:val="24"/>
        </w:rPr>
        <w:t>1.相关证明材料为复印件的，复印件必须加盖相关投标人</w:t>
      </w:r>
      <w:r>
        <w:rPr>
          <w:rFonts w:hint="eastAsia"/>
          <w:b w:val="0"/>
          <w:color w:val="auto"/>
          <w:sz w:val="24"/>
          <w:szCs w:val="24"/>
          <w:lang w:eastAsia="zh-CN"/>
        </w:rPr>
        <w:t>电子签章</w:t>
      </w:r>
      <w:r>
        <w:rPr>
          <w:rFonts w:hint="eastAsia"/>
          <w:b w:val="0"/>
          <w:color w:val="auto"/>
          <w:sz w:val="24"/>
          <w:szCs w:val="24"/>
        </w:rPr>
        <w:t>；</w:t>
      </w:r>
    </w:p>
    <w:p>
      <w:pPr>
        <w:spacing w:line="520" w:lineRule="exact"/>
        <w:ind w:firstLine="480"/>
        <w:rPr>
          <w:rFonts w:hint="eastAsia"/>
          <w:b w:val="0"/>
          <w:color w:val="auto"/>
          <w:sz w:val="24"/>
          <w:szCs w:val="24"/>
        </w:rPr>
      </w:pPr>
      <w:r>
        <w:rPr>
          <w:rFonts w:hint="eastAsia"/>
          <w:b w:val="0"/>
          <w:color w:val="auto"/>
          <w:sz w:val="24"/>
          <w:szCs w:val="24"/>
        </w:rPr>
        <w:t>2.上述内容中涉及承诺函的，投标人可以单独提供，也可以在相关资格承诺函中一并进行承诺。</w:t>
      </w:r>
    </w:p>
    <w:p>
      <w:pPr>
        <w:spacing w:line="520" w:lineRule="exact"/>
        <w:ind w:firstLine="480"/>
        <w:rPr>
          <w:rFonts w:hint="eastAsia"/>
          <w:b w:val="0"/>
          <w:color w:val="auto"/>
          <w:sz w:val="24"/>
          <w:szCs w:val="24"/>
        </w:rPr>
      </w:pPr>
      <w:r>
        <w:rPr>
          <w:rFonts w:hint="eastAsia"/>
          <w:b w:val="0"/>
          <w:color w:val="auto"/>
          <w:sz w:val="24"/>
          <w:szCs w:val="24"/>
        </w:rPr>
        <w:t>3.本章要求提供的相关证明材料应当与第</w:t>
      </w:r>
      <w:r>
        <w:rPr>
          <w:rFonts w:hint="eastAsia"/>
          <w:b w:val="0"/>
          <w:color w:val="auto"/>
          <w:sz w:val="24"/>
          <w:szCs w:val="24"/>
          <w:lang w:val="en-US" w:eastAsia="zh-CN"/>
        </w:rPr>
        <w:t>四</w:t>
      </w:r>
      <w:r>
        <w:rPr>
          <w:rFonts w:hint="eastAsia"/>
          <w:b w:val="0"/>
          <w:color w:val="auto"/>
          <w:sz w:val="24"/>
          <w:szCs w:val="24"/>
        </w:rPr>
        <w:t>章的规定要求对应，除投标人自愿以外，不能要求投标人提供额外的证明材料。如果要求提供额外的证明材料，投标人有权不予提供，且不影响投标文件的有效性和完整性。</w:t>
      </w:r>
    </w:p>
    <w:p>
      <w:pPr>
        <w:spacing w:line="520" w:lineRule="exact"/>
        <w:ind w:firstLine="482"/>
        <w:rPr>
          <w:rFonts w:hint="eastAsia"/>
          <w:b/>
          <w:bCs w:val="0"/>
          <w:color w:val="auto"/>
          <w:sz w:val="24"/>
          <w:szCs w:val="24"/>
          <w:lang w:val="en-US"/>
        </w:rPr>
      </w:pPr>
      <w:r>
        <w:rPr>
          <w:rFonts w:hint="eastAsia"/>
          <w:b/>
          <w:bCs w:val="0"/>
          <w:color w:val="auto"/>
          <w:sz w:val="24"/>
          <w:szCs w:val="24"/>
          <w:lang w:val="en-US"/>
        </w:rPr>
        <w:t>4.投标人若未将用于资格审查的证明材料</w:t>
      </w:r>
      <w:r>
        <w:rPr>
          <w:rFonts w:hint="eastAsia"/>
          <w:b/>
          <w:bCs w:val="0"/>
          <w:color w:val="auto"/>
          <w:sz w:val="24"/>
          <w:szCs w:val="24"/>
          <w:lang w:val="en-US" w:eastAsia="zh-CN"/>
        </w:rPr>
        <w:t>放</w:t>
      </w:r>
      <w:r>
        <w:rPr>
          <w:rFonts w:hint="eastAsia"/>
          <w:b/>
          <w:bCs w:val="0"/>
          <w:color w:val="auto"/>
          <w:sz w:val="24"/>
          <w:szCs w:val="24"/>
          <w:lang w:val="en-US"/>
        </w:rPr>
        <w:t>入资格性投标文件的，视为未提供相应资格证明材料，资格审查将不予通过。</w:t>
      </w:r>
    </w:p>
    <w:p>
      <w:pPr>
        <w:rPr>
          <w:rFonts w:hint="eastAsia" w:asciiTheme="minorEastAsia" w:hAnsiTheme="minorEastAsia" w:eastAsiaTheme="minorEastAsia" w:cstheme="minorEastAsia"/>
          <w:color w:val="auto"/>
          <w:sz w:val="32"/>
          <w:szCs w:val="32"/>
        </w:rPr>
      </w:pPr>
    </w:p>
    <w:p>
      <w:pPr>
        <w:pStyle w:val="25"/>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43"/>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Theme="minorEastAsia" w:hAnsiTheme="minorEastAsia" w:eastAsiaTheme="minorEastAsia" w:cstheme="minorEastAsia"/>
          <w:color w:val="auto"/>
        </w:rPr>
      </w:pPr>
      <w:bookmarkStart w:id="129" w:name="_Toc21877"/>
      <w:bookmarkStart w:id="130" w:name="_Toc3193"/>
      <w:bookmarkStart w:id="131" w:name="_Toc19323"/>
      <w:r>
        <w:rPr>
          <w:rFonts w:hint="eastAsia" w:asciiTheme="minorEastAsia" w:hAnsiTheme="minorEastAsia" w:eastAsiaTheme="minorEastAsia" w:cstheme="minorEastAsia"/>
          <w:color w:val="auto"/>
        </w:rPr>
        <w:t>第</w:t>
      </w:r>
      <w:r>
        <w:rPr>
          <w:rFonts w:hint="eastAsia" w:asciiTheme="minorEastAsia" w:hAnsiTheme="minorEastAsia" w:eastAsiaTheme="minorEastAsia" w:cstheme="minorEastAsia"/>
          <w:color w:val="auto"/>
          <w:lang w:eastAsia="zh-CN"/>
        </w:rPr>
        <w:t>六</w:t>
      </w:r>
      <w:r>
        <w:rPr>
          <w:rFonts w:hint="eastAsia" w:asciiTheme="minorEastAsia" w:hAnsiTheme="minorEastAsia" w:eastAsiaTheme="minorEastAsia" w:cstheme="minorEastAsia"/>
          <w:color w:val="auto"/>
        </w:rPr>
        <w:t>章  技术、商务及其他要求</w:t>
      </w:r>
      <w:bookmarkEnd w:id="129"/>
      <w:bookmarkEnd w:id="130"/>
      <w:bookmarkEnd w:id="131"/>
    </w:p>
    <w:p>
      <w:pPr>
        <w:pStyle w:val="25"/>
        <w:rPr>
          <w:rFonts w:hint="eastAsia" w:asciiTheme="minorEastAsia" w:hAnsiTheme="minorEastAsia" w:eastAsiaTheme="minorEastAsia" w:cstheme="minorEastAsia"/>
          <w:color w:val="auto"/>
        </w:rPr>
      </w:pPr>
    </w:p>
    <w:p>
      <w:pPr>
        <w:keepNext w:val="0"/>
        <w:keepLines w:val="0"/>
        <w:pageBreakBefore w:val="0"/>
        <w:widowControl w:val="0"/>
        <w:kinsoku/>
        <w:wordWrap/>
        <w:overflowPunct/>
        <w:topLinePunct w:val="0"/>
        <w:autoSpaceDE/>
        <w:autoSpaceDN/>
        <w:bidi w:val="0"/>
        <w:adjustRightInd/>
        <w:spacing w:line="500" w:lineRule="exact"/>
        <w:ind w:left="0" w:leftChars="0" w:firstLine="0" w:firstLineChars="0"/>
        <w:textAlignment w:val="auto"/>
        <w:rPr>
          <w:rFonts w:hint="eastAsia" w:eastAsiaTheme="minorEastAsia"/>
          <w:color w:val="auto"/>
          <w:sz w:val="24"/>
          <w:lang w:val="en-US" w:eastAsia="zh-CN"/>
        </w:rPr>
      </w:pPr>
      <w:r>
        <w:rPr>
          <w:rFonts w:hint="eastAsia"/>
          <w:b/>
          <w:bCs/>
          <w:color w:val="auto"/>
          <w:sz w:val="24"/>
        </w:rPr>
        <w:t>一、项目概况</w:t>
      </w:r>
      <w:r>
        <w:rPr>
          <w:rFonts w:hint="eastAsia"/>
          <w:b/>
          <w:bCs/>
          <w:color w:val="auto"/>
          <w:sz w:val="24"/>
          <w:lang w:eastAsia="zh-CN"/>
        </w:rPr>
        <w:t>和总体要求</w:t>
      </w:r>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hint="default" w:ascii="宋体" w:eastAsia="宋体" w:cs="宋体"/>
          <w:b w:val="0"/>
          <w:bCs/>
          <w:color w:val="auto"/>
          <w:sz w:val="24"/>
          <w:szCs w:val="24"/>
          <w:lang w:val="en-US" w:eastAsia="zh-CN"/>
        </w:rPr>
      </w:pPr>
      <w:r>
        <w:rPr>
          <w:rFonts w:hint="eastAsia"/>
          <w:bCs/>
          <w:color w:val="auto"/>
          <w:sz w:val="24"/>
          <w:lang w:val="en-US" w:eastAsia="zh-CN"/>
        </w:rPr>
        <w:t xml:space="preserve"> </w:t>
      </w:r>
      <w:r>
        <w:rPr>
          <w:rFonts w:hint="eastAsia" w:ascii="宋体" w:eastAsia="宋体" w:cs="宋体"/>
          <w:b w:val="0"/>
          <w:bCs/>
          <w:color w:val="auto"/>
          <w:sz w:val="24"/>
          <w:szCs w:val="24"/>
          <w:lang w:val="en-US" w:eastAsia="zh-CN"/>
        </w:rPr>
        <w:t>本项目为成都市金牛区市场监督管理局2021年第二次食品安全抽检监测服务项目采购。本项目共2个包，其中第1包：农药、兽药残留量食品安全抽检，</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b w:val="0"/>
          <w:bCs/>
          <w:sz w:val="24"/>
          <w:szCs w:val="24"/>
          <w:highlight w:val="none"/>
          <w:lang w:val="en-US" w:eastAsia="zh-CN" w:bidi="ar-SA"/>
        </w:rPr>
      </w:pPr>
      <w:r>
        <w:rPr>
          <w:rFonts w:hint="eastAsia" w:ascii="宋体" w:eastAsia="宋体" w:cs="宋体"/>
          <w:b w:val="0"/>
          <w:bCs/>
          <w:color w:val="auto"/>
          <w:sz w:val="24"/>
          <w:szCs w:val="24"/>
          <w:lang w:val="en-US" w:eastAsia="zh-CN"/>
        </w:rPr>
        <w:t>第2包：食品安全常规抽检和执法抽检等。</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500" w:lineRule="exact"/>
        <w:textAlignment w:val="auto"/>
        <w:rPr>
          <w:rFonts w:hint="default" w:eastAsiaTheme="minorEastAsia"/>
          <w:b/>
          <w:bCs/>
          <w:color w:val="auto"/>
          <w:sz w:val="24"/>
          <w:lang w:val="en-US" w:eastAsia="zh-CN"/>
        </w:rPr>
      </w:pPr>
      <w:r>
        <w:rPr>
          <w:rFonts w:hint="eastAsia" w:ascii="宋体" w:hAnsi="宋体"/>
          <w:b/>
          <w:kern w:val="0"/>
          <w:sz w:val="24"/>
          <w:lang w:val="zh-CN" w:eastAsia="zh-CN"/>
        </w:rPr>
        <w:t>二、服务要求（适用于第</w:t>
      </w:r>
      <w:r>
        <w:rPr>
          <w:rFonts w:hint="eastAsia" w:ascii="宋体" w:hAnsi="宋体"/>
          <w:b/>
          <w:kern w:val="0"/>
          <w:sz w:val="24"/>
          <w:lang w:val="en-US" w:eastAsia="zh-CN"/>
        </w:rPr>
        <w:t>1包</w:t>
      </w:r>
      <w:r>
        <w:rPr>
          <w:rFonts w:hint="eastAsia" w:ascii="宋体" w:hAnsi="宋体"/>
          <w:b/>
          <w:kern w:val="0"/>
          <w:sz w:val="24"/>
          <w:lang w:val="zh-CN" w:eastAsia="zh-CN"/>
        </w:rPr>
        <w:t>、第</w:t>
      </w:r>
      <w:r>
        <w:rPr>
          <w:rFonts w:hint="eastAsia" w:ascii="宋体" w:hAnsi="宋体"/>
          <w:b/>
          <w:kern w:val="0"/>
          <w:sz w:val="24"/>
          <w:lang w:val="en-US" w:eastAsia="zh-CN"/>
        </w:rPr>
        <w:t>2包</w:t>
      </w:r>
      <w:r>
        <w:rPr>
          <w:rFonts w:hint="eastAsia" w:ascii="宋体" w:hAnsi="宋体"/>
          <w:b/>
          <w:kern w:val="0"/>
          <w:sz w:val="24"/>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textAlignment w:val="auto"/>
        <w:rPr>
          <w:rFonts w:hint="eastAsia" w:ascii="宋体" w:hAnsi="宋体" w:eastAsia="宋体"/>
          <w:b w:val="0"/>
          <w:bCs w:val="0"/>
          <w:color w:val="auto"/>
          <w:sz w:val="24"/>
          <w:szCs w:val="24"/>
          <w:lang w:val="zh-CN" w:eastAsia="zh-CN" w:bidi="ar-SA"/>
        </w:rPr>
      </w:pPr>
      <w:r>
        <w:rPr>
          <w:rFonts w:hint="eastAsia" w:eastAsia="宋体"/>
          <w:b w:val="0"/>
          <w:bCs w:val="0"/>
          <w:color w:val="auto"/>
          <w:sz w:val="24"/>
          <w:szCs w:val="24"/>
          <w:lang w:val="zh-CN" w:eastAsia="zh-CN" w:bidi="ar-SA"/>
        </w:rPr>
        <w:t>（一）</w:t>
      </w:r>
      <w:r>
        <w:rPr>
          <w:rFonts w:hint="eastAsia" w:ascii="宋体" w:hAnsi="宋体" w:eastAsia="宋体"/>
          <w:b w:val="0"/>
          <w:bCs w:val="0"/>
          <w:color w:val="auto"/>
          <w:sz w:val="24"/>
          <w:szCs w:val="24"/>
          <w:lang w:val="zh-CN" w:eastAsia="zh-CN" w:bidi="ar-SA"/>
        </w:rPr>
        <w:t>食品安全抽检监测计划</w:t>
      </w:r>
    </w:p>
    <w:p>
      <w:pPr>
        <w:keepNext w:val="0"/>
        <w:keepLines w:val="0"/>
        <w:pageBreakBefore w:val="0"/>
        <w:widowControl w:val="0"/>
        <w:kinsoku/>
        <w:wordWrap/>
        <w:overflowPunct/>
        <w:topLinePunct w:val="0"/>
        <w:autoSpaceDE/>
        <w:autoSpaceDN/>
        <w:bidi w:val="0"/>
        <w:adjustRightInd/>
        <w:snapToGrid w:val="0"/>
        <w:spacing w:line="500" w:lineRule="exact"/>
        <w:ind w:firstLine="240" w:firstLineChars="100"/>
        <w:textAlignment w:val="auto"/>
        <w:rPr>
          <w:rFonts w:hint="eastAsia" w:ascii="宋体" w:hAnsi="宋体" w:eastAsia="宋体" w:cs="宋体"/>
          <w:color w:val="auto"/>
          <w:sz w:val="24"/>
          <w:szCs w:val="24"/>
        </w:rPr>
      </w:pPr>
      <w:r>
        <w:rPr>
          <w:rFonts w:hint="eastAsia" w:eastAsia="宋体"/>
          <w:b w:val="0"/>
          <w:bCs w:val="0"/>
          <w:color w:val="auto"/>
          <w:sz w:val="24"/>
          <w:szCs w:val="24"/>
          <w:lang w:val="en-US" w:eastAsia="zh-CN" w:bidi="ar-SA"/>
        </w:rPr>
        <w:t>1、</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年度计划完成</w:t>
      </w:r>
      <w:r>
        <w:rPr>
          <w:rFonts w:hint="eastAsia" w:ascii="宋体" w:hAnsi="宋体" w:eastAsia="宋体" w:cs="宋体"/>
          <w:color w:val="auto"/>
          <w:sz w:val="24"/>
          <w:szCs w:val="24"/>
          <w:lang w:eastAsia="zh-CN"/>
        </w:rPr>
        <w:t>追加</w:t>
      </w:r>
      <w:r>
        <w:rPr>
          <w:rFonts w:hint="eastAsia" w:ascii="宋体" w:hAnsi="宋体" w:eastAsia="宋体" w:cs="宋体"/>
          <w:color w:val="auto"/>
          <w:sz w:val="24"/>
          <w:szCs w:val="24"/>
        </w:rPr>
        <w:t>区级食品安全抽检监测</w:t>
      </w:r>
      <w:r>
        <w:rPr>
          <w:rFonts w:hint="eastAsia" w:ascii="宋体" w:hAnsi="宋体" w:eastAsia="宋体" w:cs="宋体"/>
          <w:color w:val="auto"/>
          <w:sz w:val="24"/>
          <w:szCs w:val="24"/>
          <w:lang w:val="en-US" w:eastAsia="zh-CN"/>
        </w:rPr>
        <w:t>1900</w:t>
      </w:r>
      <w:r>
        <w:rPr>
          <w:rFonts w:hint="eastAsia" w:ascii="宋体" w:hAnsi="宋体" w:eastAsia="宋体" w:cs="宋体"/>
          <w:color w:val="auto"/>
          <w:sz w:val="24"/>
          <w:szCs w:val="24"/>
        </w:rPr>
        <w:t>批次，具体分配计划</w:t>
      </w:r>
      <w:r>
        <w:rPr>
          <w:rFonts w:hint="eastAsia" w:ascii="宋体" w:hAnsi="宋体" w:eastAsia="宋体" w:cs="宋体"/>
          <w:color w:val="auto"/>
          <w:sz w:val="24"/>
          <w:szCs w:val="24"/>
          <w:lang w:val="en-US" w:eastAsia="zh-CN"/>
        </w:rPr>
        <w:t>如下</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color w:val="auto"/>
          <w:sz w:val="24"/>
          <w:szCs w:val="24"/>
          <w:lang w:eastAsia="zh-CN"/>
        </w:rPr>
      </w:pPr>
      <w:r>
        <w:rPr>
          <w:rFonts w:hint="eastAsia" w:hAnsi="宋体" w:cs="宋体"/>
          <w:color w:val="auto"/>
          <w:sz w:val="24"/>
          <w:szCs w:val="24"/>
          <w:lang w:eastAsia="zh-CN"/>
        </w:rPr>
        <w:t>第</w:t>
      </w:r>
      <w:r>
        <w:rPr>
          <w:rFonts w:hint="eastAsia" w:hAnsi="宋体" w:cs="宋体"/>
          <w:color w:val="auto"/>
          <w:sz w:val="24"/>
          <w:szCs w:val="24"/>
          <w:lang w:val="en-US" w:eastAsia="zh-CN"/>
        </w:rPr>
        <w:t>1包：</w:t>
      </w:r>
      <w:r>
        <w:rPr>
          <w:rFonts w:hint="eastAsia" w:ascii="宋体" w:hAnsi="宋体" w:eastAsia="宋体" w:cs="宋体"/>
          <w:color w:val="auto"/>
          <w:sz w:val="24"/>
          <w:szCs w:val="24"/>
          <w:lang w:eastAsia="zh-CN"/>
        </w:rPr>
        <w:t>针对农药兽药残留的</w:t>
      </w:r>
      <w:r>
        <w:rPr>
          <w:rFonts w:hint="eastAsia" w:ascii="宋体" w:hAnsi="宋体" w:eastAsia="宋体" w:cs="宋体"/>
          <w:color w:val="auto"/>
          <w:sz w:val="24"/>
          <w:szCs w:val="24"/>
        </w:rPr>
        <w:t>食品计划抽检</w:t>
      </w:r>
      <w:r>
        <w:rPr>
          <w:rFonts w:hint="eastAsia" w:ascii="宋体" w:hAnsi="宋体" w:eastAsia="宋体" w:cs="宋体"/>
          <w:color w:val="auto"/>
          <w:sz w:val="24"/>
          <w:szCs w:val="24"/>
          <w:lang w:val="en-US" w:eastAsia="zh-CN"/>
        </w:rPr>
        <w:t>140</w:t>
      </w:r>
      <w:r>
        <w:rPr>
          <w:rFonts w:hint="eastAsia" w:ascii="宋体" w:hAnsi="宋体" w:eastAsia="宋体" w:cs="宋体"/>
          <w:color w:val="auto"/>
          <w:sz w:val="24"/>
          <w:szCs w:val="24"/>
        </w:rPr>
        <w:t>0批次，突出对农兽药残留等项目的监测</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default" w:ascii="宋体" w:hAnsi="宋体" w:eastAsia="宋体" w:cs="宋体"/>
          <w:b w:val="0"/>
          <w:bCs/>
          <w:color w:val="auto"/>
          <w:kern w:val="2"/>
          <w:sz w:val="24"/>
          <w:szCs w:val="24"/>
          <w:highlight w:val="none"/>
          <w:lang w:val="en-US" w:eastAsia="zh-CN" w:bidi="ar-SA"/>
        </w:rPr>
      </w:pPr>
      <w:r>
        <w:rPr>
          <w:rFonts w:hint="eastAsia" w:hAnsi="宋体" w:cs="宋体"/>
          <w:color w:val="auto"/>
          <w:sz w:val="24"/>
          <w:szCs w:val="24"/>
          <w:lang w:eastAsia="zh-CN"/>
        </w:rPr>
        <w:t>第</w:t>
      </w:r>
      <w:r>
        <w:rPr>
          <w:rFonts w:hint="eastAsia" w:hAnsi="宋体" w:cs="宋体"/>
          <w:color w:val="auto"/>
          <w:sz w:val="24"/>
          <w:szCs w:val="24"/>
          <w:lang w:val="en-US" w:eastAsia="zh-CN"/>
        </w:rPr>
        <w:t>2包：</w:t>
      </w:r>
      <w:r>
        <w:rPr>
          <w:rFonts w:hint="eastAsia" w:ascii="宋体" w:hAnsi="宋体" w:eastAsia="宋体" w:cs="宋体"/>
          <w:color w:val="auto"/>
          <w:sz w:val="24"/>
          <w:szCs w:val="24"/>
          <w:lang w:eastAsia="zh-CN"/>
        </w:rPr>
        <w:t>针对</w:t>
      </w:r>
      <w:r>
        <w:rPr>
          <w:rFonts w:hint="eastAsia" w:ascii="宋体" w:hAnsi="宋体" w:eastAsia="宋体" w:cs="宋体"/>
          <w:b w:val="0"/>
          <w:bCs/>
          <w:color w:val="auto"/>
          <w:kern w:val="2"/>
          <w:sz w:val="24"/>
          <w:szCs w:val="24"/>
          <w:highlight w:val="none"/>
          <w:lang w:val="en-US" w:eastAsia="zh-CN" w:bidi="ar-SA"/>
        </w:rPr>
        <w:t>食品安全常规抽检和执法抽检等计划</w:t>
      </w:r>
      <w:r>
        <w:rPr>
          <w:rFonts w:hint="eastAsia" w:ascii="宋体" w:hAnsi="宋体" w:eastAsia="宋体" w:cs="宋体"/>
          <w:color w:val="auto"/>
          <w:sz w:val="24"/>
          <w:szCs w:val="24"/>
        </w:rPr>
        <w:t>抽检</w:t>
      </w:r>
      <w:r>
        <w:rPr>
          <w:rFonts w:hint="eastAsia" w:ascii="宋体" w:hAnsi="宋体" w:eastAsia="宋体" w:cs="宋体"/>
          <w:color w:val="auto"/>
          <w:sz w:val="24"/>
          <w:szCs w:val="24"/>
          <w:lang w:val="en-US" w:eastAsia="zh-CN"/>
        </w:rPr>
        <w:t>50</w:t>
      </w:r>
      <w:r>
        <w:rPr>
          <w:rFonts w:hint="eastAsia" w:ascii="宋体" w:hAnsi="宋体" w:eastAsia="宋体" w:cs="宋体"/>
          <w:color w:val="auto"/>
          <w:sz w:val="24"/>
          <w:szCs w:val="24"/>
        </w:rPr>
        <w:t>0批次</w:t>
      </w:r>
      <w:r>
        <w:rPr>
          <w:rFonts w:hint="eastAsia" w:ascii="宋体" w:hAnsi="宋体" w:eastAsia="宋体" w:cs="宋体"/>
          <w:b w:val="0"/>
          <w:bCs/>
          <w:color w:val="auto"/>
          <w:kern w:val="2"/>
          <w:sz w:val="24"/>
          <w:szCs w:val="24"/>
          <w:highlight w:val="none"/>
          <w:lang w:val="en-US" w:eastAsia="zh-CN" w:bidi="ar-SA"/>
        </w:rPr>
        <w:t>，包括：校园及校园周边抽检</w:t>
      </w:r>
      <w:r>
        <w:rPr>
          <w:rFonts w:hint="eastAsia" w:hAnsi="宋体" w:cs="宋体"/>
          <w:b w:val="0"/>
          <w:bCs/>
          <w:color w:val="auto"/>
          <w:kern w:val="2"/>
          <w:sz w:val="24"/>
          <w:szCs w:val="24"/>
          <w:highlight w:val="none"/>
          <w:lang w:val="en-US" w:eastAsia="zh-CN" w:bidi="ar-SA"/>
        </w:rPr>
        <w:t>2</w:t>
      </w:r>
      <w:r>
        <w:rPr>
          <w:rFonts w:hint="eastAsia" w:ascii="宋体" w:hAnsi="宋体" w:eastAsia="宋体" w:cs="宋体"/>
          <w:b w:val="0"/>
          <w:bCs/>
          <w:color w:val="auto"/>
          <w:kern w:val="2"/>
          <w:sz w:val="24"/>
          <w:szCs w:val="24"/>
          <w:highlight w:val="none"/>
          <w:lang w:val="en-US" w:eastAsia="zh-CN" w:bidi="ar-SA"/>
        </w:rPr>
        <w:t>00个批次，流通环节食品抽检</w:t>
      </w:r>
      <w:r>
        <w:rPr>
          <w:rFonts w:hint="eastAsia" w:hAnsi="宋体" w:cs="宋体"/>
          <w:b w:val="0"/>
          <w:bCs/>
          <w:color w:val="auto"/>
          <w:kern w:val="2"/>
          <w:sz w:val="24"/>
          <w:szCs w:val="24"/>
          <w:highlight w:val="none"/>
          <w:lang w:val="en-US" w:eastAsia="zh-CN" w:bidi="ar-SA"/>
        </w:rPr>
        <w:t>13</w:t>
      </w:r>
      <w:r>
        <w:rPr>
          <w:rFonts w:hint="eastAsia" w:ascii="宋体" w:hAnsi="宋体" w:eastAsia="宋体" w:cs="宋体"/>
          <w:b w:val="0"/>
          <w:bCs/>
          <w:color w:val="auto"/>
          <w:kern w:val="2"/>
          <w:sz w:val="24"/>
          <w:szCs w:val="24"/>
          <w:highlight w:val="none"/>
          <w:lang w:val="en-US" w:eastAsia="zh-CN" w:bidi="ar-SA"/>
        </w:rPr>
        <w:t>0个批次，餐饮环节抽检1</w:t>
      </w:r>
      <w:r>
        <w:rPr>
          <w:rFonts w:hint="eastAsia" w:hAnsi="宋体" w:cs="宋体"/>
          <w:b w:val="0"/>
          <w:bCs/>
          <w:color w:val="auto"/>
          <w:kern w:val="2"/>
          <w:sz w:val="24"/>
          <w:szCs w:val="24"/>
          <w:highlight w:val="none"/>
          <w:lang w:val="en-US" w:eastAsia="zh-CN" w:bidi="ar-SA"/>
        </w:rPr>
        <w:t>5</w:t>
      </w:r>
      <w:r>
        <w:rPr>
          <w:rFonts w:hint="eastAsia" w:ascii="宋体" w:hAnsi="宋体" w:eastAsia="宋体" w:cs="宋体"/>
          <w:b w:val="0"/>
          <w:bCs/>
          <w:color w:val="auto"/>
          <w:kern w:val="2"/>
          <w:sz w:val="24"/>
          <w:szCs w:val="24"/>
          <w:highlight w:val="none"/>
          <w:lang w:val="en-US" w:eastAsia="zh-CN" w:bidi="ar-SA"/>
        </w:rPr>
        <w:t>0个批次，预留机动抽检20个批次，</w:t>
      </w:r>
      <w:r>
        <w:rPr>
          <w:rFonts w:hint="eastAsia" w:ascii="宋体" w:hAnsi="宋体" w:eastAsia="宋体" w:cs="宋体"/>
          <w:color w:val="auto"/>
          <w:sz w:val="24"/>
          <w:szCs w:val="24"/>
        </w:rPr>
        <w:t>以满足处理食品安全应急处置、投诉举报、案件查办等工作需要</w:t>
      </w:r>
      <w:r>
        <w:rPr>
          <w:rFonts w:hint="eastAsia" w:ascii="宋体" w:hAnsi="宋体" w:eastAsia="宋体" w:cs="宋体"/>
          <w:b w:val="0"/>
          <w:bCs/>
          <w:color w:val="auto"/>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textAlignment w:val="auto"/>
        <w:rPr>
          <w:rFonts w:hint="eastAsia" w:ascii="宋体" w:eastAsia="宋体" w:cs="Times New Roman"/>
          <w:b w:val="0"/>
          <w:bCs w:val="0"/>
          <w:color w:val="auto"/>
          <w:sz w:val="24"/>
          <w:szCs w:val="24"/>
          <w:lang w:val="zh-CN" w:eastAsia="zh-CN" w:bidi="ar-SA"/>
        </w:rPr>
      </w:pPr>
      <w:r>
        <w:rPr>
          <w:rFonts w:hint="eastAsia" w:ascii="宋体" w:eastAsia="宋体" w:cs="Times New Roman"/>
          <w:b w:val="0"/>
          <w:bCs w:val="0"/>
          <w:color w:val="auto"/>
          <w:sz w:val="24"/>
          <w:szCs w:val="24"/>
          <w:lang w:val="zh-CN" w:eastAsia="zh-CN" w:bidi="ar-SA"/>
        </w:rPr>
        <w:t>（二）承检机构任务分工</w:t>
      </w:r>
    </w:p>
    <w:p>
      <w:pPr>
        <w:pStyle w:val="2"/>
        <w:keepNext w:val="0"/>
        <w:keepLines w:val="0"/>
        <w:pageBreakBefore w:val="0"/>
        <w:widowControl w:val="0"/>
        <w:kinsoku/>
        <w:wordWrap/>
        <w:overflowPunct/>
        <w:topLinePunct w:val="0"/>
        <w:autoSpaceDE/>
        <w:autoSpaceDN/>
        <w:bidi w:val="0"/>
        <w:adjustRightInd/>
        <w:spacing w:after="0" w:line="500" w:lineRule="exact"/>
        <w:ind w:firstLine="480" w:firstLineChars="200"/>
        <w:textAlignment w:val="auto"/>
        <w:rPr>
          <w:rFonts w:hint="eastAsia" w:ascii="宋体" w:hAnsi="宋体" w:eastAsia="宋体" w:cs="宋体"/>
          <w:color w:val="auto"/>
          <w:sz w:val="24"/>
          <w:szCs w:val="24"/>
          <w:lang w:val="zh-CN" w:eastAsia="zh-CN" w:bidi="ar-SA"/>
        </w:rPr>
      </w:pPr>
      <w:r>
        <w:rPr>
          <w:rFonts w:hint="eastAsia" w:ascii="宋体" w:hAnsi="宋体" w:eastAsia="宋体" w:cs="宋体"/>
          <w:color w:val="auto"/>
          <w:sz w:val="24"/>
          <w:szCs w:val="24"/>
          <w:lang w:val="en-US" w:eastAsia="zh-CN" w:bidi="ar-SA"/>
        </w:rPr>
        <w:t>根据合同约定，细化抽检实施方案，负责实施食品抽样、实验室检测、结果判定、数据报送和分析报告撰写等工作。</w:t>
      </w:r>
    </w:p>
    <w:p>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textAlignment w:val="auto"/>
        <w:rPr>
          <w:rFonts w:hint="eastAsia" w:ascii="宋体" w:eastAsia="宋体" w:cs="Times New Roman"/>
          <w:b w:val="0"/>
          <w:bCs w:val="0"/>
          <w:color w:val="auto"/>
          <w:sz w:val="24"/>
          <w:szCs w:val="24"/>
          <w:lang w:val="zh-CN" w:eastAsia="zh-CN" w:bidi="ar-SA"/>
        </w:rPr>
      </w:pPr>
      <w:r>
        <w:rPr>
          <w:rFonts w:hint="eastAsia" w:ascii="宋体" w:eastAsia="宋体" w:cs="Times New Roman"/>
          <w:b w:val="0"/>
          <w:bCs w:val="0"/>
          <w:color w:val="auto"/>
          <w:sz w:val="24"/>
          <w:szCs w:val="24"/>
          <w:lang w:val="zh-CN" w:eastAsia="zh-CN" w:bidi="ar-SA"/>
        </w:rPr>
        <w:t>（三）抽样工作</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★食品抽样应当严格按照《食品安全抽验检验管理办法》、《食品安全监督抽检和风险监测工作规范》执行，使用上级部门规定的电子抽样系统，抽检编号暂参照总局要求统一抽样编号</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抽样区域和对象</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区级食品常规性抽检计划坚持问题导向，重点抽检高风险食品品种，确保问题发现率</w:t>
      </w:r>
      <w:r>
        <w:rPr>
          <w:rFonts w:hint="eastAsia" w:ascii="宋体" w:hAnsi="宋体" w:eastAsia="宋体" w:cs="宋体"/>
          <w:sz w:val="24"/>
          <w:szCs w:val="24"/>
          <w:lang w:eastAsia="zh-CN"/>
        </w:rPr>
        <w:t>达到上级要求</w:t>
      </w:r>
      <w:r>
        <w:rPr>
          <w:rFonts w:hint="eastAsia" w:ascii="宋体" w:hAnsi="宋体" w:eastAsia="宋体" w:cs="宋体"/>
          <w:sz w:val="24"/>
          <w:szCs w:val="24"/>
        </w:rPr>
        <w:t>。抽样实施过程中要注意抽样的科学性、随机性和实效性，选择抽样对象应保证均匀覆盖辖区内13个街道的食品生产经营单位。</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加大对食品生产经营聚集区、食品及食用农产品集中交易市场、食品问题多发区、大型集体餐饮场所、学生食堂、学生集体用餐配送单位、校园周边食品生产经营者，以及城乡结合部、旅游景区等重点区域食品的抽检力度，同时应充分考虑既往抽检发现不合格样品的生产经营企业、区域和食品品种。</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食品生产企业抽样应确保覆盖辖区在产获证企业的所有食品大类，承检机构</w:t>
      </w:r>
      <w:r>
        <w:rPr>
          <w:rFonts w:hint="eastAsia" w:ascii="宋体" w:hAnsi="宋体" w:eastAsia="宋体" w:cs="宋体"/>
          <w:sz w:val="24"/>
          <w:szCs w:val="24"/>
          <w:lang w:eastAsia="zh-CN"/>
        </w:rPr>
        <w:t>按时</w:t>
      </w:r>
      <w:r>
        <w:rPr>
          <w:rFonts w:hint="eastAsia" w:ascii="宋体" w:hAnsi="宋体" w:eastAsia="宋体" w:cs="宋体"/>
          <w:sz w:val="24"/>
          <w:szCs w:val="24"/>
        </w:rPr>
        <w:t>汇总上报在产企业和在产品种的覆盖情况</w:t>
      </w:r>
      <w:r>
        <w:rPr>
          <w:rFonts w:hint="eastAsia" w:ascii="宋体" w:hAnsi="宋体" w:eastAsia="宋体" w:cs="宋体"/>
          <w:sz w:val="24"/>
          <w:szCs w:val="24"/>
          <w:lang w:eastAsia="zh-CN"/>
        </w:rPr>
        <w:t>。</w:t>
      </w:r>
      <w:r>
        <w:rPr>
          <w:rFonts w:hint="eastAsia" w:ascii="宋体" w:hAnsi="宋体" w:eastAsia="宋体" w:cs="宋体"/>
          <w:sz w:val="24"/>
          <w:szCs w:val="24"/>
        </w:rPr>
        <w:t>抽样实施过程中，如发现企业停产的要说明原因并作书面记录，长期停产的要进行生产条件的复核确认，由抽样单位书面反馈到</w:t>
      </w:r>
      <w:r>
        <w:rPr>
          <w:rFonts w:hint="eastAsia" w:ascii="宋体" w:hAnsi="宋体" w:eastAsia="宋体" w:cs="宋体"/>
          <w:bCs/>
          <w:sz w:val="24"/>
          <w:szCs w:val="24"/>
        </w:rPr>
        <w:t>金牛区市场监督管理局</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流通环节抽样应涵盖批发市场、农贸市场、商场、超市、小食杂店等不同业态，食用农产品抽检应覆盖辖区内生产销售的蔬菜、水果、畜禽肉、水产品、鲜蛋等食用农产品。</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抽样时间和频次</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承检机构按照本计划，</w:t>
      </w:r>
      <w:r>
        <w:rPr>
          <w:rFonts w:hint="eastAsia" w:ascii="宋体" w:hAnsi="宋体" w:eastAsia="宋体" w:cs="宋体"/>
          <w:sz w:val="24"/>
          <w:szCs w:val="24"/>
          <w:lang w:eastAsia="zh-CN"/>
        </w:rPr>
        <w:t>按时</w:t>
      </w:r>
      <w:r>
        <w:rPr>
          <w:rFonts w:hint="eastAsia" w:ascii="宋体" w:hAnsi="宋体" w:eastAsia="宋体" w:cs="宋体"/>
          <w:sz w:val="24"/>
          <w:szCs w:val="24"/>
        </w:rPr>
        <w:t>完成抽检任务。</w:t>
      </w:r>
    </w:p>
    <w:p>
      <w:pPr>
        <w:keepNext w:val="0"/>
        <w:keepLines w:val="0"/>
        <w:pageBreakBefore w:val="0"/>
        <w:widowControl w:val="0"/>
        <w:kinsoku/>
        <w:wordWrap/>
        <w:overflowPunct/>
        <w:topLinePunct w:val="0"/>
        <w:autoSpaceDE/>
        <w:autoSpaceDN/>
        <w:bidi w:val="0"/>
        <w:adjustRightInd/>
        <w:spacing w:line="500" w:lineRule="exact"/>
        <w:textAlignment w:val="auto"/>
        <w:rPr>
          <w:rFonts w:hint="eastAsia" w:ascii="宋体" w:hAnsi="宋体" w:eastAsia="宋体" w:cs="宋体"/>
          <w:sz w:val="24"/>
          <w:szCs w:val="24"/>
        </w:rPr>
      </w:pPr>
      <w:r>
        <w:rPr>
          <w:rFonts w:hint="eastAsia" w:hAnsi="宋体" w:cs="宋体"/>
          <w:sz w:val="24"/>
          <w:szCs w:val="24"/>
          <w:lang w:val="en-US" w:eastAsia="zh-CN"/>
        </w:rPr>
        <w:t>（四）</w:t>
      </w:r>
      <w:r>
        <w:rPr>
          <w:rFonts w:hint="eastAsia" w:ascii="宋体" w:hAnsi="宋体" w:eastAsia="宋体" w:cs="宋体"/>
          <w:sz w:val="24"/>
          <w:szCs w:val="24"/>
        </w:rPr>
        <w:t>检验及数据报送工作</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食品检验要严格按照有关法律法规、规章以及《食品安全监督抽检和风险监测工作规范》和《国家食品安全监督抽检实施细则》执行。</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hAnsi="宋体" w:cs="宋体"/>
          <w:sz w:val="24"/>
          <w:szCs w:val="24"/>
          <w:lang w:val="en-US" w:eastAsia="zh-CN"/>
        </w:rPr>
        <w:t>1、</w:t>
      </w:r>
      <w:r>
        <w:rPr>
          <w:rFonts w:hint="eastAsia" w:ascii="宋体" w:hAnsi="宋体" w:eastAsia="宋体" w:cs="宋体"/>
          <w:sz w:val="24"/>
          <w:szCs w:val="24"/>
        </w:rPr>
        <w:t>检验项目</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hAnsi="宋体" w:cs="宋体"/>
          <w:sz w:val="24"/>
          <w:szCs w:val="24"/>
          <w:lang w:val="en-US" w:eastAsia="zh-CN"/>
        </w:rPr>
        <w:t>1.1</w:t>
      </w:r>
      <w:r>
        <w:rPr>
          <w:rFonts w:hint="eastAsia" w:ascii="宋体" w:hAnsi="宋体" w:eastAsia="宋体" w:cs="宋体"/>
          <w:sz w:val="24"/>
          <w:szCs w:val="24"/>
        </w:rPr>
        <w:t>承检机构要严格按照指定的检验方法和判定标准实施样品检验和结果判定，不得随意更换方法。</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hAnsi="宋体" w:cs="宋体"/>
          <w:sz w:val="24"/>
          <w:szCs w:val="24"/>
          <w:lang w:val="en-US" w:eastAsia="zh-CN"/>
        </w:rPr>
        <w:t>1.2</w:t>
      </w:r>
      <w:r>
        <w:rPr>
          <w:rFonts w:hint="eastAsia" w:ascii="宋体" w:hAnsi="宋体" w:eastAsia="宋体" w:cs="宋体"/>
          <w:sz w:val="24"/>
          <w:szCs w:val="24"/>
        </w:rPr>
        <w:t>因承检机构检验能力、检验经费等原因导致不能完成全部抽检项目（参数）的，实际检验项目要以问题为导向进行筛选，数量不得少于国家食品安全监督抽检实施细则</w:t>
      </w:r>
      <w:r>
        <w:rPr>
          <w:rFonts w:hint="eastAsia" w:ascii="宋体" w:hAnsi="宋体" w:eastAsia="宋体" w:cs="宋体"/>
          <w:sz w:val="24"/>
          <w:szCs w:val="24"/>
          <w:lang w:val="en-US" w:eastAsia="zh-CN"/>
        </w:rPr>
        <w:t>中项目的60</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hAnsi="宋体" w:cs="宋体"/>
          <w:sz w:val="24"/>
          <w:szCs w:val="24"/>
          <w:lang w:val="en-US" w:eastAsia="zh-CN"/>
        </w:rPr>
        <w:t>1.3</w:t>
      </w:r>
      <w:r>
        <w:rPr>
          <w:rFonts w:hint="eastAsia" w:ascii="宋体" w:hAnsi="宋体" w:eastAsia="宋体" w:cs="宋体"/>
          <w:sz w:val="24"/>
          <w:szCs w:val="24"/>
        </w:rPr>
        <w:t>食用农产品抽检中，总局指定品种的食用农产品，抽样量不少于样品量的50%，检验项目应包含总局规定的所有项目；其他抽检品种和检验项目，根据辖区内食用农产品销售和消费等特点，并结合既往发现的农兽药滥用和残留问题来确定。</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hAnsi="宋体" w:cs="宋体"/>
          <w:sz w:val="24"/>
          <w:szCs w:val="24"/>
          <w:lang w:val="en-US" w:eastAsia="zh-CN"/>
        </w:rPr>
        <w:t>2、</w:t>
      </w:r>
      <w:r>
        <w:rPr>
          <w:rFonts w:hint="eastAsia" w:ascii="宋体" w:hAnsi="宋体" w:eastAsia="宋体" w:cs="宋体"/>
          <w:sz w:val="24"/>
          <w:szCs w:val="24"/>
        </w:rPr>
        <w:t>复检工作</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承检机构要加强实验室质量控制，对于不合格样品必须进行复核，确保检验结果准确可靠。被抽样单位或标识生产者对不合格样品检验结论有异议的，自收到检验结论之日起 7 个工作日内，向组织实施抽样检验的食品药品监管部门提出复检申请，由受理复检申请的食品药品监管部门在公布的复检机构名录中随机确定复检机构进行复检。复检机构出具的复检结论为最终检验结论。复检机构与初检机构不得为同一机构。复检与初检结果不一致的，应分析原因。</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hAnsi="宋体" w:cs="宋体"/>
          <w:sz w:val="24"/>
          <w:szCs w:val="24"/>
          <w:lang w:val="en-US" w:eastAsia="zh-CN"/>
        </w:rPr>
        <w:t>3、</w:t>
      </w:r>
      <w:r>
        <w:rPr>
          <w:rFonts w:hint="eastAsia" w:ascii="宋体" w:hAnsi="宋体" w:eastAsia="宋体" w:cs="宋体"/>
          <w:sz w:val="24"/>
          <w:szCs w:val="24"/>
        </w:rPr>
        <w:t>数据报送</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本计划安排的抽检任务涉及的抽检数据，要严格按照规定的时限和规范要求报送。从抽样日期起20个工作日内出具电子报告。</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食用农产品的抽检数据由承检机构报送至食用农产品直报模块。数据上报人员应经过统一培训，确保数据报送的准确性、规范性和安全性。</w:t>
      </w:r>
    </w:p>
    <w:p>
      <w:pPr>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承检机构发现不合格（问题）样品中可能存在重大风险隐患或急性健康风险的，应当按照限时报告报送要求，立即报金牛区市场监督管理局。</w:t>
      </w:r>
    </w:p>
    <w:p>
      <w:pPr>
        <w:keepNext w:val="0"/>
        <w:keepLines w:val="0"/>
        <w:pageBreakBefore w:val="0"/>
        <w:widowControl w:val="0"/>
        <w:kinsoku/>
        <w:wordWrap/>
        <w:overflowPunct/>
        <w:topLinePunct w:val="0"/>
        <w:autoSpaceDE/>
        <w:autoSpaceDN/>
        <w:bidi w:val="0"/>
        <w:adjustRightInd/>
        <w:spacing w:line="500" w:lineRule="exact"/>
        <w:textAlignment w:val="auto"/>
        <w:rPr>
          <w:rFonts w:hint="eastAsia" w:ascii="宋体" w:hAnsi="宋体" w:eastAsia="宋体" w:cs="Times New Roman"/>
          <w:b/>
          <w:kern w:val="0"/>
          <w:sz w:val="24"/>
          <w:lang w:val="en-US" w:eastAsia="zh-CN" w:bidi="ar-SA"/>
        </w:rPr>
      </w:pPr>
      <w:r>
        <w:rPr>
          <w:rFonts w:hint="eastAsia" w:ascii="宋体" w:hAnsi="宋体" w:eastAsia="宋体" w:cs="Times New Roman"/>
          <w:b/>
          <w:kern w:val="0"/>
          <w:sz w:val="24"/>
          <w:lang w:val="en-US" w:eastAsia="zh-CN" w:bidi="ar-SA"/>
        </w:rPr>
        <w:t>三、商务要求</w:t>
      </w:r>
      <w:r>
        <w:rPr>
          <w:rFonts w:hint="eastAsia" w:ascii="宋体" w:hAnsi="宋体" w:eastAsia="宋体" w:cs="Times New Roman"/>
          <w:b/>
          <w:kern w:val="0"/>
          <w:sz w:val="24"/>
          <w:lang w:val="zh-CN" w:eastAsia="zh-CN" w:bidi="ar-SA"/>
        </w:rPr>
        <w:t>（适用于第</w:t>
      </w:r>
      <w:r>
        <w:rPr>
          <w:rFonts w:hint="eastAsia" w:ascii="宋体" w:hAnsi="宋体" w:eastAsia="宋体" w:cs="Times New Roman"/>
          <w:b/>
          <w:kern w:val="0"/>
          <w:sz w:val="24"/>
          <w:lang w:val="en-US" w:eastAsia="zh-CN" w:bidi="ar-SA"/>
        </w:rPr>
        <w:t>1包</w:t>
      </w:r>
      <w:r>
        <w:rPr>
          <w:rFonts w:hint="eastAsia" w:ascii="宋体" w:hAnsi="宋体" w:eastAsia="宋体" w:cs="Times New Roman"/>
          <w:b/>
          <w:kern w:val="0"/>
          <w:sz w:val="24"/>
          <w:lang w:val="zh-CN" w:eastAsia="zh-CN" w:bidi="ar-SA"/>
        </w:rPr>
        <w:t>、第</w:t>
      </w:r>
      <w:r>
        <w:rPr>
          <w:rFonts w:hint="eastAsia" w:ascii="宋体" w:hAnsi="宋体" w:eastAsia="宋体" w:cs="Times New Roman"/>
          <w:b/>
          <w:kern w:val="0"/>
          <w:sz w:val="24"/>
          <w:lang w:val="en-US" w:eastAsia="zh-CN" w:bidi="ar-SA"/>
        </w:rPr>
        <w:t>2包</w:t>
      </w:r>
      <w:r>
        <w:rPr>
          <w:rFonts w:hint="eastAsia" w:ascii="宋体" w:hAnsi="宋体" w:eastAsia="宋体" w:cs="Times New Roman"/>
          <w:b/>
          <w:kern w:val="0"/>
          <w:sz w:val="24"/>
          <w:lang w:val="zh-CN" w:eastAsia="zh-CN" w:bidi="ar-SA"/>
        </w:rPr>
        <w:t>）</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b w:val="0"/>
          <w:bCs w:val="0"/>
          <w:color w:val="auto"/>
          <w:sz w:val="24"/>
          <w:szCs w:val="24"/>
          <w:lang w:val="en-US" w:eastAsia="zh-CN" w:bidi="ar-SA"/>
        </w:rPr>
      </w:pPr>
      <w:r>
        <w:rPr>
          <w:rFonts w:hint="eastAsia" w:ascii="宋体" w:hAnsi="宋体" w:eastAsia="宋体"/>
          <w:b w:val="0"/>
          <w:bCs w:val="0"/>
          <w:color w:val="auto"/>
          <w:sz w:val="24"/>
          <w:szCs w:val="24"/>
          <w:lang w:val="en-US" w:eastAsia="zh-CN" w:bidi="ar-SA"/>
        </w:rPr>
        <w:t>（一）合同确定原则</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b w:val="0"/>
          <w:bCs w:val="0"/>
          <w:color w:val="auto"/>
          <w:sz w:val="24"/>
          <w:szCs w:val="24"/>
          <w:lang w:val="en-US" w:eastAsia="zh-CN" w:bidi="ar-SA"/>
        </w:rPr>
      </w:pPr>
      <w:r>
        <w:rPr>
          <w:rFonts w:hint="eastAsia" w:ascii="宋体" w:hAnsi="宋体" w:eastAsia="宋体"/>
          <w:b w:val="0"/>
          <w:bCs w:val="0"/>
          <w:color w:val="auto"/>
          <w:sz w:val="24"/>
          <w:szCs w:val="24"/>
          <w:lang w:val="en-US" w:eastAsia="zh-CN" w:bidi="ar-SA"/>
        </w:rPr>
        <w:t>★1、中标供应商必须独立完成，不得进行转包及分包。</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b w:val="0"/>
          <w:bCs w:val="0"/>
          <w:color w:val="auto"/>
          <w:sz w:val="24"/>
          <w:szCs w:val="24"/>
          <w:lang w:val="en-US" w:eastAsia="zh-CN" w:bidi="ar-SA"/>
        </w:rPr>
      </w:pPr>
      <w:r>
        <w:rPr>
          <w:rFonts w:hint="eastAsia" w:ascii="宋体" w:hAnsi="宋体" w:eastAsia="宋体"/>
          <w:b w:val="0"/>
          <w:bCs w:val="0"/>
          <w:color w:val="auto"/>
          <w:sz w:val="24"/>
          <w:szCs w:val="24"/>
          <w:lang w:val="en-US" w:eastAsia="zh-CN" w:bidi="ar-SA"/>
        </w:rPr>
        <w:t xml:space="preserve">  2、如中标供应商因生产能力不能履行合同的，采购单位可以与排位在中标供应商之后第一位的中标侯选供应商签订政府采购合同。</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b w:val="0"/>
          <w:bCs w:val="0"/>
          <w:color w:val="auto"/>
          <w:sz w:val="24"/>
          <w:szCs w:val="24"/>
          <w:lang w:val="en-US" w:eastAsia="zh-CN" w:bidi="ar-SA"/>
        </w:rPr>
      </w:pPr>
      <w:r>
        <w:rPr>
          <w:rFonts w:hint="eastAsia" w:ascii="宋体" w:hAnsi="宋体" w:eastAsia="宋体"/>
          <w:b w:val="0"/>
          <w:bCs w:val="0"/>
          <w:color w:val="auto"/>
          <w:sz w:val="24"/>
          <w:szCs w:val="24"/>
          <w:lang w:val="en-US" w:eastAsia="zh-CN" w:bidi="ar-SA"/>
        </w:rPr>
        <w:t>★3、项目实施过程中，采购人可根据实际工作需要，适当调整抽样类别、抽样批次和检测指标，投标人须承诺同意按采购人要求进行调整。（提供承诺函）</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b w:val="0"/>
          <w:bCs w:val="0"/>
          <w:color w:val="auto"/>
          <w:sz w:val="24"/>
          <w:szCs w:val="24"/>
          <w:lang w:val="en-US" w:eastAsia="zh-CN" w:bidi="ar-SA"/>
        </w:rPr>
      </w:pPr>
      <w:r>
        <w:rPr>
          <w:rFonts w:hint="eastAsia" w:ascii="宋体" w:hAnsi="宋体" w:eastAsia="宋体"/>
          <w:b w:val="0"/>
          <w:bCs w:val="0"/>
          <w:color w:val="auto"/>
          <w:sz w:val="24"/>
          <w:szCs w:val="24"/>
          <w:lang w:val="en-US" w:eastAsia="zh-CN" w:bidi="ar-SA"/>
        </w:rPr>
        <w:t>（二）服务期限：合同签订后至202</w:t>
      </w:r>
      <w:r>
        <w:rPr>
          <w:rFonts w:hint="eastAsia" w:hAnsi="宋体"/>
          <w:b w:val="0"/>
          <w:bCs w:val="0"/>
          <w:color w:val="auto"/>
          <w:sz w:val="24"/>
          <w:szCs w:val="24"/>
          <w:lang w:val="en-US" w:eastAsia="zh-CN" w:bidi="ar-SA"/>
        </w:rPr>
        <w:t>1</w:t>
      </w:r>
      <w:r>
        <w:rPr>
          <w:rFonts w:hint="eastAsia" w:ascii="宋体" w:hAnsi="宋体" w:eastAsia="宋体"/>
          <w:b w:val="0"/>
          <w:bCs w:val="0"/>
          <w:color w:val="auto"/>
          <w:sz w:val="24"/>
          <w:szCs w:val="24"/>
          <w:lang w:val="en-US" w:eastAsia="zh-CN" w:bidi="ar-SA"/>
        </w:rPr>
        <w:t>年1</w:t>
      </w:r>
      <w:r>
        <w:rPr>
          <w:rFonts w:hint="eastAsia" w:hAnsi="宋体"/>
          <w:b w:val="0"/>
          <w:bCs w:val="0"/>
          <w:color w:val="auto"/>
          <w:sz w:val="24"/>
          <w:szCs w:val="24"/>
          <w:lang w:val="en-US" w:eastAsia="zh-CN" w:bidi="ar-SA"/>
        </w:rPr>
        <w:t>1</w:t>
      </w:r>
      <w:r>
        <w:rPr>
          <w:rFonts w:hint="eastAsia" w:ascii="宋体" w:hAnsi="宋体" w:eastAsia="宋体"/>
          <w:b w:val="0"/>
          <w:bCs w:val="0"/>
          <w:color w:val="auto"/>
          <w:sz w:val="24"/>
          <w:szCs w:val="24"/>
          <w:lang w:val="en-US" w:eastAsia="zh-CN" w:bidi="ar-SA"/>
        </w:rPr>
        <w:t>月</w:t>
      </w:r>
      <w:r>
        <w:rPr>
          <w:rFonts w:hint="eastAsia" w:hAnsi="宋体"/>
          <w:b w:val="0"/>
          <w:bCs w:val="0"/>
          <w:color w:val="auto"/>
          <w:sz w:val="24"/>
          <w:szCs w:val="24"/>
          <w:lang w:val="en-US" w:eastAsia="zh-CN" w:bidi="ar-SA"/>
        </w:rPr>
        <w:t>20日前完成抽样检测任务，并于2021年11月25日前按照要求汇总辖区内抽检情况，形成工作总结，报送至金牛区市场监督管理局抽检监测科</w:t>
      </w:r>
      <w:r>
        <w:rPr>
          <w:rFonts w:hint="eastAsia" w:ascii="宋体" w:hAnsi="宋体" w:eastAsia="宋体"/>
          <w:b w:val="0"/>
          <w:bCs w:val="0"/>
          <w:color w:val="auto"/>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b w:val="0"/>
          <w:bCs w:val="0"/>
          <w:color w:val="auto"/>
          <w:sz w:val="24"/>
          <w:szCs w:val="24"/>
          <w:lang w:val="en-US" w:eastAsia="zh-CN" w:bidi="ar-SA"/>
        </w:rPr>
      </w:pPr>
      <w:r>
        <w:rPr>
          <w:rFonts w:hint="eastAsia" w:eastAsia="宋体"/>
          <w:b w:val="0"/>
          <w:bCs w:val="0"/>
          <w:color w:val="auto"/>
          <w:sz w:val="24"/>
          <w:szCs w:val="24"/>
          <w:lang w:val="en-US" w:eastAsia="zh-CN" w:bidi="ar-SA"/>
        </w:rPr>
        <w:t>（三）服务地点：成都市金牛区内采购人指定地点。</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Times New Roman"/>
          <w:b w:val="0"/>
          <w:bCs w:val="0"/>
          <w:color w:val="auto"/>
          <w:sz w:val="24"/>
          <w:szCs w:val="24"/>
          <w:lang w:val="en-US" w:eastAsia="zh-CN" w:bidi="ar-SA"/>
        </w:rPr>
      </w:pPr>
      <w:r>
        <w:rPr>
          <w:rFonts w:hint="eastAsia" w:ascii="宋体" w:hAnsi="宋体" w:eastAsia="宋体" w:cs="Times New Roman"/>
          <w:b w:val="0"/>
          <w:bCs w:val="0"/>
          <w:color w:val="auto"/>
          <w:sz w:val="24"/>
          <w:szCs w:val="24"/>
          <w:lang w:val="en-US" w:eastAsia="zh-CN" w:bidi="ar-SA"/>
        </w:rPr>
        <w:t>（四）付款方式：合同签订后，中标人根据实际抽检批次，列出抽检检验清单，核算价格并开具发票，抽检工作结束、采购人验收</w:t>
      </w:r>
      <w:r>
        <w:rPr>
          <w:rFonts w:hint="eastAsia" w:hAnsi="宋体" w:cs="Times New Roman"/>
          <w:b w:val="0"/>
          <w:bCs w:val="0"/>
          <w:color w:val="auto"/>
          <w:sz w:val="24"/>
          <w:szCs w:val="24"/>
          <w:lang w:val="en-US" w:eastAsia="zh-CN" w:bidi="ar-SA"/>
        </w:rPr>
        <w:t>合格</w:t>
      </w:r>
      <w:r>
        <w:rPr>
          <w:rFonts w:hint="eastAsia" w:ascii="宋体" w:hAnsi="宋体" w:eastAsia="宋体" w:cs="Times New Roman"/>
          <w:b w:val="0"/>
          <w:bCs w:val="0"/>
          <w:color w:val="auto"/>
          <w:sz w:val="24"/>
          <w:szCs w:val="24"/>
          <w:lang w:val="en-US" w:eastAsia="zh-CN" w:bidi="ar-SA"/>
        </w:rPr>
        <w:t>后，采购人在收到发票30个工作日内一次性付款。</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Times New Roman"/>
          <w:b w:val="0"/>
          <w:bCs w:val="0"/>
          <w:color w:val="auto"/>
          <w:sz w:val="24"/>
          <w:szCs w:val="24"/>
          <w:lang w:val="en-US" w:eastAsia="zh-CN" w:bidi="ar-SA"/>
        </w:rPr>
      </w:pPr>
      <w:r>
        <w:rPr>
          <w:rFonts w:hint="eastAsia" w:ascii="宋体" w:hAnsi="宋体" w:eastAsia="宋体" w:cs="Times New Roman"/>
          <w:b w:val="0"/>
          <w:bCs w:val="0"/>
          <w:color w:val="auto"/>
          <w:sz w:val="24"/>
          <w:szCs w:val="24"/>
          <w:lang w:val="en-US" w:eastAsia="zh-CN" w:bidi="ar-SA"/>
        </w:rPr>
        <w:t>（五）验收标准及要求：按照财库〔2016〕205号及采购人根据合同规定的内容，按项目实施进度进行验收，并符合《中华人民共和国食品安全法》。验收完备后，采购人出具验收报告。</w:t>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b/>
          <w:bCs/>
          <w:color w:val="auto"/>
          <w:sz w:val="24"/>
          <w:szCs w:val="24"/>
        </w:rPr>
      </w:pPr>
    </w:p>
    <w:p>
      <w:pPr>
        <w:pStyle w:val="2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rPr>
      </w:pPr>
      <w:r>
        <w:rPr>
          <w:rFonts w:hint="eastAsia"/>
          <w:b/>
          <w:bCs/>
          <w:color w:val="auto"/>
          <w:sz w:val="24"/>
          <w:szCs w:val="24"/>
        </w:rPr>
        <w:t>注：以上标注“★”为实质性要求，不允许偏离，否则按无效投标处理。</w:t>
      </w:r>
    </w:p>
    <w:p>
      <w:pPr>
        <w:pStyle w:val="43"/>
        <w:jc w:val="both"/>
        <w:rPr>
          <w:rFonts w:hint="eastAsia" w:asciiTheme="minorEastAsia" w:hAnsiTheme="minorEastAsia" w:eastAsiaTheme="minorEastAsia" w:cstheme="minorEastAsia"/>
          <w:color w:val="auto"/>
        </w:rPr>
      </w:pPr>
    </w:p>
    <w:p>
      <w:pPr>
        <w:pStyle w:val="43"/>
        <w:jc w:val="both"/>
        <w:rPr>
          <w:rFonts w:hint="eastAsia" w:asciiTheme="minorEastAsia" w:hAnsiTheme="minorEastAsia" w:eastAsiaTheme="minorEastAsia" w:cstheme="minorEastAsia"/>
          <w:color w:val="auto"/>
        </w:rPr>
      </w:pPr>
    </w:p>
    <w:p>
      <w:pPr>
        <w:pStyle w:val="43"/>
        <w:jc w:val="both"/>
        <w:rPr>
          <w:rFonts w:hint="eastAsia" w:asciiTheme="minorEastAsia" w:hAnsiTheme="minorEastAsia" w:eastAsiaTheme="minorEastAsia" w:cstheme="minorEastAsia"/>
          <w:color w:val="auto"/>
        </w:rPr>
      </w:pPr>
    </w:p>
    <w:p>
      <w:pPr>
        <w:pStyle w:val="43"/>
        <w:jc w:val="both"/>
        <w:rPr>
          <w:rFonts w:hint="eastAsia" w:asciiTheme="minorEastAsia" w:hAnsiTheme="minorEastAsia" w:eastAsiaTheme="minorEastAsia" w:cstheme="minorEastAsia"/>
          <w:color w:val="auto"/>
        </w:rPr>
      </w:pPr>
    </w:p>
    <w:p>
      <w:pPr>
        <w:pStyle w:val="43"/>
        <w:jc w:val="both"/>
        <w:rPr>
          <w:rFonts w:hint="eastAsia" w:asciiTheme="minorEastAsia" w:hAnsiTheme="minorEastAsia" w:eastAsiaTheme="minorEastAsia" w:cstheme="minorEastAsia"/>
          <w:color w:val="auto"/>
        </w:rPr>
      </w:pPr>
    </w:p>
    <w:p>
      <w:pPr>
        <w:pStyle w:val="43"/>
        <w:jc w:val="both"/>
        <w:rPr>
          <w:rFonts w:hint="eastAsia" w:asciiTheme="minorEastAsia" w:hAnsiTheme="minorEastAsia" w:eastAsiaTheme="minorEastAsia" w:cstheme="minorEastAsia"/>
          <w:color w:val="auto"/>
        </w:rPr>
      </w:pPr>
    </w:p>
    <w:p>
      <w:pPr>
        <w:pStyle w:val="43"/>
        <w:jc w:val="both"/>
        <w:rPr>
          <w:rFonts w:hint="eastAsia" w:asciiTheme="minorEastAsia" w:hAnsiTheme="minorEastAsia" w:eastAsiaTheme="minorEastAsia" w:cstheme="minorEastAsia"/>
          <w:color w:val="auto"/>
        </w:rPr>
      </w:pPr>
    </w:p>
    <w:p>
      <w:pPr>
        <w:keepNext w:val="0"/>
        <w:keepLines w:val="0"/>
        <w:pageBreakBefore w:val="0"/>
        <w:widowControl w:val="0"/>
        <w:suppressAutoHyphens/>
        <w:kinsoku/>
        <w:wordWrap/>
        <w:overflowPunct/>
        <w:topLinePunct w:val="0"/>
        <w:autoSpaceDE/>
        <w:autoSpaceDN/>
        <w:bidi w:val="0"/>
        <w:adjustRightInd/>
        <w:snapToGrid/>
        <w:spacing w:line="336" w:lineRule="auto"/>
        <w:ind w:left="0" w:leftChars="0" w:firstLine="0" w:firstLineChars="0"/>
        <w:textAlignment w:val="auto"/>
        <w:rPr>
          <w:rFonts w:hint="default" w:asciiTheme="minorEastAsia" w:hAnsiTheme="minorEastAsia" w:cstheme="minorEastAsia"/>
          <w:b/>
          <w:bCs w:val="0"/>
          <w:color w:val="auto"/>
          <w:sz w:val="28"/>
          <w:szCs w:val="28"/>
          <w:lang w:val="en-US" w:eastAsia="zh-CN"/>
        </w:rPr>
      </w:pPr>
      <w:r>
        <w:rPr>
          <w:rFonts w:hint="eastAsia" w:asciiTheme="minorEastAsia" w:hAnsiTheme="minorEastAsia" w:eastAsiaTheme="minorEastAsia" w:cstheme="minorEastAsia"/>
          <w:color w:val="auto"/>
        </w:rPr>
        <w:br w:type="page"/>
      </w:r>
    </w:p>
    <w:p>
      <w:pPr>
        <w:pStyle w:val="43"/>
        <w:jc w:val="center"/>
        <w:rPr>
          <w:rFonts w:hint="eastAsia" w:asciiTheme="minorEastAsia" w:hAnsiTheme="minorEastAsia" w:eastAsiaTheme="minorEastAsia" w:cstheme="minorEastAsia"/>
          <w:color w:val="auto"/>
        </w:rPr>
      </w:pPr>
      <w:bookmarkStart w:id="132" w:name="_Toc29840"/>
      <w:bookmarkStart w:id="133" w:name="_Toc21232"/>
      <w:bookmarkStart w:id="134" w:name="_Toc23492"/>
      <w:r>
        <w:rPr>
          <w:rFonts w:hint="eastAsia" w:asciiTheme="minorEastAsia" w:hAnsiTheme="minorEastAsia" w:eastAsiaTheme="minorEastAsia" w:cstheme="minorEastAsia"/>
          <w:color w:val="auto"/>
        </w:rPr>
        <w:t>第</w:t>
      </w:r>
      <w:r>
        <w:rPr>
          <w:rFonts w:hint="eastAsia" w:asciiTheme="minorEastAsia" w:hAnsiTheme="minorEastAsia" w:eastAsiaTheme="minorEastAsia" w:cstheme="minorEastAsia"/>
          <w:color w:val="auto"/>
          <w:lang w:eastAsia="zh-CN"/>
        </w:rPr>
        <w:t>七</w:t>
      </w:r>
      <w:r>
        <w:rPr>
          <w:rFonts w:hint="eastAsia" w:asciiTheme="minorEastAsia" w:hAnsiTheme="minorEastAsia" w:eastAsiaTheme="minorEastAsia" w:cstheme="minorEastAsia"/>
          <w:color w:val="auto"/>
        </w:rPr>
        <w:t>章  评标办法</w:t>
      </w:r>
      <w:bookmarkEnd w:id="132"/>
      <w:bookmarkEnd w:id="133"/>
      <w:bookmarkEnd w:id="134"/>
      <w:bookmarkStart w:id="135" w:name="_Hlt101846155"/>
      <w:bookmarkEnd w:id="135"/>
      <w:bookmarkStart w:id="136" w:name="_Toc183582280"/>
      <w:bookmarkStart w:id="137" w:name="_Toc217446097"/>
      <w:bookmarkStart w:id="138" w:name="_Toc183682415"/>
      <w:bookmarkStart w:id="139" w:name="_Toc208849007"/>
    </w:p>
    <w:bookmarkEnd w:id="136"/>
    <w:bookmarkEnd w:id="137"/>
    <w:bookmarkEnd w:id="138"/>
    <w:bookmarkEnd w:id="139"/>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bookmarkStart w:id="140" w:name="_Toc217446103"/>
      <w:r>
        <w:rPr>
          <w:rFonts w:hint="eastAsia" w:asciiTheme="minorEastAsia" w:hAnsiTheme="minorEastAsia" w:eastAsiaTheme="minorEastAsia" w:cstheme="minorEastAsia"/>
          <w:color w:val="auto"/>
          <w:sz w:val="24"/>
          <w:szCs w:val="24"/>
        </w:rPr>
        <w:t>1. 总则</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1.1 根据《中华人民共和国政府采购法》、《中华人民共和国政府采购法实施条例》、《政府采购货物和服务招标投标管理办法》等法律制度，结合采购项目特点制定本评标办法。</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合格投标人不足三家的，不得评标。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评标工作由采购代理机构负责组织，具体评标事务由采购代理机构依法组建的评标委员会负责。评标委员会由采购人代表和有关技术、经济、法律等方面的专家组成。</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 评标工作应遵循公平、公正、科学及择优的原则，并以相同的评标程序和标准对待所有的投标人。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1.4 评标委员会按照招标文件规定的评标方法和标准进行评标，并独立履行下列职责：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bookmarkStart w:id="141" w:name="_Toc217446098"/>
      <w:r>
        <w:rPr>
          <w:rFonts w:hint="eastAsia" w:asciiTheme="minorEastAsia" w:hAnsiTheme="minorEastAsia" w:eastAsiaTheme="minorEastAsia" w:cstheme="minorEastAsia"/>
          <w:color w:val="auto"/>
          <w:sz w:val="24"/>
        </w:rPr>
        <w:t>（一）熟悉和理解招标文件；</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（二）审查供应商（已通过资格审查）的投标文件是否满足招标文件要求，并作出评价；</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（三）根据需要要求招标采购单位对招标文件作出解释；根据需要要求供应商对投标文件有关事项作出澄清、说明或者更正；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（四）推荐中标候选供应商，或者受采购人委托确定中标供应商；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（五）起草评标报告并进行签署；</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（六）向招标采购单位、财政部门或者其他监督部门报告非法干预评标工作的行为；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（七）法律、法规和规章规定的其他职责。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 评标过程独立、保密。投标人非法干预评标过程的行为将导致其投标文件作为无效处理。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1.6 评标委员会评价投标文件的响应性，对于投标人而言，除评标委员会要求其澄清、说明或者更正而提供的资料外，仅依据投标文件本身的内容，不寻求其他外部证据。</w:t>
      </w:r>
    </w:p>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2、评标</w:t>
      </w:r>
      <w:bookmarkEnd w:id="141"/>
      <w:r>
        <w:rPr>
          <w:rFonts w:hint="eastAsia" w:asciiTheme="minorEastAsia" w:hAnsiTheme="minorEastAsia" w:eastAsiaTheme="minorEastAsia" w:cstheme="minorEastAsia"/>
          <w:color w:val="auto"/>
          <w:sz w:val="24"/>
          <w:szCs w:val="24"/>
        </w:rPr>
        <w:t>方法</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2.1本项目评标方法为：</w:t>
      </w:r>
      <w:r>
        <w:rPr>
          <w:rFonts w:hint="eastAsia" w:asciiTheme="minorEastAsia" w:hAnsiTheme="minorEastAsia" w:eastAsiaTheme="minorEastAsia" w:cstheme="minorEastAsia"/>
          <w:b/>
          <w:bCs/>
          <w:color w:val="auto"/>
          <w:sz w:val="24"/>
        </w:rPr>
        <w:t>综合评分法</w:t>
      </w:r>
      <w:r>
        <w:rPr>
          <w:rFonts w:hint="eastAsia" w:asciiTheme="minorEastAsia" w:hAnsiTheme="minorEastAsia" w:eastAsiaTheme="minorEastAsia" w:cstheme="minorEastAsia"/>
          <w:color w:val="auto"/>
          <w:sz w:val="24"/>
        </w:rPr>
        <w:t>。</w:t>
      </w:r>
    </w:p>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3、评标程序</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3.1熟悉和理解招标文件和停止评标。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3.1.2评标委员会熟悉和理解招标文件以及评标过程中，发现本招标文件有下列情形之一的，评标委员会应当停止评标：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（1）招标文件的规定存在歧义、重大缺陷的；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（2）招标文件明显以不合理条件对供应商实行差别待遇或者歧视待遇的；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（3）采购项目属于国家规定的优先、强制采购范围，但是招标文件未依法体现优先、强制采购相关规定的；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（4）采购项目属于政府采购促进中小企业发展的范围，但是招标文件未依法体现促进中小企业发展相关规定的；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（5）招标文件规定的评标方法是综合评分法、最低评标价法之外的评标方法，或者虽然名称为综合评分法、最低评标价法，但实际上不符合国家规定；</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（6）招标文件将投标人的资格条件列为评分因素的；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（7）招标文件有违反国家其他有关强制性规定的情形。</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3.2符合性检查。</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3.2.2投标文件有下列情形的，本项目不作为实质性要求进行规定，即不作为符合性审查事项，不得作为无效投标处理：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（一）存在个别地方（不超过2个）没有法定代表人/单位负责人签字，但有法定代表人/单位负责人的个人名章或者有效代理人签字的；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二</w:t>
      </w:r>
      <w:r>
        <w:rPr>
          <w:rFonts w:hint="eastAsia" w:asciiTheme="minorEastAsia" w:hAnsiTheme="minorEastAsia" w:eastAsiaTheme="minorEastAsia" w:cstheme="minorEastAsia"/>
          <w:color w:val="auto"/>
          <w:sz w:val="24"/>
        </w:rPr>
        <w:t>）除招标文件明确要求加盖单位(法人)公章</w:t>
      </w:r>
      <w:r>
        <w:rPr>
          <w:rFonts w:hint="eastAsia" w:hAnsi="宋体" w:cs="宋体"/>
          <w:color w:val="auto"/>
          <w:sz w:val="24"/>
          <w:szCs w:val="22"/>
          <w:highlight w:val="none"/>
        </w:rPr>
        <w:t>或电子签章</w:t>
      </w:r>
      <w:r>
        <w:rPr>
          <w:rFonts w:hint="eastAsia" w:asciiTheme="minorEastAsia" w:hAnsiTheme="minorEastAsia" w:eastAsiaTheme="minorEastAsia" w:cstheme="minorEastAsia"/>
          <w:color w:val="auto"/>
          <w:sz w:val="24"/>
        </w:rPr>
        <w:t>以外，其他地方以相关专用章加盖的；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三</w:t>
      </w:r>
      <w:r>
        <w:rPr>
          <w:rFonts w:hint="eastAsia" w:asciiTheme="minorEastAsia" w:hAnsiTheme="minorEastAsia" w:eastAsiaTheme="minorEastAsia" w:cstheme="minorEastAsia"/>
          <w:color w:val="auto"/>
          <w:sz w:val="24"/>
        </w:rPr>
        <w:t>）其他不影响采购项目实质性要求的情形。</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3.2.3除政府采购法律制度规定的情形外，本项目投标人或者其投标文件有下列情形之一的，作为无效投标处理：</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（一）投标文件组成明显不符合招标文件的规定要求，影响评标委员会评判的；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二</w:t>
      </w:r>
      <w:r>
        <w:rPr>
          <w:rFonts w:hint="eastAsia" w:asciiTheme="minorEastAsia" w:hAnsiTheme="minorEastAsia" w:eastAsiaTheme="minorEastAsia" w:cstheme="minorEastAsia"/>
          <w:color w:val="auto"/>
          <w:sz w:val="24"/>
        </w:rPr>
        <w:t>）投标文件的计量单位、报价货币、知识产权、投标有效期等不符合招标文件的规定，影响评标委员会评判的；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三</w:t>
      </w:r>
      <w:r>
        <w:rPr>
          <w:rFonts w:hint="eastAsia" w:asciiTheme="minorEastAsia" w:hAnsiTheme="minorEastAsia" w:eastAsiaTheme="minorEastAsia" w:cstheme="minorEastAsia"/>
          <w:color w:val="auto"/>
          <w:sz w:val="24"/>
        </w:rPr>
        <w:t>）投标文件未按招标文件要求签署、盖章的（本章3.2.2规定的例外情形除外）；</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四</w:t>
      </w:r>
      <w:r>
        <w:rPr>
          <w:rFonts w:hint="eastAsia" w:asciiTheme="minorEastAsia" w:hAnsiTheme="minorEastAsia" w:eastAsiaTheme="minorEastAsia" w:cstheme="minorEastAsia"/>
          <w:color w:val="auto"/>
          <w:sz w:val="24"/>
        </w:rPr>
        <w:t>）投标报价不符合招标文件规定的采购预算或限价或其他报价规定的；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五</w:t>
      </w:r>
      <w:r>
        <w:rPr>
          <w:rFonts w:hint="eastAsia" w:asciiTheme="minorEastAsia" w:hAnsiTheme="minorEastAsia" w:eastAsiaTheme="minorEastAsia" w:cstheme="minorEastAsia"/>
          <w:color w:val="auto"/>
          <w:sz w:val="24"/>
        </w:rPr>
        <w:t>）投标应答内容没有完全响应招标文件的实质性要求的；</w:t>
      </w:r>
    </w:p>
    <w:p>
      <w:pPr>
        <w:spacing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eastAsia="zh-CN"/>
        </w:rPr>
        <w:t>六</w:t>
      </w:r>
      <w:r>
        <w:rPr>
          <w:rFonts w:hint="eastAsia" w:asciiTheme="minorEastAsia" w:hAnsiTheme="minorEastAsia" w:eastAsiaTheme="minorEastAsia" w:cstheme="minorEastAsia"/>
          <w:color w:val="auto"/>
          <w:sz w:val="24"/>
        </w:rPr>
        <w:t>）招标文件规定的其它投标无效情形。</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3.3比较与评价。按招标文件中规定的评标方法和标准，对未作无效投标处理的投标文件进行技术、服务、商务等方面评估，综合比较与评价。</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3.4复核。评分汇总结束后，评标委员会应当进行复核，特别要对拟推荐为中标候选供应商的、报价最低的、投标文件被认定为无效的进行重点复核。</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3.5推荐中标候选供应商。中标候选供应商应当排序。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供应商。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供应商。（注：</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为不发达地区和少数民族地区，评审得分且技术指标分项得分均相同的，</w:t>
      </w:r>
      <w:r>
        <w:rPr>
          <w:rFonts w:hint="eastAsia" w:asciiTheme="minorEastAsia" w:hAnsiTheme="minorEastAsia" w:eastAsiaTheme="minorEastAsia" w:cstheme="minorEastAsia"/>
          <w:color w:val="auto"/>
          <w:sz w:val="24"/>
          <w:lang w:eastAsia="zh-CN"/>
        </w:rPr>
        <w:t>评标委员会</w:t>
      </w:r>
      <w:r>
        <w:rPr>
          <w:rFonts w:hint="eastAsia" w:asciiTheme="minorEastAsia" w:hAnsiTheme="minorEastAsia" w:eastAsiaTheme="minorEastAsia" w:cstheme="minorEastAsia"/>
          <w:color w:val="auto"/>
          <w:sz w:val="24"/>
        </w:rPr>
        <w:t>优先推荐企业注册地在不发达地区和少数民族地区的</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3.6出具评标报告。评标委员会推荐中标候选</w:t>
      </w:r>
      <w:r>
        <w:rPr>
          <w:rFonts w:hint="eastAsia" w:asciiTheme="minorEastAsia" w:hAnsiTheme="minorEastAsia" w:eastAsiaTheme="minorEastAsia" w:cstheme="minorEastAsia"/>
          <w:color w:val="auto"/>
          <w:sz w:val="24"/>
          <w:lang w:eastAsia="zh-CN"/>
        </w:rPr>
        <w:t>人</w:t>
      </w:r>
      <w:r>
        <w:rPr>
          <w:rFonts w:hint="eastAsia" w:asciiTheme="minorEastAsia" w:hAnsiTheme="minorEastAsia" w:eastAsiaTheme="minorEastAsia" w:cstheme="minorEastAsia"/>
          <w:color w:val="auto"/>
          <w:sz w:val="24"/>
        </w:rPr>
        <w:t>后，应当向招标采购单位出具评标报告。评标报告应当包括下列内容：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（一）招标公告刊登的媒体名称、开标日期和地点；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（二）获取招标文件的投标人名单和评标委员会成员名单；</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（三）评标方法和标准；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（四）开标记录和评标情况及说明，包括无效投标人名单及原因；</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（五）评标结果和中标候选供应商排序表；</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（六）评标委员会授标建议；</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（七）报价最高的投标人为中标候选人的，评标委员会应当对其报价的合理性予以特别说明。</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应当书面澄清、说明或者更正。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3.8.1在评标过程中，</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投标文件实质性符合招标文件要求的前提下，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3.8.2</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应当书面澄清、说明或者更正，并加盖公章</w:t>
      </w:r>
      <w:r>
        <w:rPr>
          <w:rFonts w:hint="eastAsia" w:asciiTheme="minorEastAsia" w:hAnsiTheme="minorEastAsia" w:eastAsiaTheme="minorEastAsia" w:cstheme="minorEastAsia"/>
          <w:color w:val="auto"/>
          <w:sz w:val="24"/>
          <w:lang w:eastAsia="zh-CN"/>
        </w:rPr>
        <w:t>或加盖电子签章</w:t>
      </w:r>
      <w:r>
        <w:rPr>
          <w:rFonts w:hint="eastAsia" w:asciiTheme="minorEastAsia" w:hAnsiTheme="minorEastAsia" w:eastAsiaTheme="minorEastAsia" w:cstheme="minorEastAsia"/>
          <w:color w:val="auto"/>
          <w:sz w:val="24"/>
        </w:rPr>
        <w:t>或签字确认（</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为法人的，应当由其法定代表人/单位负责人或者代理人签字确认；</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为其他组织的，应当由其主要负责人或者代理人签字确认；</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为自然人的，应当由其本人或者代理人签字确认），否则无效。澄清、说明或者更正不影响投标文件的效力，有效的澄清、说明或者更正材料，是投标文件的组成部分。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3.8.3评标委员会要求</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澄清、说明或者更正，不得超出招标文件的范围，不得以此让</w:t>
      </w:r>
      <w:r>
        <w:rPr>
          <w:rFonts w:hint="eastAsia" w:asciiTheme="minorEastAsia" w:hAnsiTheme="minorEastAsia" w:eastAsiaTheme="minorEastAsia" w:cstheme="minorEastAsia"/>
          <w:color w:val="auto"/>
          <w:sz w:val="24"/>
          <w:lang w:eastAsia="zh-CN"/>
        </w:rPr>
        <w:t>投标人</w:t>
      </w:r>
      <w:r>
        <w:rPr>
          <w:rFonts w:hint="eastAsia" w:asciiTheme="minorEastAsia" w:hAnsiTheme="minorEastAsia" w:eastAsiaTheme="minorEastAsia" w:cstheme="minorEastAsia"/>
          <w:color w:val="auto"/>
          <w:sz w:val="24"/>
        </w:rPr>
        <w:t>实质改变投标文件的内容，不得影响供应商公平竞争。本项目下列内容不得澄清：</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（一）按财政部规定应当在评标时不予承认的投标文件内容事项；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（二）投标文件中已经明确的内容事项；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3.8.4 本项目采购过程中，投标文件报价出现前后不一致的，按照下列规定修正：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（一）投标文件中开标一览表（报价表）内容与投标文件中相应内容不一致的，以开标一览表（报价表）为准；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（二）大写金额和小写金额不一致的，以大写金额为准；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（三）单价金额小数点或者百分比有明显错位的，以开标一览表的总价为准，并修改单价；</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（四）总价金额与按单价汇总金额不一致的，以单价金额计算结果为准。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同时出现两种以上不一致的，按照前款规定的顺序修正。修正后的报价按照本章3.8.1-3.8.3的规定经投标人确认后产生约束力，投标人不确认的，其投标无效。</w:t>
      </w:r>
    </w:p>
    <w:p>
      <w:pPr>
        <w:spacing w:before="120" w:beforeLines="50" w:after="120" w:afterLines="50" w:line="400" w:lineRule="exact"/>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注：评标委员会当积极履行澄清、说明或者更正的职责，不得滥用权力。供应商的投标文件应当要求澄清、说明或者更正的，不得未经澄清、说明或者更正而直接作无效投标处理。</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3.10招标采购单位现场复核评标结果。</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（一）分值汇总计算错误的；</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（二）分项评分超出评分标准范围的；</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（三）客观评分不一致的；</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（四）经评标委员会认定评分畸高畸低的。</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3.10.2有下列情形之一的，不得修改评标结果或者重新评审：</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（一）招标采购单位现场复核时，复核工作人员数量不足的；</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（二）招标采购单位现场复核时，没有采购监督人员现场监督的；</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（三）招标采购单位现场复核内容超出规定范围的；</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（四）招标采购单位未提供书面建议的。</w:t>
      </w:r>
    </w:p>
    <w:p>
      <w:pPr>
        <w:pStyle w:val="4"/>
        <w:spacing w:before="120" w:beforeLines="50" w:after="120" w:afterLines="5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 评标细则及标准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4.1本项目采用综合评分法，评分因素详见综合评分明细表。</w:t>
      </w:r>
    </w:p>
    <w:p>
      <w:pPr>
        <w:pStyle w:val="395"/>
        <w:spacing w:before="120" w:beforeLines="50" w:after="120" w:afterLines="50" w:line="400" w:lineRule="exact"/>
        <w:ind w:firstLine="480" w:firstLineChars="2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20"/>
        <w:tabs>
          <w:tab w:val="left" w:pos="600"/>
        </w:tabs>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4.3综合评分明细表</w:t>
      </w:r>
    </w:p>
    <w:p>
      <w:pPr>
        <w:widowControl/>
        <w:spacing w:before="120" w:beforeLines="50" w:after="120" w:afterLines="50" w:line="40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4.3.1 综合评分明细表按须知表中的相关要求进行价格调整，再参与价格分评审。</w:t>
      </w:r>
    </w:p>
    <w:p>
      <w:pPr>
        <w:pStyle w:val="20"/>
        <w:tabs>
          <w:tab w:val="left" w:pos="600"/>
        </w:tabs>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4.3.2综合评分明细表</w:t>
      </w:r>
      <w:bookmarkStart w:id="142" w:name="PO_评分明细表格_1"/>
      <w:bookmarkEnd w:id="142"/>
    </w:p>
    <w:p>
      <w:pPr>
        <w:widowControl w:val="0"/>
        <w:tabs>
          <w:tab w:val="left" w:pos="600"/>
        </w:tabs>
        <w:spacing w:line="400" w:lineRule="exact"/>
        <w:ind w:firstLine="482" w:firstLineChars="200"/>
        <w:jc w:val="both"/>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第1包：农药、兽药残留量食品安全抽检</w:t>
      </w:r>
    </w:p>
    <w:tbl>
      <w:tblPr>
        <w:tblStyle w:val="47"/>
        <w:tblW w:w="10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63"/>
        <w:gridCol w:w="690"/>
        <w:gridCol w:w="6270"/>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4" w:hRule="atLeast"/>
          <w:jc w:val="center"/>
        </w:trPr>
        <w:tc>
          <w:tcPr>
            <w:tcW w:w="1363" w:type="dxa"/>
            <w:noWrap w:val="0"/>
            <w:vAlign w:val="center"/>
          </w:tcPr>
          <w:p>
            <w:pPr>
              <w:ind w:left="0" w:leftChars="0" w:firstLine="0" w:firstLineChars="0"/>
              <w:jc w:val="center"/>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评分因素及权重</w:t>
            </w:r>
          </w:p>
        </w:tc>
        <w:tc>
          <w:tcPr>
            <w:tcW w:w="690" w:type="dxa"/>
            <w:noWrap w:val="0"/>
            <w:vAlign w:val="center"/>
          </w:tcPr>
          <w:p>
            <w:pPr>
              <w:ind w:left="0" w:leftChars="0" w:firstLine="0" w:firstLineChars="0"/>
              <w:jc w:val="center"/>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分值</w:t>
            </w:r>
          </w:p>
        </w:tc>
        <w:tc>
          <w:tcPr>
            <w:tcW w:w="6270" w:type="dxa"/>
            <w:noWrap w:val="0"/>
            <w:vAlign w:val="center"/>
          </w:tcPr>
          <w:p>
            <w:pPr>
              <w:jc w:val="center"/>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评分标准</w:t>
            </w:r>
          </w:p>
        </w:tc>
        <w:tc>
          <w:tcPr>
            <w:tcW w:w="1691" w:type="dxa"/>
            <w:noWrap w:val="0"/>
            <w:vAlign w:val="center"/>
          </w:tcPr>
          <w:p>
            <w:pPr>
              <w:ind w:firstLine="361" w:firstLineChars="150"/>
              <w:jc w:val="center"/>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77" w:hRule="atLeast"/>
          <w:jc w:val="center"/>
        </w:trPr>
        <w:tc>
          <w:tcPr>
            <w:tcW w:w="1363" w:type="dxa"/>
            <w:vMerge w:val="restart"/>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报价10%</w:t>
            </w:r>
            <w:r>
              <w:rPr>
                <w:rFonts w:hint="eastAsia" w:ascii="宋体" w:hAnsi="宋体" w:eastAsia="宋体" w:cs="宋体"/>
                <w:b w:val="0"/>
                <w:bCs w:val="0"/>
                <w:color w:val="auto"/>
                <w:kern w:val="2"/>
                <w:sz w:val="21"/>
                <w:szCs w:val="21"/>
                <w:lang w:eastAsia="zh-CN"/>
              </w:rPr>
              <w:t>（经济类评审因素）</w:t>
            </w:r>
          </w:p>
        </w:tc>
        <w:tc>
          <w:tcPr>
            <w:tcW w:w="690" w:type="dxa"/>
            <w:vMerge w:val="restart"/>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10分</w:t>
            </w:r>
          </w:p>
        </w:tc>
        <w:tc>
          <w:tcPr>
            <w:tcW w:w="6270" w:type="dxa"/>
            <w:vMerge w:val="restart"/>
            <w:noWrap w:val="0"/>
            <w:vAlign w:val="top"/>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1.</w:t>
            </w:r>
            <w:r>
              <w:rPr>
                <w:rFonts w:hint="eastAsia" w:ascii="宋体" w:hAnsi="宋体" w:eastAsia="宋体" w:cs="宋体"/>
                <w:b w:val="0"/>
                <w:color w:val="auto"/>
                <w:kern w:val="2"/>
                <w:sz w:val="21"/>
                <w:szCs w:val="21"/>
                <w:lang w:val="en-US"/>
              </w:rPr>
              <w:t>满足</w:t>
            </w:r>
            <w:r>
              <w:rPr>
                <w:rFonts w:hint="eastAsia" w:ascii="宋体" w:hAnsi="宋体" w:eastAsia="宋体" w:cs="宋体"/>
                <w:b w:val="0"/>
                <w:color w:val="auto"/>
                <w:kern w:val="2"/>
                <w:sz w:val="21"/>
                <w:szCs w:val="21"/>
                <w:lang w:val="en-US" w:eastAsia="zh-CN"/>
              </w:rPr>
              <w:t>招标</w:t>
            </w:r>
            <w:r>
              <w:rPr>
                <w:rFonts w:hint="eastAsia" w:ascii="宋体" w:hAnsi="宋体" w:eastAsia="宋体" w:cs="宋体"/>
                <w:b w:val="0"/>
                <w:color w:val="auto"/>
                <w:kern w:val="2"/>
                <w:sz w:val="21"/>
                <w:szCs w:val="21"/>
                <w:lang w:val="en-US"/>
              </w:rPr>
              <w:t>文件要求且有效报价最低的价格为基准价，其价格分为满分。其他</w:t>
            </w:r>
            <w:r>
              <w:rPr>
                <w:rFonts w:hint="eastAsia" w:ascii="宋体" w:hAnsi="宋体" w:eastAsia="宋体" w:cs="宋体"/>
                <w:b w:val="0"/>
                <w:color w:val="auto"/>
                <w:kern w:val="2"/>
                <w:sz w:val="21"/>
                <w:szCs w:val="21"/>
                <w:lang w:val="en-US" w:eastAsia="zh-CN"/>
              </w:rPr>
              <w:t>投标人</w:t>
            </w:r>
            <w:r>
              <w:rPr>
                <w:rFonts w:hint="eastAsia" w:ascii="宋体" w:hAnsi="宋体" w:eastAsia="宋体" w:cs="宋体"/>
                <w:b w:val="0"/>
                <w:color w:val="auto"/>
                <w:kern w:val="2"/>
                <w:sz w:val="21"/>
                <w:szCs w:val="21"/>
                <w:lang w:val="en-US"/>
              </w:rPr>
              <w:t>的价格分统一按照下列公式计算：报价得分=（基准价/报价）×10。</w:t>
            </w:r>
          </w:p>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2</w:t>
            </w:r>
            <w:r>
              <w:rPr>
                <w:rFonts w:hint="eastAsia" w:ascii="宋体" w:hAnsi="宋体" w:eastAsia="宋体" w:cs="宋体"/>
                <w:b w:val="0"/>
                <w:color w:val="auto"/>
                <w:kern w:val="2"/>
                <w:sz w:val="21"/>
                <w:szCs w:val="21"/>
                <w:lang w:val="en-US"/>
              </w:rPr>
              <w:t>.根据《政府采购促进中小企业发展管理办法》（财库</w:t>
            </w:r>
            <w:r>
              <w:rPr>
                <w:rFonts w:hint="eastAsia" w:ascii="宋体" w:hAnsi="宋体" w:eastAsia="宋体" w:cs="宋体"/>
                <w:b w:val="0"/>
                <w:color w:val="auto"/>
                <w:kern w:val="2"/>
                <w:sz w:val="21"/>
                <w:szCs w:val="21"/>
                <w:lang w:val="zh-TW" w:eastAsia="zh-TW"/>
              </w:rPr>
              <w:t>〔</w:t>
            </w:r>
            <w:r>
              <w:rPr>
                <w:rFonts w:hint="eastAsia" w:ascii="宋体" w:hAnsi="宋体" w:eastAsia="宋体" w:cs="宋体"/>
                <w:b w:val="0"/>
                <w:color w:val="auto"/>
                <w:kern w:val="2"/>
                <w:sz w:val="21"/>
                <w:szCs w:val="21"/>
                <w:lang w:val="en-US"/>
              </w:rPr>
              <w:t>20</w:t>
            </w:r>
            <w:r>
              <w:rPr>
                <w:rFonts w:hint="eastAsia" w:ascii="宋体" w:hAnsi="宋体" w:eastAsia="宋体" w:cs="宋体"/>
                <w:b w:val="0"/>
                <w:color w:val="auto"/>
                <w:kern w:val="2"/>
                <w:sz w:val="21"/>
                <w:szCs w:val="21"/>
                <w:lang w:val="en-US" w:eastAsia="zh-CN"/>
              </w:rPr>
              <w:t>20</w:t>
            </w:r>
            <w:r>
              <w:rPr>
                <w:rFonts w:hint="eastAsia" w:ascii="宋体" w:hAnsi="宋体" w:eastAsia="宋体" w:cs="宋体"/>
                <w:b w:val="0"/>
                <w:color w:val="auto"/>
                <w:kern w:val="2"/>
                <w:sz w:val="21"/>
                <w:szCs w:val="21"/>
                <w:lang w:val="en-US"/>
              </w:rPr>
              <w:t>〕</w:t>
            </w:r>
            <w:r>
              <w:rPr>
                <w:rFonts w:hint="eastAsia" w:ascii="宋体" w:hAnsi="宋体" w:eastAsia="宋体" w:cs="宋体"/>
                <w:b w:val="0"/>
                <w:color w:val="auto"/>
                <w:kern w:val="2"/>
                <w:sz w:val="21"/>
                <w:szCs w:val="21"/>
                <w:lang w:val="en-US" w:eastAsia="zh-CN"/>
              </w:rPr>
              <w:t>46</w:t>
            </w:r>
            <w:r>
              <w:rPr>
                <w:rFonts w:hint="eastAsia" w:ascii="宋体" w:hAnsi="宋体" w:eastAsia="宋体" w:cs="宋体"/>
                <w:b w:val="0"/>
                <w:color w:val="auto"/>
                <w:kern w:val="2"/>
                <w:sz w:val="21"/>
                <w:szCs w:val="21"/>
                <w:lang w:val="en-US"/>
              </w:rPr>
              <w:t>号），对小型和微型企业（监狱企业、残疾人福利性单位视同小微企业）产品的价格给予10%的扣除，用扣除后的价格参与评审。</w:t>
            </w:r>
          </w:p>
          <w:p>
            <w:pPr>
              <w:snapToGrid/>
              <w:spacing w:line="240" w:lineRule="auto"/>
              <w:ind w:firstLine="0" w:firstLineChars="0"/>
              <w:rPr>
                <w:rFonts w:hint="eastAsia" w:ascii="宋体" w:hAnsi="宋体" w:eastAsia="宋体" w:cs="宋体"/>
                <w:b w:val="0"/>
                <w:bCs w:val="0"/>
                <w:color w:val="auto"/>
                <w:kern w:val="2"/>
                <w:sz w:val="21"/>
                <w:szCs w:val="21"/>
              </w:rPr>
            </w:pPr>
            <w:r>
              <w:rPr>
                <w:rFonts w:hint="eastAsia" w:ascii="宋体" w:hAnsi="宋体" w:eastAsia="宋体" w:cs="宋体"/>
                <w:b w:val="0"/>
                <w:color w:val="auto"/>
                <w:kern w:val="2"/>
                <w:sz w:val="21"/>
                <w:szCs w:val="21"/>
                <w:lang w:val="en-US" w:eastAsia="zh-CN"/>
              </w:rPr>
              <w:t>3</w:t>
            </w:r>
            <w:r>
              <w:rPr>
                <w:rFonts w:hint="eastAsia" w:ascii="宋体" w:hAnsi="宋体" w:eastAsia="宋体" w:cs="宋体"/>
                <w:b w:val="0"/>
                <w:color w:val="auto"/>
                <w:kern w:val="2"/>
                <w:sz w:val="21"/>
                <w:szCs w:val="21"/>
                <w:lang w:val="en-US"/>
              </w:rPr>
              <w:t>.对失信行为供应商给予10%/次的报价累加加成，用加成后的价格参与评审，若加成后的报价超过预算的，视为无效投标。</w:t>
            </w:r>
          </w:p>
        </w:tc>
        <w:tc>
          <w:tcPr>
            <w:tcW w:w="1691" w:type="dxa"/>
            <w:vMerge w:val="restart"/>
            <w:noWrap w:val="0"/>
            <w:vAlign w:val="center"/>
          </w:tcPr>
          <w:p>
            <w:pPr>
              <w:jc w:val="cente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5" w:hRule="atLeast"/>
          <w:jc w:val="center"/>
        </w:trPr>
        <w:tc>
          <w:tcPr>
            <w:tcW w:w="1363" w:type="dxa"/>
            <w:vMerge w:val="continue"/>
            <w:noWrap w:val="0"/>
            <w:vAlign w:val="center"/>
          </w:tcPr>
          <w:p>
            <w:pPr>
              <w:jc w:val="center"/>
              <w:rPr>
                <w:rFonts w:hint="eastAsia" w:ascii="宋体" w:hAnsi="宋体" w:eastAsia="宋体" w:cs="宋体"/>
                <w:b w:val="0"/>
                <w:bCs w:val="0"/>
                <w:color w:val="auto"/>
                <w:kern w:val="2"/>
                <w:sz w:val="21"/>
                <w:szCs w:val="21"/>
              </w:rPr>
            </w:pPr>
          </w:p>
        </w:tc>
        <w:tc>
          <w:tcPr>
            <w:tcW w:w="690" w:type="dxa"/>
            <w:vMerge w:val="continue"/>
            <w:noWrap w:val="0"/>
            <w:vAlign w:val="center"/>
          </w:tcPr>
          <w:p>
            <w:pPr>
              <w:jc w:val="center"/>
              <w:rPr>
                <w:rFonts w:hint="eastAsia" w:ascii="宋体" w:hAnsi="宋体" w:eastAsia="宋体" w:cs="宋体"/>
                <w:b w:val="0"/>
                <w:bCs w:val="0"/>
                <w:color w:val="auto"/>
                <w:kern w:val="2"/>
                <w:sz w:val="21"/>
                <w:szCs w:val="21"/>
              </w:rPr>
            </w:pPr>
          </w:p>
        </w:tc>
        <w:tc>
          <w:tcPr>
            <w:tcW w:w="6270" w:type="dxa"/>
            <w:vMerge w:val="continue"/>
            <w:noWrap w:val="0"/>
            <w:vAlign w:val="top"/>
          </w:tcPr>
          <w:p>
            <w:pPr>
              <w:jc w:val="both"/>
              <w:rPr>
                <w:rFonts w:hint="eastAsia" w:ascii="宋体" w:hAnsi="宋体" w:eastAsia="宋体" w:cs="宋体"/>
                <w:b w:val="0"/>
                <w:bCs w:val="0"/>
                <w:color w:val="auto"/>
                <w:kern w:val="2"/>
                <w:sz w:val="21"/>
                <w:szCs w:val="21"/>
              </w:rPr>
            </w:pPr>
          </w:p>
        </w:tc>
        <w:tc>
          <w:tcPr>
            <w:tcW w:w="1691" w:type="dxa"/>
            <w:vMerge w:val="continue"/>
            <w:noWrap w:val="0"/>
            <w:vAlign w:val="center"/>
          </w:tcPr>
          <w:p>
            <w:pPr>
              <w:jc w:val="cente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363" w:type="dxa"/>
            <w:vMerge w:val="restart"/>
            <w:noWrap w:val="0"/>
            <w:vAlign w:val="center"/>
          </w:tcPr>
          <w:p>
            <w:pPr>
              <w:ind w:left="0" w:leftChars="0" w:firstLine="0" w:firstLineChars="0"/>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专业资质</w:t>
            </w:r>
            <w:r>
              <w:rPr>
                <w:rFonts w:hint="eastAsia" w:ascii="宋体" w:hAnsi="宋体" w:eastAsia="宋体" w:cs="宋体"/>
                <w:b w:val="0"/>
                <w:bCs w:val="0"/>
                <w:color w:val="auto"/>
                <w:kern w:val="2"/>
                <w:sz w:val="21"/>
                <w:szCs w:val="21"/>
                <w:lang w:val="en-US" w:eastAsia="zh-CN"/>
              </w:rPr>
              <w:t>信誉</w:t>
            </w:r>
            <w:r>
              <w:rPr>
                <w:rFonts w:hint="eastAsia" w:ascii="宋体" w:hAnsi="宋体" w:eastAsia="宋体" w:cs="宋体"/>
                <w:b w:val="0"/>
                <w:bCs w:val="0"/>
                <w:color w:val="auto"/>
                <w:kern w:val="2"/>
                <w:sz w:val="21"/>
                <w:szCs w:val="21"/>
              </w:rPr>
              <w:t>及</w:t>
            </w:r>
            <w:r>
              <w:rPr>
                <w:rFonts w:hint="eastAsia" w:hAnsi="宋体" w:cs="宋体"/>
                <w:b w:val="0"/>
                <w:bCs w:val="0"/>
                <w:color w:val="auto"/>
                <w:kern w:val="2"/>
                <w:sz w:val="21"/>
                <w:szCs w:val="21"/>
                <w:lang w:eastAsia="zh-CN"/>
              </w:rPr>
              <w:t>技术</w:t>
            </w:r>
            <w:r>
              <w:rPr>
                <w:rFonts w:hint="eastAsia" w:ascii="宋体" w:hAnsi="宋体" w:eastAsia="宋体" w:cs="宋体"/>
                <w:b w:val="0"/>
                <w:bCs w:val="0"/>
                <w:color w:val="auto"/>
                <w:kern w:val="2"/>
                <w:sz w:val="21"/>
                <w:szCs w:val="21"/>
              </w:rPr>
              <w:t>能力2</w:t>
            </w:r>
            <w:r>
              <w:rPr>
                <w:rFonts w:hint="eastAsia" w:hAnsi="宋体" w:cs="宋体"/>
                <w:b w:val="0"/>
                <w:bCs w:val="0"/>
                <w:color w:val="auto"/>
                <w:kern w:val="2"/>
                <w:sz w:val="21"/>
                <w:szCs w:val="21"/>
                <w:lang w:val="en-US" w:eastAsia="zh-CN"/>
              </w:rPr>
              <w:t>0</w:t>
            </w:r>
            <w:r>
              <w:rPr>
                <w:rFonts w:hint="eastAsia" w:ascii="宋体" w:hAnsi="宋体" w:eastAsia="宋体" w:cs="宋体"/>
                <w:b w:val="0"/>
                <w:bCs w:val="0"/>
                <w:color w:val="auto"/>
                <w:kern w:val="2"/>
                <w:sz w:val="21"/>
                <w:szCs w:val="21"/>
              </w:rPr>
              <w:t>%</w:t>
            </w:r>
            <w:r>
              <w:rPr>
                <w:rFonts w:hint="eastAsia" w:ascii="宋体" w:hAnsi="宋体" w:eastAsia="宋体" w:cs="宋体"/>
                <w:b w:val="0"/>
                <w:bCs w:val="0"/>
                <w:color w:val="auto"/>
                <w:kern w:val="2"/>
                <w:sz w:val="21"/>
                <w:szCs w:val="21"/>
                <w:lang w:eastAsia="zh-CN"/>
              </w:rPr>
              <w:t>（共同评审因素）</w:t>
            </w: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2分</w:t>
            </w:r>
          </w:p>
        </w:tc>
        <w:tc>
          <w:tcPr>
            <w:tcW w:w="6270" w:type="dxa"/>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宋体" w:hAnsi="宋体" w:eastAsia="宋体" w:cs="宋体"/>
                <w:b w:val="0"/>
                <w:bCs w:val="0"/>
                <w:color w:val="auto"/>
                <w:kern w:val="2"/>
                <w:sz w:val="21"/>
                <w:szCs w:val="21"/>
              </w:rPr>
            </w:pPr>
            <w:r>
              <w:rPr>
                <w:rFonts w:hint="eastAsia" w:ascii="宋体" w:hAnsi="宋体" w:eastAsia="宋体" w:cs="宋体"/>
                <w:b w:val="0"/>
                <w:color w:val="auto"/>
                <w:kern w:val="2"/>
                <w:sz w:val="21"/>
                <w:szCs w:val="21"/>
                <w:lang w:val="en-US"/>
              </w:rPr>
              <w:t>具有CNAS（中国合格评定国家认可委员会实验室认可证书），得2分</w:t>
            </w:r>
            <w:r>
              <w:rPr>
                <w:rFonts w:hint="eastAsia" w:hAnsi="宋体" w:cs="宋体"/>
                <w:b w:val="0"/>
                <w:color w:val="auto"/>
                <w:kern w:val="2"/>
                <w:sz w:val="21"/>
                <w:szCs w:val="21"/>
                <w:lang w:val="en-US" w:eastAsia="zh-CN"/>
              </w:rPr>
              <w:t>；</w:t>
            </w:r>
            <w:r>
              <w:rPr>
                <w:rFonts w:hint="eastAsia" w:ascii="宋体" w:hAnsi="宋体" w:eastAsia="宋体" w:cs="宋体"/>
                <w:b w:val="0"/>
                <w:color w:val="auto"/>
                <w:kern w:val="2"/>
                <w:sz w:val="21"/>
                <w:szCs w:val="21"/>
                <w:lang w:val="en-US"/>
              </w:rPr>
              <w:t>不具备此项不得分。</w:t>
            </w:r>
          </w:p>
        </w:tc>
        <w:tc>
          <w:tcPr>
            <w:tcW w:w="1691" w:type="dxa"/>
            <w:vMerge w:val="restart"/>
            <w:noWrap w:val="0"/>
            <w:vAlign w:val="center"/>
          </w:tcPr>
          <w:p>
            <w:pPr>
              <w:ind w:left="0" w:leftChars="0" w:firstLine="0" w:firstLineChars="0"/>
              <w:rPr>
                <w:rFonts w:hint="eastAsia" w:ascii="宋体" w:hAnsi="宋体" w:eastAsia="宋体" w:cs="宋体"/>
                <w:b w:val="0"/>
                <w:bCs w:val="0"/>
                <w:color w:val="auto"/>
                <w:kern w:val="2"/>
                <w:sz w:val="21"/>
                <w:szCs w:val="21"/>
                <w:lang w:eastAsia="zh-CN"/>
              </w:rPr>
            </w:pPr>
            <w:r>
              <w:rPr>
                <w:rFonts w:hint="eastAsia" w:ascii="宋体" w:hAnsi="宋体" w:eastAsia="宋体" w:cs="宋体"/>
                <w:b w:val="0"/>
                <w:bCs w:val="0"/>
                <w:color w:val="auto"/>
                <w:kern w:val="2"/>
                <w:sz w:val="21"/>
                <w:szCs w:val="21"/>
              </w:rPr>
              <w:t>提供相关证明材料</w:t>
            </w:r>
            <w:r>
              <w:rPr>
                <w:rFonts w:hint="eastAsia" w:hAnsi="宋体" w:cs="宋体"/>
                <w:b w:val="0"/>
                <w:bCs w:val="0"/>
                <w:color w:val="auto"/>
                <w:kern w:val="2"/>
                <w:sz w:val="21"/>
                <w:szCs w:val="21"/>
                <w:lang w:eastAsia="zh-CN"/>
              </w:rPr>
              <w:t>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4" w:hRule="atLeast"/>
          <w:jc w:val="center"/>
        </w:trPr>
        <w:tc>
          <w:tcPr>
            <w:tcW w:w="1363" w:type="dxa"/>
            <w:vMerge w:val="continue"/>
            <w:noWrap w:val="0"/>
            <w:vAlign w:val="center"/>
          </w:tcPr>
          <w:p>
            <w:pPr>
              <w:rPr>
                <w:rFonts w:hint="eastAsia" w:ascii="宋体" w:hAnsi="宋体" w:eastAsia="宋体" w:cs="宋体"/>
                <w:b w:val="0"/>
                <w:bCs w:val="0"/>
                <w:color w:val="auto"/>
                <w:kern w:val="2"/>
                <w:sz w:val="21"/>
                <w:szCs w:val="21"/>
              </w:rPr>
            </w:pP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hAnsi="宋体" w:cs="宋体"/>
                <w:b w:val="0"/>
                <w:bCs w:val="0"/>
                <w:color w:val="auto"/>
                <w:kern w:val="2"/>
                <w:sz w:val="21"/>
                <w:szCs w:val="21"/>
                <w:lang w:val="en-US" w:eastAsia="zh-CN"/>
              </w:rPr>
              <w:t>2</w:t>
            </w:r>
            <w:r>
              <w:rPr>
                <w:rFonts w:hint="eastAsia" w:ascii="宋体" w:hAnsi="宋体" w:eastAsia="宋体" w:cs="宋体"/>
                <w:b w:val="0"/>
                <w:bCs w:val="0"/>
                <w:color w:val="auto"/>
                <w:kern w:val="2"/>
                <w:sz w:val="21"/>
                <w:szCs w:val="21"/>
              </w:rPr>
              <w:t>分</w:t>
            </w:r>
          </w:p>
        </w:tc>
        <w:tc>
          <w:tcPr>
            <w:tcW w:w="6270" w:type="dxa"/>
            <w:noWrap w:val="0"/>
            <w:vAlign w:val="top"/>
          </w:tcPr>
          <w:p>
            <w:pPr>
              <w:snapToGrid/>
              <w:spacing w:line="240" w:lineRule="auto"/>
              <w:ind w:firstLine="0" w:firstLineChars="0"/>
              <w:rPr>
                <w:rFonts w:hint="eastAsia" w:ascii="宋体" w:hAnsi="宋体" w:eastAsia="宋体" w:cs="宋体"/>
                <w:b w:val="0"/>
                <w:bCs w:val="0"/>
                <w:color w:val="auto"/>
                <w:kern w:val="2"/>
                <w:sz w:val="21"/>
                <w:szCs w:val="21"/>
              </w:rPr>
            </w:pPr>
            <w:r>
              <w:rPr>
                <w:rFonts w:hint="eastAsia" w:ascii="宋体" w:hAnsi="宋体" w:eastAsia="宋体" w:cs="宋体"/>
                <w:b w:val="0"/>
                <w:color w:val="auto"/>
                <w:kern w:val="2"/>
                <w:sz w:val="21"/>
                <w:szCs w:val="21"/>
                <w:highlight w:val="none"/>
                <w:lang w:val="en-US" w:eastAsia="zh-CN"/>
              </w:rPr>
              <w:t>具有</w:t>
            </w:r>
            <w:r>
              <w:rPr>
                <w:rFonts w:hint="eastAsia" w:hAnsi="宋体" w:cs="宋体"/>
                <w:b w:val="0"/>
                <w:color w:val="auto"/>
                <w:kern w:val="2"/>
                <w:sz w:val="21"/>
                <w:szCs w:val="21"/>
                <w:highlight w:val="none"/>
                <w:lang w:val="en-US" w:eastAsia="zh-CN"/>
              </w:rPr>
              <w:t>食品</w:t>
            </w:r>
            <w:r>
              <w:rPr>
                <w:rFonts w:hint="eastAsia" w:ascii="宋体" w:hAnsi="宋体" w:eastAsia="宋体" w:cs="宋体"/>
                <w:b w:val="0"/>
                <w:color w:val="auto"/>
                <w:kern w:val="2"/>
                <w:sz w:val="21"/>
                <w:szCs w:val="21"/>
                <w:highlight w:val="none"/>
                <w:lang w:val="en-US" w:eastAsia="zh-CN"/>
              </w:rPr>
              <w:t>复检</w:t>
            </w:r>
            <w:r>
              <w:rPr>
                <w:rFonts w:hint="eastAsia" w:hAnsi="宋体" w:cs="宋体"/>
                <w:b w:val="0"/>
                <w:color w:val="auto"/>
                <w:kern w:val="2"/>
                <w:sz w:val="21"/>
                <w:szCs w:val="21"/>
                <w:highlight w:val="none"/>
                <w:lang w:val="en-US" w:eastAsia="zh-CN"/>
              </w:rPr>
              <w:t>机构，</w:t>
            </w:r>
            <w:r>
              <w:rPr>
                <w:rFonts w:hint="eastAsia" w:ascii="宋体" w:hAnsi="宋体" w:eastAsia="宋体" w:cs="宋体"/>
                <w:b w:val="0"/>
                <w:color w:val="auto"/>
                <w:kern w:val="2"/>
                <w:sz w:val="21"/>
                <w:szCs w:val="21"/>
                <w:highlight w:val="none"/>
                <w:lang w:val="en-US"/>
              </w:rPr>
              <w:t>得2分</w:t>
            </w:r>
            <w:r>
              <w:rPr>
                <w:rFonts w:hint="eastAsia" w:hAnsi="宋体" w:cs="宋体"/>
                <w:b w:val="0"/>
                <w:color w:val="auto"/>
                <w:kern w:val="2"/>
                <w:sz w:val="21"/>
                <w:szCs w:val="21"/>
                <w:highlight w:val="none"/>
                <w:lang w:val="en-US" w:eastAsia="zh-CN"/>
              </w:rPr>
              <w:t>（提供市场监管总局公告截图）；</w:t>
            </w:r>
            <w:r>
              <w:rPr>
                <w:rFonts w:hint="eastAsia" w:ascii="宋体" w:hAnsi="宋体" w:eastAsia="宋体" w:cs="宋体"/>
                <w:b w:val="0"/>
                <w:color w:val="auto"/>
                <w:kern w:val="2"/>
                <w:sz w:val="21"/>
                <w:szCs w:val="21"/>
                <w:highlight w:val="none"/>
                <w:lang w:val="en-US"/>
              </w:rPr>
              <w:t>不具备此项不得分</w:t>
            </w:r>
            <w:r>
              <w:rPr>
                <w:rFonts w:hint="eastAsia" w:ascii="宋体" w:hAnsi="宋体" w:eastAsia="宋体" w:cs="宋体"/>
                <w:b w:val="0"/>
                <w:color w:val="auto"/>
                <w:kern w:val="2"/>
                <w:sz w:val="21"/>
                <w:szCs w:val="21"/>
                <w:lang w:val="en-US"/>
              </w:rPr>
              <w:t>。</w:t>
            </w:r>
          </w:p>
        </w:tc>
        <w:tc>
          <w:tcPr>
            <w:tcW w:w="1691" w:type="dxa"/>
            <w:vMerge w:val="continue"/>
            <w:noWrap w:val="0"/>
            <w:vAlign w:val="center"/>
          </w:tcPr>
          <w:p>
            <w:pP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jc w:val="center"/>
        </w:trPr>
        <w:tc>
          <w:tcPr>
            <w:tcW w:w="1363" w:type="dxa"/>
            <w:vMerge w:val="continue"/>
            <w:noWrap w:val="0"/>
            <w:vAlign w:val="center"/>
          </w:tcPr>
          <w:p>
            <w:pPr>
              <w:rPr>
                <w:rFonts w:hint="eastAsia" w:ascii="宋体" w:hAnsi="宋体" w:eastAsia="宋体" w:cs="宋体"/>
                <w:b w:val="0"/>
                <w:bCs w:val="0"/>
                <w:color w:val="auto"/>
                <w:kern w:val="2"/>
                <w:sz w:val="21"/>
                <w:szCs w:val="21"/>
              </w:rPr>
            </w:pP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lang w:val="en-US" w:eastAsia="zh-CN"/>
              </w:rPr>
            </w:pPr>
            <w:r>
              <w:rPr>
                <w:rFonts w:hint="eastAsia" w:hAnsi="宋体" w:cs="宋体"/>
                <w:b w:val="0"/>
                <w:bCs w:val="0"/>
                <w:color w:val="auto"/>
                <w:kern w:val="2"/>
                <w:sz w:val="21"/>
                <w:szCs w:val="21"/>
                <w:lang w:val="en-US" w:eastAsia="zh-CN"/>
              </w:rPr>
              <w:t>2</w:t>
            </w:r>
            <w:r>
              <w:rPr>
                <w:rFonts w:hint="eastAsia" w:ascii="宋体" w:hAnsi="宋体" w:eastAsia="宋体" w:cs="宋体"/>
                <w:b w:val="0"/>
                <w:bCs w:val="0"/>
                <w:color w:val="auto"/>
                <w:kern w:val="2"/>
                <w:sz w:val="21"/>
                <w:szCs w:val="21"/>
                <w:lang w:val="en-US" w:eastAsia="zh-CN"/>
              </w:rPr>
              <w:t>分</w:t>
            </w:r>
          </w:p>
        </w:tc>
        <w:tc>
          <w:tcPr>
            <w:tcW w:w="6270" w:type="dxa"/>
            <w:noWrap w:val="0"/>
            <w:vAlign w:val="top"/>
          </w:tcPr>
          <w:p>
            <w:pPr>
              <w:snapToGrid/>
              <w:spacing w:line="240" w:lineRule="auto"/>
              <w:ind w:firstLine="0" w:firstLineChars="0"/>
              <w:rPr>
                <w:rFonts w:hint="eastAsia"/>
                <w:color w:val="auto"/>
                <w:lang w:val="en-US"/>
              </w:rPr>
            </w:pPr>
            <w:r>
              <w:rPr>
                <w:rFonts w:hint="eastAsia" w:ascii="宋体" w:hAnsi="宋体" w:eastAsia="宋体" w:cs="宋体"/>
                <w:b w:val="0"/>
                <w:color w:val="auto"/>
                <w:kern w:val="2"/>
                <w:sz w:val="21"/>
                <w:szCs w:val="21"/>
                <w:lang w:val="en-US" w:eastAsia="zh-CN"/>
              </w:rPr>
              <w:t>具有检测技术示范中心</w:t>
            </w:r>
            <w:r>
              <w:rPr>
                <w:rFonts w:hint="eastAsia" w:hAnsi="宋体" w:cs="宋体"/>
                <w:b w:val="0"/>
                <w:color w:val="auto"/>
                <w:kern w:val="2"/>
                <w:sz w:val="21"/>
                <w:szCs w:val="21"/>
                <w:lang w:val="en-US" w:eastAsia="zh-CN"/>
              </w:rPr>
              <w:t>（提供示范中心相关批复文件或公告），</w:t>
            </w:r>
            <w:r>
              <w:rPr>
                <w:rFonts w:hint="eastAsia" w:ascii="宋体" w:hAnsi="宋体" w:eastAsia="宋体" w:cs="宋体"/>
                <w:b w:val="0"/>
                <w:color w:val="auto"/>
                <w:kern w:val="2"/>
                <w:sz w:val="21"/>
                <w:szCs w:val="21"/>
                <w:lang w:val="en-US" w:eastAsia="zh-CN"/>
              </w:rPr>
              <w:t>得2分</w:t>
            </w:r>
            <w:r>
              <w:rPr>
                <w:rFonts w:hint="eastAsia" w:hAnsi="宋体" w:cs="宋体"/>
                <w:b w:val="0"/>
                <w:color w:val="auto"/>
                <w:kern w:val="2"/>
                <w:sz w:val="21"/>
                <w:szCs w:val="21"/>
                <w:lang w:val="en-US" w:eastAsia="zh-CN"/>
              </w:rPr>
              <w:t>；</w:t>
            </w:r>
            <w:r>
              <w:rPr>
                <w:rFonts w:hint="eastAsia" w:ascii="宋体" w:hAnsi="宋体" w:eastAsia="宋体" w:cs="宋体"/>
                <w:b w:val="0"/>
                <w:color w:val="auto"/>
                <w:kern w:val="2"/>
                <w:sz w:val="21"/>
                <w:szCs w:val="21"/>
                <w:lang w:val="en-US" w:eastAsia="zh-CN"/>
              </w:rPr>
              <w:t>不具备此项不得分</w:t>
            </w:r>
            <w:r>
              <w:rPr>
                <w:rFonts w:hint="eastAsia" w:hAnsi="宋体" w:cs="宋体"/>
                <w:b w:val="0"/>
                <w:color w:val="auto"/>
                <w:kern w:val="2"/>
                <w:sz w:val="21"/>
                <w:szCs w:val="21"/>
                <w:lang w:val="en-US" w:eastAsia="zh-CN"/>
              </w:rPr>
              <w:t>。</w:t>
            </w:r>
          </w:p>
        </w:tc>
        <w:tc>
          <w:tcPr>
            <w:tcW w:w="1691" w:type="dxa"/>
            <w:vMerge w:val="continue"/>
            <w:noWrap w:val="0"/>
            <w:vAlign w:val="center"/>
          </w:tcPr>
          <w:p>
            <w:pP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1" w:hRule="atLeast"/>
          <w:jc w:val="center"/>
        </w:trPr>
        <w:tc>
          <w:tcPr>
            <w:tcW w:w="1363" w:type="dxa"/>
            <w:vMerge w:val="continue"/>
            <w:noWrap w:val="0"/>
            <w:vAlign w:val="center"/>
          </w:tcPr>
          <w:p>
            <w:pPr>
              <w:rPr>
                <w:rFonts w:hint="eastAsia" w:ascii="宋体" w:hAnsi="宋体" w:eastAsia="宋体" w:cs="宋体"/>
                <w:b w:val="0"/>
                <w:bCs w:val="0"/>
                <w:color w:val="auto"/>
                <w:kern w:val="2"/>
                <w:sz w:val="21"/>
                <w:szCs w:val="21"/>
              </w:rPr>
            </w:pP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hAnsi="宋体" w:cs="宋体"/>
                <w:b w:val="0"/>
                <w:bCs w:val="0"/>
                <w:color w:val="auto"/>
                <w:kern w:val="2"/>
                <w:sz w:val="21"/>
                <w:szCs w:val="21"/>
                <w:lang w:val="en-US" w:eastAsia="zh-CN"/>
              </w:rPr>
              <w:t>3</w:t>
            </w:r>
            <w:r>
              <w:rPr>
                <w:rFonts w:hint="eastAsia" w:ascii="宋体" w:hAnsi="宋体" w:eastAsia="宋体" w:cs="宋体"/>
                <w:b w:val="0"/>
                <w:bCs w:val="0"/>
                <w:color w:val="auto"/>
                <w:kern w:val="2"/>
                <w:sz w:val="21"/>
                <w:szCs w:val="21"/>
              </w:rPr>
              <w:t>分</w:t>
            </w:r>
          </w:p>
        </w:tc>
        <w:tc>
          <w:tcPr>
            <w:tcW w:w="6270" w:type="dxa"/>
            <w:noWrap w:val="0"/>
            <w:vAlign w:val="top"/>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具有微生物二级生物安全实验室的得</w:t>
            </w:r>
            <w:r>
              <w:rPr>
                <w:rFonts w:hint="eastAsia" w:hAnsi="宋体" w:cs="宋体"/>
                <w:b w:val="0"/>
                <w:color w:val="auto"/>
                <w:kern w:val="2"/>
                <w:sz w:val="21"/>
                <w:szCs w:val="21"/>
                <w:lang w:val="en-US" w:eastAsia="zh-CN"/>
              </w:rPr>
              <w:t>3</w:t>
            </w:r>
            <w:r>
              <w:rPr>
                <w:rFonts w:hint="eastAsia" w:ascii="宋体" w:hAnsi="宋体" w:eastAsia="宋体" w:cs="宋体"/>
                <w:b w:val="0"/>
                <w:color w:val="auto"/>
                <w:kern w:val="2"/>
                <w:sz w:val="21"/>
                <w:szCs w:val="21"/>
                <w:lang w:val="en-US" w:eastAsia="zh-CN"/>
              </w:rPr>
              <w:t>分</w:t>
            </w:r>
            <w:r>
              <w:rPr>
                <w:rFonts w:hint="eastAsia" w:hAnsi="宋体" w:cs="宋体"/>
                <w:b w:val="0"/>
                <w:color w:val="auto"/>
                <w:kern w:val="2"/>
                <w:sz w:val="21"/>
                <w:szCs w:val="21"/>
                <w:lang w:val="en-US" w:eastAsia="zh-CN"/>
              </w:rPr>
              <w:t>（提供</w:t>
            </w:r>
            <w:r>
              <w:rPr>
                <w:rFonts w:hint="eastAsia" w:ascii="宋体" w:hAnsi="宋体" w:eastAsia="宋体" w:cs="宋体"/>
                <w:b w:val="0"/>
                <w:color w:val="auto"/>
                <w:kern w:val="2"/>
                <w:sz w:val="21"/>
                <w:szCs w:val="21"/>
                <w:lang w:val="en-US" w:eastAsia="zh-CN"/>
              </w:rPr>
              <w:t>微生物二级生物安全</w:t>
            </w:r>
            <w:r>
              <w:rPr>
                <w:rFonts w:hint="eastAsia" w:hAnsi="宋体" w:cs="宋体"/>
                <w:b w:val="0"/>
                <w:color w:val="auto"/>
                <w:kern w:val="2"/>
                <w:sz w:val="21"/>
                <w:szCs w:val="21"/>
                <w:lang w:val="en-US" w:eastAsia="zh-CN"/>
              </w:rPr>
              <w:t>实验室证书）；</w:t>
            </w:r>
            <w:r>
              <w:rPr>
                <w:rFonts w:hint="eastAsia" w:ascii="宋体" w:hAnsi="宋体" w:eastAsia="宋体" w:cs="宋体"/>
                <w:b w:val="0"/>
                <w:color w:val="auto"/>
                <w:kern w:val="2"/>
                <w:sz w:val="21"/>
                <w:szCs w:val="21"/>
                <w:lang w:val="en-US"/>
              </w:rPr>
              <w:t>不具备此项的</w:t>
            </w:r>
            <w:r>
              <w:rPr>
                <w:rFonts w:hint="eastAsia" w:hAnsi="宋体" w:cs="宋体"/>
                <w:b w:val="0"/>
                <w:color w:val="auto"/>
                <w:kern w:val="2"/>
                <w:sz w:val="21"/>
                <w:szCs w:val="21"/>
                <w:lang w:val="en-US" w:eastAsia="zh-CN"/>
              </w:rPr>
              <w:t>不得</w:t>
            </w:r>
            <w:r>
              <w:rPr>
                <w:rFonts w:hint="eastAsia" w:ascii="宋体" w:hAnsi="宋体" w:eastAsia="宋体" w:cs="宋体"/>
                <w:b w:val="0"/>
                <w:color w:val="auto"/>
                <w:kern w:val="2"/>
                <w:sz w:val="21"/>
                <w:szCs w:val="21"/>
                <w:lang w:val="en-US"/>
              </w:rPr>
              <w:t>分。</w:t>
            </w:r>
          </w:p>
        </w:tc>
        <w:tc>
          <w:tcPr>
            <w:tcW w:w="1691" w:type="dxa"/>
            <w:vMerge w:val="continue"/>
            <w:noWrap w:val="0"/>
            <w:vAlign w:val="center"/>
          </w:tcPr>
          <w:p>
            <w:pP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0" w:hRule="atLeast"/>
          <w:jc w:val="center"/>
        </w:trPr>
        <w:tc>
          <w:tcPr>
            <w:tcW w:w="1363" w:type="dxa"/>
            <w:vMerge w:val="continue"/>
            <w:noWrap w:val="0"/>
            <w:vAlign w:val="center"/>
          </w:tcPr>
          <w:p>
            <w:pPr>
              <w:rPr>
                <w:rFonts w:hint="eastAsia" w:ascii="宋体" w:hAnsi="宋体" w:eastAsia="宋体" w:cs="宋体"/>
                <w:b w:val="0"/>
                <w:bCs w:val="0"/>
                <w:color w:val="auto"/>
                <w:kern w:val="2"/>
                <w:sz w:val="21"/>
                <w:szCs w:val="21"/>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3</w:t>
            </w:r>
            <w:r>
              <w:rPr>
                <w:rFonts w:hint="eastAsia" w:ascii="宋体" w:hAnsi="宋体" w:eastAsia="宋体" w:cs="宋体"/>
                <w:b w:val="0"/>
                <w:color w:val="auto"/>
                <w:kern w:val="2"/>
                <w:sz w:val="21"/>
                <w:szCs w:val="21"/>
                <w:lang w:val="en-US"/>
              </w:rPr>
              <w:t>分</w:t>
            </w:r>
          </w:p>
        </w:tc>
        <w:tc>
          <w:tcPr>
            <w:tcW w:w="627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具有有效的质量管理体系认证证书、环境管理体系认证证书及职业健康安全管理体系认证证书的</w:t>
            </w:r>
            <w:r>
              <w:rPr>
                <w:rFonts w:hint="eastAsia" w:hAnsi="宋体" w:cs="宋体"/>
                <w:b w:val="0"/>
                <w:color w:val="auto"/>
                <w:kern w:val="2"/>
                <w:sz w:val="21"/>
                <w:szCs w:val="21"/>
                <w:lang w:val="en-US" w:eastAsia="zh-CN"/>
              </w:rPr>
              <w:t>每提供一个得1分最多</w:t>
            </w:r>
            <w:r>
              <w:rPr>
                <w:rFonts w:hint="eastAsia" w:ascii="宋体" w:hAnsi="宋体" w:eastAsia="宋体" w:cs="宋体"/>
                <w:b w:val="0"/>
                <w:color w:val="auto"/>
                <w:kern w:val="2"/>
                <w:sz w:val="21"/>
                <w:szCs w:val="21"/>
                <w:lang w:val="en-US" w:eastAsia="zh-CN"/>
              </w:rPr>
              <w:t>得3分。不具备此项不得分。</w:t>
            </w:r>
          </w:p>
        </w:tc>
        <w:tc>
          <w:tcPr>
            <w:tcW w:w="1691" w:type="dxa"/>
            <w:vMerge w:val="continue"/>
            <w:noWrap w:val="0"/>
            <w:vAlign w:val="center"/>
          </w:tcPr>
          <w:p>
            <w:pP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7" w:hRule="atLeast"/>
          <w:jc w:val="center"/>
        </w:trPr>
        <w:tc>
          <w:tcPr>
            <w:tcW w:w="1363" w:type="dxa"/>
            <w:vMerge w:val="continue"/>
            <w:noWrap w:val="0"/>
            <w:vAlign w:val="center"/>
          </w:tcPr>
          <w:p>
            <w:pPr>
              <w:rPr>
                <w:rFonts w:hint="eastAsia" w:ascii="宋体" w:hAnsi="宋体" w:eastAsia="宋体" w:cs="宋体"/>
                <w:b w:val="0"/>
                <w:bCs w:val="0"/>
                <w:color w:val="auto"/>
                <w:kern w:val="2"/>
                <w:sz w:val="21"/>
                <w:szCs w:val="21"/>
              </w:rPr>
            </w:pP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lang w:val="en-US" w:eastAsia="zh-CN"/>
              </w:rPr>
            </w:pPr>
            <w:r>
              <w:rPr>
                <w:rFonts w:hint="eastAsia" w:hAnsi="宋体" w:cs="宋体"/>
                <w:b w:val="0"/>
                <w:bCs w:val="0"/>
                <w:color w:val="auto"/>
                <w:kern w:val="2"/>
                <w:sz w:val="21"/>
                <w:szCs w:val="21"/>
                <w:lang w:val="en-US" w:eastAsia="zh-CN"/>
              </w:rPr>
              <w:t>3</w:t>
            </w:r>
            <w:r>
              <w:rPr>
                <w:rFonts w:hint="eastAsia" w:ascii="宋体" w:hAnsi="宋体" w:eastAsia="宋体" w:cs="宋体"/>
                <w:b w:val="0"/>
                <w:bCs w:val="0"/>
                <w:color w:val="auto"/>
                <w:kern w:val="2"/>
                <w:sz w:val="21"/>
                <w:szCs w:val="21"/>
              </w:rPr>
              <w:t>分</w:t>
            </w:r>
          </w:p>
        </w:tc>
        <w:tc>
          <w:tcPr>
            <w:tcW w:w="6270" w:type="dxa"/>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投标人主持过食品或检验检测相关科研课题工作的，每1项得1分，最多得</w:t>
            </w:r>
            <w:r>
              <w:rPr>
                <w:rFonts w:hint="eastAsia" w:hAnsi="宋体" w:cs="宋体"/>
                <w:b w:val="0"/>
                <w:color w:val="auto"/>
                <w:kern w:val="2"/>
                <w:sz w:val="21"/>
                <w:szCs w:val="21"/>
                <w:lang w:val="en-US" w:eastAsia="zh-CN"/>
              </w:rPr>
              <w:t>3</w:t>
            </w:r>
            <w:r>
              <w:rPr>
                <w:rFonts w:hint="eastAsia" w:ascii="宋体" w:hAnsi="宋体" w:eastAsia="宋体" w:cs="宋体"/>
                <w:b w:val="0"/>
                <w:color w:val="auto"/>
                <w:kern w:val="2"/>
                <w:sz w:val="21"/>
                <w:szCs w:val="21"/>
                <w:lang w:val="en-US" w:eastAsia="zh-CN"/>
              </w:rPr>
              <w:t>分</w:t>
            </w:r>
            <w:r>
              <w:rPr>
                <w:rFonts w:hint="eastAsia" w:hAnsi="宋体" w:cs="宋体"/>
                <w:b w:val="0"/>
                <w:color w:val="auto"/>
                <w:kern w:val="2"/>
                <w:sz w:val="21"/>
                <w:szCs w:val="21"/>
                <w:lang w:val="en-US" w:eastAsia="zh-CN"/>
              </w:rPr>
              <w:t>（提供相关课题报告）</w:t>
            </w:r>
            <w:r>
              <w:rPr>
                <w:rFonts w:hint="eastAsia" w:ascii="宋体" w:hAnsi="宋体" w:eastAsia="宋体" w:cs="宋体"/>
                <w:b w:val="0"/>
                <w:color w:val="auto"/>
                <w:kern w:val="2"/>
                <w:sz w:val="21"/>
                <w:szCs w:val="21"/>
                <w:lang w:val="en-US" w:eastAsia="zh-CN"/>
              </w:rPr>
              <w:t>。</w:t>
            </w:r>
          </w:p>
        </w:tc>
        <w:tc>
          <w:tcPr>
            <w:tcW w:w="1691" w:type="dxa"/>
            <w:vMerge w:val="continue"/>
            <w:noWrap w:val="0"/>
            <w:vAlign w:val="center"/>
          </w:tcPr>
          <w:p>
            <w:pP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7" w:hRule="atLeast"/>
          <w:jc w:val="center"/>
        </w:trPr>
        <w:tc>
          <w:tcPr>
            <w:tcW w:w="1363" w:type="dxa"/>
            <w:vMerge w:val="continue"/>
            <w:noWrap w:val="0"/>
            <w:vAlign w:val="center"/>
          </w:tcPr>
          <w:p>
            <w:pPr>
              <w:rPr>
                <w:rFonts w:hint="eastAsia" w:ascii="宋体" w:hAnsi="宋体" w:eastAsia="宋体" w:cs="宋体"/>
                <w:b w:val="0"/>
                <w:bCs w:val="0"/>
                <w:color w:val="auto"/>
                <w:kern w:val="2"/>
                <w:sz w:val="21"/>
                <w:szCs w:val="21"/>
              </w:rPr>
            </w:pP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lang w:val="en-US" w:eastAsia="zh-CN"/>
              </w:rPr>
            </w:pPr>
            <w:r>
              <w:rPr>
                <w:rFonts w:hint="eastAsia" w:hAnsi="宋体" w:cs="宋体"/>
                <w:b w:val="0"/>
                <w:bCs w:val="0"/>
                <w:color w:val="auto"/>
                <w:kern w:val="2"/>
                <w:sz w:val="21"/>
                <w:szCs w:val="21"/>
                <w:lang w:val="en-US" w:eastAsia="zh-CN"/>
              </w:rPr>
              <w:t>2</w:t>
            </w:r>
            <w:r>
              <w:rPr>
                <w:rFonts w:hint="eastAsia" w:ascii="宋体" w:hAnsi="宋体" w:eastAsia="宋体" w:cs="宋体"/>
                <w:b w:val="0"/>
                <w:bCs w:val="0"/>
                <w:color w:val="auto"/>
                <w:kern w:val="2"/>
                <w:sz w:val="21"/>
                <w:szCs w:val="21"/>
              </w:rPr>
              <w:t>分</w:t>
            </w:r>
          </w:p>
        </w:tc>
        <w:tc>
          <w:tcPr>
            <w:tcW w:w="6270" w:type="dxa"/>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投标人主持或参与制定食品类国家或行业或地方标准的得2分</w:t>
            </w:r>
            <w:r>
              <w:rPr>
                <w:rFonts w:hint="eastAsia" w:hAnsi="宋体" w:cs="宋体"/>
                <w:b w:val="0"/>
                <w:color w:val="auto"/>
                <w:kern w:val="2"/>
                <w:sz w:val="21"/>
                <w:szCs w:val="21"/>
                <w:lang w:val="en-US" w:eastAsia="zh-CN"/>
              </w:rPr>
              <w:t>（提供相关标准文本）</w:t>
            </w:r>
            <w:r>
              <w:rPr>
                <w:rFonts w:hint="eastAsia" w:ascii="宋体" w:hAnsi="宋体" w:eastAsia="宋体" w:cs="宋体"/>
                <w:b w:val="0"/>
                <w:color w:val="auto"/>
                <w:kern w:val="2"/>
                <w:sz w:val="21"/>
                <w:szCs w:val="21"/>
                <w:lang w:val="en-US" w:eastAsia="zh-CN"/>
              </w:rPr>
              <w:t>。</w:t>
            </w:r>
          </w:p>
        </w:tc>
        <w:tc>
          <w:tcPr>
            <w:tcW w:w="1691" w:type="dxa"/>
            <w:vMerge w:val="continue"/>
            <w:noWrap w:val="0"/>
            <w:vAlign w:val="center"/>
          </w:tcPr>
          <w:p>
            <w:pP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0" w:hRule="atLeast"/>
          <w:jc w:val="center"/>
        </w:trPr>
        <w:tc>
          <w:tcPr>
            <w:tcW w:w="1363" w:type="dxa"/>
            <w:vMerge w:val="continue"/>
            <w:noWrap w:val="0"/>
            <w:vAlign w:val="center"/>
          </w:tcPr>
          <w:p>
            <w:pPr>
              <w:rPr>
                <w:rFonts w:hint="eastAsia" w:ascii="宋体" w:hAnsi="宋体" w:eastAsia="宋体" w:cs="宋体"/>
                <w:b w:val="0"/>
                <w:bCs w:val="0"/>
                <w:color w:val="auto"/>
                <w:kern w:val="2"/>
                <w:sz w:val="21"/>
                <w:szCs w:val="21"/>
              </w:rPr>
            </w:pP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lang w:val="en-US" w:eastAsia="zh-CN"/>
              </w:rPr>
            </w:pPr>
            <w:r>
              <w:rPr>
                <w:rFonts w:hint="eastAsia" w:hAnsi="宋体" w:cs="宋体"/>
                <w:b w:val="0"/>
                <w:bCs w:val="0"/>
                <w:color w:val="auto"/>
                <w:kern w:val="2"/>
                <w:sz w:val="21"/>
                <w:szCs w:val="21"/>
                <w:lang w:val="en-US" w:eastAsia="zh-CN"/>
              </w:rPr>
              <w:t>3</w:t>
            </w:r>
            <w:r>
              <w:rPr>
                <w:rFonts w:hint="eastAsia" w:ascii="宋体" w:hAnsi="宋体" w:eastAsia="宋体" w:cs="宋体"/>
                <w:b w:val="0"/>
                <w:bCs w:val="0"/>
                <w:color w:val="auto"/>
                <w:kern w:val="2"/>
                <w:sz w:val="21"/>
                <w:szCs w:val="21"/>
              </w:rPr>
              <w:t>分</w:t>
            </w:r>
          </w:p>
        </w:tc>
        <w:tc>
          <w:tcPr>
            <w:tcW w:w="6270" w:type="dxa"/>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2018年以来参与国内相关机构组织的食品领域能力验证项目，每有一个满意结果得0.5分，最多得</w:t>
            </w:r>
            <w:r>
              <w:rPr>
                <w:rFonts w:hint="eastAsia" w:hAnsi="宋体" w:cs="宋体"/>
                <w:b w:val="0"/>
                <w:color w:val="auto"/>
                <w:kern w:val="2"/>
                <w:sz w:val="21"/>
                <w:szCs w:val="21"/>
                <w:lang w:val="en-US" w:eastAsia="zh-CN"/>
              </w:rPr>
              <w:t>3</w:t>
            </w:r>
            <w:r>
              <w:rPr>
                <w:rFonts w:hint="eastAsia" w:ascii="宋体" w:hAnsi="宋体" w:eastAsia="宋体" w:cs="宋体"/>
                <w:b w:val="0"/>
                <w:color w:val="auto"/>
                <w:kern w:val="2"/>
                <w:sz w:val="21"/>
                <w:szCs w:val="21"/>
                <w:lang w:val="en-US" w:eastAsia="zh-CN"/>
              </w:rPr>
              <w:t>分</w:t>
            </w:r>
            <w:r>
              <w:rPr>
                <w:rFonts w:hint="eastAsia" w:hAnsi="宋体" w:cs="宋体"/>
                <w:b w:val="0"/>
                <w:color w:val="auto"/>
                <w:kern w:val="2"/>
                <w:sz w:val="21"/>
                <w:szCs w:val="21"/>
                <w:lang w:val="en-US" w:eastAsia="zh-CN"/>
              </w:rPr>
              <w:t>（提供相关能力验证证书）</w:t>
            </w:r>
            <w:r>
              <w:rPr>
                <w:rFonts w:hint="eastAsia" w:ascii="宋体" w:hAnsi="宋体" w:eastAsia="宋体" w:cs="宋体"/>
                <w:b w:val="0"/>
                <w:color w:val="auto"/>
                <w:kern w:val="2"/>
                <w:sz w:val="21"/>
                <w:szCs w:val="21"/>
                <w:lang w:val="en-US" w:eastAsia="zh-CN"/>
              </w:rPr>
              <w:t>。</w:t>
            </w:r>
          </w:p>
        </w:tc>
        <w:tc>
          <w:tcPr>
            <w:tcW w:w="1691" w:type="dxa"/>
            <w:vMerge w:val="continue"/>
            <w:noWrap w:val="0"/>
            <w:vAlign w:val="center"/>
          </w:tcPr>
          <w:p>
            <w:pP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43" w:hRule="atLeast"/>
          <w:jc w:val="center"/>
        </w:trPr>
        <w:tc>
          <w:tcPr>
            <w:tcW w:w="1363" w:type="dxa"/>
            <w:vMerge w:val="restart"/>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检测设备及检测人员</w:t>
            </w:r>
            <w:r>
              <w:rPr>
                <w:rFonts w:hint="eastAsia" w:hAnsi="宋体" w:cs="宋体"/>
                <w:b w:val="0"/>
                <w:bCs w:val="0"/>
                <w:color w:val="auto"/>
                <w:kern w:val="2"/>
                <w:sz w:val="21"/>
                <w:szCs w:val="21"/>
                <w:lang w:eastAsia="zh-CN"/>
              </w:rPr>
              <w:t>配备</w:t>
            </w:r>
            <w:r>
              <w:rPr>
                <w:rFonts w:hint="eastAsia" w:ascii="宋体" w:hAnsi="宋体" w:eastAsia="宋体" w:cs="宋体"/>
                <w:b w:val="0"/>
                <w:bCs w:val="0"/>
                <w:color w:val="auto"/>
                <w:kern w:val="2"/>
                <w:sz w:val="21"/>
                <w:szCs w:val="21"/>
              </w:rPr>
              <w:t>情况</w:t>
            </w:r>
            <w:r>
              <w:rPr>
                <w:rFonts w:hint="eastAsia" w:hAnsi="宋体" w:cs="宋体"/>
                <w:b w:val="0"/>
                <w:bCs w:val="0"/>
                <w:color w:val="auto"/>
                <w:kern w:val="2"/>
                <w:sz w:val="21"/>
                <w:szCs w:val="21"/>
                <w:lang w:val="en-US" w:eastAsia="zh-CN"/>
              </w:rPr>
              <w:t>52</w:t>
            </w:r>
            <w:r>
              <w:rPr>
                <w:rFonts w:hint="eastAsia" w:ascii="宋体" w:hAnsi="宋体" w:eastAsia="宋体" w:cs="宋体"/>
                <w:b w:val="0"/>
                <w:bCs w:val="0"/>
                <w:color w:val="auto"/>
                <w:kern w:val="2"/>
                <w:sz w:val="21"/>
                <w:szCs w:val="21"/>
              </w:rPr>
              <w:t>%</w:t>
            </w:r>
            <w:r>
              <w:rPr>
                <w:rFonts w:hint="eastAsia" w:ascii="宋体" w:hAnsi="宋体" w:eastAsia="宋体" w:cs="宋体"/>
                <w:b w:val="0"/>
                <w:bCs w:val="0"/>
                <w:color w:val="auto"/>
                <w:kern w:val="2"/>
                <w:sz w:val="21"/>
                <w:szCs w:val="21"/>
                <w:lang w:eastAsia="zh-CN"/>
              </w:rPr>
              <w:t>（共同评审因素）</w:t>
            </w:r>
          </w:p>
        </w:tc>
        <w:tc>
          <w:tcPr>
            <w:tcW w:w="690" w:type="dxa"/>
            <w:vMerge w:val="restart"/>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hAnsi="宋体" w:cs="宋体"/>
                <w:b w:val="0"/>
                <w:bCs w:val="0"/>
                <w:color w:val="auto"/>
                <w:kern w:val="2"/>
                <w:sz w:val="21"/>
                <w:szCs w:val="21"/>
                <w:lang w:val="en-US" w:eastAsia="zh-CN"/>
              </w:rPr>
              <w:t>25</w:t>
            </w:r>
            <w:r>
              <w:rPr>
                <w:rFonts w:hint="eastAsia" w:ascii="宋体" w:hAnsi="宋体" w:eastAsia="宋体" w:cs="宋体"/>
                <w:b w:val="0"/>
                <w:bCs w:val="0"/>
                <w:color w:val="auto"/>
                <w:kern w:val="2"/>
                <w:sz w:val="21"/>
                <w:szCs w:val="21"/>
              </w:rPr>
              <w:t>分</w:t>
            </w:r>
          </w:p>
        </w:tc>
        <w:tc>
          <w:tcPr>
            <w:tcW w:w="6270" w:type="dxa"/>
            <w:vMerge w:val="restart"/>
            <w:noWrap w:val="0"/>
            <w:vAlign w:val="center"/>
          </w:tcPr>
          <w:p>
            <w:pPr>
              <w:pStyle w:val="16"/>
              <w:rPr>
                <w:rFonts w:hint="eastAsia" w:hAnsi="宋体" w:cs="宋体"/>
                <w:b w:val="0"/>
                <w:color w:val="auto"/>
                <w:kern w:val="2"/>
                <w:sz w:val="21"/>
                <w:szCs w:val="21"/>
                <w:lang w:val="en-US" w:eastAsia="zh-CN"/>
              </w:rPr>
            </w:pPr>
            <w:r>
              <w:rPr>
                <w:rFonts w:hint="eastAsia"/>
                <w:color w:val="auto"/>
                <w:sz w:val="21"/>
                <w:szCs w:val="21"/>
                <w:lang w:eastAsia="zh-CN"/>
              </w:rPr>
              <w:t>投标人针对本项目能稳定开展的</w:t>
            </w:r>
            <w:r>
              <w:rPr>
                <w:rFonts w:hint="eastAsia" w:ascii="宋体" w:hAnsi="宋体" w:eastAsia="宋体" w:cs="宋体"/>
                <w:b w:val="0"/>
                <w:color w:val="auto"/>
                <w:kern w:val="2"/>
                <w:sz w:val="21"/>
                <w:szCs w:val="21"/>
                <w:lang w:val="en-US"/>
              </w:rPr>
              <w:t>相关检测服务</w:t>
            </w:r>
            <w:r>
              <w:rPr>
                <w:rFonts w:hint="eastAsia" w:hAnsi="宋体" w:cs="宋体"/>
                <w:b w:val="0"/>
                <w:color w:val="auto"/>
                <w:kern w:val="2"/>
                <w:sz w:val="21"/>
                <w:szCs w:val="21"/>
                <w:lang w:val="en-US" w:eastAsia="zh-CN"/>
              </w:rPr>
              <w:t>设施</w:t>
            </w:r>
            <w:r>
              <w:rPr>
                <w:rFonts w:hint="eastAsia" w:ascii="宋体" w:hAnsi="宋体" w:eastAsia="宋体" w:cs="宋体"/>
                <w:b w:val="0"/>
                <w:color w:val="auto"/>
                <w:kern w:val="2"/>
                <w:sz w:val="21"/>
                <w:szCs w:val="21"/>
                <w:lang w:val="en-US"/>
              </w:rPr>
              <w:t>设备</w:t>
            </w:r>
            <w:r>
              <w:rPr>
                <w:rFonts w:hint="eastAsia" w:hAnsi="宋体" w:cs="宋体"/>
                <w:b w:val="0"/>
                <w:color w:val="auto"/>
                <w:kern w:val="2"/>
                <w:sz w:val="21"/>
                <w:szCs w:val="21"/>
                <w:lang w:val="en-US" w:eastAsia="zh-CN"/>
              </w:rPr>
              <w:t>：</w:t>
            </w:r>
          </w:p>
          <w:p>
            <w:pPr>
              <w:ind w:firstLine="210" w:firstLineChars="100"/>
              <w:rPr>
                <w:rFonts w:hint="eastAsia" w:ascii="宋体" w:hAnsi="宋体" w:cs="宋体"/>
                <w:color w:val="auto"/>
                <w:sz w:val="21"/>
                <w:szCs w:val="21"/>
              </w:rPr>
            </w:pPr>
            <w:r>
              <w:rPr>
                <w:rFonts w:hint="eastAsia" w:ascii="宋体" w:hAnsi="宋体" w:cs="宋体"/>
                <w:color w:val="auto"/>
                <w:sz w:val="21"/>
                <w:szCs w:val="21"/>
              </w:rPr>
              <w:t>1、投标人投入本项目的液相色谱仪</w:t>
            </w:r>
            <w:r>
              <w:rPr>
                <w:rFonts w:hint="eastAsia" w:hAnsi="宋体" w:cs="宋体"/>
                <w:color w:val="auto"/>
                <w:sz w:val="21"/>
                <w:szCs w:val="21"/>
                <w:lang w:val="en-US" w:eastAsia="zh-CN"/>
              </w:rPr>
              <w:t>每提供1台得0.5分</w:t>
            </w:r>
            <w:r>
              <w:rPr>
                <w:rFonts w:hint="eastAsia" w:hAnsi="宋体" w:cs="宋体"/>
                <w:color w:val="auto"/>
                <w:sz w:val="21"/>
                <w:szCs w:val="21"/>
                <w:lang w:eastAsia="zh-CN"/>
              </w:rPr>
              <w:t>，</w:t>
            </w:r>
            <w:r>
              <w:rPr>
                <w:rFonts w:hint="eastAsia" w:hAnsi="宋体" w:cs="宋体"/>
                <w:color w:val="auto"/>
                <w:sz w:val="21"/>
                <w:szCs w:val="21"/>
                <w:lang w:val="en-US" w:eastAsia="zh-CN"/>
              </w:rPr>
              <w:t>最多</w:t>
            </w:r>
            <w:r>
              <w:rPr>
                <w:rFonts w:hint="eastAsia" w:ascii="宋体" w:hAnsi="宋体" w:cs="宋体"/>
                <w:color w:val="auto"/>
                <w:sz w:val="21"/>
                <w:szCs w:val="21"/>
              </w:rPr>
              <w:t>得3分</w:t>
            </w:r>
            <w:r>
              <w:rPr>
                <w:rFonts w:hint="eastAsia" w:hAnsi="宋体" w:cs="宋体"/>
                <w:color w:val="auto"/>
                <w:sz w:val="21"/>
                <w:szCs w:val="21"/>
                <w:lang w:eastAsia="zh-CN"/>
              </w:rPr>
              <w:t>，</w:t>
            </w:r>
            <w:r>
              <w:rPr>
                <w:rFonts w:hint="eastAsia" w:ascii="宋体" w:hAnsi="宋体" w:cs="宋体"/>
                <w:color w:val="auto"/>
                <w:sz w:val="21"/>
                <w:szCs w:val="21"/>
              </w:rPr>
              <w:t>未提供的不得分；</w:t>
            </w:r>
          </w:p>
          <w:p>
            <w:pPr>
              <w:ind w:firstLine="210" w:firstLineChars="100"/>
              <w:rPr>
                <w:rFonts w:hint="eastAsia" w:ascii="宋体" w:hAnsi="宋体" w:cs="宋体"/>
                <w:color w:val="auto"/>
                <w:sz w:val="21"/>
                <w:szCs w:val="21"/>
              </w:rPr>
            </w:pPr>
            <w:r>
              <w:rPr>
                <w:rFonts w:hint="eastAsia" w:ascii="宋体" w:hAnsi="宋体" w:cs="宋体"/>
                <w:color w:val="auto"/>
                <w:sz w:val="21"/>
                <w:szCs w:val="21"/>
              </w:rPr>
              <w:t>2、投标人投入本项目的气相色谱仪</w:t>
            </w:r>
            <w:r>
              <w:rPr>
                <w:rFonts w:hint="eastAsia" w:hAnsi="宋体" w:cs="宋体"/>
                <w:color w:val="auto"/>
                <w:sz w:val="21"/>
                <w:szCs w:val="21"/>
                <w:lang w:val="en-US" w:eastAsia="zh-CN"/>
              </w:rPr>
              <w:t>每提供1台得0.5分，最多</w:t>
            </w:r>
            <w:r>
              <w:rPr>
                <w:rFonts w:hint="eastAsia" w:ascii="宋体" w:hAnsi="宋体" w:cs="宋体"/>
                <w:color w:val="auto"/>
                <w:sz w:val="21"/>
                <w:szCs w:val="21"/>
              </w:rPr>
              <w:t>得3分</w:t>
            </w:r>
            <w:r>
              <w:rPr>
                <w:rFonts w:hint="eastAsia" w:hAnsi="宋体" w:cs="宋体"/>
                <w:color w:val="auto"/>
                <w:sz w:val="21"/>
                <w:szCs w:val="21"/>
                <w:lang w:eastAsia="zh-CN"/>
              </w:rPr>
              <w:t>，</w:t>
            </w:r>
            <w:r>
              <w:rPr>
                <w:rFonts w:hint="eastAsia" w:ascii="宋体" w:hAnsi="宋体" w:cs="宋体"/>
                <w:color w:val="auto"/>
                <w:sz w:val="21"/>
                <w:szCs w:val="21"/>
              </w:rPr>
              <w:t>未提供的不得分；</w:t>
            </w:r>
          </w:p>
          <w:p>
            <w:pPr>
              <w:ind w:firstLine="210" w:firstLineChars="100"/>
              <w:rPr>
                <w:rFonts w:hint="eastAsia" w:ascii="宋体" w:hAnsi="宋体" w:cs="宋体"/>
                <w:color w:val="auto"/>
                <w:sz w:val="21"/>
                <w:szCs w:val="21"/>
              </w:rPr>
            </w:pPr>
            <w:r>
              <w:rPr>
                <w:rFonts w:hint="eastAsia" w:ascii="宋体" w:hAnsi="宋体" w:cs="宋体"/>
                <w:color w:val="auto"/>
                <w:sz w:val="21"/>
                <w:szCs w:val="21"/>
              </w:rPr>
              <w:t>3、投标人投入本项目的三重四极杆液相色谱－串联质谱仪</w:t>
            </w:r>
            <w:r>
              <w:rPr>
                <w:rFonts w:hint="eastAsia" w:hAnsi="宋体" w:cs="宋体"/>
                <w:color w:val="auto"/>
                <w:sz w:val="21"/>
                <w:szCs w:val="21"/>
                <w:lang w:val="en-US" w:eastAsia="zh-CN"/>
              </w:rPr>
              <w:t>每提供1台得0.5分，最多</w:t>
            </w:r>
            <w:r>
              <w:rPr>
                <w:rFonts w:hint="eastAsia" w:ascii="宋体" w:hAnsi="宋体" w:cs="宋体"/>
                <w:color w:val="auto"/>
                <w:sz w:val="21"/>
                <w:szCs w:val="21"/>
              </w:rPr>
              <w:t>得</w:t>
            </w:r>
            <w:r>
              <w:rPr>
                <w:rFonts w:hint="eastAsia" w:hAnsi="宋体" w:cs="宋体"/>
                <w:color w:val="auto"/>
                <w:sz w:val="21"/>
                <w:szCs w:val="21"/>
                <w:lang w:val="en-US" w:eastAsia="zh-CN"/>
              </w:rPr>
              <w:t>2</w:t>
            </w:r>
            <w:r>
              <w:rPr>
                <w:rFonts w:hint="eastAsia" w:ascii="宋体" w:hAnsi="宋体" w:cs="宋体"/>
                <w:color w:val="auto"/>
                <w:sz w:val="21"/>
                <w:szCs w:val="21"/>
              </w:rPr>
              <w:t>分，未提供的不得分；</w:t>
            </w:r>
          </w:p>
          <w:p>
            <w:pPr>
              <w:ind w:firstLine="210" w:firstLineChars="100"/>
              <w:rPr>
                <w:rFonts w:hint="eastAsia" w:ascii="宋体" w:hAnsi="宋体" w:cs="宋体"/>
                <w:color w:val="auto"/>
                <w:sz w:val="21"/>
                <w:szCs w:val="21"/>
              </w:rPr>
            </w:pPr>
            <w:r>
              <w:rPr>
                <w:rFonts w:hint="eastAsia" w:ascii="宋体" w:hAnsi="宋体" w:cs="宋体"/>
                <w:color w:val="auto"/>
                <w:sz w:val="21"/>
                <w:szCs w:val="21"/>
              </w:rPr>
              <w:t>4、投标人投入本项目的气相色谱－质谱联用仪</w:t>
            </w:r>
            <w:r>
              <w:rPr>
                <w:rFonts w:hint="eastAsia" w:hAnsi="宋体" w:cs="宋体"/>
                <w:color w:val="auto"/>
                <w:sz w:val="21"/>
                <w:szCs w:val="21"/>
                <w:lang w:val="en-US" w:eastAsia="zh-CN"/>
              </w:rPr>
              <w:t>每提供1台得0.5分，最多</w:t>
            </w:r>
            <w:r>
              <w:rPr>
                <w:rFonts w:hint="eastAsia" w:ascii="宋体" w:hAnsi="宋体" w:cs="宋体"/>
                <w:color w:val="auto"/>
                <w:sz w:val="21"/>
                <w:szCs w:val="21"/>
              </w:rPr>
              <w:t>得2分</w:t>
            </w:r>
            <w:r>
              <w:rPr>
                <w:rFonts w:hint="eastAsia" w:hAnsi="宋体" w:cs="宋体"/>
                <w:color w:val="auto"/>
                <w:sz w:val="21"/>
                <w:szCs w:val="21"/>
                <w:lang w:eastAsia="zh-CN"/>
              </w:rPr>
              <w:t>，</w:t>
            </w:r>
            <w:r>
              <w:rPr>
                <w:rFonts w:hint="eastAsia" w:ascii="宋体" w:hAnsi="宋体" w:cs="宋体"/>
                <w:color w:val="auto"/>
                <w:sz w:val="21"/>
                <w:szCs w:val="21"/>
              </w:rPr>
              <w:t>未提供的不得分；</w:t>
            </w:r>
          </w:p>
          <w:p>
            <w:pPr>
              <w:ind w:firstLine="210" w:firstLineChars="100"/>
              <w:rPr>
                <w:rFonts w:hint="eastAsia" w:ascii="宋体" w:hAnsi="宋体" w:cs="宋体"/>
                <w:color w:val="auto"/>
                <w:sz w:val="21"/>
                <w:szCs w:val="21"/>
              </w:rPr>
            </w:pPr>
            <w:r>
              <w:rPr>
                <w:rFonts w:hint="eastAsia" w:ascii="宋体" w:hAnsi="宋体" w:cs="宋体"/>
                <w:color w:val="auto"/>
                <w:sz w:val="21"/>
                <w:szCs w:val="21"/>
              </w:rPr>
              <w:t>5、投标人为本项目投入三重四级杆气相色谱－串联质谱仪的得 2分，未投入的不得分；</w:t>
            </w:r>
          </w:p>
          <w:p>
            <w:pPr>
              <w:ind w:firstLine="210" w:firstLineChars="100"/>
              <w:rPr>
                <w:rFonts w:hint="eastAsia" w:ascii="宋体" w:hAnsi="宋体" w:cs="宋体"/>
                <w:color w:val="auto"/>
                <w:sz w:val="21"/>
                <w:szCs w:val="21"/>
              </w:rPr>
            </w:pPr>
            <w:r>
              <w:rPr>
                <w:rFonts w:hint="eastAsia" w:ascii="宋体" w:hAnsi="宋体" w:cs="宋体"/>
                <w:color w:val="auto"/>
                <w:sz w:val="21"/>
                <w:szCs w:val="21"/>
              </w:rPr>
              <w:t>6、投标人为本项目投入原子吸收光谱仪、原子荧光光谱仪、液相色谱－原子荧光联用仪的得3 分，每少一类扣1分，未提供的不得分；</w:t>
            </w:r>
          </w:p>
          <w:p>
            <w:pPr>
              <w:ind w:firstLine="210" w:firstLineChars="100"/>
              <w:rPr>
                <w:rFonts w:hint="eastAsia" w:ascii="宋体" w:hAnsi="宋体" w:cs="宋体"/>
                <w:color w:val="auto"/>
                <w:sz w:val="21"/>
                <w:szCs w:val="21"/>
              </w:rPr>
            </w:pPr>
            <w:r>
              <w:rPr>
                <w:rFonts w:hint="eastAsia" w:ascii="宋体" w:hAnsi="宋体" w:cs="宋体"/>
                <w:color w:val="auto"/>
                <w:sz w:val="21"/>
                <w:szCs w:val="21"/>
              </w:rPr>
              <w:t>7、投标人为本项目投入采样车每有一辆得</w:t>
            </w:r>
            <w:r>
              <w:rPr>
                <w:rFonts w:hint="eastAsia" w:ascii="宋体" w:hAnsi="宋体" w:cs="宋体"/>
                <w:color w:val="auto"/>
                <w:sz w:val="21"/>
                <w:szCs w:val="21"/>
                <w:lang w:val="en-US" w:eastAsia="zh-CN"/>
              </w:rPr>
              <w:t>1</w:t>
            </w:r>
            <w:r>
              <w:rPr>
                <w:rFonts w:hint="eastAsia" w:ascii="宋体" w:hAnsi="宋体" w:cs="宋体"/>
                <w:color w:val="auto"/>
                <w:sz w:val="21"/>
                <w:szCs w:val="21"/>
              </w:rPr>
              <w:t>分，最多得</w:t>
            </w:r>
            <w:r>
              <w:rPr>
                <w:rFonts w:hint="eastAsia" w:ascii="宋体" w:hAnsi="宋体" w:cs="宋体"/>
                <w:color w:val="auto"/>
                <w:sz w:val="21"/>
                <w:szCs w:val="21"/>
                <w:lang w:val="en-US" w:eastAsia="zh-CN"/>
              </w:rPr>
              <w:t>5</w:t>
            </w:r>
            <w:r>
              <w:rPr>
                <w:rFonts w:hint="eastAsia" w:ascii="宋体" w:hAnsi="宋体" w:cs="宋体"/>
                <w:color w:val="auto"/>
                <w:sz w:val="21"/>
                <w:szCs w:val="21"/>
              </w:rPr>
              <w:t>分；</w:t>
            </w:r>
          </w:p>
          <w:p>
            <w:pPr>
              <w:ind w:firstLine="210" w:firstLineChars="100"/>
              <w:rPr>
                <w:rFonts w:hint="eastAsia" w:ascii="宋体" w:hAnsi="宋体" w:cs="宋体"/>
                <w:color w:val="auto"/>
                <w:sz w:val="21"/>
                <w:szCs w:val="21"/>
              </w:rPr>
            </w:pPr>
            <w:r>
              <w:rPr>
                <w:rFonts w:hint="eastAsia" w:ascii="宋体" w:hAnsi="宋体" w:cs="宋体"/>
                <w:color w:val="auto"/>
                <w:sz w:val="21"/>
                <w:szCs w:val="21"/>
                <w:lang w:val="en-US" w:eastAsia="zh-CN"/>
              </w:rPr>
              <w:t>8</w:t>
            </w:r>
            <w:r>
              <w:rPr>
                <w:rFonts w:hint="eastAsia" w:ascii="宋体" w:hAnsi="宋体" w:cs="宋体"/>
                <w:color w:val="auto"/>
                <w:sz w:val="21"/>
                <w:szCs w:val="21"/>
              </w:rPr>
              <w:t>、投标人在实验室所在场所自有样品存放冻库的得 2 分， 没有不得分。</w:t>
            </w:r>
          </w:p>
          <w:p>
            <w:pPr>
              <w:pStyle w:val="2"/>
              <w:ind w:firstLine="210" w:firstLineChars="100"/>
              <w:rPr>
                <w:rFonts w:hint="eastAsia"/>
                <w:b/>
                <w:bCs/>
                <w:color w:val="auto"/>
                <w:sz w:val="21"/>
                <w:szCs w:val="21"/>
              </w:rPr>
            </w:pPr>
            <w:r>
              <w:rPr>
                <w:rFonts w:hint="eastAsia" w:ascii="宋体" w:hAnsi="宋体" w:eastAsia="宋体" w:cs="宋体"/>
                <w:b w:val="0"/>
                <w:bCs/>
                <w:color w:val="auto"/>
                <w:kern w:val="0"/>
                <w:sz w:val="21"/>
                <w:szCs w:val="21"/>
                <w:lang w:val="en-US" w:eastAsia="zh-CN" w:bidi="ar"/>
              </w:rPr>
              <w:t>9、</w:t>
            </w:r>
            <w:r>
              <w:rPr>
                <w:rFonts w:hint="eastAsia" w:ascii="宋体" w:hAnsi="宋体" w:eastAsia="宋体" w:cs="宋体"/>
                <w:b w:val="0"/>
                <w:bCs/>
                <w:color w:val="auto"/>
                <w:kern w:val="0"/>
                <w:sz w:val="21"/>
                <w:szCs w:val="21"/>
                <w:lang w:bidi="ar"/>
              </w:rPr>
              <w:t>投标人配备运输冷冻、冷藏样品的</w:t>
            </w:r>
            <w:r>
              <w:rPr>
                <w:rFonts w:hint="eastAsia" w:ascii="宋体" w:hAnsi="宋体" w:eastAsia="宋体" w:cs="宋体"/>
                <w:b w:val="0"/>
                <w:bCs/>
                <w:color w:val="auto"/>
                <w:kern w:val="0"/>
                <w:sz w:val="21"/>
                <w:szCs w:val="21"/>
                <w:lang w:val="en-US" w:eastAsia="zh-CN" w:bidi="ar"/>
              </w:rPr>
              <w:t>F类</w:t>
            </w:r>
            <w:r>
              <w:rPr>
                <w:rFonts w:hint="eastAsia" w:ascii="宋体" w:hAnsi="宋体" w:eastAsia="宋体" w:cs="宋体"/>
                <w:b w:val="0"/>
                <w:bCs/>
                <w:color w:val="auto"/>
                <w:kern w:val="0"/>
                <w:sz w:val="21"/>
                <w:szCs w:val="21"/>
                <w:lang w:bidi="ar"/>
              </w:rPr>
              <w:t>专用冷链运输车辆得</w:t>
            </w:r>
            <w:r>
              <w:rPr>
                <w:rFonts w:hint="eastAsia" w:ascii="宋体" w:hAnsi="宋体" w:eastAsia="宋体" w:cs="宋体"/>
                <w:b w:val="0"/>
                <w:bCs/>
                <w:color w:val="auto"/>
                <w:kern w:val="0"/>
                <w:sz w:val="21"/>
                <w:szCs w:val="21"/>
                <w:lang w:val="en-US" w:eastAsia="zh-CN" w:bidi="ar"/>
              </w:rPr>
              <w:t>3</w:t>
            </w:r>
            <w:r>
              <w:rPr>
                <w:rFonts w:hint="eastAsia" w:ascii="宋体" w:hAnsi="宋体" w:eastAsia="宋体" w:cs="宋体"/>
                <w:b w:val="0"/>
                <w:bCs/>
                <w:color w:val="auto"/>
                <w:kern w:val="0"/>
                <w:sz w:val="21"/>
                <w:szCs w:val="21"/>
                <w:lang w:bidi="ar"/>
              </w:rPr>
              <w:t>分,未提供或不满足的不得分。</w:t>
            </w:r>
          </w:p>
          <w:p>
            <w:pPr>
              <w:ind w:firstLine="210" w:firstLineChars="100"/>
              <w:rPr>
                <w:rFonts w:hint="eastAsia" w:ascii="宋体" w:hAnsi="宋体" w:cs="宋体"/>
                <w:color w:val="auto"/>
                <w:sz w:val="21"/>
                <w:szCs w:val="21"/>
              </w:rPr>
            </w:pPr>
            <w:r>
              <w:rPr>
                <w:rFonts w:hint="eastAsia" w:ascii="宋体" w:hAnsi="宋体" w:cs="宋体"/>
                <w:color w:val="auto"/>
                <w:sz w:val="21"/>
                <w:szCs w:val="21"/>
              </w:rPr>
              <w:t>注：1.第1-6条提供相关设备购买发票</w:t>
            </w:r>
            <w:r>
              <w:rPr>
                <w:rFonts w:hint="eastAsia" w:hAnsi="宋体" w:cs="宋体"/>
                <w:color w:val="auto"/>
                <w:sz w:val="21"/>
                <w:szCs w:val="21"/>
                <w:lang w:eastAsia="zh-CN"/>
              </w:rPr>
              <w:t>（或</w:t>
            </w:r>
            <w:r>
              <w:rPr>
                <w:rFonts w:hint="eastAsia" w:hAnsi="宋体" w:cs="宋体"/>
                <w:color w:val="auto"/>
                <w:sz w:val="21"/>
                <w:szCs w:val="21"/>
                <w:lang w:val="en-US" w:eastAsia="zh-CN"/>
              </w:rPr>
              <w:t>租赁合同</w:t>
            </w:r>
            <w:r>
              <w:rPr>
                <w:rFonts w:hint="eastAsia" w:hAnsi="宋体" w:cs="宋体"/>
                <w:color w:val="auto"/>
                <w:sz w:val="21"/>
                <w:szCs w:val="21"/>
                <w:lang w:eastAsia="zh-CN"/>
              </w:rPr>
              <w:t>）</w:t>
            </w:r>
            <w:r>
              <w:rPr>
                <w:rFonts w:hint="eastAsia" w:ascii="宋体" w:hAnsi="宋体" w:cs="宋体"/>
                <w:color w:val="auto"/>
                <w:sz w:val="21"/>
                <w:szCs w:val="21"/>
              </w:rPr>
              <w:t>及检定或校准证书复印件加盖投标人公章。</w:t>
            </w:r>
          </w:p>
          <w:p>
            <w:pPr>
              <w:snapToGrid/>
              <w:spacing w:line="240" w:lineRule="auto"/>
              <w:ind w:firstLine="0" w:firstLineChars="0"/>
              <w:jc w:val="left"/>
              <w:rPr>
                <w:rFonts w:hint="eastAsia" w:ascii="宋体" w:hAnsi="宋体" w:eastAsia="宋体" w:cs="宋体"/>
                <w:b w:val="0"/>
                <w:color w:val="auto"/>
                <w:kern w:val="2"/>
                <w:sz w:val="21"/>
                <w:szCs w:val="21"/>
                <w:lang w:val="en-US"/>
              </w:rPr>
            </w:pPr>
            <w:r>
              <w:rPr>
                <w:rFonts w:hint="eastAsia" w:ascii="宋体" w:hAnsi="宋体" w:cs="宋体"/>
                <w:color w:val="auto"/>
                <w:sz w:val="21"/>
                <w:szCs w:val="21"/>
              </w:rPr>
              <w:t>2.车辆提供行驶证复印件，提供食品留样冻库建设项目合同书（或租赁合同）复印件、实地照片，加盖供应商公章。（注：租赁食品留样冻库须在实验室资质认证区域范围内）</w:t>
            </w:r>
          </w:p>
        </w:tc>
        <w:tc>
          <w:tcPr>
            <w:tcW w:w="1691" w:type="dxa"/>
            <w:vMerge w:val="restart"/>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提供相关证明材料并加盖</w:t>
            </w:r>
            <w:r>
              <w:rPr>
                <w:rFonts w:hint="eastAsia" w:ascii="宋体" w:hAnsi="宋体" w:eastAsia="宋体" w:cs="宋体"/>
                <w:b w:val="0"/>
                <w:bCs w:val="0"/>
                <w:color w:val="auto"/>
                <w:kern w:val="2"/>
                <w:sz w:val="21"/>
                <w:szCs w:val="21"/>
                <w:lang w:eastAsia="zh-CN"/>
              </w:rPr>
              <w:t>投标人</w:t>
            </w:r>
            <w:r>
              <w:rPr>
                <w:rFonts w:hint="eastAsia" w:ascii="宋体" w:hAnsi="宋体" w:eastAsia="宋体" w:cs="宋体"/>
                <w:b w:val="0"/>
                <w:bCs w:val="0"/>
                <w:color w:val="auto"/>
                <w:kern w:val="2"/>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2" w:hRule="atLeast"/>
          <w:jc w:val="center"/>
        </w:trPr>
        <w:tc>
          <w:tcPr>
            <w:tcW w:w="1363" w:type="dxa"/>
            <w:vMerge w:val="continue"/>
            <w:noWrap w:val="0"/>
            <w:vAlign w:val="center"/>
          </w:tcPr>
          <w:p>
            <w:pPr>
              <w:jc w:val="center"/>
              <w:rPr>
                <w:rFonts w:hint="eastAsia" w:ascii="宋体" w:hAnsi="宋体" w:eastAsia="宋体" w:cs="宋体"/>
                <w:b w:val="0"/>
                <w:bCs w:val="0"/>
                <w:color w:val="auto"/>
                <w:kern w:val="2"/>
                <w:sz w:val="21"/>
                <w:szCs w:val="21"/>
              </w:rPr>
            </w:pPr>
          </w:p>
        </w:tc>
        <w:tc>
          <w:tcPr>
            <w:tcW w:w="690" w:type="dxa"/>
            <w:vMerge w:val="continue"/>
            <w:noWrap w:val="0"/>
            <w:vAlign w:val="center"/>
          </w:tcPr>
          <w:p>
            <w:pPr>
              <w:jc w:val="center"/>
              <w:rPr>
                <w:rFonts w:hint="eastAsia" w:ascii="宋体" w:hAnsi="宋体" w:eastAsia="宋体" w:cs="宋体"/>
                <w:b w:val="0"/>
                <w:bCs w:val="0"/>
                <w:color w:val="auto"/>
                <w:kern w:val="2"/>
                <w:sz w:val="21"/>
                <w:szCs w:val="21"/>
              </w:rPr>
            </w:pPr>
          </w:p>
        </w:tc>
        <w:tc>
          <w:tcPr>
            <w:tcW w:w="6270" w:type="dxa"/>
            <w:vMerge w:val="continue"/>
            <w:noWrap w:val="0"/>
            <w:vAlign w:val="center"/>
          </w:tcPr>
          <w:p>
            <w:pPr>
              <w:snapToGrid/>
              <w:spacing w:line="240" w:lineRule="auto"/>
              <w:ind w:firstLine="0" w:firstLineChars="0"/>
              <w:jc w:val="left"/>
              <w:rPr>
                <w:rFonts w:hint="eastAsia" w:ascii="宋体" w:hAnsi="宋体" w:eastAsia="宋体" w:cs="宋体"/>
                <w:b w:val="0"/>
                <w:color w:val="auto"/>
                <w:kern w:val="2"/>
                <w:sz w:val="21"/>
                <w:szCs w:val="21"/>
                <w:lang w:val="en-US"/>
              </w:rPr>
            </w:pPr>
          </w:p>
        </w:tc>
        <w:tc>
          <w:tcPr>
            <w:tcW w:w="1691" w:type="dxa"/>
            <w:vMerge w:val="continue"/>
            <w:noWrap w:val="0"/>
            <w:vAlign w:val="center"/>
          </w:tcPr>
          <w:p>
            <w:pPr>
              <w:jc w:val="cente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jc w:val="center"/>
        </w:trPr>
        <w:tc>
          <w:tcPr>
            <w:tcW w:w="1363" w:type="dxa"/>
            <w:vMerge w:val="continue"/>
            <w:noWrap w:val="0"/>
            <w:vAlign w:val="center"/>
          </w:tcPr>
          <w:p>
            <w:pPr>
              <w:jc w:val="center"/>
              <w:rPr>
                <w:rFonts w:hint="eastAsia" w:ascii="宋体" w:hAnsi="宋体" w:eastAsia="宋体" w:cs="宋体"/>
                <w:b w:val="0"/>
                <w:bCs w:val="0"/>
                <w:color w:val="auto"/>
                <w:kern w:val="2"/>
                <w:sz w:val="21"/>
                <w:szCs w:val="21"/>
              </w:rPr>
            </w:pPr>
          </w:p>
        </w:tc>
        <w:tc>
          <w:tcPr>
            <w:tcW w:w="690" w:type="dxa"/>
            <w:vMerge w:val="continue"/>
            <w:noWrap w:val="0"/>
            <w:vAlign w:val="center"/>
          </w:tcPr>
          <w:p>
            <w:pPr>
              <w:jc w:val="center"/>
              <w:rPr>
                <w:rFonts w:hint="eastAsia" w:ascii="宋体" w:hAnsi="宋体" w:eastAsia="宋体" w:cs="宋体"/>
                <w:b w:val="0"/>
                <w:bCs w:val="0"/>
                <w:color w:val="auto"/>
                <w:kern w:val="2"/>
                <w:sz w:val="21"/>
                <w:szCs w:val="21"/>
              </w:rPr>
            </w:pPr>
          </w:p>
        </w:tc>
        <w:tc>
          <w:tcPr>
            <w:tcW w:w="6270" w:type="dxa"/>
            <w:vMerge w:val="continue"/>
            <w:noWrap w:val="0"/>
            <w:vAlign w:val="center"/>
          </w:tcPr>
          <w:p>
            <w:pPr>
              <w:snapToGrid/>
              <w:spacing w:line="240" w:lineRule="auto"/>
              <w:ind w:firstLine="0" w:firstLineChars="0"/>
              <w:jc w:val="left"/>
              <w:rPr>
                <w:rFonts w:hint="eastAsia" w:ascii="宋体" w:hAnsi="宋体" w:eastAsia="宋体" w:cs="宋体"/>
                <w:b w:val="0"/>
                <w:color w:val="auto"/>
                <w:kern w:val="2"/>
                <w:sz w:val="21"/>
                <w:szCs w:val="21"/>
                <w:lang w:val="en-US"/>
              </w:rPr>
            </w:pPr>
          </w:p>
        </w:tc>
        <w:tc>
          <w:tcPr>
            <w:tcW w:w="1691" w:type="dxa"/>
            <w:vMerge w:val="continue"/>
            <w:noWrap w:val="0"/>
            <w:vAlign w:val="center"/>
          </w:tcPr>
          <w:p>
            <w:pPr>
              <w:jc w:val="center"/>
              <w:rPr>
                <w:rFonts w:hint="eastAsia" w:ascii="宋体" w:hAnsi="宋体" w:eastAsia="宋体" w:cs="宋体"/>
                <w:b w:val="0"/>
                <w:bCs w:val="0"/>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363" w:type="dxa"/>
            <w:vMerge w:val="continue"/>
            <w:noWrap w:val="0"/>
            <w:vAlign w:val="center"/>
          </w:tcPr>
          <w:p>
            <w:pPr>
              <w:jc w:val="center"/>
              <w:rPr>
                <w:rFonts w:hint="eastAsia" w:ascii="宋体" w:hAnsi="宋体" w:eastAsia="宋体" w:cs="宋体"/>
                <w:b w:val="0"/>
                <w:bCs w:val="0"/>
                <w:color w:val="auto"/>
                <w:kern w:val="2"/>
                <w:sz w:val="21"/>
                <w:szCs w:val="21"/>
              </w:rPr>
            </w:pP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hAnsi="宋体" w:cs="宋体"/>
                <w:b w:val="0"/>
                <w:bCs w:val="0"/>
                <w:color w:val="auto"/>
                <w:kern w:val="2"/>
                <w:sz w:val="21"/>
                <w:szCs w:val="21"/>
                <w:lang w:val="en-US" w:eastAsia="zh-CN"/>
              </w:rPr>
              <w:t>27</w:t>
            </w:r>
            <w:r>
              <w:rPr>
                <w:rFonts w:hint="eastAsia" w:ascii="宋体" w:hAnsi="宋体" w:eastAsia="宋体" w:cs="宋体"/>
                <w:b w:val="0"/>
                <w:bCs w:val="0"/>
                <w:color w:val="auto"/>
                <w:kern w:val="2"/>
                <w:sz w:val="21"/>
                <w:szCs w:val="21"/>
              </w:rPr>
              <w:t>分</w:t>
            </w:r>
          </w:p>
        </w:tc>
        <w:tc>
          <w:tcPr>
            <w:tcW w:w="6270" w:type="dxa"/>
            <w:noWrap w:val="0"/>
            <w:vAlign w:val="center"/>
          </w:tcPr>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1、拟投入本项目的食品检验技术人员：</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每具有一人得0.</w:t>
            </w:r>
            <w:r>
              <w:rPr>
                <w:rFonts w:hint="eastAsia" w:hAnsi="宋体" w:cs="宋体"/>
                <w:b w:val="0"/>
                <w:color w:val="auto"/>
                <w:kern w:val="2"/>
                <w:sz w:val="21"/>
                <w:szCs w:val="21"/>
                <w:lang w:val="en-US" w:eastAsia="zh-CN"/>
              </w:rPr>
              <w:t>5</w:t>
            </w:r>
            <w:r>
              <w:rPr>
                <w:rFonts w:hint="eastAsia" w:ascii="宋体" w:hAnsi="宋体" w:eastAsia="宋体" w:cs="宋体"/>
                <w:b w:val="0"/>
                <w:color w:val="auto"/>
                <w:kern w:val="2"/>
                <w:sz w:val="21"/>
                <w:szCs w:val="21"/>
                <w:lang w:val="en-US" w:eastAsia="zh-CN"/>
              </w:rPr>
              <w:t>分，最多得</w:t>
            </w:r>
            <w:r>
              <w:rPr>
                <w:rFonts w:hint="eastAsia" w:hAnsi="宋体" w:cs="宋体"/>
                <w:b w:val="0"/>
                <w:color w:val="auto"/>
                <w:kern w:val="2"/>
                <w:sz w:val="21"/>
                <w:szCs w:val="21"/>
                <w:lang w:val="en-US" w:eastAsia="zh-CN"/>
              </w:rPr>
              <w:t>10</w:t>
            </w:r>
            <w:r>
              <w:rPr>
                <w:rFonts w:hint="eastAsia" w:ascii="宋体" w:hAnsi="宋体" w:eastAsia="宋体" w:cs="宋体"/>
                <w:b w:val="0"/>
                <w:color w:val="auto"/>
                <w:kern w:val="2"/>
                <w:sz w:val="21"/>
                <w:szCs w:val="21"/>
                <w:lang w:val="en-US" w:eastAsia="zh-CN"/>
              </w:rPr>
              <w:t>分。</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注：提供人员毕业证书（食品生物、化学、分析检测专业）复印件加盖投标人鲜章。</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2、拟投入本项目的技术人员具有中级及以上人员：</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每具有一名中级及以上职称得0.</w:t>
            </w:r>
            <w:r>
              <w:rPr>
                <w:rFonts w:hint="eastAsia" w:hAnsi="宋体" w:cs="宋体"/>
                <w:b w:val="0"/>
                <w:color w:val="auto"/>
                <w:kern w:val="2"/>
                <w:sz w:val="21"/>
                <w:szCs w:val="21"/>
                <w:lang w:val="en-US" w:eastAsia="zh-CN"/>
              </w:rPr>
              <w:t>5</w:t>
            </w:r>
            <w:r>
              <w:rPr>
                <w:rFonts w:hint="eastAsia" w:ascii="宋体" w:hAnsi="宋体" w:eastAsia="宋体" w:cs="宋体"/>
                <w:b w:val="0"/>
                <w:color w:val="auto"/>
                <w:kern w:val="2"/>
                <w:sz w:val="21"/>
                <w:szCs w:val="21"/>
                <w:lang w:val="en-US" w:eastAsia="zh-CN"/>
              </w:rPr>
              <w:t>分，最多得</w:t>
            </w:r>
            <w:r>
              <w:rPr>
                <w:rFonts w:hint="eastAsia" w:hAnsi="宋体" w:cs="宋体"/>
                <w:b w:val="0"/>
                <w:color w:val="auto"/>
                <w:kern w:val="2"/>
                <w:sz w:val="21"/>
                <w:szCs w:val="21"/>
                <w:lang w:val="en-US" w:eastAsia="zh-CN"/>
              </w:rPr>
              <w:t>8</w:t>
            </w:r>
            <w:r>
              <w:rPr>
                <w:rFonts w:hint="eastAsia" w:ascii="宋体" w:hAnsi="宋体" w:eastAsia="宋体" w:cs="宋体"/>
                <w:b w:val="0"/>
                <w:color w:val="auto"/>
                <w:kern w:val="2"/>
                <w:sz w:val="21"/>
                <w:szCs w:val="21"/>
                <w:lang w:val="en-US" w:eastAsia="zh-CN"/>
              </w:rPr>
              <w:t>分</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注：提供职称证书复印件加盖投标人鲜章。</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3、拟投入本项目的专业食品抽样技术人员：</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每具有一人得0.</w:t>
            </w:r>
            <w:r>
              <w:rPr>
                <w:rFonts w:hint="eastAsia" w:hAnsi="宋体" w:cs="宋体"/>
                <w:b w:val="0"/>
                <w:color w:val="auto"/>
                <w:kern w:val="2"/>
                <w:sz w:val="21"/>
                <w:szCs w:val="21"/>
                <w:lang w:val="en-US" w:eastAsia="zh-CN"/>
              </w:rPr>
              <w:t>5</w:t>
            </w:r>
            <w:r>
              <w:rPr>
                <w:rFonts w:hint="eastAsia" w:ascii="宋体" w:hAnsi="宋体" w:eastAsia="宋体" w:cs="宋体"/>
                <w:b w:val="0"/>
                <w:color w:val="auto"/>
                <w:kern w:val="2"/>
                <w:sz w:val="21"/>
                <w:szCs w:val="21"/>
                <w:lang w:val="en-US" w:eastAsia="zh-CN"/>
              </w:rPr>
              <w:t>分，最多得</w:t>
            </w:r>
            <w:r>
              <w:rPr>
                <w:rFonts w:hint="eastAsia" w:hAnsi="宋体" w:cs="宋体"/>
                <w:b w:val="0"/>
                <w:color w:val="auto"/>
                <w:kern w:val="2"/>
                <w:sz w:val="21"/>
                <w:szCs w:val="21"/>
                <w:lang w:val="en-US" w:eastAsia="zh-CN"/>
              </w:rPr>
              <w:t>9</w:t>
            </w:r>
            <w:r>
              <w:rPr>
                <w:rFonts w:hint="eastAsia" w:ascii="宋体" w:hAnsi="宋体" w:eastAsia="宋体" w:cs="宋体"/>
                <w:b w:val="0"/>
                <w:color w:val="auto"/>
                <w:kern w:val="2"/>
                <w:sz w:val="21"/>
                <w:szCs w:val="21"/>
                <w:lang w:val="en-US" w:eastAsia="zh-CN"/>
              </w:rPr>
              <w:t>分。</w:t>
            </w:r>
          </w:p>
          <w:p>
            <w:pPr>
              <w:snapToGrid/>
              <w:spacing w:line="240" w:lineRule="auto"/>
              <w:ind w:firstLine="0" w:firstLineChars="0"/>
              <w:jc w:val="left"/>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注：提供抽样证并加盖投标人鲜章。</w:t>
            </w:r>
          </w:p>
        </w:tc>
        <w:tc>
          <w:tcPr>
            <w:tcW w:w="1691" w:type="dxa"/>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提供相关证明材料并加盖</w:t>
            </w:r>
            <w:r>
              <w:rPr>
                <w:rFonts w:hint="eastAsia" w:ascii="宋体" w:hAnsi="宋体" w:eastAsia="宋体" w:cs="宋体"/>
                <w:b w:val="0"/>
                <w:bCs w:val="0"/>
                <w:color w:val="auto"/>
                <w:kern w:val="2"/>
                <w:sz w:val="21"/>
                <w:szCs w:val="21"/>
                <w:lang w:eastAsia="zh-CN"/>
              </w:rPr>
              <w:t>投标人</w:t>
            </w:r>
            <w:r>
              <w:rPr>
                <w:rFonts w:hint="eastAsia" w:ascii="宋体" w:hAnsi="宋体" w:eastAsia="宋体" w:cs="宋体"/>
                <w:b w:val="0"/>
                <w:bCs w:val="0"/>
                <w:color w:val="auto"/>
                <w:kern w:val="2"/>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49" w:hRule="atLeast"/>
          <w:jc w:val="center"/>
        </w:trPr>
        <w:tc>
          <w:tcPr>
            <w:tcW w:w="1363" w:type="dxa"/>
            <w:noWrap w:val="0"/>
            <w:vAlign w:val="center"/>
          </w:tcPr>
          <w:p>
            <w:pPr>
              <w:ind w:left="0" w:leftChars="0" w:firstLine="0" w:firstLineChars="0"/>
              <w:jc w:val="both"/>
              <w:rPr>
                <w:rFonts w:hint="eastAsia" w:ascii="宋体" w:hAnsi="宋体" w:eastAsia="宋体" w:cs="宋体"/>
                <w:b w:val="0"/>
                <w:bCs w:val="0"/>
                <w:color w:val="auto"/>
                <w:kern w:val="2"/>
                <w:sz w:val="21"/>
                <w:szCs w:val="21"/>
                <w:lang w:eastAsia="zh-CN"/>
              </w:rPr>
            </w:pPr>
            <w:r>
              <w:rPr>
                <w:rFonts w:hint="eastAsia" w:ascii="宋体" w:hAnsi="宋体" w:eastAsia="宋体" w:cs="宋体"/>
                <w:b w:val="0"/>
                <w:bCs w:val="0"/>
                <w:color w:val="auto"/>
                <w:kern w:val="2"/>
                <w:sz w:val="21"/>
                <w:szCs w:val="21"/>
              </w:rPr>
              <w:t>服务方案8%</w:t>
            </w:r>
            <w:r>
              <w:rPr>
                <w:rFonts w:hint="eastAsia" w:ascii="Calibri" w:eastAsia="宋体" w:cs="宋体"/>
                <w:b w:val="0"/>
                <w:bCs w:val="0"/>
                <w:color w:val="auto"/>
                <w:kern w:val="2"/>
                <w:sz w:val="21"/>
                <w:szCs w:val="21"/>
                <w:lang w:eastAsia="zh-CN"/>
              </w:rPr>
              <w:t>（技术类评审因素）</w:t>
            </w: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8分</w:t>
            </w:r>
          </w:p>
        </w:tc>
        <w:tc>
          <w:tcPr>
            <w:tcW w:w="6270" w:type="dxa"/>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根据投标人提供的实施方案，从抽样、运输、检测、质量控制、数据处理、时效性、突发事件应急反应、结果异议处置等方面进行评审，完全满足本项目要求得8分，每缺少一项扣1分，每有一项不全面或描述不完整扣0.5分，扣完为止。</w:t>
            </w:r>
          </w:p>
        </w:tc>
        <w:tc>
          <w:tcPr>
            <w:tcW w:w="1691" w:type="dxa"/>
            <w:noWrap w:val="0"/>
            <w:vAlign w:val="center"/>
          </w:tcPr>
          <w:p>
            <w:pPr>
              <w:ind w:left="0" w:leftChars="0" w:firstLine="0" w:firstLineChars="0"/>
              <w:jc w:val="left"/>
              <w:rPr>
                <w:rFonts w:hint="eastAsia" w:ascii="宋体" w:hAnsi="宋体" w:eastAsia="宋体" w:cs="宋体"/>
                <w:b w:val="0"/>
                <w:bCs w:val="0"/>
                <w:color w:val="auto"/>
                <w:kern w:val="2"/>
                <w:sz w:val="21"/>
                <w:szCs w:val="21"/>
              </w:rPr>
            </w:pPr>
            <w:r>
              <w:rPr>
                <w:rFonts w:hint="eastAsia" w:ascii="宋体" w:hAnsi="宋体" w:eastAsia="宋体" w:cs="宋体"/>
                <w:b w:val="0"/>
                <w:color w:val="auto"/>
                <w:kern w:val="2"/>
                <w:sz w:val="21"/>
                <w:szCs w:val="21"/>
                <w:lang w:val="en-US" w:eastAsia="zh-CN"/>
              </w:rPr>
              <w:t>以投标人提交的方案为准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22" w:hRule="atLeast"/>
          <w:jc w:val="center"/>
        </w:trPr>
        <w:tc>
          <w:tcPr>
            <w:tcW w:w="1363" w:type="dxa"/>
            <w:vMerge w:val="restart"/>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履约能力</w:t>
            </w:r>
            <w:r>
              <w:rPr>
                <w:rFonts w:hint="eastAsia" w:hAnsi="宋体" w:cs="宋体"/>
                <w:b w:val="0"/>
                <w:bCs w:val="0"/>
                <w:color w:val="auto"/>
                <w:kern w:val="2"/>
                <w:sz w:val="21"/>
                <w:szCs w:val="21"/>
                <w:lang w:eastAsia="zh-CN"/>
              </w:rPr>
              <w:t>和应急响应能力</w:t>
            </w:r>
            <w:r>
              <w:rPr>
                <w:rFonts w:hint="eastAsia" w:hAnsi="宋体" w:cs="宋体"/>
                <w:b w:val="0"/>
                <w:bCs w:val="0"/>
                <w:color w:val="auto"/>
                <w:kern w:val="2"/>
                <w:sz w:val="21"/>
                <w:szCs w:val="21"/>
                <w:lang w:val="en-US" w:eastAsia="zh-CN"/>
              </w:rPr>
              <w:t>10</w:t>
            </w:r>
            <w:r>
              <w:rPr>
                <w:rFonts w:hint="eastAsia" w:ascii="宋体" w:hAnsi="宋体" w:eastAsia="宋体" w:cs="宋体"/>
                <w:b w:val="0"/>
                <w:bCs w:val="0"/>
                <w:color w:val="auto"/>
                <w:kern w:val="2"/>
                <w:sz w:val="21"/>
                <w:szCs w:val="21"/>
              </w:rPr>
              <w:t>%</w:t>
            </w:r>
            <w:r>
              <w:rPr>
                <w:rFonts w:hint="eastAsia" w:ascii="宋体" w:hAnsi="宋体" w:eastAsia="宋体" w:cs="宋体"/>
                <w:b w:val="0"/>
                <w:bCs w:val="0"/>
                <w:color w:val="auto"/>
                <w:kern w:val="2"/>
                <w:sz w:val="21"/>
                <w:szCs w:val="21"/>
                <w:lang w:eastAsia="zh-CN"/>
              </w:rPr>
              <w:t>（共同评审因素）</w:t>
            </w: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hAnsi="宋体" w:cs="宋体"/>
                <w:b w:val="0"/>
                <w:bCs w:val="0"/>
                <w:color w:val="auto"/>
                <w:kern w:val="2"/>
                <w:sz w:val="21"/>
                <w:szCs w:val="21"/>
                <w:lang w:val="en-US" w:eastAsia="zh-CN"/>
              </w:rPr>
              <w:t>4</w:t>
            </w:r>
            <w:r>
              <w:rPr>
                <w:rFonts w:hint="eastAsia" w:ascii="宋体" w:hAnsi="宋体" w:eastAsia="宋体" w:cs="宋体"/>
                <w:b w:val="0"/>
                <w:bCs w:val="0"/>
                <w:color w:val="auto"/>
                <w:kern w:val="2"/>
                <w:sz w:val="21"/>
                <w:szCs w:val="21"/>
              </w:rPr>
              <w:t>分</w:t>
            </w:r>
          </w:p>
        </w:tc>
        <w:tc>
          <w:tcPr>
            <w:tcW w:w="6270" w:type="dxa"/>
            <w:noWrap w:val="0"/>
            <w:vAlign w:val="center"/>
          </w:tcPr>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rPr>
              <w:t>投标人能在</w:t>
            </w:r>
            <w:r>
              <w:rPr>
                <w:rFonts w:hint="eastAsia" w:ascii="宋体" w:hAnsi="宋体" w:eastAsia="宋体" w:cs="宋体"/>
                <w:b w:val="0"/>
                <w:color w:val="auto"/>
                <w:kern w:val="2"/>
                <w:sz w:val="21"/>
                <w:szCs w:val="21"/>
                <w:lang w:val="en-US" w:eastAsia="zh-CN"/>
              </w:rPr>
              <w:t>1</w:t>
            </w:r>
            <w:r>
              <w:rPr>
                <w:rFonts w:hint="eastAsia" w:ascii="宋体" w:hAnsi="宋体" w:eastAsia="宋体" w:cs="宋体"/>
                <w:b w:val="0"/>
                <w:color w:val="auto"/>
                <w:kern w:val="2"/>
                <w:sz w:val="21"/>
                <w:szCs w:val="21"/>
                <w:lang w:val="en-US"/>
              </w:rPr>
              <w:t>0分钟内将抽样样品送达实验室内得</w:t>
            </w:r>
            <w:r>
              <w:rPr>
                <w:rFonts w:hint="eastAsia" w:hAnsi="宋体" w:cs="宋体"/>
                <w:b w:val="0"/>
                <w:color w:val="auto"/>
                <w:kern w:val="2"/>
                <w:sz w:val="21"/>
                <w:szCs w:val="21"/>
                <w:lang w:val="en-US" w:eastAsia="zh-CN"/>
              </w:rPr>
              <w:t>4</w:t>
            </w:r>
            <w:r>
              <w:rPr>
                <w:rFonts w:hint="eastAsia" w:ascii="宋体" w:hAnsi="宋体" w:eastAsia="宋体" w:cs="宋体"/>
                <w:b w:val="0"/>
                <w:color w:val="auto"/>
                <w:kern w:val="2"/>
                <w:sz w:val="21"/>
                <w:szCs w:val="21"/>
                <w:lang w:val="en-US"/>
              </w:rPr>
              <w:t>分；投标人能在30分钟内将抽样样品送达实验室内得</w:t>
            </w:r>
            <w:r>
              <w:rPr>
                <w:rFonts w:hint="eastAsia" w:hAnsi="宋体" w:cs="宋体"/>
                <w:b w:val="0"/>
                <w:color w:val="auto"/>
                <w:kern w:val="2"/>
                <w:sz w:val="21"/>
                <w:szCs w:val="21"/>
                <w:lang w:val="en-US" w:eastAsia="zh-CN"/>
              </w:rPr>
              <w:t>2</w:t>
            </w:r>
            <w:r>
              <w:rPr>
                <w:rFonts w:hint="eastAsia" w:ascii="宋体" w:hAnsi="宋体" w:eastAsia="宋体" w:cs="宋体"/>
                <w:b w:val="0"/>
                <w:color w:val="auto"/>
                <w:kern w:val="2"/>
                <w:sz w:val="21"/>
                <w:szCs w:val="21"/>
                <w:lang w:val="en-US"/>
              </w:rPr>
              <w:t>分；投标人能在30分钟以上1小时以内将抽样样品送达实验室内得1分；</w:t>
            </w:r>
            <w:r>
              <w:rPr>
                <w:rFonts w:hint="eastAsia" w:ascii="宋体" w:hAnsi="宋体" w:eastAsia="宋体" w:cs="宋体"/>
                <w:b w:val="0"/>
                <w:color w:val="auto"/>
                <w:kern w:val="2"/>
                <w:sz w:val="21"/>
                <w:szCs w:val="21"/>
                <w:lang w:val="en-US" w:eastAsia="zh-CN"/>
              </w:rPr>
              <w:t>本项最多得</w:t>
            </w:r>
            <w:r>
              <w:rPr>
                <w:rFonts w:hint="eastAsia" w:hAnsi="宋体" w:cs="宋体"/>
                <w:b w:val="0"/>
                <w:color w:val="auto"/>
                <w:kern w:val="2"/>
                <w:sz w:val="21"/>
                <w:szCs w:val="21"/>
                <w:lang w:val="en-US" w:eastAsia="zh-CN"/>
              </w:rPr>
              <w:t>4</w:t>
            </w:r>
            <w:r>
              <w:rPr>
                <w:rFonts w:hint="eastAsia" w:ascii="宋体" w:hAnsi="宋体" w:eastAsia="宋体" w:cs="宋体"/>
                <w:b w:val="0"/>
                <w:color w:val="auto"/>
                <w:kern w:val="2"/>
                <w:sz w:val="21"/>
                <w:szCs w:val="21"/>
                <w:lang w:val="en-US" w:eastAsia="zh-CN"/>
              </w:rPr>
              <w:t>分。</w:t>
            </w:r>
            <w:r>
              <w:rPr>
                <w:rFonts w:hint="eastAsia" w:ascii="宋体" w:hAnsi="宋体" w:eastAsia="宋体" w:cs="宋体"/>
                <w:b w:val="0"/>
                <w:color w:val="auto"/>
                <w:kern w:val="2"/>
                <w:sz w:val="21"/>
                <w:szCs w:val="21"/>
                <w:lang w:val="en-US"/>
              </w:rPr>
              <w:t xml:space="preserve"> </w:t>
            </w:r>
          </w:p>
        </w:tc>
        <w:tc>
          <w:tcPr>
            <w:tcW w:w="1691" w:type="dxa"/>
            <w:noWrap w:val="0"/>
            <w:vAlign w:val="center"/>
          </w:tcPr>
          <w:p>
            <w:pPr>
              <w:ind w:left="0" w:leftChars="0" w:firstLine="0" w:firstLineChars="0"/>
              <w:jc w:val="left"/>
              <w:rPr>
                <w:rFonts w:hint="eastAsia" w:ascii="宋体" w:hAnsi="宋体" w:eastAsia="宋体" w:cs="宋体"/>
                <w:b w:val="0"/>
                <w:bCs w:val="0"/>
                <w:color w:val="auto"/>
                <w:kern w:val="2"/>
                <w:sz w:val="21"/>
                <w:szCs w:val="21"/>
              </w:rPr>
            </w:pPr>
            <w:r>
              <w:rPr>
                <w:rFonts w:hint="eastAsia" w:ascii="宋体" w:hAnsi="宋体" w:eastAsia="宋体" w:cs="宋体"/>
                <w:b w:val="0"/>
                <w:color w:val="auto"/>
                <w:kern w:val="2"/>
                <w:sz w:val="21"/>
                <w:szCs w:val="21"/>
                <w:lang w:val="en-US" w:eastAsia="zh-CN"/>
              </w:rPr>
              <w:t>提供应急服务承诺原件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44" w:hRule="atLeast"/>
          <w:jc w:val="center"/>
        </w:trPr>
        <w:tc>
          <w:tcPr>
            <w:tcW w:w="1363" w:type="dxa"/>
            <w:vMerge w:val="continue"/>
            <w:noWrap w:val="0"/>
            <w:vAlign w:val="center"/>
          </w:tcPr>
          <w:p>
            <w:pPr>
              <w:ind w:left="0" w:leftChars="0" w:firstLine="0" w:firstLineChars="0"/>
              <w:jc w:val="both"/>
              <w:rPr>
                <w:rFonts w:hint="eastAsia" w:ascii="宋体" w:hAnsi="宋体" w:eastAsia="宋体" w:cs="宋体"/>
                <w:b w:val="0"/>
                <w:bCs w:val="0"/>
                <w:color w:val="auto"/>
                <w:kern w:val="2"/>
                <w:sz w:val="21"/>
                <w:szCs w:val="21"/>
              </w:rPr>
            </w:pPr>
          </w:p>
        </w:tc>
        <w:tc>
          <w:tcPr>
            <w:tcW w:w="690" w:type="dxa"/>
            <w:noWrap w:val="0"/>
            <w:vAlign w:val="center"/>
          </w:tcPr>
          <w:p>
            <w:pPr>
              <w:ind w:left="0" w:leftChars="0" w:firstLine="0" w:firstLineChars="0"/>
              <w:jc w:val="center"/>
              <w:rPr>
                <w:rFonts w:hint="eastAsia" w:ascii="宋体" w:hAnsi="宋体" w:eastAsia="宋体" w:cs="宋体"/>
                <w:b w:val="0"/>
                <w:bCs w:val="0"/>
                <w:color w:val="auto"/>
                <w:kern w:val="2"/>
                <w:sz w:val="21"/>
                <w:szCs w:val="21"/>
              </w:rPr>
            </w:pPr>
            <w:r>
              <w:rPr>
                <w:rFonts w:hint="eastAsia" w:hAnsi="宋体" w:cs="宋体"/>
                <w:b w:val="0"/>
                <w:bCs w:val="0"/>
                <w:color w:val="auto"/>
                <w:kern w:val="2"/>
                <w:sz w:val="21"/>
                <w:szCs w:val="21"/>
                <w:lang w:val="en-US" w:eastAsia="zh-CN"/>
              </w:rPr>
              <w:t>6</w:t>
            </w:r>
            <w:r>
              <w:rPr>
                <w:rFonts w:hint="eastAsia" w:ascii="宋体" w:hAnsi="宋体" w:eastAsia="宋体" w:cs="宋体"/>
                <w:b w:val="0"/>
                <w:bCs w:val="0"/>
                <w:color w:val="auto"/>
                <w:kern w:val="2"/>
                <w:sz w:val="21"/>
                <w:szCs w:val="21"/>
              </w:rPr>
              <w:t>分</w:t>
            </w:r>
          </w:p>
        </w:tc>
        <w:tc>
          <w:tcPr>
            <w:tcW w:w="6270" w:type="dxa"/>
            <w:noWrap w:val="0"/>
            <w:vAlign w:val="center"/>
          </w:tcPr>
          <w:p>
            <w:pPr>
              <w:snapToGrid/>
              <w:spacing w:line="240" w:lineRule="auto"/>
              <w:ind w:firstLine="0" w:firstLineChars="0"/>
              <w:jc w:val="left"/>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1、</w:t>
            </w:r>
            <w:r>
              <w:rPr>
                <w:rFonts w:hint="eastAsia" w:hAnsi="宋体" w:cs="宋体"/>
                <w:b w:val="0"/>
                <w:color w:val="auto"/>
                <w:kern w:val="2"/>
                <w:sz w:val="21"/>
                <w:szCs w:val="21"/>
                <w:lang w:val="en-US" w:eastAsia="zh-CN"/>
              </w:rPr>
              <w:t>2020</w:t>
            </w:r>
            <w:r>
              <w:rPr>
                <w:rFonts w:hint="eastAsia" w:ascii="宋体" w:hAnsi="宋体" w:eastAsia="宋体" w:cs="宋体"/>
                <w:b w:val="0"/>
                <w:color w:val="auto"/>
                <w:kern w:val="2"/>
                <w:sz w:val="21"/>
                <w:szCs w:val="21"/>
                <w:lang w:val="en-US"/>
              </w:rPr>
              <w:t>年至今承担过类似</w:t>
            </w:r>
            <w:r>
              <w:rPr>
                <w:rFonts w:hint="eastAsia" w:hAnsi="宋体" w:cs="宋体"/>
                <w:b w:val="0"/>
                <w:color w:val="auto"/>
                <w:kern w:val="2"/>
                <w:sz w:val="21"/>
                <w:szCs w:val="21"/>
                <w:lang w:val="en-US" w:eastAsia="zh-CN"/>
              </w:rPr>
              <w:t>抽检项目业绩</w:t>
            </w:r>
            <w:r>
              <w:rPr>
                <w:rFonts w:hint="eastAsia" w:ascii="宋体" w:hAnsi="宋体" w:eastAsia="宋体" w:cs="宋体"/>
                <w:b w:val="0"/>
                <w:color w:val="auto"/>
                <w:kern w:val="2"/>
                <w:sz w:val="21"/>
                <w:szCs w:val="21"/>
                <w:lang w:val="en-US"/>
              </w:rPr>
              <w:t>每一个得</w:t>
            </w:r>
            <w:r>
              <w:rPr>
                <w:rFonts w:hint="eastAsia" w:hAnsi="宋体" w:cs="宋体"/>
                <w:b w:val="0"/>
                <w:color w:val="auto"/>
                <w:kern w:val="2"/>
                <w:sz w:val="21"/>
                <w:szCs w:val="21"/>
                <w:lang w:val="en-US" w:eastAsia="zh-CN"/>
              </w:rPr>
              <w:t>0.5</w:t>
            </w:r>
            <w:r>
              <w:rPr>
                <w:rFonts w:hint="eastAsia" w:ascii="宋体" w:hAnsi="宋体" w:eastAsia="宋体" w:cs="宋体"/>
                <w:b w:val="0"/>
                <w:color w:val="auto"/>
                <w:kern w:val="2"/>
                <w:sz w:val="21"/>
                <w:szCs w:val="21"/>
                <w:lang w:val="en-US"/>
              </w:rPr>
              <w:t>分，最多的</w:t>
            </w:r>
            <w:r>
              <w:rPr>
                <w:rFonts w:hint="eastAsia" w:hAnsi="宋体" w:cs="宋体"/>
                <w:b w:val="0"/>
                <w:color w:val="auto"/>
                <w:kern w:val="2"/>
                <w:sz w:val="21"/>
                <w:szCs w:val="21"/>
                <w:lang w:val="en-US" w:eastAsia="zh-CN"/>
              </w:rPr>
              <w:t>6</w:t>
            </w:r>
            <w:r>
              <w:rPr>
                <w:rFonts w:hint="eastAsia" w:ascii="宋体" w:hAnsi="宋体" w:eastAsia="宋体" w:cs="宋体"/>
                <w:b w:val="0"/>
                <w:color w:val="auto"/>
                <w:kern w:val="2"/>
                <w:sz w:val="21"/>
                <w:szCs w:val="21"/>
                <w:lang w:val="en-US"/>
              </w:rPr>
              <w:t>分。</w:t>
            </w:r>
          </w:p>
          <w:p>
            <w:pPr>
              <w:snapToGrid/>
              <w:spacing w:line="240" w:lineRule="auto"/>
              <w:ind w:firstLine="0" w:firstLineChars="0"/>
              <w:jc w:val="left"/>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注：提供类似业绩中标通知书复印件且加盖</w:t>
            </w:r>
            <w:r>
              <w:rPr>
                <w:rFonts w:hint="eastAsia" w:ascii="宋体" w:hAnsi="宋体" w:eastAsia="宋体" w:cs="宋体"/>
                <w:b w:val="0"/>
                <w:color w:val="auto"/>
                <w:kern w:val="2"/>
                <w:sz w:val="21"/>
                <w:szCs w:val="21"/>
                <w:lang w:val="en-US" w:eastAsia="zh-CN"/>
              </w:rPr>
              <w:t>投标人</w:t>
            </w:r>
            <w:r>
              <w:rPr>
                <w:rFonts w:hint="eastAsia" w:ascii="宋体" w:hAnsi="宋体" w:eastAsia="宋体" w:cs="宋体"/>
                <w:b w:val="0"/>
                <w:color w:val="auto"/>
                <w:kern w:val="2"/>
                <w:sz w:val="21"/>
                <w:szCs w:val="21"/>
                <w:lang w:val="en-US"/>
              </w:rPr>
              <w:t>公章。</w:t>
            </w:r>
          </w:p>
        </w:tc>
        <w:tc>
          <w:tcPr>
            <w:tcW w:w="1691" w:type="dxa"/>
            <w:noWrap w:val="0"/>
            <w:vAlign w:val="center"/>
          </w:tcPr>
          <w:p>
            <w:pPr>
              <w:ind w:left="0" w:leftChars="0" w:firstLine="0" w:firstLineChars="0"/>
              <w:jc w:val="left"/>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提供相关证明材料并加盖</w:t>
            </w:r>
            <w:r>
              <w:rPr>
                <w:rFonts w:hint="eastAsia" w:ascii="宋体" w:hAnsi="宋体" w:eastAsia="宋体" w:cs="宋体"/>
                <w:b w:val="0"/>
                <w:bCs w:val="0"/>
                <w:color w:val="auto"/>
                <w:kern w:val="2"/>
                <w:sz w:val="21"/>
                <w:szCs w:val="21"/>
                <w:lang w:eastAsia="zh-CN"/>
              </w:rPr>
              <w:t>投标人</w:t>
            </w:r>
            <w:r>
              <w:rPr>
                <w:rFonts w:hint="eastAsia" w:ascii="宋体" w:hAnsi="宋体" w:eastAsia="宋体" w:cs="宋体"/>
                <w:b w:val="0"/>
                <w:bCs w:val="0"/>
                <w:color w:val="auto"/>
                <w:kern w:val="2"/>
                <w:sz w:val="21"/>
                <w:szCs w:val="21"/>
              </w:rPr>
              <w:t>公章</w:t>
            </w:r>
          </w:p>
        </w:tc>
      </w:tr>
    </w:tbl>
    <w:p>
      <w:pPr>
        <w:widowControl w:val="0"/>
        <w:tabs>
          <w:tab w:val="left" w:pos="600"/>
        </w:tabs>
        <w:spacing w:line="400" w:lineRule="exact"/>
        <w:ind w:left="0" w:leftChars="0" w:firstLine="0" w:firstLineChars="0"/>
        <w:jc w:val="both"/>
        <w:rPr>
          <w:rFonts w:hint="eastAsia" w:ascii="宋体" w:hAnsi="宋体" w:eastAsia="宋体" w:cs="宋体"/>
          <w:b/>
          <w:bCs/>
          <w:color w:val="auto"/>
          <w:kern w:val="0"/>
          <w:sz w:val="24"/>
          <w:szCs w:val="24"/>
          <w:lang w:val="en-US" w:eastAsia="zh-CN" w:bidi="ar-SA"/>
        </w:rPr>
      </w:pPr>
    </w:p>
    <w:p>
      <w:pPr>
        <w:widowControl w:val="0"/>
        <w:tabs>
          <w:tab w:val="left" w:pos="600"/>
        </w:tabs>
        <w:spacing w:line="400" w:lineRule="exact"/>
        <w:ind w:firstLine="482" w:firstLineChars="200"/>
        <w:jc w:val="both"/>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第2包：食品安全常规抽检和执法抽检等</w:t>
      </w:r>
    </w:p>
    <w:tbl>
      <w:tblPr>
        <w:tblStyle w:val="47"/>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15"/>
        <w:gridCol w:w="787"/>
        <w:gridCol w:w="4856"/>
        <w:gridCol w:w="2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ind w:left="0" w:leftChars="0" w:right="-119" w:rightChars="-35" w:firstLine="0" w:firstLineChars="0"/>
              <w:jc w:val="both"/>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序号</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评分因素及权重</w:t>
            </w:r>
          </w:p>
        </w:tc>
        <w:tc>
          <w:tcPr>
            <w:tcW w:w="787"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center"/>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分值</w:t>
            </w:r>
          </w:p>
        </w:tc>
        <w:tc>
          <w:tcPr>
            <w:tcW w:w="4856" w:type="dxa"/>
            <w:tcBorders>
              <w:top w:val="single" w:color="auto" w:sz="4" w:space="0"/>
              <w:left w:val="single" w:color="auto" w:sz="4" w:space="0"/>
              <w:bottom w:val="single" w:color="auto" w:sz="4" w:space="0"/>
              <w:right w:val="single" w:color="auto" w:sz="4" w:space="0"/>
            </w:tcBorders>
            <w:noWrap w:val="0"/>
            <w:vAlign w:val="center"/>
          </w:tcPr>
          <w:p>
            <w:pPr>
              <w:ind w:firstLine="28"/>
              <w:jc w:val="center"/>
              <w:rPr>
                <w:rFonts w:hint="eastAsia" w:ascii="宋体" w:hAnsi="宋体" w:eastAsia="宋体" w:cs="宋体"/>
                <w:b/>
                <w:bCs/>
                <w:color w:val="auto"/>
                <w:kern w:val="2"/>
                <w:sz w:val="24"/>
                <w:szCs w:val="24"/>
              </w:rPr>
            </w:pPr>
            <w:r>
              <w:rPr>
                <w:rFonts w:hint="eastAsia" w:ascii="宋体" w:hAnsi="宋体" w:eastAsia="宋体" w:cs="宋体"/>
                <w:b/>
                <w:bCs/>
                <w:color w:val="auto"/>
                <w:kern w:val="2"/>
                <w:sz w:val="24"/>
                <w:szCs w:val="24"/>
              </w:rPr>
              <w:t>评分标准</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jc w:val="center"/>
              <w:rPr>
                <w:rFonts w:hint="eastAsia" w:ascii="宋体" w:hAnsi="宋体" w:eastAsia="宋体" w:cs="宋体"/>
                <w:b/>
                <w:bCs/>
                <w:color w:val="auto"/>
                <w:kern w:val="2"/>
                <w:sz w:val="24"/>
                <w:szCs w:val="24"/>
                <w:lang w:val="en-US" w:eastAsia="zh-CN"/>
              </w:rPr>
            </w:pPr>
            <w:r>
              <w:rPr>
                <w:rFonts w:hint="eastAsia" w:ascii="宋体" w:hAnsi="宋体" w:eastAsia="宋体" w:cs="宋体"/>
                <w:b/>
                <w:bCs/>
                <w:color w:val="auto"/>
                <w:kern w:val="2"/>
                <w:sz w:val="24"/>
                <w:szCs w:val="24"/>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2"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1</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Calibri" w:eastAsia="宋体" w:cs="宋体"/>
                <w:b w:val="0"/>
                <w:bCs w:val="0"/>
                <w:color w:val="auto"/>
                <w:kern w:val="2"/>
                <w:sz w:val="21"/>
                <w:szCs w:val="21"/>
                <w:lang w:eastAsia="zh-CN"/>
              </w:rPr>
              <w:t>报</w:t>
            </w:r>
            <w:r>
              <w:rPr>
                <w:rFonts w:hint="eastAsia" w:ascii="宋体" w:hAnsi="宋体" w:eastAsia="宋体" w:cs="宋体"/>
                <w:b w:val="0"/>
                <w:bCs w:val="0"/>
                <w:color w:val="auto"/>
                <w:kern w:val="2"/>
                <w:sz w:val="21"/>
                <w:szCs w:val="21"/>
              </w:rPr>
              <w:t>价10%</w:t>
            </w:r>
            <w:r>
              <w:rPr>
                <w:rFonts w:hint="eastAsia" w:ascii="宋体" w:hAnsi="宋体" w:eastAsia="宋体" w:cs="宋体"/>
                <w:b w:val="0"/>
                <w:bCs w:val="0"/>
                <w:color w:val="auto"/>
                <w:kern w:val="2"/>
                <w:sz w:val="21"/>
                <w:szCs w:val="21"/>
                <w:lang w:eastAsia="zh-CN"/>
              </w:rPr>
              <w:t>（经济类评审因素）</w:t>
            </w:r>
          </w:p>
        </w:tc>
        <w:tc>
          <w:tcPr>
            <w:tcW w:w="787"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10分</w:t>
            </w: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1.满足招标文件要求且有效报价最低的价格为基准价，其价格分为满分。其他投标人的价格分统一按照下列公式计算：报价得分=（基准价/报价）×10。</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2.根据《政府采购促进中小企业发展管理办法》（财库</w:t>
            </w:r>
            <w:r>
              <w:rPr>
                <w:rFonts w:hint="eastAsia" w:ascii="宋体" w:hAnsi="宋体" w:eastAsia="宋体" w:cs="宋体"/>
                <w:b w:val="0"/>
                <w:color w:val="auto"/>
                <w:kern w:val="2"/>
                <w:sz w:val="21"/>
                <w:szCs w:val="21"/>
                <w:lang w:val="zh-TW" w:eastAsia="zh-TW"/>
              </w:rPr>
              <w:t>〔</w:t>
            </w:r>
            <w:r>
              <w:rPr>
                <w:rFonts w:hint="eastAsia" w:ascii="宋体" w:hAnsi="宋体" w:eastAsia="宋体" w:cs="宋体"/>
                <w:b w:val="0"/>
                <w:color w:val="auto"/>
                <w:kern w:val="2"/>
                <w:sz w:val="21"/>
                <w:szCs w:val="21"/>
                <w:lang w:val="en-US" w:eastAsia="zh-CN"/>
              </w:rPr>
              <w:t>2020〕46号），对小型和微型企业（监狱企业、残疾人福利性单位视同小微企业）产品的价格给予10%的扣除，用扣除后的价格参与评审。</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3.对失信行为供应商给予10%/次的报价累加加成，用加成后的价格参与评审，若加成后的报价超过预算的，视为无效投标。</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2</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lang w:eastAsia="zh-CN"/>
              </w:rPr>
            </w:pPr>
            <w:r>
              <w:rPr>
                <w:rFonts w:hint="eastAsia" w:ascii="宋体" w:hAnsi="宋体" w:eastAsia="宋体" w:cs="宋体"/>
                <w:b w:val="0"/>
                <w:bCs w:val="0"/>
                <w:color w:val="auto"/>
                <w:kern w:val="2"/>
                <w:sz w:val="21"/>
                <w:szCs w:val="21"/>
              </w:rPr>
              <w:t>服务方案</w:t>
            </w:r>
            <w:r>
              <w:rPr>
                <w:rFonts w:hint="eastAsia" w:ascii="宋体" w:hAnsi="宋体" w:eastAsia="宋体" w:cs="宋体"/>
                <w:b w:val="0"/>
                <w:bCs w:val="0"/>
                <w:color w:val="auto"/>
                <w:kern w:val="2"/>
                <w:sz w:val="21"/>
                <w:szCs w:val="21"/>
                <w:lang w:val="en-US" w:eastAsia="zh-CN"/>
              </w:rPr>
              <w:t>12</w:t>
            </w:r>
            <w:r>
              <w:rPr>
                <w:rFonts w:hint="eastAsia" w:ascii="宋体" w:hAnsi="宋体" w:eastAsia="宋体" w:cs="宋体"/>
                <w:b w:val="0"/>
                <w:bCs w:val="0"/>
                <w:color w:val="auto"/>
                <w:kern w:val="2"/>
                <w:sz w:val="21"/>
                <w:szCs w:val="21"/>
              </w:rPr>
              <w:t>%</w:t>
            </w:r>
            <w:r>
              <w:rPr>
                <w:rFonts w:hint="eastAsia" w:ascii="Calibri" w:eastAsia="宋体" w:cs="宋体"/>
                <w:b w:val="0"/>
                <w:bCs w:val="0"/>
                <w:color w:val="auto"/>
                <w:kern w:val="2"/>
                <w:sz w:val="21"/>
                <w:szCs w:val="21"/>
                <w:lang w:eastAsia="zh-CN"/>
              </w:rPr>
              <w:t>（技术类评审因素）</w:t>
            </w:r>
          </w:p>
        </w:tc>
        <w:tc>
          <w:tcPr>
            <w:tcW w:w="787"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lang w:val="en-US" w:eastAsia="zh-CN"/>
              </w:rPr>
              <w:t>12</w:t>
            </w:r>
            <w:r>
              <w:rPr>
                <w:rFonts w:hint="eastAsia" w:ascii="宋体" w:hAnsi="宋体" w:eastAsia="宋体" w:cs="宋体"/>
                <w:b w:val="0"/>
                <w:bCs w:val="0"/>
                <w:color w:val="auto"/>
                <w:kern w:val="2"/>
                <w:sz w:val="21"/>
                <w:szCs w:val="21"/>
              </w:rPr>
              <w:t>分</w:t>
            </w: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根据投标人项目实施方案综合评分。</w:t>
            </w:r>
          </w:p>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从抽样、运输、样品保密性、检测、质量控制、数据处理、时效性、结果异议处置等方面进行评审，完全满足本项目要求得12分，每缺少一项扣1.5分，每有一项不全面或描述不完整扣0.5分，扣完为止。</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以投标人提交的方案为准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5" w:hRule="atLeast"/>
          <w:jc w:val="center"/>
        </w:trPr>
        <w:tc>
          <w:tcPr>
            <w:tcW w:w="426" w:type="dxa"/>
            <w:tcBorders>
              <w:top w:val="single" w:color="auto" w:sz="4" w:space="0"/>
              <w:left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3</w:t>
            </w:r>
          </w:p>
        </w:tc>
        <w:tc>
          <w:tcPr>
            <w:tcW w:w="1115" w:type="dxa"/>
            <w:tcBorders>
              <w:top w:val="single" w:color="auto" w:sz="4" w:space="0"/>
              <w:left w:val="single" w:color="auto" w:sz="4" w:space="0"/>
              <w:right w:val="single" w:color="auto" w:sz="4" w:space="0"/>
            </w:tcBorders>
            <w:noWrap w:val="0"/>
            <w:vAlign w:val="center"/>
          </w:tcPr>
          <w:p>
            <w:pPr>
              <w:ind w:left="0" w:leftChars="0" w:firstLine="0" w:firstLineChars="0"/>
              <w:jc w:val="both"/>
              <w:rPr>
                <w:rFonts w:hint="eastAsia" w:ascii="Calibri" w:eastAsia="宋体" w:cs="宋体"/>
                <w:b w:val="0"/>
                <w:bCs w:val="0"/>
                <w:color w:val="auto"/>
                <w:kern w:val="2"/>
                <w:sz w:val="21"/>
                <w:szCs w:val="21"/>
                <w:lang w:eastAsia="zh-CN"/>
              </w:rPr>
            </w:pPr>
            <w:r>
              <w:rPr>
                <w:rFonts w:hint="eastAsia" w:ascii="Calibri" w:eastAsia="宋体" w:cs="宋体"/>
                <w:b w:val="0"/>
                <w:bCs w:val="0"/>
                <w:color w:val="auto"/>
                <w:kern w:val="2"/>
                <w:sz w:val="21"/>
                <w:szCs w:val="21"/>
                <w:lang w:eastAsia="zh-CN"/>
              </w:rPr>
              <w:t>投标人实验室设备</w:t>
            </w:r>
            <w:r>
              <w:rPr>
                <w:rFonts w:hint="eastAsia" w:ascii="Calibri" w:eastAsia="宋体" w:cs="宋体"/>
                <w:b w:val="0"/>
                <w:bCs w:val="0"/>
                <w:color w:val="auto"/>
                <w:kern w:val="2"/>
                <w:sz w:val="21"/>
                <w:szCs w:val="21"/>
                <w:lang w:val="en-US" w:eastAsia="zh-CN"/>
              </w:rPr>
              <w:t>能力</w:t>
            </w:r>
            <w:r>
              <w:rPr>
                <w:rFonts w:hint="eastAsia" w:ascii="Calibri" w:eastAsia="宋体" w:cs="宋体"/>
                <w:b w:val="0"/>
                <w:bCs w:val="0"/>
                <w:color w:val="auto"/>
                <w:kern w:val="2"/>
                <w:sz w:val="21"/>
                <w:szCs w:val="21"/>
                <w:lang w:eastAsia="zh-CN"/>
              </w:rPr>
              <w:t>（2</w:t>
            </w:r>
            <w:r>
              <w:rPr>
                <w:rFonts w:hint="eastAsia" w:ascii="Calibri" w:eastAsia="宋体" w:cs="宋体"/>
                <w:b w:val="0"/>
                <w:bCs w:val="0"/>
                <w:color w:val="auto"/>
                <w:kern w:val="2"/>
                <w:sz w:val="21"/>
                <w:szCs w:val="21"/>
                <w:lang w:val="en-US" w:eastAsia="zh-CN"/>
              </w:rPr>
              <w:t>7</w:t>
            </w:r>
            <w:r>
              <w:rPr>
                <w:rFonts w:hint="eastAsia" w:ascii="Calibri" w:eastAsia="宋体" w:cs="宋体"/>
                <w:b w:val="0"/>
                <w:bCs w:val="0"/>
                <w:color w:val="auto"/>
                <w:kern w:val="2"/>
                <w:sz w:val="21"/>
                <w:szCs w:val="21"/>
                <w:lang w:eastAsia="zh-CN"/>
              </w:rPr>
              <w:t>%）（共同评审因素）</w:t>
            </w:r>
          </w:p>
        </w:tc>
        <w:tc>
          <w:tcPr>
            <w:tcW w:w="787" w:type="dxa"/>
            <w:tcBorders>
              <w:top w:val="single" w:color="auto" w:sz="4" w:space="0"/>
              <w:left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2</w:t>
            </w:r>
            <w:r>
              <w:rPr>
                <w:rFonts w:hint="eastAsia" w:ascii="宋体" w:hAnsi="宋体" w:eastAsia="宋体" w:cs="宋体"/>
                <w:b w:val="0"/>
                <w:bCs w:val="0"/>
                <w:color w:val="auto"/>
                <w:kern w:val="2"/>
                <w:sz w:val="21"/>
                <w:szCs w:val="21"/>
                <w:lang w:val="en-US" w:eastAsia="zh-CN"/>
              </w:rPr>
              <w:t>7</w:t>
            </w:r>
            <w:r>
              <w:rPr>
                <w:rFonts w:hint="eastAsia" w:ascii="宋体" w:hAnsi="宋体" w:eastAsia="宋体" w:cs="宋体"/>
                <w:b w:val="0"/>
                <w:bCs w:val="0"/>
                <w:color w:val="auto"/>
                <w:kern w:val="2"/>
                <w:sz w:val="21"/>
                <w:szCs w:val="21"/>
              </w:rPr>
              <w:t>分</w:t>
            </w:r>
          </w:p>
        </w:tc>
        <w:tc>
          <w:tcPr>
            <w:tcW w:w="4856" w:type="dxa"/>
            <w:tcBorders>
              <w:top w:val="single" w:color="auto" w:sz="4" w:space="0"/>
              <w:left w:val="single" w:color="auto" w:sz="4" w:space="0"/>
              <w:bottom w:val="single" w:color="auto" w:sz="4" w:space="0"/>
              <w:right w:val="single" w:color="auto" w:sz="4" w:space="0"/>
            </w:tcBorders>
            <w:noWrap w:val="0"/>
            <w:vAlign w:val="center"/>
          </w:tcPr>
          <w:p>
            <w:pPr>
              <w:widowControl w:val="0"/>
              <w:jc w:val="left"/>
              <w:rPr>
                <w:rFonts w:hint="eastAsia" w:ascii="宋体" w:hAnsi="宋体" w:eastAsia="宋体" w:cs="宋体"/>
                <w:b w:val="0"/>
                <w:color w:val="auto"/>
                <w:kern w:val="2"/>
                <w:sz w:val="21"/>
                <w:szCs w:val="21"/>
                <w:lang w:val="en-US" w:eastAsia="zh-CN" w:bidi="ar-SA"/>
              </w:rPr>
            </w:pPr>
            <w:r>
              <w:rPr>
                <w:rFonts w:hint="eastAsia" w:ascii="宋体" w:hAnsi="Calibri" w:eastAsia="宋体" w:cs="Times New Roman"/>
                <w:color w:val="auto"/>
                <w:sz w:val="21"/>
                <w:szCs w:val="21"/>
                <w:lang w:val="en-US" w:eastAsia="zh-CN" w:bidi="ar-SA"/>
              </w:rPr>
              <w:t>投标人针对本项目</w:t>
            </w:r>
            <w:r>
              <w:rPr>
                <w:rFonts w:hint="eastAsia" w:ascii="宋体" w:hAnsi="宋体" w:eastAsia="宋体" w:cs="宋体"/>
                <w:b w:val="0"/>
                <w:color w:val="auto"/>
                <w:kern w:val="2"/>
                <w:sz w:val="21"/>
                <w:szCs w:val="21"/>
                <w:lang w:val="en-US" w:eastAsia="zh-CN" w:bidi="ar-SA"/>
              </w:rPr>
              <w:t>拟投入的实验室设备：</w:t>
            </w:r>
          </w:p>
          <w:p>
            <w:pPr>
              <w:widowControl w:val="0"/>
              <w:jc w:val="left"/>
              <w:rPr>
                <w:rFonts w:hint="default" w:ascii="宋体" w:hAnsi="宋体" w:eastAsia="宋体" w:cs="宋体"/>
                <w:b w:val="0"/>
                <w:color w:val="auto"/>
                <w:kern w:val="2"/>
                <w:sz w:val="21"/>
                <w:szCs w:val="21"/>
                <w:lang w:val="en-US" w:eastAsia="zh-CN" w:bidi="ar-SA"/>
              </w:rPr>
            </w:pPr>
            <w:r>
              <w:rPr>
                <w:rFonts w:hint="eastAsia" w:ascii="宋体" w:hAnsi="宋体" w:eastAsia="宋体" w:cs="宋体"/>
                <w:b w:val="0"/>
                <w:color w:val="auto"/>
                <w:kern w:val="2"/>
                <w:sz w:val="21"/>
                <w:szCs w:val="21"/>
                <w:lang w:val="en-US" w:eastAsia="zh-CN" w:bidi="ar-SA"/>
              </w:rPr>
              <w:t>①每具有气相色谱仪一台得1分，在此基础上每增加一台得1分，最多得8分；</w:t>
            </w:r>
          </w:p>
          <w:p>
            <w:pPr>
              <w:widowControl w:val="0"/>
              <w:jc w:val="left"/>
              <w:rPr>
                <w:rFonts w:hint="eastAsia" w:ascii="宋体" w:hAnsi="宋体" w:eastAsia="宋体" w:cs="宋体"/>
                <w:b w:val="0"/>
                <w:color w:val="auto"/>
                <w:kern w:val="2"/>
                <w:sz w:val="21"/>
                <w:szCs w:val="21"/>
                <w:lang w:val="en-US" w:eastAsia="zh-CN" w:bidi="ar-SA"/>
              </w:rPr>
            </w:pPr>
            <w:r>
              <w:rPr>
                <w:rFonts w:hint="eastAsia" w:ascii="宋体" w:hAnsi="宋体" w:eastAsia="宋体" w:cs="宋体"/>
                <w:b w:val="0"/>
                <w:color w:val="auto"/>
                <w:kern w:val="2"/>
                <w:sz w:val="21"/>
                <w:szCs w:val="21"/>
                <w:lang w:val="en-US" w:eastAsia="zh-CN" w:bidi="ar-SA"/>
              </w:rPr>
              <w:t>②每具有液相色谱仪或高效液相色谱仪一台得1分，在此基础上每增加一台得1分，最多得5分；</w:t>
            </w:r>
          </w:p>
          <w:p>
            <w:pPr>
              <w:widowControl w:val="0"/>
              <w:jc w:val="left"/>
              <w:rPr>
                <w:rFonts w:hint="eastAsia" w:ascii="宋体" w:hAnsi="宋体" w:eastAsia="宋体" w:cs="宋体"/>
                <w:b w:val="0"/>
                <w:color w:val="auto"/>
                <w:kern w:val="2"/>
                <w:sz w:val="21"/>
                <w:szCs w:val="21"/>
                <w:lang w:val="en-US" w:eastAsia="zh-CN" w:bidi="ar-SA"/>
              </w:rPr>
            </w:pPr>
            <w:r>
              <w:rPr>
                <w:rFonts w:hint="eastAsia" w:ascii="宋体" w:hAnsi="宋体" w:eastAsia="宋体" w:cs="宋体"/>
                <w:b w:val="0"/>
                <w:color w:val="auto"/>
                <w:kern w:val="2"/>
                <w:sz w:val="21"/>
                <w:szCs w:val="21"/>
                <w:lang w:val="en-US" w:eastAsia="zh-CN" w:bidi="ar-SA"/>
              </w:rPr>
              <w:t>③每具有气相色谱-质谱联用仪一台得1分，在此基础上每增加一台得1分，最多得3分；</w:t>
            </w:r>
          </w:p>
          <w:p>
            <w:pPr>
              <w:widowControl w:val="0"/>
              <w:jc w:val="left"/>
              <w:rPr>
                <w:rFonts w:hint="eastAsia" w:ascii="宋体" w:hAnsi="宋体" w:eastAsia="宋体" w:cs="宋体"/>
                <w:b w:val="0"/>
                <w:color w:val="auto"/>
                <w:kern w:val="2"/>
                <w:sz w:val="21"/>
                <w:szCs w:val="21"/>
                <w:lang w:val="en-US" w:eastAsia="zh-CN" w:bidi="ar-SA"/>
              </w:rPr>
            </w:pPr>
            <w:r>
              <w:rPr>
                <w:rFonts w:hint="eastAsia" w:ascii="宋体" w:hAnsi="宋体" w:eastAsia="宋体" w:cs="宋体"/>
                <w:b w:val="0"/>
                <w:color w:val="auto"/>
                <w:kern w:val="2"/>
                <w:sz w:val="21"/>
                <w:szCs w:val="21"/>
                <w:lang w:val="en-US" w:eastAsia="zh-CN" w:bidi="ar-SA"/>
              </w:rPr>
              <w:t>④每具有液相色谱质谱仪一台得1分，在此基础上每增加一台得1分，最多得2分；</w:t>
            </w:r>
          </w:p>
          <w:p>
            <w:pPr>
              <w:widowControl w:val="0"/>
              <w:jc w:val="left"/>
              <w:rPr>
                <w:rFonts w:hint="eastAsia" w:ascii="宋体" w:hAnsi="宋体" w:eastAsia="宋体" w:cs="宋体"/>
                <w:b w:val="0"/>
                <w:color w:val="auto"/>
                <w:kern w:val="2"/>
                <w:sz w:val="21"/>
                <w:szCs w:val="21"/>
                <w:lang w:val="en-US" w:eastAsia="zh-CN" w:bidi="ar-SA"/>
              </w:rPr>
            </w:pPr>
            <w:r>
              <w:rPr>
                <w:rFonts w:hint="eastAsia" w:ascii="宋体" w:hAnsi="宋体" w:eastAsia="宋体" w:cs="宋体"/>
                <w:b w:val="0"/>
                <w:color w:val="auto"/>
                <w:kern w:val="2"/>
                <w:sz w:val="21"/>
                <w:szCs w:val="21"/>
                <w:lang w:val="en-US" w:eastAsia="zh-CN" w:bidi="ar-SA"/>
              </w:rPr>
              <w:t>⑤每具有电感耦合等离子体发射光谱仪一台得1分，在此基础上每增加一台得1分，最多得3分；</w:t>
            </w:r>
          </w:p>
          <w:p>
            <w:pPr>
              <w:widowControl w:val="0"/>
              <w:jc w:val="left"/>
              <w:rPr>
                <w:rFonts w:hint="eastAsia" w:ascii="宋体" w:hAnsi="宋体" w:eastAsia="宋体" w:cs="宋体"/>
                <w:b w:val="0"/>
                <w:color w:val="auto"/>
                <w:kern w:val="2"/>
                <w:sz w:val="21"/>
                <w:szCs w:val="21"/>
                <w:lang w:val="en-US" w:eastAsia="zh-CN" w:bidi="ar-SA"/>
              </w:rPr>
            </w:pPr>
            <w:r>
              <w:rPr>
                <w:rFonts w:hint="eastAsia" w:ascii="宋体" w:hAnsi="宋体" w:eastAsia="宋体" w:cs="宋体"/>
                <w:b w:val="0"/>
                <w:color w:val="auto"/>
                <w:kern w:val="2"/>
                <w:sz w:val="21"/>
                <w:szCs w:val="21"/>
                <w:lang w:val="en-US" w:eastAsia="zh-CN" w:bidi="ar-SA"/>
              </w:rPr>
              <w:t>⑥每具有石墨炉原子吸收分光光度计一台得1分，在此基础上每增加一台得1分，最多得3分；</w:t>
            </w:r>
          </w:p>
          <w:p>
            <w:pPr>
              <w:widowControl w:val="0"/>
              <w:jc w:val="left"/>
              <w:rPr>
                <w:rFonts w:hint="eastAsia" w:ascii="宋体" w:hAnsi="宋体" w:eastAsia="宋体" w:cs="宋体"/>
                <w:b w:val="0"/>
                <w:color w:val="auto"/>
                <w:kern w:val="2"/>
                <w:sz w:val="21"/>
                <w:szCs w:val="21"/>
                <w:lang w:val="en-US" w:eastAsia="zh-CN" w:bidi="ar-SA"/>
              </w:rPr>
            </w:pPr>
            <w:r>
              <w:rPr>
                <w:rFonts w:hint="eastAsia" w:ascii="宋体" w:hAnsi="宋体" w:eastAsia="宋体" w:cs="宋体"/>
                <w:b w:val="0"/>
                <w:color w:val="auto"/>
                <w:kern w:val="2"/>
                <w:sz w:val="21"/>
                <w:szCs w:val="21"/>
                <w:lang w:val="en-US" w:eastAsia="zh-CN" w:bidi="ar-SA"/>
              </w:rPr>
              <w:t>⑦同时具备电感耦合等离子体质谱仪和原子荧光光谱仪得3分，其中少一项设备不得分。</w:t>
            </w:r>
          </w:p>
          <w:p>
            <w:pPr>
              <w:widowControl w:val="0"/>
              <w:jc w:val="left"/>
              <w:rPr>
                <w:rFonts w:hint="eastAsia" w:ascii="宋体" w:hAnsi="宋体" w:eastAsia="宋体" w:cs="宋体"/>
                <w:b w:val="0"/>
                <w:color w:val="auto"/>
                <w:kern w:val="2"/>
                <w:sz w:val="21"/>
                <w:szCs w:val="21"/>
                <w:lang w:val="en-US" w:eastAsia="zh-CN" w:bidi="ar-SA"/>
              </w:rPr>
            </w:pPr>
          </w:p>
          <w:p>
            <w:pPr>
              <w:snapToGrid/>
              <w:spacing w:line="240" w:lineRule="auto"/>
              <w:ind w:firstLine="0" w:firstLineChars="0"/>
              <w:jc w:val="left"/>
              <w:rPr>
                <w:rFonts w:hint="default" w:ascii="宋体" w:hAnsi="宋体" w:eastAsia="宋体" w:cs="宋体"/>
                <w:b w:val="0"/>
                <w:color w:val="auto"/>
                <w:kern w:val="2"/>
                <w:sz w:val="21"/>
                <w:szCs w:val="21"/>
                <w:lang w:val="en-US" w:eastAsia="zh-CN"/>
              </w:rPr>
            </w:pP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提供以上设备的购置发票（或租赁协议及租凭设备购置发票）和检定证书（在有效期限内）复印件，并加盖投标人鲜章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1" w:hRule="atLeast"/>
          <w:jc w:val="center"/>
        </w:trPr>
        <w:tc>
          <w:tcPr>
            <w:tcW w:w="426" w:type="dxa"/>
            <w:vMerge w:val="restart"/>
            <w:tcBorders>
              <w:top w:val="single" w:color="auto" w:sz="4" w:space="0"/>
              <w:left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4</w:t>
            </w:r>
          </w:p>
        </w:tc>
        <w:tc>
          <w:tcPr>
            <w:tcW w:w="1115" w:type="dxa"/>
            <w:vMerge w:val="restart"/>
            <w:tcBorders>
              <w:top w:val="single" w:color="auto" w:sz="4" w:space="0"/>
              <w:left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拟为本项目配置的技术人员（</w:t>
            </w:r>
            <w:r>
              <w:rPr>
                <w:rFonts w:hint="eastAsia" w:ascii="宋体" w:hAnsi="宋体" w:eastAsia="宋体" w:cs="宋体"/>
                <w:b w:val="0"/>
                <w:bCs w:val="0"/>
                <w:color w:val="auto"/>
                <w:kern w:val="2"/>
                <w:sz w:val="21"/>
                <w:szCs w:val="21"/>
                <w:lang w:val="en-US" w:eastAsia="zh-CN"/>
              </w:rPr>
              <w:t>34</w:t>
            </w:r>
            <w:r>
              <w:rPr>
                <w:rFonts w:hint="eastAsia" w:ascii="宋体" w:hAnsi="宋体" w:eastAsia="宋体" w:cs="宋体"/>
                <w:b w:val="0"/>
                <w:bCs w:val="0"/>
                <w:color w:val="auto"/>
                <w:kern w:val="2"/>
                <w:sz w:val="21"/>
                <w:szCs w:val="21"/>
              </w:rPr>
              <w:t>%）</w:t>
            </w:r>
            <w:r>
              <w:rPr>
                <w:rFonts w:hint="eastAsia" w:ascii="宋体" w:hAnsi="宋体" w:eastAsia="宋体" w:cs="宋体"/>
                <w:b w:val="0"/>
                <w:bCs w:val="0"/>
                <w:color w:val="auto"/>
                <w:kern w:val="2"/>
                <w:sz w:val="21"/>
                <w:szCs w:val="21"/>
                <w:lang w:eastAsia="zh-CN"/>
              </w:rPr>
              <w:t>（共同评审因素）</w:t>
            </w:r>
          </w:p>
        </w:tc>
        <w:tc>
          <w:tcPr>
            <w:tcW w:w="787" w:type="dxa"/>
            <w:vMerge w:val="restart"/>
            <w:tcBorders>
              <w:top w:val="single" w:color="auto" w:sz="4" w:space="0"/>
              <w:left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lang w:val="en-US" w:eastAsia="zh-CN"/>
              </w:rPr>
              <w:t>34</w:t>
            </w:r>
            <w:r>
              <w:rPr>
                <w:rFonts w:hint="eastAsia" w:ascii="宋体" w:hAnsi="宋体" w:eastAsia="宋体" w:cs="宋体"/>
                <w:b w:val="0"/>
                <w:bCs w:val="0"/>
                <w:color w:val="auto"/>
                <w:kern w:val="2"/>
                <w:sz w:val="21"/>
                <w:szCs w:val="21"/>
              </w:rPr>
              <w:t>分</w:t>
            </w: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jc w:val="left"/>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1、投标人针对本项目服务团队人员中，每提供一名专业抽样人员得0.5分，最多得</w:t>
            </w:r>
            <w:r>
              <w:rPr>
                <w:rFonts w:hint="eastAsia" w:ascii="宋体" w:hAnsi="宋体" w:eastAsia="宋体" w:cs="宋体"/>
                <w:b w:val="0"/>
                <w:color w:val="auto"/>
                <w:kern w:val="2"/>
                <w:sz w:val="21"/>
                <w:szCs w:val="21"/>
                <w:lang w:val="en-US" w:eastAsia="zh-CN"/>
              </w:rPr>
              <w:t>7.</w:t>
            </w:r>
            <w:r>
              <w:rPr>
                <w:rFonts w:hint="eastAsia" w:ascii="宋体" w:hAnsi="宋体" w:eastAsia="宋体" w:cs="宋体"/>
                <w:b w:val="0"/>
                <w:color w:val="auto"/>
                <w:kern w:val="2"/>
                <w:sz w:val="21"/>
                <w:szCs w:val="21"/>
                <w:lang w:val="en-US"/>
              </w:rPr>
              <w:t>5分。</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提供抽样人员有效的的身份证复印件、抽样证复印件、人员劳动合同复印件并加盖投标人公章，缺少任何一样证明材料均认定无效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6" w:hRule="atLeast"/>
          <w:jc w:val="center"/>
        </w:trPr>
        <w:tc>
          <w:tcPr>
            <w:tcW w:w="426" w:type="dxa"/>
            <w:vMerge w:val="continue"/>
            <w:tcBorders>
              <w:left w:val="single" w:color="auto" w:sz="4" w:space="0"/>
              <w:right w:val="single" w:color="auto" w:sz="4" w:space="0"/>
            </w:tcBorders>
            <w:noWrap w:val="0"/>
            <w:vAlign w:val="center"/>
          </w:tcPr>
          <w:p>
            <w:pPr>
              <w:ind w:firstLine="28"/>
              <w:jc w:val="center"/>
              <w:rPr>
                <w:rFonts w:hint="eastAsia" w:ascii="宋体" w:hAnsi="宋体" w:eastAsia="宋体" w:cs="宋体"/>
                <w:b w:val="0"/>
                <w:bCs w:val="0"/>
                <w:color w:val="auto"/>
                <w:kern w:val="2"/>
                <w:sz w:val="21"/>
                <w:szCs w:val="21"/>
              </w:rPr>
            </w:pPr>
          </w:p>
        </w:tc>
        <w:tc>
          <w:tcPr>
            <w:tcW w:w="1115"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787"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2、投标人针对本项目服务团队人员中，每提供一名专业检验人员得0.5分，最多得</w:t>
            </w:r>
            <w:r>
              <w:rPr>
                <w:rFonts w:hint="eastAsia" w:ascii="宋体" w:hAnsi="宋体" w:eastAsia="宋体" w:cs="宋体"/>
                <w:b w:val="0"/>
                <w:color w:val="auto"/>
                <w:kern w:val="2"/>
                <w:sz w:val="21"/>
                <w:szCs w:val="21"/>
                <w:lang w:val="en-US" w:eastAsia="zh-CN"/>
              </w:rPr>
              <w:t>7.</w:t>
            </w:r>
            <w:r>
              <w:rPr>
                <w:rFonts w:hint="eastAsia" w:ascii="宋体" w:hAnsi="宋体" w:eastAsia="宋体" w:cs="宋体"/>
                <w:b w:val="0"/>
                <w:color w:val="auto"/>
                <w:kern w:val="2"/>
                <w:sz w:val="21"/>
                <w:szCs w:val="21"/>
                <w:lang w:val="en-US"/>
              </w:rPr>
              <w:t>5分。</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提供检测人员有效的的身份证复印件、上岗证复印件、人员劳动合同复印件并加盖投标人公章，缺少任何一样证明材料均认定无效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426" w:type="dxa"/>
            <w:vMerge w:val="continue"/>
            <w:tcBorders>
              <w:left w:val="single" w:color="auto" w:sz="4" w:space="0"/>
              <w:right w:val="single" w:color="auto" w:sz="4" w:space="0"/>
            </w:tcBorders>
            <w:noWrap w:val="0"/>
            <w:vAlign w:val="center"/>
          </w:tcPr>
          <w:p>
            <w:pPr>
              <w:ind w:firstLine="28"/>
              <w:jc w:val="center"/>
              <w:rPr>
                <w:rFonts w:hint="eastAsia" w:ascii="宋体" w:hAnsi="宋体" w:eastAsia="宋体" w:cs="宋体"/>
                <w:b w:val="0"/>
                <w:bCs w:val="0"/>
                <w:color w:val="auto"/>
                <w:kern w:val="2"/>
                <w:sz w:val="21"/>
                <w:szCs w:val="21"/>
              </w:rPr>
            </w:pPr>
          </w:p>
        </w:tc>
        <w:tc>
          <w:tcPr>
            <w:tcW w:w="1115"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787"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3、投标人针对本项目服务团队人员中具有中级</w:t>
            </w:r>
            <w:r>
              <w:rPr>
                <w:rFonts w:hint="eastAsia" w:hAnsi="宋体" w:cs="宋体"/>
                <w:b w:val="0"/>
                <w:color w:val="auto"/>
                <w:kern w:val="2"/>
                <w:sz w:val="21"/>
                <w:szCs w:val="21"/>
                <w:lang w:val="en-US" w:eastAsia="zh-CN"/>
              </w:rPr>
              <w:t>及以上</w:t>
            </w:r>
            <w:r>
              <w:rPr>
                <w:rFonts w:hint="eastAsia" w:ascii="宋体" w:hAnsi="宋体" w:eastAsia="宋体" w:cs="宋体"/>
                <w:b w:val="0"/>
                <w:color w:val="auto"/>
                <w:kern w:val="2"/>
                <w:sz w:val="21"/>
                <w:szCs w:val="21"/>
                <w:lang w:val="en-US"/>
              </w:rPr>
              <w:t>职称人员1人得</w:t>
            </w:r>
            <w:r>
              <w:rPr>
                <w:rFonts w:hint="eastAsia" w:ascii="宋体" w:hAnsi="宋体" w:eastAsia="宋体" w:cs="宋体"/>
                <w:b w:val="0"/>
                <w:color w:val="auto"/>
                <w:kern w:val="2"/>
                <w:sz w:val="21"/>
                <w:szCs w:val="21"/>
                <w:lang w:val="en-US" w:eastAsia="zh-CN"/>
              </w:rPr>
              <w:t>1</w:t>
            </w:r>
            <w:r>
              <w:rPr>
                <w:rFonts w:hint="eastAsia" w:ascii="宋体" w:hAnsi="宋体" w:eastAsia="宋体" w:cs="宋体"/>
                <w:b w:val="0"/>
                <w:color w:val="auto"/>
                <w:kern w:val="2"/>
                <w:sz w:val="21"/>
                <w:szCs w:val="21"/>
                <w:lang w:val="en-US"/>
              </w:rPr>
              <w:t>分，最多得5分。</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提供相关人员的身份证复印件、职称证复印件、人员劳动合同复印件并加盖投标人公章，缺少任何一样证明材料均认定无效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jc w:val="center"/>
        </w:trPr>
        <w:tc>
          <w:tcPr>
            <w:tcW w:w="426" w:type="dxa"/>
            <w:vMerge w:val="continue"/>
            <w:tcBorders>
              <w:left w:val="single" w:color="auto" w:sz="4" w:space="0"/>
              <w:right w:val="single" w:color="auto" w:sz="4" w:space="0"/>
            </w:tcBorders>
            <w:noWrap w:val="0"/>
            <w:vAlign w:val="center"/>
          </w:tcPr>
          <w:p>
            <w:pPr>
              <w:ind w:firstLine="28"/>
              <w:jc w:val="center"/>
              <w:rPr>
                <w:rFonts w:hint="eastAsia" w:ascii="宋体" w:hAnsi="宋体" w:eastAsia="宋体" w:cs="宋体"/>
                <w:b w:val="0"/>
                <w:bCs w:val="0"/>
                <w:color w:val="auto"/>
                <w:kern w:val="2"/>
                <w:sz w:val="21"/>
                <w:szCs w:val="21"/>
              </w:rPr>
            </w:pPr>
          </w:p>
        </w:tc>
        <w:tc>
          <w:tcPr>
            <w:tcW w:w="1115"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787"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4、投标人针对本项目服务团队人员中具有高级</w:t>
            </w:r>
            <w:r>
              <w:rPr>
                <w:rFonts w:hint="eastAsia" w:hAnsi="宋体" w:cs="宋体"/>
                <w:b w:val="0"/>
                <w:color w:val="auto"/>
                <w:kern w:val="2"/>
                <w:sz w:val="21"/>
                <w:szCs w:val="21"/>
                <w:lang w:val="en-US" w:eastAsia="zh-CN"/>
              </w:rPr>
              <w:t>及以上</w:t>
            </w:r>
            <w:r>
              <w:rPr>
                <w:rFonts w:hint="eastAsia" w:ascii="宋体" w:hAnsi="宋体" w:eastAsia="宋体" w:cs="宋体"/>
                <w:b w:val="0"/>
                <w:color w:val="auto"/>
                <w:kern w:val="2"/>
                <w:sz w:val="21"/>
                <w:szCs w:val="21"/>
                <w:lang w:val="en-US"/>
              </w:rPr>
              <w:t>职称人员1人得1分，最多得</w:t>
            </w:r>
            <w:r>
              <w:rPr>
                <w:rFonts w:hint="eastAsia" w:ascii="宋体" w:hAnsi="宋体" w:eastAsia="宋体" w:cs="宋体"/>
                <w:b w:val="0"/>
                <w:color w:val="auto"/>
                <w:kern w:val="2"/>
                <w:sz w:val="21"/>
                <w:szCs w:val="21"/>
                <w:lang w:val="en-US" w:eastAsia="zh-CN"/>
              </w:rPr>
              <w:t>5</w:t>
            </w:r>
            <w:r>
              <w:rPr>
                <w:rFonts w:hint="eastAsia" w:ascii="宋体" w:hAnsi="宋体" w:eastAsia="宋体" w:cs="宋体"/>
                <w:b w:val="0"/>
                <w:color w:val="auto"/>
                <w:kern w:val="2"/>
                <w:sz w:val="21"/>
                <w:szCs w:val="21"/>
                <w:lang w:val="en-US"/>
              </w:rPr>
              <w:t>分。</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提供相关人员的身份证</w:t>
            </w:r>
            <w:r>
              <w:rPr>
                <w:rFonts w:hint="eastAsia" w:ascii="宋体" w:hAnsi="宋体" w:eastAsia="宋体" w:cs="宋体"/>
                <w:b w:val="0"/>
                <w:color w:val="auto"/>
                <w:kern w:val="2"/>
                <w:sz w:val="21"/>
                <w:szCs w:val="21"/>
                <w:lang w:val="en-US" w:eastAsia="zh-CN"/>
              </w:rPr>
              <w:t>复印件</w:t>
            </w:r>
            <w:r>
              <w:rPr>
                <w:rFonts w:hint="eastAsia" w:ascii="宋体" w:hAnsi="宋体" w:eastAsia="宋体" w:cs="宋体"/>
                <w:b w:val="0"/>
                <w:color w:val="auto"/>
                <w:kern w:val="2"/>
                <w:sz w:val="21"/>
                <w:szCs w:val="21"/>
                <w:lang w:val="en-US"/>
              </w:rPr>
              <w:t>、职称证</w:t>
            </w:r>
            <w:r>
              <w:rPr>
                <w:rFonts w:hint="eastAsia" w:ascii="宋体" w:hAnsi="宋体" w:eastAsia="宋体" w:cs="宋体"/>
                <w:b w:val="0"/>
                <w:color w:val="auto"/>
                <w:kern w:val="2"/>
                <w:sz w:val="21"/>
                <w:szCs w:val="21"/>
                <w:lang w:val="en-US" w:eastAsia="zh-CN"/>
              </w:rPr>
              <w:t>复印件</w:t>
            </w:r>
            <w:r>
              <w:rPr>
                <w:rFonts w:hint="eastAsia" w:ascii="宋体" w:hAnsi="宋体" w:eastAsia="宋体" w:cs="宋体"/>
                <w:b w:val="0"/>
                <w:color w:val="auto"/>
                <w:kern w:val="2"/>
                <w:sz w:val="21"/>
                <w:szCs w:val="21"/>
                <w:lang w:val="en-US"/>
              </w:rPr>
              <w:t>、人员劳动合同</w:t>
            </w:r>
            <w:r>
              <w:rPr>
                <w:rFonts w:hint="eastAsia" w:ascii="宋体" w:hAnsi="宋体" w:eastAsia="宋体" w:cs="宋体"/>
                <w:b w:val="0"/>
                <w:color w:val="auto"/>
                <w:kern w:val="2"/>
                <w:sz w:val="21"/>
                <w:szCs w:val="21"/>
                <w:lang w:val="en-US" w:eastAsia="zh-CN"/>
              </w:rPr>
              <w:t>复印件并加盖投标人公章</w:t>
            </w:r>
            <w:r>
              <w:rPr>
                <w:rFonts w:hint="eastAsia" w:ascii="宋体" w:hAnsi="宋体" w:eastAsia="宋体" w:cs="宋体"/>
                <w:b w:val="0"/>
                <w:color w:val="auto"/>
                <w:kern w:val="2"/>
                <w:sz w:val="21"/>
                <w:szCs w:val="21"/>
                <w:lang w:val="en-US"/>
              </w:rPr>
              <w:t>，缺少任何一样证明材料均认定无效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0" w:hRule="atLeast"/>
          <w:jc w:val="center"/>
        </w:trPr>
        <w:tc>
          <w:tcPr>
            <w:tcW w:w="426" w:type="dxa"/>
            <w:vMerge w:val="continue"/>
            <w:tcBorders>
              <w:left w:val="single" w:color="auto" w:sz="4" w:space="0"/>
              <w:right w:val="single" w:color="auto" w:sz="4" w:space="0"/>
            </w:tcBorders>
            <w:noWrap w:val="0"/>
            <w:vAlign w:val="center"/>
          </w:tcPr>
          <w:p>
            <w:pPr>
              <w:ind w:firstLine="28"/>
              <w:jc w:val="center"/>
              <w:rPr>
                <w:rFonts w:hint="eastAsia" w:ascii="宋体" w:hAnsi="宋体" w:eastAsia="宋体" w:cs="宋体"/>
                <w:b w:val="0"/>
                <w:bCs w:val="0"/>
                <w:color w:val="auto"/>
                <w:kern w:val="2"/>
                <w:sz w:val="21"/>
                <w:szCs w:val="21"/>
              </w:rPr>
            </w:pPr>
          </w:p>
        </w:tc>
        <w:tc>
          <w:tcPr>
            <w:tcW w:w="1115"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787"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rPr>
              <w:t>5、投标人针对本项目服务团队每有1名有省级</w:t>
            </w:r>
            <w:r>
              <w:rPr>
                <w:rFonts w:hint="eastAsia" w:ascii="宋体" w:hAnsi="宋体" w:eastAsia="宋体" w:cs="宋体"/>
                <w:b w:val="0"/>
                <w:color w:val="auto"/>
                <w:kern w:val="2"/>
                <w:sz w:val="21"/>
                <w:szCs w:val="21"/>
                <w:lang w:val="en-US" w:eastAsia="zh-CN"/>
              </w:rPr>
              <w:t>及以上</w:t>
            </w:r>
            <w:r>
              <w:rPr>
                <w:rFonts w:hint="eastAsia" w:ascii="宋体" w:hAnsi="宋体" w:eastAsia="宋体" w:cs="宋体"/>
                <w:b w:val="0"/>
                <w:color w:val="auto"/>
                <w:kern w:val="2"/>
                <w:sz w:val="21"/>
                <w:szCs w:val="21"/>
                <w:lang w:val="en-US"/>
              </w:rPr>
              <w:t>食品安全专家参与项目的，得5分</w:t>
            </w:r>
            <w:r>
              <w:rPr>
                <w:rFonts w:hint="eastAsia" w:ascii="宋体" w:hAnsi="宋体" w:eastAsia="宋体" w:cs="宋体"/>
                <w:b w:val="0"/>
                <w:color w:val="auto"/>
                <w:kern w:val="2"/>
                <w:sz w:val="21"/>
                <w:szCs w:val="21"/>
                <w:lang w:val="en-US" w:eastAsia="zh-CN"/>
              </w:rPr>
              <w:t>；</w:t>
            </w:r>
            <w:r>
              <w:rPr>
                <w:rFonts w:hint="eastAsia" w:ascii="宋体" w:hAnsi="宋体" w:eastAsia="宋体" w:cs="宋体"/>
                <w:b w:val="0"/>
                <w:color w:val="auto"/>
                <w:kern w:val="2"/>
                <w:sz w:val="21"/>
                <w:szCs w:val="21"/>
                <w:lang w:val="en-US"/>
              </w:rPr>
              <w:t>每有1名有地市级食品安全专家参与项目的，得3分</w:t>
            </w:r>
            <w:r>
              <w:rPr>
                <w:rFonts w:hint="eastAsia" w:ascii="宋体" w:hAnsi="宋体" w:eastAsia="宋体" w:cs="宋体"/>
                <w:b w:val="0"/>
                <w:color w:val="auto"/>
                <w:kern w:val="2"/>
                <w:sz w:val="21"/>
                <w:szCs w:val="21"/>
                <w:lang w:val="en-US" w:eastAsia="zh-CN"/>
              </w:rPr>
              <w:t>；</w:t>
            </w:r>
            <w:r>
              <w:rPr>
                <w:rFonts w:hint="eastAsia" w:ascii="宋体" w:hAnsi="宋体" w:eastAsia="宋体" w:cs="宋体"/>
                <w:b w:val="0"/>
                <w:color w:val="auto"/>
                <w:kern w:val="2"/>
                <w:sz w:val="21"/>
                <w:szCs w:val="21"/>
                <w:lang w:val="en-US"/>
              </w:rPr>
              <w:t>每有1名有区县级食品安全专家参与项目的，得1分</w:t>
            </w:r>
            <w:r>
              <w:rPr>
                <w:rFonts w:hint="eastAsia" w:ascii="宋体" w:hAnsi="宋体" w:eastAsia="宋体" w:cs="宋体"/>
                <w:b w:val="0"/>
                <w:color w:val="auto"/>
                <w:kern w:val="2"/>
                <w:sz w:val="21"/>
                <w:szCs w:val="21"/>
                <w:lang w:val="en-US" w:eastAsia="zh-CN"/>
              </w:rPr>
              <w:t>；本项最多得5分。</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提供劳动合同</w:t>
            </w:r>
            <w:r>
              <w:rPr>
                <w:rFonts w:hint="eastAsia" w:ascii="宋体" w:hAnsi="宋体" w:eastAsia="宋体" w:cs="宋体"/>
                <w:b w:val="0"/>
                <w:color w:val="auto"/>
                <w:kern w:val="2"/>
                <w:sz w:val="21"/>
                <w:szCs w:val="21"/>
                <w:lang w:val="en-US" w:eastAsia="zh-CN"/>
              </w:rPr>
              <w:t>复印件</w:t>
            </w:r>
            <w:r>
              <w:rPr>
                <w:rFonts w:hint="eastAsia" w:ascii="宋体" w:hAnsi="宋体" w:eastAsia="宋体" w:cs="宋体"/>
                <w:b w:val="0"/>
                <w:color w:val="auto"/>
                <w:kern w:val="2"/>
                <w:sz w:val="21"/>
                <w:szCs w:val="21"/>
                <w:lang w:val="en-US"/>
              </w:rPr>
              <w:t>、技术职称证</w:t>
            </w:r>
            <w:r>
              <w:rPr>
                <w:rFonts w:hint="eastAsia" w:ascii="宋体" w:hAnsi="宋体" w:eastAsia="宋体" w:cs="宋体"/>
                <w:b w:val="0"/>
                <w:color w:val="auto"/>
                <w:kern w:val="2"/>
                <w:sz w:val="21"/>
                <w:szCs w:val="21"/>
                <w:lang w:val="en-US" w:eastAsia="zh-CN"/>
              </w:rPr>
              <w:t>复印件</w:t>
            </w:r>
            <w:r>
              <w:rPr>
                <w:rFonts w:hint="eastAsia" w:ascii="宋体" w:hAnsi="宋体" w:eastAsia="宋体" w:cs="宋体"/>
                <w:b w:val="0"/>
                <w:color w:val="auto"/>
                <w:kern w:val="2"/>
                <w:sz w:val="21"/>
                <w:szCs w:val="21"/>
                <w:lang w:val="en-US"/>
              </w:rPr>
              <w:t>、专家库名录等相关证明材料</w:t>
            </w:r>
            <w:r>
              <w:rPr>
                <w:rFonts w:hint="eastAsia" w:ascii="宋体" w:hAnsi="宋体" w:eastAsia="宋体" w:cs="宋体"/>
                <w:b w:val="0"/>
                <w:color w:val="auto"/>
                <w:kern w:val="2"/>
                <w:sz w:val="21"/>
                <w:szCs w:val="21"/>
                <w:lang w:val="en-US" w:eastAsia="zh-CN"/>
              </w:rPr>
              <w:t>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0" w:hRule="atLeast"/>
          <w:jc w:val="center"/>
        </w:trPr>
        <w:tc>
          <w:tcPr>
            <w:tcW w:w="426" w:type="dxa"/>
            <w:vMerge w:val="continue"/>
            <w:tcBorders>
              <w:left w:val="single" w:color="auto" w:sz="4" w:space="0"/>
              <w:bottom w:val="single" w:color="auto" w:sz="4" w:space="0"/>
              <w:right w:val="single" w:color="auto" w:sz="4" w:space="0"/>
            </w:tcBorders>
            <w:noWrap w:val="0"/>
            <w:vAlign w:val="center"/>
          </w:tcPr>
          <w:p>
            <w:pPr>
              <w:jc w:val="both"/>
              <w:rPr>
                <w:rFonts w:hint="eastAsia" w:ascii="宋体" w:hAnsi="宋体" w:eastAsia="宋体" w:cs="宋体"/>
                <w:b w:val="0"/>
                <w:bCs w:val="0"/>
                <w:color w:val="auto"/>
                <w:kern w:val="2"/>
                <w:sz w:val="21"/>
                <w:szCs w:val="21"/>
              </w:rPr>
            </w:pPr>
          </w:p>
        </w:tc>
        <w:tc>
          <w:tcPr>
            <w:tcW w:w="1115"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787"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4856" w:type="dxa"/>
            <w:tcBorders>
              <w:top w:val="single" w:color="auto" w:sz="4" w:space="0"/>
              <w:left w:val="single" w:color="auto" w:sz="4" w:space="0"/>
              <w:bottom w:val="single" w:color="auto" w:sz="4" w:space="0"/>
              <w:right w:val="single" w:color="auto" w:sz="4" w:space="0"/>
            </w:tcBorders>
            <w:noWrap w:val="0"/>
            <w:vAlign w:val="center"/>
          </w:tcPr>
          <w:p>
            <w:pPr>
              <w:numPr>
                <w:ilvl w:val="0"/>
                <w:numId w:val="10"/>
              </w:num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rPr>
              <w:t>投标人针对本项目服务团队每有1名省级及以上食品检查员参与项目的，得</w:t>
            </w:r>
            <w:r>
              <w:rPr>
                <w:rFonts w:hint="eastAsia" w:ascii="宋体" w:hAnsi="宋体" w:eastAsia="宋体" w:cs="宋体"/>
                <w:b w:val="0"/>
                <w:color w:val="auto"/>
                <w:kern w:val="2"/>
                <w:sz w:val="21"/>
                <w:szCs w:val="21"/>
                <w:lang w:val="en-US" w:eastAsia="zh-CN"/>
              </w:rPr>
              <w:t>4</w:t>
            </w:r>
            <w:r>
              <w:rPr>
                <w:rFonts w:hint="eastAsia" w:ascii="宋体" w:hAnsi="宋体" w:eastAsia="宋体" w:cs="宋体"/>
                <w:b w:val="0"/>
                <w:color w:val="auto"/>
                <w:kern w:val="2"/>
                <w:sz w:val="21"/>
                <w:szCs w:val="21"/>
                <w:lang w:val="en-US"/>
              </w:rPr>
              <w:t>分，每有1名有地市级食品检查员参与项目的，得</w:t>
            </w:r>
            <w:r>
              <w:rPr>
                <w:rFonts w:hint="eastAsia" w:ascii="宋体" w:hAnsi="宋体" w:eastAsia="宋体" w:cs="宋体"/>
                <w:b w:val="0"/>
                <w:color w:val="auto"/>
                <w:kern w:val="2"/>
                <w:sz w:val="21"/>
                <w:szCs w:val="21"/>
                <w:lang w:val="en-US" w:eastAsia="zh-CN"/>
              </w:rPr>
              <w:t>2</w:t>
            </w:r>
            <w:r>
              <w:rPr>
                <w:rFonts w:hint="eastAsia" w:ascii="宋体" w:hAnsi="宋体" w:eastAsia="宋体" w:cs="宋体"/>
                <w:b w:val="0"/>
                <w:color w:val="auto"/>
                <w:kern w:val="2"/>
                <w:sz w:val="21"/>
                <w:szCs w:val="21"/>
                <w:lang w:val="en-US"/>
              </w:rPr>
              <w:t>分</w:t>
            </w:r>
            <w:r>
              <w:rPr>
                <w:rFonts w:hint="eastAsia" w:ascii="宋体" w:hAnsi="宋体" w:eastAsia="宋体" w:cs="宋体"/>
                <w:b w:val="0"/>
                <w:color w:val="auto"/>
                <w:kern w:val="2"/>
                <w:sz w:val="21"/>
                <w:szCs w:val="21"/>
                <w:lang w:val="en-US" w:eastAsia="zh-CN"/>
              </w:rPr>
              <w:t>；</w:t>
            </w:r>
            <w:r>
              <w:rPr>
                <w:rFonts w:hint="eastAsia" w:ascii="宋体" w:hAnsi="宋体" w:eastAsia="宋体" w:cs="宋体"/>
                <w:b w:val="0"/>
                <w:color w:val="auto"/>
                <w:kern w:val="2"/>
                <w:sz w:val="21"/>
                <w:szCs w:val="21"/>
                <w:lang w:val="en-US"/>
              </w:rPr>
              <w:t>每有1名有区县级食品检查员参与项目的，得1分</w:t>
            </w:r>
            <w:r>
              <w:rPr>
                <w:rFonts w:hint="eastAsia" w:ascii="宋体" w:hAnsi="宋体" w:eastAsia="宋体" w:cs="宋体"/>
                <w:b w:val="0"/>
                <w:color w:val="auto"/>
                <w:kern w:val="2"/>
                <w:sz w:val="21"/>
                <w:szCs w:val="21"/>
                <w:lang w:val="en-US" w:eastAsia="zh-CN"/>
              </w:rPr>
              <w:t>；本项最多得3分。</w:t>
            </w:r>
          </w:p>
          <w:p>
            <w:pPr>
              <w:numPr>
                <w:ilvl w:val="0"/>
                <w:numId w:val="0"/>
              </w:numPr>
              <w:snapToGrid/>
              <w:spacing w:line="240" w:lineRule="auto"/>
              <w:rPr>
                <w:rFonts w:hint="default" w:ascii="宋体" w:hAnsi="宋体" w:eastAsia="宋体" w:cs="宋体"/>
                <w:b w:val="0"/>
                <w:color w:val="auto"/>
                <w:kern w:val="2"/>
                <w:sz w:val="21"/>
                <w:szCs w:val="21"/>
                <w:lang w:val="en-US"/>
              </w:rPr>
            </w:pPr>
            <w:r>
              <w:rPr>
                <w:rFonts w:hint="eastAsia" w:ascii="宋体" w:hAnsi="宋体" w:eastAsia="宋体" w:cs="宋体"/>
                <w:b w:val="0"/>
                <w:bCs w:val="0"/>
                <w:color w:val="auto"/>
                <w:kern w:val="2"/>
                <w:sz w:val="21"/>
                <w:szCs w:val="21"/>
                <w:lang w:val="en-US" w:eastAsia="zh-CN"/>
              </w:rPr>
              <w:t>（说明：以上1-6项人员不可重复。）</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提供劳动合同</w:t>
            </w:r>
            <w:r>
              <w:rPr>
                <w:rFonts w:hint="eastAsia" w:ascii="宋体" w:hAnsi="宋体" w:eastAsia="宋体" w:cs="宋体"/>
                <w:b w:val="0"/>
                <w:color w:val="auto"/>
                <w:kern w:val="2"/>
                <w:sz w:val="21"/>
                <w:szCs w:val="21"/>
                <w:lang w:val="en-US" w:eastAsia="zh-CN"/>
              </w:rPr>
              <w:t>复印件</w:t>
            </w:r>
            <w:r>
              <w:rPr>
                <w:rFonts w:hint="eastAsia" w:ascii="宋体" w:hAnsi="宋体" w:eastAsia="宋体" w:cs="宋体"/>
                <w:b w:val="0"/>
                <w:color w:val="auto"/>
                <w:kern w:val="2"/>
                <w:sz w:val="21"/>
                <w:szCs w:val="21"/>
                <w:lang w:val="en-US"/>
              </w:rPr>
              <w:t>、技术职称证</w:t>
            </w:r>
            <w:r>
              <w:rPr>
                <w:rFonts w:hint="eastAsia" w:ascii="宋体" w:hAnsi="宋体" w:eastAsia="宋体" w:cs="宋体"/>
                <w:b w:val="0"/>
                <w:color w:val="auto"/>
                <w:kern w:val="2"/>
                <w:sz w:val="21"/>
                <w:szCs w:val="21"/>
                <w:lang w:val="en-US" w:eastAsia="zh-CN"/>
              </w:rPr>
              <w:t>复印件</w:t>
            </w:r>
            <w:r>
              <w:rPr>
                <w:rFonts w:hint="eastAsia" w:ascii="宋体" w:hAnsi="宋体" w:eastAsia="宋体" w:cs="宋体"/>
                <w:b w:val="0"/>
                <w:color w:val="auto"/>
                <w:kern w:val="2"/>
                <w:sz w:val="21"/>
                <w:szCs w:val="21"/>
                <w:lang w:val="en-US"/>
              </w:rPr>
              <w:t>等相关证明材料</w:t>
            </w:r>
            <w:r>
              <w:rPr>
                <w:rFonts w:hint="eastAsia" w:ascii="宋体" w:hAnsi="宋体" w:eastAsia="宋体" w:cs="宋体"/>
                <w:b w:val="0"/>
                <w:color w:val="auto"/>
                <w:kern w:val="2"/>
                <w:sz w:val="21"/>
                <w:szCs w:val="21"/>
                <w:lang w:val="en-US" w:eastAsia="zh-CN"/>
              </w:rPr>
              <w:t>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26" w:type="dxa"/>
            <w:vMerge w:val="restart"/>
            <w:tcBorders>
              <w:top w:val="single" w:color="auto" w:sz="4" w:space="0"/>
              <w:left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5</w:t>
            </w:r>
          </w:p>
        </w:tc>
        <w:tc>
          <w:tcPr>
            <w:tcW w:w="1115" w:type="dxa"/>
            <w:vMerge w:val="restart"/>
            <w:tcBorders>
              <w:top w:val="single" w:color="auto" w:sz="4" w:space="0"/>
              <w:left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投标人履约能力和服务保障能力</w:t>
            </w:r>
            <w:r>
              <w:rPr>
                <w:rFonts w:hint="eastAsia" w:ascii="宋体" w:hAnsi="宋体" w:eastAsia="宋体" w:cs="宋体"/>
                <w:b w:val="0"/>
                <w:bCs w:val="0"/>
                <w:color w:val="auto"/>
                <w:kern w:val="2"/>
                <w:sz w:val="21"/>
                <w:szCs w:val="21"/>
                <w:lang w:val="en-US" w:eastAsia="zh-CN"/>
              </w:rPr>
              <w:t>11</w:t>
            </w:r>
            <w:r>
              <w:rPr>
                <w:rFonts w:hint="eastAsia" w:ascii="宋体" w:hAnsi="宋体" w:eastAsia="宋体" w:cs="宋体"/>
                <w:b w:val="0"/>
                <w:bCs w:val="0"/>
                <w:color w:val="auto"/>
                <w:kern w:val="2"/>
                <w:sz w:val="21"/>
                <w:szCs w:val="21"/>
              </w:rPr>
              <w:t>%</w:t>
            </w:r>
            <w:r>
              <w:rPr>
                <w:rFonts w:hint="eastAsia" w:ascii="宋体" w:hAnsi="宋体" w:eastAsia="宋体" w:cs="宋体"/>
                <w:b w:val="0"/>
                <w:bCs w:val="0"/>
                <w:color w:val="auto"/>
                <w:kern w:val="2"/>
                <w:sz w:val="21"/>
                <w:szCs w:val="21"/>
                <w:lang w:eastAsia="zh-CN"/>
              </w:rPr>
              <w:t>（共同评审因素）</w:t>
            </w:r>
          </w:p>
        </w:tc>
        <w:tc>
          <w:tcPr>
            <w:tcW w:w="787" w:type="dxa"/>
            <w:vMerge w:val="restart"/>
            <w:tcBorders>
              <w:top w:val="single" w:color="auto" w:sz="4" w:space="0"/>
              <w:left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lang w:val="en-US" w:eastAsia="zh-CN"/>
              </w:rPr>
              <w:t>11</w:t>
            </w:r>
            <w:r>
              <w:rPr>
                <w:rFonts w:hint="eastAsia" w:ascii="宋体" w:hAnsi="宋体" w:eastAsia="宋体" w:cs="宋体"/>
                <w:b w:val="0"/>
                <w:bCs w:val="0"/>
                <w:color w:val="auto"/>
                <w:kern w:val="2"/>
                <w:sz w:val="21"/>
                <w:szCs w:val="21"/>
              </w:rPr>
              <w:t>分</w:t>
            </w: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1</w:t>
            </w:r>
            <w:r>
              <w:rPr>
                <w:rFonts w:hint="eastAsia" w:ascii="宋体" w:hAnsi="宋体" w:eastAsia="宋体" w:cs="宋体"/>
                <w:b w:val="0"/>
                <w:color w:val="auto"/>
                <w:kern w:val="2"/>
                <w:sz w:val="21"/>
                <w:szCs w:val="21"/>
                <w:lang w:val="en-US"/>
              </w:rPr>
              <w:t>、具有实验室lims管理系统，得2分。</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rPr>
              <w:t>提供有效的相关证明复印件并加盖投标人鲜章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0" w:hRule="atLeast"/>
          <w:jc w:val="center"/>
        </w:trPr>
        <w:tc>
          <w:tcPr>
            <w:tcW w:w="426" w:type="dxa"/>
            <w:vMerge w:val="continue"/>
            <w:tcBorders>
              <w:top w:val="single" w:color="auto" w:sz="4" w:space="0"/>
              <w:left w:val="single" w:color="auto" w:sz="4" w:space="0"/>
              <w:right w:val="single" w:color="auto" w:sz="4" w:space="0"/>
            </w:tcBorders>
            <w:noWrap w:val="0"/>
            <w:vAlign w:val="center"/>
          </w:tcPr>
          <w:p>
            <w:pPr>
              <w:ind w:firstLine="28"/>
              <w:jc w:val="center"/>
              <w:rPr>
                <w:rFonts w:hint="eastAsia" w:ascii="宋体" w:hAnsi="宋体" w:eastAsia="宋体" w:cs="宋体"/>
                <w:b w:val="0"/>
                <w:bCs w:val="0"/>
                <w:color w:val="auto"/>
                <w:kern w:val="2"/>
                <w:sz w:val="21"/>
                <w:szCs w:val="21"/>
              </w:rPr>
            </w:pPr>
          </w:p>
        </w:tc>
        <w:tc>
          <w:tcPr>
            <w:tcW w:w="1115" w:type="dxa"/>
            <w:vMerge w:val="continue"/>
            <w:tcBorders>
              <w:top w:val="single" w:color="auto" w:sz="4" w:space="0"/>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787" w:type="dxa"/>
            <w:vMerge w:val="continue"/>
            <w:tcBorders>
              <w:top w:val="single" w:color="auto" w:sz="4" w:space="0"/>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4856" w:type="dxa"/>
            <w:tcBorders>
              <w:top w:val="single" w:color="auto" w:sz="4" w:space="0"/>
              <w:left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2、投标人实验室为公益诉讼联合实验室的得5分，没有的不得分。本项最多得5分。</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投标人提供公益诉讼联合实验室协议书等相关证明材料复印件并加盖投标人鲜章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0" w:hRule="atLeast"/>
          <w:jc w:val="center"/>
        </w:trPr>
        <w:tc>
          <w:tcPr>
            <w:tcW w:w="426" w:type="dxa"/>
            <w:vMerge w:val="continue"/>
            <w:tcBorders>
              <w:left w:val="single" w:color="auto" w:sz="4" w:space="0"/>
              <w:right w:val="single" w:color="auto" w:sz="4" w:space="0"/>
            </w:tcBorders>
            <w:noWrap w:val="0"/>
            <w:vAlign w:val="center"/>
          </w:tcPr>
          <w:p>
            <w:pPr>
              <w:ind w:firstLine="28"/>
              <w:jc w:val="center"/>
              <w:rPr>
                <w:rFonts w:hint="eastAsia" w:ascii="宋体" w:hAnsi="宋体" w:eastAsia="宋体" w:cs="宋体"/>
                <w:b w:val="0"/>
                <w:bCs w:val="0"/>
                <w:color w:val="auto"/>
                <w:kern w:val="2"/>
                <w:sz w:val="21"/>
                <w:szCs w:val="21"/>
              </w:rPr>
            </w:pPr>
          </w:p>
        </w:tc>
        <w:tc>
          <w:tcPr>
            <w:tcW w:w="1115"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787" w:type="dxa"/>
            <w:vMerge w:val="continue"/>
            <w:tcBorders>
              <w:left w:val="single" w:color="auto" w:sz="4" w:space="0"/>
              <w:right w:val="single" w:color="auto" w:sz="4" w:space="0"/>
            </w:tcBorders>
            <w:noWrap w:val="0"/>
            <w:vAlign w:val="center"/>
          </w:tcPr>
          <w:p>
            <w:pPr>
              <w:jc w:val="center"/>
              <w:rPr>
                <w:rFonts w:hint="eastAsia" w:ascii="宋体" w:hAnsi="宋体" w:eastAsia="宋体" w:cs="宋体"/>
                <w:b w:val="0"/>
                <w:bCs w:val="0"/>
                <w:color w:val="auto"/>
                <w:kern w:val="2"/>
                <w:sz w:val="21"/>
                <w:szCs w:val="21"/>
              </w:rPr>
            </w:pP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rPr>
            </w:pPr>
            <w:r>
              <w:rPr>
                <w:rFonts w:hint="eastAsia" w:ascii="宋体" w:hAnsi="宋体" w:eastAsia="宋体" w:cs="宋体"/>
                <w:b w:val="0"/>
                <w:color w:val="auto"/>
                <w:kern w:val="2"/>
                <w:sz w:val="21"/>
                <w:szCs w:val="21"/>
                <w:lang w:val="en-US" w:eastAsia="zh-CN"/>
              </w:rPr>
              <w:t>3、</w:t>
            </w:r>
            <w:r>
              <w:rPr>
                <w:rFonts w:hint="eastAsia" w:ascii="宋体" w:hAnsi="宋体" w:eastAsia="宋体" w:cs="宋体"/>
                <w:b w:val="0"/>
                <w:color w:val="auto"/>
                <w:kern w:val="2"/>
                <w:sz w:val="21"/>
                <w:szCs w:val="21"/>
                <w:lang w:val="en-US"/>
              </w:rPr>
              <w:t>应急响应能力：投标人能在</w:t>
            </w:r>
            <w:r>
              <w:rPr>
                <w:rFonts w:hint="eastAsia" w:ascii="宋体" w:hAnsi="宋体" w:eastAsia="宋体" w:cs="宋体"/>
                <w:b w:val="0"/>
                <w:color w:val="auto"/>
                <w:kern w:val="2"/>
                <w:sz w:val="21"/>
                <w:szCs w:val="21"/>
                <w:lang w:val="en-US" w:eastAsia="zh-CN"/>
              </w:rPr>
              <w:t>15</w:t>
            </w:r>
            <w:r>
              <w:rPr>
                <w:rFonts w:hint="eastAsia" w:ascii="宋体" w:hAnsi="宋体" w:eastAsia="宋体" w:cs="宋体"/>
                <w:b w:val="0"/>
                <w:color w:val="auto"/>
                <w:kern w:val="2"/>
                <w:sz w:val="21"/>
                <w:szCs w:val="21"/>
                <w:lang w:val="en-US"/>
              </w:rPr>
              <w:t>分钟内</w:t>
            </w:r>
            <w:r>
              <w:rPr>
                <w:rFonts w:hint="eastAsia" w:ascii="宋体" w:hAnsi="宋体" w:eastAsia="宋体" w:cs="宋体"/>
                <w:b w:val="0"/>
                <w:color w:val="auto"/>
                <w:kern w:val="2"/>
                <w:sz w:val="21"/>
                <w:szCs w:val="21"/>
                <w:lang w:val="en-US" w:eastAsia="zh-CN"/>
              </w:rPr>
              <w:t>到</w:t>
            </w:r>
            <w:r>
              <w:rPr>
                <w:rFonts w:hint="eastAsia" w:ascii="宋体" w:hAnsi="宋体" w:eastAsia="宋体" w:cs="宋体"/>
                <w:b w:val="0"/>
                <w:color w:val="auto"/>
                <w:kern w:val="2"/>
                <w:sz w:val="21"/>
                <w:szCs w:val="21"/>
                <w:lang w:val="en-US"/>
              </w:rPr>
              <w:t>达</w:t>
            </w:r>
            <w:r>
              <w:rPr>
                <w:rFonts w:hint="eastAsia" w:ascii="宋体" w:hAnsi="宋体" w:eastAsia="宋体" w:cs="宋体"/>
                <w:b w:val="0"/>
                <w:color w:val="auto"/>
                <w:kern w:val="2"/>
                <w:sz w:val="21"/>
                <w:szCs w:val="21"/>
                <w:lang w:val="en-US" w:eastAsia="zh-CN"/>
              </w:rPr>
              <w:t>业主单位</w:t>
            </w:r>
            <w:r>
              <w:rPr>
                <w:rFonts w:hint="eastAsia" w:ascii="宋体" w:hAnsi="宋体" w:eastAsia="宋体" w:cs="宋体"/>
                <w:b w:val="0"/>
                <w:color w:val="auto"/>
                <w:kern w:val="2"/>
                <w:sz w:val="21"/>
                <w:szCs w:val="21"/>
                <w:lang w:val="en-US"/>
              </w:rPr>
              <w:t>得</w:t>
            </w:r>
            <w:r>
              <w:rPr>
                <w:rFonts w:hint="eastAsia" w:ascii="宋体" w:hAnsi="宋体" w:eastAsia="宋体" w:cs="宋体"/>
                <w:b w:val="0"/>
                <w:color w:val="auto"/>
                <w:kern w:val="2"/>
                <w:sz w:val="21"/>
                <w:szCs w:val="21"/>
                <w:lang w:val="en-US" w:eastAsia="zh-CN"/>
              </w:rPr>
              <w:t>4</w:t>
            </w:r>
            <w:r>
              <w:rPr>
                <w:rFonts w:hint="eastAsia" w:ascii="宋体" w:hAnsi="宋体" w:eastAsia="宋体" w:cs="宋体"/>
                <w:b w:val="0"/>
                <w:color w:val="auto"/>
                <w:kern w:val="2"/>
                <w:sz w:val="21"/>
                <w:szCs w:val="21"/>
                <w:lang w:val="en-US"/>
              </w:rPr>
              <w:t>分；投标人能在30分钟内</w:t>
            </w:r>
            <w:r>
              <w:rPr>
                <w:rFonts w:hint="eastAsia" w:ascii="宋体" w:hAnsi="宋体" w:eastAsia="宋体" w:cs="宋体"/>
                <w:b w:val="0"/>
                <w:color w:val="auto"/>
                <w:kern w:val="2"/>
                <w:sz w:val="21"/>
                <w:szCs w:val="21"/>
                <w:lang w:val="en-US" w:eastAsia="zh-CN"/>
              </w:rPr>
              <w:t>到达业主单位</w:t>
            </w:r>
            <w:r>
              <w:rPr>
                <w:rFonts w:hint="eastAsia" w:ascii="宋体" w:hAnsi="宋体" w:eastAsia="宋体" w:cs="宋体"/>
                <w:b w:val="0"/>
                <w:color w:val="auto"/>
                <w:kern w:val="2"/>
                <w:sz w:val="21"/>
                <w:szCs w:val="21"/>
                <w:lang w:val="en-US"/>
              </w:rPr>
              <w:t>得</w:t>
            </w:r>
            <w:r>
              <w:rPr>
                <w:rFonts w:hint="eastAsia" w:ascii="宋体" w:hAnsi="宋体" w:eastAsia="宋体" w:cs="宋体"/>
                <w:b w:val="0"/>
                <w:color w:val="auto"/>
                <w:kern w:val="2"/>
                <w:sz w:val="21"/>
                <w:szCs w:val="21"/>
                <w:lang w:val="en-US" w:eastAsia="zh-CN"/>
              </w:rPr>
              <w:t>2</w:t>
            </w:r>
            <w:r>
              <w:rPr>
                <w:rFonts w:hint="eastAsia" w:ascii="宋体" w:hAnsi="宋体" w:eastAsia="宋体" w:cs="宋体"/>
                <w:b w:val="0"/>
                <w:color w:val="auto"/>
                <w:kern w:val="2"/>
                <w:sz w:val="21"/>
                <w:szCs w:val="21"/>
                <w:lang w:val="en-US"/>
              </w:rPr>
              <w:t>分；投标人能在30分钟以上1小时以内</w:t>
            </w:r>
            <w:r>
              <w:rPr>
                <w:rFonts w:hint="eastAsia" w:ascii="宋体" w:hAnsi="宋体" w:eastAsia="宋体" w:cs="宋体"/>
                <w:b w:val="0"/>
                <w:color w:val="auto"/>
                <w:kern w:val="2"/>
                <w:sz w:val="21"/>
                <w:szCs w:val="21"/>
                <w:lang w:val="en-US" w:eastAsia="zh-CN"/>
              </w:rPr>
              <w:t>到达业主单位</w:t>
            </w:r>
            <w:r>
              <w:rPr>
                <w:rFonts w:hint="eastAsia" w:ascii="宋体" w:hAnsi="宋体" w:eastAsia="宋体" w:cs="宋体"/>
                <w:b w:val="0"/>
                <w:color w:val="auto"/>
                <w:kern w:val="2"/>
                <w:sz w:val="21"/>
                <w:szCs w:val="21"/>
                <w:lang w:val="en-US"/>
              </w:rPr>
              <w:t>得1分；</w:t>
            </w:r>
            <w:r>
              <w:rPr>
                <w:rFonts w:hint="eastAsia" w:ascii="宋体" w:hAnsi="宋体" w:eastAsia="宋体" w:cs="宋体"/>
                <w:b w:val="0"/>
                <w:color w:val="auto"/>
                <w:kern w:val="2"/>
                <w:sz w:val="21"/>
                <w:szCs w:val="21"/>
                <w:lang w:val="en-US" w:eastAsia="zh-CN"/>
              </w:rPr>
              <w:t>本项最多得4分。</w:t>
            </w:r>
          </w:p>
        </w:tc>
        <w:tc>
          <w:tcPr>
            <w:tcW w:w="2487"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投标人提供应急响应时间以高德地图导航时间为准、以CMA证书实验室注册地址到达业主单位地址为准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5" w:hRule="atLeast"/>
          <w:jc w:val="center"/>
        </w:trPr>
        <w:tc>
          <w:tcPr>
            <w:tcW w:w="426"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6</w:t>
            </w:r>
          </w:p>
        </w:tc>
        <w:tc>
          <w:tcPr>
            <w:tcW w:w="1115" w:type="dxa"/>
            <w:tcBorders>
              <w:top w:val="single" w:color="auto" w:sz="4" w:space="0"/>
              <w:left w:val="single" w:color="auto" w:sz="4" w:space="0"/>
              <w:bottom w:val="single" w:color="auto" w:sz="4" w:space="0"/>
              <w:right w:val="single" w:color="auto" w:sz="4" w:space="0"/>
            </w:tcBorders>
            <w:noWrap w:val="0"/>
            <w:vAlign w:val="center"/>
          </w:tcPr>
          <w:p>
            <w:pPr>
              <w:spacing w:line="240" w:lineRule="atLeast"/>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rPr>
              <w:t>项目经验</w:t>
            </w:r>
            <w:r>
              <w:rPr>
                <w:rFonts w:hint="eastAsia" w:ascii="宋体" w:hAnsi="宋体" w:eastAsia="宋体" w:cs="宋体"/>
                <w:b w:val="0"/>
                <w:bCs w:val="0"/>
                <w:color w:val="auto"/>
                <w:kern w:val="2"/>
                <w:sz w:val="21"/>
                <w:szCs w:val="21"/>
                <w:lang w:val="en-US" w:eastAsia="zh-CN"/>
              </w:rPr>
              <w:t>6</w:t>
            </w:r>
            <w:r>
              <w:rPr>
                <w:rFonts w:hint="eastAsia" w:ascii="宋体" w:hAnsi="宋体" w:eastAsia="宋体" w:cs="宋体"/>
                <w:b w:val="0"/>
                <w:bCs w:val="0"/>
                <w:color w:val="auto"/>
                <w:kern w:val="2"/>
                <w:sz w:val="21"/>
                <w:szCs w:val="21"/>
              </w:rPr>
              <w:t>%</w:t>
            </w:r>
            <w:r>
              <w:rPr>
                <w:rFonts w:hint="eastAsia" w:ascii="宋体" w:hAnsi="宋体" w:eastAsia="宋体" w:cs="宋体"/>
                <w:b w:val="0"/>
                <w:bCs w:val="0"/>
                <w:color w:val="auto"/>
                <w:kern w:val="2"/>
                <w:sz w:val="21"/>
                <w:szCs w:val="21"/>
                <w:lang w:eastAsia="zh-CN"/>
              </w:rPr>
              <w:t>（共同评审因素）</w:t>
            </w:r>
          </w:p>
        </w:tc>
        <w:tc>
          <w:tcPr>
            <w:tcW w:w="787" w:type="dxa"/>
            <w:tcBorders>
              <w:top w:val="single" w:color="auto" w:sz="4" w:space="0"/>
              <w:left w:val="single" w:color="auto" w:sz="4" w:space="0"/>
              <w:bottom w:val="single" w:color="auto" w:sz="4" w:space="0"/>
              <w:right w:val="single" w:color="auto" w:sz="4" w:space="0"/>
            </w:tcBorders>
            <w:noWrap w:val="0"/>
            <w:vAlign w:val="center"/>
          </w:tcPr>
          <w:p>
            <w:pPr>
              <w:ind w:left="0" w:leftChars="0" w:firstLine="0" w:firstLineChars="0"/>
              <w:jc w:val="both"/>
              <w:rPr>
                <w:rFonts w:hint="eastAsia" w:ascii="宋体" w:hAnsi="宋体" w:eastAsia="宋体" w:cs="宋体"/>
                <w:b w:val="0"/>
                <w:bCs w:val="0"/>
                <w:color w:val="auto"/>
                <w:kern w:val="2"/>
                <w:sz w:val="21"/>
                <w:szCs w:val="21"/>
              </w:rPr>
            </w:pPr>
            <w:r>
              <w:rPr>
                <w:rFonts w:hint="eastAsia" w:ascii="宋体" w:hAnsi="宋体" w:eastAsia="宋体" w:cs="宋体"/>
                <w:b w:val="0"/>
                <w:bCs w:val="0"/>
                <w:color w:val="auto"/>
                <w:kern w:val="2"/>
                <w:sz w:val="21"/>
                <w:szCs w:val="21"/>
                <w:lang w:val="en-US" w:eastAsia="zh-CN"/>
              </w:rPr>
              <w:t>6</w:t>
            </w:r>
            <w:r>
              <w:rPr>
                <w:rFonts w:hint="eastAsia" w:ascii="宋体" w:hAnsi="宋体" w:eastAsia="宋体" w:cs="宋体"/>
                <w:b w:val="0"/>
                <w:bCs w:val="0"/>
                <w:color w:val="auto"/>
                <w:kern w:val="2"/>
                <w:sz w:val="21"/>
                <w:szCs w:val="21"/>
              </w:rPr>
              <w:t>分</w:t>
            </w:r>
          </w:p>
        </w:tc>
        <w:tc>
          <w:tcPr>
            <w:tcW w:w="4856" w:type="dxa"/>
            <w:tcBorders>
              <w:top w:val="single" w:color="auto" w:sz="4" w:space="0"/>
              <w:left w:val="single" w:color="auto" w:sz="4" w:space="0"/>
              <w:bottom w:val="single" w:color="auto" w:sz="4" w:space="0"/>
              <w:right w:val="single" w:color="auto" w:sz="4" w:space="0"/>
            </w:tcBorders>
            <w:noWrap w:val="0"/>
            <w:vAlign w:val="center"/>
          </w:tcPr>
          <w:p>
            <w:pPr>
              <w:snapToGrid/>
              <w:spacing w:line="240" w:lineRule="auto"/>
              <w:ind w:firstLine="0" w:firstLineChars="0"/>
              <w:jc w:val="left"/>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rPr>
              <w:t>201</w:t>
            </w:r>
            <w:r>
              <w:rPr>
                <w:rFonts w:hint="eastAsia" w:ascii="宋体" w:hAnsi="宋体" w:eastAsia="宋体" w:cs="宋体"/>
                <w:b w:val="0"/>
                <w:color w:val="auto"/>
                <w:kern w:val="2"/>
                <w:sz w:val="21"/>
                <w:szCs w:val="21"/>
                <w:lang w:val="en-US" w:eastAsia="zh-CN"/>
              </w:rPr>
              <w:t>8</w:t>
            </w:r>
            <w:r>
              <w:rPr>
                <w:rFonts w:hint="eastAsia" w:ascii="宋体" w:hAnsi="宋体" w:eastAsia="宋体" w:cs="宋体"/>
                <w:b w:val="0"/>
                <w:color w:val="auto"/>
                <w:kern w:val="2"/>
                <w:sz w:val="21"/>
                <w:szCs w:val="21"/>
                <w:lang w:val="en-US"/>
              </w:rPr>
              <w:t>年至今承担过类似抽检任务，一次得</w:t>
            </w:r>
            <w:r>
              <w:rPr>
                <w:rFonts w:hint="eastAsia" w:ascii="宋体" w:hAnsi="宋体" w:eastAsia="宋体" w:cs="宋体"/>
                <w:b w:val="0"/>
                <w:color w:val="auto"/>
                <w:kern w:val="2"/>
                <w:sz w:val="21"/>
                <w:szCs w:val="21"/>
                <w:lang w:val="en-US" w:eastAsia="zh-CN"/>
              </w:rPr>
              <w:t>1</w:t>
            </w:r>
            <w:r>
              <w:rPr>
                <w:rFonts w:hint="eastAsia" w:ascii="宋体" w:hAnsi="宋体" w:eastAsia="宋体" w:cs="宋体"/>
                <w:b w:val="0"/>
                <w:color w:val="auto"/>
                <w:kern w:val="2"/>
                <w:sz w:val="21"/>
                <w:szCs w:val="21"/>
                <w:lang w:val="en-US"/>
              </w:rPr>
              <w:t>分，最多得</w:t>
            </w:r>
            <w:r>
              <w:rPr>
                <w:rFonts w:hint="eastAsia" w:ascii="宋体" w:hAnsi="宋体" w:eastAsia="宋体" w:cs="宋体"/>
                <w:b w:val="0"/>
                <w:color w:val="auto"/>
                <w:kern w:val="2"/>
                <w:sz w:val="21"/>
                <w:szCs w:val="21"/>
                <w:lang w:val="en-US" w:eastAsia="zh-CN"/>
              </w:rPr>
              <w:t>6</w:t>
            </w:r>
            <w:r>
              <w:rPr>
                <w:rFonts w:hint="eastAsia" w:ascii="宋体" w:hAnsi="宋体" w:eastAsia="宋体" w:cs="宋体"/>
                <w:b w:val="0"/>
                <w:color w:val="auto"/>
                <w:kern w:val="2"/>
                <w:sz w:val="21"/>
                <w:szCs w:val="21"/>
                <w:lang w:val="en-US"/>
              </w:rPr>
              <w:t>分。未参加或未提供的不得分。未参加或未能提供的不得分。</w:t>
            </w:r>
          </w:p>
        </w:tc>
        <w:tc>
          <w:tcPr>
            <w:tcW w:w="2487" w:type="dxa"/>
            <w:tcBorders>
              <w:top w:val="single" w:color="auto" w:sz="4" w:space="0"/>
              <w:left w:val="single" w:color="auto" w:sz="4" w:space="0"/>
              <w:bottom w:val="single" w:color="auto" w:sz="4" w:space="0"/>
              <w:right w:val="single" w:color="auto" w:sz="4" w:space="0"/>
            </w:tcBorders>
            <w:noWrap w:val="0"/>
            <w:vAlign w:val="top"/>
          </w:tcPr>
          <w:p>
            <w:pPr>
              <w:snapToGrid/>
              <w:spacing w:line="240" w:lineRule="auto"/>
              <w:ind w:firstLine="0" w:firstLineChars="0"/>
              <w:rPr>
                <w:rFonts w:hint="eastAsia" w:ascii="宋体" w:hAnsi="宋体" w:eastAsia="宋体" w:cs="宋体"/>
                <w:b w:val="0"/>
                <w:color w:val="auto"/>
                <w:kern w:val="2"/>
                <w:sz w:val="21"/>
                <w:szCs w:val="21"/>
                <w:lang w:val="en-US" w:eastAsia="zh-CN"/>
              </w:rPr>
            </w:pPr>
          </w:p>
          <w:p>
            <w:pPr>
              <w:snapToGrid/>
              <w:spacing w:line="240" w:lineRule="auto"/>
              <w:ind w:firstLine="0" w:firstLineChars="0"/>
              <w:rPr>
                <w:rFonts w:hint="eastAsia" w:ascii="宋体" w:hAnsi="宋体" w:eastAsia="宋体" w:cs="宋体"/>
                <w:b w:val="0"/>
                <w:color w:val="auto"/>
                <w:kern w:val="2"/>
                <w:sz w:val="21"/>
                <w:szCs w:val="21"/>
                <w:lang w:val="en-US" w:eastAsia="zh-CN"/>
              </w:rPr>
            </w:pPr>
            <w:r>
              <w:rPr>
                <w:rFonts w:hint="eastAsia" w:ascii="宋体" w:hAnsi="宋体" w:eastAsia="宋体" w:cs="宋体"/>
                <w:b w:val="0"/>
                <w:color w:val="auto"/>
                <w:kern w:val="2"/>
                <w:sz w:val="21"/>
                <w:szCs w:val="21"/>
                <w:lang w:val="en-US" w:eastAsia="zh-CN"/>
              </w:rPr>
              <w:t>中标通知书或合同复印件并加盖投标人印章。</w:t>
            </w:r>
          </w:p>
        </w:tc>
      </w:tr>
    </w:tbl>
    <w:p>
      <w:pPr>
        <w:spacing w:line="360" w:lineRule="auto"/>
        <w:rPr>
          <w:rFonts w:hint="eastAsia" w:asciiTheme="minorEastAsia" w:hAnsiTheme="minorEastAsia" w:eastAsiaTheme="minorEastAsia" w:cstheme="minorEastAsia"/>
          <w:bCs/>
          <w:color w:val="auto"/>
          <w:sz w:val="24"/>
          <w:szCs w:val="22"/>
        </w:rPr>
      </w:pPr>
      <w:r>
        <w:rPr>
          <w:rFonts w:hint="eastAsia" w:asciiTheme="minorEastAsia" w:hAnsiTheme="minorEastAsia" w:eastAsiaTheme="minorEastAsia" w:cstheme="minorEastAsia"/>
          <w:bCs/>
          <w:color w:val="auto"/>
          <w:sz w:val="24"/>
          <w:szCs w:val="22"/>
        </w:rPr>
        <w:t>注：得分结果以四舍五入法最多保留至小数点后两位。</w:t>
      </w:r>
    </w:p>
    <w:p>
      <w:pPr>
        <w:spacing w:line="360" w:lineRule="auto"/>
        <w:ind w:firstLine="420"/>
        <w:rPr>
          <w:rFonts w:hint="eastAsia" w:asciiTheme="minorEastAsia" w:hAnsiTheme="minorEastAsia" w:eastAsiaTheme="minorEastAsia" w:cstheme="minorEastAsia"/>
          <w:bCs/>
          <w:color w:val="auto"/>
          <w:sz w:val="24"/>
          <w:szCs w:val="22"/>
        </w:rPr>
      </w:pPr>
      <w:bookmarkStart w:id="143" w:name="_Toc217446059"/>
      <w:r>
        <w:rPr>
          <w:rFonts w:hint="eastAsia" w:asciiTheme="minorEastAsia" w:hAnsiTheme="minorEastAsia" w:eastAsiaTheme="minorEastAsia" w:cstheme="minorEastAsia"/>
          <w:bCs/>
          <w:color w:val="auto"/>
          <w:sz w:val="24"/>
          <w:szCs w:val="22"/>
        </w:rPr>
        <w:t>4.3.3本次综合评分法由评标委员会各成员独立对通过初审（资格检查和符合性检查）的投标人的投标文件进行评审和打分，</w:t>
      </w:r>
    </w:p>
    <w:p>
      <w:pPr>
        <w:spacing w:line="360" w:lineRule="auto"/>
        <w:ind w:firstLine="420"/>
        <w:rPr>
          <w:rFonts w:hint="eastAsia" w:asciiTheme="minorEastAsia" w:hAnsiTheme="minorEastAsia" w:eastAsiaTheme="minorEastAsia" w:cstheme="minorEastAsia"/>
          <w:bCs/>
          <w:color w:val="auto"/>
          <w:sz w:val="24"/>
          <w:szCs w:val="22"/>
        </w:rPr>
      </w:pPr>
      <w:r>
        <w:rPr>
          <w:rFonts w:hint="eastAsia" w:asciiTheme="minorEastAsia" w:hAnsiTheme="minorEastAsia" w:eastAsiaTheme="minorEastAsia" w:cstheme="minorEastAsia"/>
          <w:bCs/>
          <w:color w:val="auto"/>
          <w:sz w:val="24"/>
          <w:szCs w:val="22"/>
        </w:rPr>
        <w:t>评标得分＝（A1＋A2＋……＋An）/NA＋（B1＋B2＋……＋Bn）/ NB＋（C1＋C2＋……＋Cn）/ NC＋（D1＋D2＋……＋Dn）/ ND</w:t>
      </w:r>
    </w:p>
    <w:p>
      <w:pPr>
        <w:spacing w:line="360" w:lineRule="auto"/>
        <w:ind w:firstLine="420"/>
        <w:rPr>
          <w:rFonts w:hint="eastAsia" w:asciiTheme="minorEastAsia" w:hAnsiTheme="minorEastAsia" w:eastAsiaTheme="minorEastAsia" w:cstheme="minorEastAsia"/>
          <w:bCs/>
          <w:color w:val="auto"/>
          <w:sz w:val="24"/>
          <w:szCs w:val="22"/>
        </w:rPr>
      </w:pPr>
      <w:r>
        <w:rPr>
          <w:rFonts w:hint="eastAsia" w:asciiTheme="minorEastAsia" w:hAnsiTheme="minorEastAsia" w:eastAsiaTheme="minorEastAsia" w:cstheme="minorEastAsia"/>
          <w:bCs/>
          <w:color w:val="auto"/>
          <w:sz w:val="24"/>
          <w:szCs w:val="22"/>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bookmarkEnd w:id="143"/>
    </w:p>
    <w:bookmarkEnd w:id="140"/>
    <w:p>
      <w:pPr>
        <w:rPr>
          <w:rFonts w:hint="eastAsia" w:asciiTheme="minorEastAsia" w:hAnsiTheme="minorEastAsia" w:eastAsiaTheme="minorEastAsia" w:cstheme="minorEastAsia"/>
          <w:b/>
          <w:color w:val="auto"/>
          <w:sz w:val="24"/>
          <w:szCs w:val="24"/>
        </w:rPr>
      </w:pPr>
      <w:bookmarkStart w:id="144" w:name="_Toc217446060"/>
      <w:r>
        <w:rPr>
          <w:rFonts w:hint="eastAsia" w:asciiTheme="minorEastAsia" w:hAnsiTheme="minorEastAsia" w:eastAsiaTheme="minorEastAsia" w:cstheme="minorEastAsia"/>
          <w:b/>
          <w:color w:val="auto"/>
          <w:sz w:val="24"/>
          <w:szCs w:val="24"/>
        </w:rPr>
        <w:t>5、 废 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5.1本次政府采购活动中，出现下列情形之一的，予以废标：</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（1）符合专业条件的供应商或者对招标文件作实质响应的供应商不足三家的；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（2）出现影响采购公正的违法、违规行为的；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（3）投标人的报价均超过了采购预算，采购人不能支付的；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（4）因重大变故，采购任务取消的。</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废标后，采购代理机构应在四川政府采购网上公告，并公告废标的情形。投标人需要知晓导致废标情形的具体原因和理由的，可以通过书面形式询问招标采购单位。</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5.2对于评标过程中废标的采购项目，评标委员会应当对招标文件是否存在倾向性和歧视性、是否存在不合理条款进行论证，并出具书面论证意见。</w:t>
      </w:r>
    </w:p>
    <w:p>
      <w:pPr>
        <w:spacing w:before="120" w:beforeLines="50" w:after="120" w:afterLines="50" w:line="400" w:lineRule="exact"/>
        <w:ind w:firstLine="482" w:firstLineChars="200"/>
        <w:rPr>
          <w:rFonts w:hint="eastAsia" w:asciiTheme="minorEastAsia" w:hAnsiTheme="minorEastAsia" w:eastAsiaTheme="minorEastAsia" w:cstheme="minorEastAsia"/>
          <w:b/>
          <w:bCs/>
          <w:color w:val="auto"/>
          <w:sz w:val="24"/>
          <w:szCs w:val="22"/>
        </w:rPr>
      </w:pPr>
      <w:r>
        <w:rPr>
          <w:rFonts w:hint="eastAsia" w:asciiTheme="minorEastAsia" w:hAnsiTheme="minorEastAsia" w:eastAsiaTheme="minorEastAsia" w:cstheme="minorEastAsia"/>
          <w:b/>
          <w:bCs/>
          <w:color w:val="auto"/>
          <w:sz w:val="24"/>
          <w:szCs w:val="22"/>
        </w:rPr>
        <w:t>6、定标</w:t>
      </w:r>
      <w:bookmarkEnd w:id="144"/>
      <w:bookmarkStart w:id="145" w:name="_Toc217446061"/>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6.1. 定标原则</w:t>
      </w:r>
      <w:bookmarkEnd w:id="145"/>
      <w:r>
        <w:rPr>
          <w:rFonts w:hint="eastAsia" w:asciiTheme="minorEastAsia" w:hAnsiTheme="minorEastAsia" w:eastAsiaTheme="minorEastAsia" w:cstheme="minorEastAsia"/>
          <w:color w:val="auto"/>
          <w:sz w:val="24"/>
        </w:rPr>
        <w:t>：本项目根据评标委员会推荐的中标候选供应商名单，按顺序确定中标供应商。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bookmarkStart w:id="146" w:name="_Toc217446062"/>
      <w:r>
        <w:rPr>
          <w:rFonts w:hint="eastAsia" w:asciiTheme="minorEastAsia" w:hAnsiTheme="minorEastAsia" w:eastAsiaTheme="minorEastAsia" w:cstheme="minorEastAsia"/>
          <w:color w:val="auto"/>
          <w:sz w:val="24"/>
        </w:rPr>
        <w:t>6.2. 定标程序</w:t>
      </w:r>
      <w:bookmarkEnd w:id="146"/>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6.2.1 评标委员会将评标情况写出书面报告，推荐中标候选供应商。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6.2.2 采购代理机构在评标结束后2个工作日内将评标报告送采购人。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6.2.3 采购人在收到评标报告后5个工作日内，按照评标报告中推荐的中标候选供应商顺序确定中标供应商。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供应商。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供应商。（注：投标人为不发达地区和少数民族地区，评审得分且技术指标分项得分均相同的，评标委员会优先推荐企业注册地在不发达地区和少数民族地区的投标人）</w:t>
      </w:r>
    </w:p>
    <w:p>
      <w:pPr>
        <w:spacing w:before="120" w:beforeLines="50" w:after="120" w:afterLines="50" w:line="400" w:lineRule="exact"/>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注意，采购人按照推荐的中标候选供应商顺序确定中标供应商，不能认为采购人只能确定第一中标候选供应商为中标供应商，采购人有正当理由的，可以确定后一顺序中标候选供应商为中标供应商，依次类推。</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6.2.4 根据采购人确定的中标供应商，采购代理机构在四川政府采购网上发布中标公告，在四川政府采购网公告中标结果同时发出中标通知书，中标</w:t>
      </w:r>
      <w:r>
        <w:rPr>
          <w:rFonts w:hint="eastAsia" w:asciiTheme="minorEastAsia" w:hAnsiTheme="minorEastAsia" w:eastAsiaTheme="minorEastAsia" w:cstheme="minorEastAsia"/>
          <w:color w:val="auto"/>
          <w:sz w:val="24"/>
          <w:lang w:eastAsia="zh-CN"/>
        </w:rPr>
        <w:t>认</w:t>
      </w:r>
      <w:r>
        <w:rPr>
          <w:rFonts w:hint="eastAsia" w:asciiTheme="minorEastAsia" w:hAnsiTheme="minorEastAsia" w:eastAsiaTheme="minorEastAsia" w:cstheme="minorEastAsia"/>
          <w:color w:val="auto"/>
          <w:sz w:val="24"/>
        </w:rPr>
        <w:t>自行登录政府采购云平台下载中标通知书。</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6.2.5 招标采购单位不退回投标人投标文件和其他投标资料。</w:t>
      </w:r>
    </w:p>
    <w:p>
      <w:pPr>
        <w:pStyle w:val="4"/>
        <w:spacing w:before="120" w:beforeLines="50" w:after="120" w:afterLines="50" w:line="400" w:lineRule="exact"/>
        <w:ind w:firstLine="482" w:firstLineChars="200"/>
        <w:rPr>
          <w:rFonts w:hint="eastAsia" w:asciiTheme="minorEastAsia" w:hAnsiTheme="minorEastAsia" w:eastAsiaTheme="minorEastAsia" w:cstheme="minorEastAsia"/>
          <w:bCs w:val="0"/>
          <w:color w:val="auto"/>
          <w:sz w:val="24"/>
          <w:szCs w:val="24"/>
        </w:rPr>
      </w:pPr>
      <w:bookmarkStart w:id="147" w:name="_Toc183582297"/>
      <w:bookmarkStart w:id="148" w:name="_Toc217446105"/>
      <w:bookmarkStart w:id="149" w:name="_Toc183682432"/>
      <w:bookmarkStart w:id="150" w:name="_Toc208849022"/>
      <w:r>
        <w:rPr>
          <w:rFonts w:hint="eastAsia" w:asciiTheme="minorEastAsia" w:hAnsiTheme="minorEastAsia" w:eastAsiaTheme="minorEastAsia" w:cstheme="minorEastAsia"/>
          <w:bCs w:val="0"/>
          <w:color w:val="auto"/>
          <w:sz w:val="24"/>
          <w:szCs w:val="24"/>
        </w:rPr>
        <w:t xml:space="preserve">7. </w:t>
      </w:r>
      <w:bookmarkEnd w:id="147"/>
      <w:bookmarkEnd w:id="148"/>
      <w:bookmarkEnd w:id="149"/>
      <w:bookmarkEnd w:id="150"/>
      <w:r>
        <w:rPr>
          <w:rFonts w:hint="eastAsia" w:asciiTheme="minorEastAsia" w:hAnsiTheme="minorEastAsia" w:eastAsiaTheme="minorEastAsia" w:cstheme="minorEastAsia"/>
          <w:color w:val="auto"/>
          <w:sz w:val="24"/>
          <w:szCs w:val="24"/>
        </w:rPr>
        <w:t>评标专家在</w:t>
      </w:r>
      <w:r>
        <w:rPr>
          <w:rFonts w:hint="eastAsia" w:asciiTheme="minorEastAsia" w:hAnsiTheme="minorEastAsia" w:eastAsiaTheme="minorEastAsia" w:cstheme="minorEastAsia"/>
          <w:color w:val="auto"/>
          <w:sz w:val="24"/>
        </w:rPr>
        <w:t>政府采购活动</w:t>
      </w:r>
      <w:r>
        <w:rPr>
          <w:rFonts w:hint="eastAsia" w:asciiTheme="minorEastAsia" w:hAnsiTheme="minorEastAsia" w:eastAsiaTheme="minorEastAsia" w:cstheme="minorEastAsia"/>
          <w:color w:val="auto"/>
          <w:sz w:val="24"/>
          <w:szCs w:val="24"/>
        </w:rPr>
        <w:t>中承担以下义务：</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 xml:space="preserve">（一）遵守评审工作纪律； </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（二）按照客观、公正、审慎的原则，根据采购文件规定的评审程序、评审方法和评审标准进行独立评审；</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（三）不得泄露评审文件、评审情况和在评审过程中获悉的商业秘密；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（四）及时向监督部门报告评审过程中采购组织单位向评审专家做倾向性、误导性的解释或者说明，供应商行贿、提供虚假材料或者串通、受到的非法干预情况等违法违规行为；</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（五）发现采购文件内容违反国家有关强制性规定或者存在歧义、重大缺陷导致评审工作无法进行时，停止评审并向采购组织单位书面说明情况；</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（六）配合答复处理供应商的询问、质疑和投诉等事项；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（七）法律、法规和规章规定的其他义务。</w:t>
      </w:r>
    </w:p>
    <w:p>
      <w:pPr>
        <w:pStyle w:val="4"/>
        <w:spacing w:before="120" w:beforeLines="50" w:after="120" w:afterLines="50" w:line="400" w:lineRule="exact"/>
        <w:ind w:firstLine="482" w:firstLineChars="200"/>
        <w:rPr>
          <w:rFonts w:hint="eastAsia"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t>8.评标专家在政府采购活动中应当遵守以下工作纪律：</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rPr>
        <w:t>（一）遵行《政府采购法》第十二条和《政府采购法实施条例》第九条及财政部关于回避的规定。</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（二）评标前，应当将通讯工具或者相关电子设备交由招标采购单位统一保管。</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（三）评标过程中，不得与外界联系，因发生不可预见情况，确实需要与外界联系的，应当在监督人员监督之下办理。</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（五）在评标过程中和评标结束后，不得记录、复制或带走任何评标资料，除因规定的义务外，不得向外界透露评标内容。</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（六）服从评标现场招标采购单位的现场秩序管理，接受评标现场监督人员的合法监督。</w:t>
      </w:r>
    </w:p>
    <w:p>
      <w:pPr>
        <w:spacing w:before="120" w:beforeLines="50" w:after="120" w:afterLines="50" w:line="4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（七）遵守有关廉洁自律规定，不得私下接触供应商，不得收受供应商及有关业务单位和个人的财物或好处，不得接受采购组织单位的请托。</w:t>
      </w:r>
    </w:p>
    <w:p>
      <w:pPr>
        <w:pStyle w:val="43"/>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36"/>
          <w:szCs w:val="36"/>
        </w:rPr>
        <w:br w:type="page"/>
      </w:r>
      <w:bookmarkStart w:id="151" w:name="_Toc16512"/>
      <w:bookmarkStart w:id="152" w:name="_Toc7388"/>
      <w:bookmarkStart w:id="153" w:name="_Toc16429"/>
      <w:r>
        <w:rPr>
          <w:rFonts w:hint="eastAsia" w:asciiTheme="minorEastAsia" w:hAnsiTheme="minorEastAsia" w:eastAsiaTheme="minorEastAsia" w:cstheme="minorEastAsia"/>
          <w:color w:val="auto"/>
        </w:rPr>
        <w:t>第</w:t>
      </w:r>
      <w:r>
        <w:rPr>
          <w:rFonts w:hint="eastAsia" w:asciiTheme="minorEastAsia" w:hAnsiTheme="minorEastAsia" w:eastAsiaTheme="minorEastAsia" w:cstheme="minorEastAsia"/>
          <w:color w:val="auto"/>
          <w:lang w:eastAsia="zh-CN"/>
        </w:rPr>
        <w:t>八</w:t>
      </w:r>
      <w:r>
        <w:rPr>
          <w:rFonts w:hint="eastAsia" w:asciiTheme="minorEastAsia" w:hAnsiTheme="minorEastAsia" w:eastAsiaTheme="minorEastAsia" w:cstheme="minorEastAsia"/>
          <w:color w:val="auto"/>
        </w:rPr>
        <w:t>章  合同主要条款（范本）</w:t>
      </w:r>
      <w:bookmarkEnd w:id="151"/>
      <w:bookmarkEnd w:id="152"/>
      <w:bookmarkEnd w:id="153"/>
    </w:p>
    <w:p>
      <w:pPr>
        <w:snapToGrid w:val="0"/>
        <w:spacing w:line="360" w:lineRule="auto"/>
        <w:ind w:firstLine="634" w:firstLineChars="200"/>
        <w:jc w:val="center"/>
        <w:rPr>
          <w:rFonts w:hint="eastAsia" w:ascii="宋体" w:hAnsi="宋体" w:eastAsia="宋体" w:cs="宋体"/>
          <w:b/>
          <w:bCs/>
          <w:color w:val="000000"/>
          <w:spacing w:val="8"/>
          <w:sz w:val="30"/>
          <w:szCs w:val="30"/>
          <w:lang w:val="zh-CN"/>
        </w:rPr>
      </w:pPr>
      <w:r>
        <w:rPr>
          <w:rFonts w:hint="eastAsia" w:ascii="宋体" w:hAnsi="宋体" w:eastAsia="宋体" w:cs="宋体"/>
          <w:b/>
          <w:bCs/>
          <w:color w:val="000000"/>
          <w:spacing w:val="8"/>
          <w:sz w:val="30"/>
          <w:szCs w:val="30"/>
          <w:lang w:val="zh-CN"/>
        </w:rPr>
        <w:t>采购合同模板</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采购人(甲方)：</w:t>
      </w:r>
      <w:r>
        <w:rPr>
          <w:rFonts w:hint="eastAsia" w:ascii="宋体" w:hAnsi="宋体" w:eastAsia="宋体" w:cs="宋体"/>
          <w:b w:val="0"/>
          <w:bCs/>
          <w:color w:val="auto"/>
          <w:kern w:val="2"/>
          <w:sz w:val="24"/>
          <w:szCs w:val="24"/>
          <w:u w:val="single"/>
        </w:rPr>
        <w:t>成都市金牛区市场监督管理局</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供应商(乙方)：</w:t>
      </w:r>
    </w:p>
    <w:p>
      <w:pPr>
        <w:spacing w:line="360" w:lineRule="auto"/>
        <w:ind w:firstLine="480" w:firstLineChars="200"/>
        <w:rPr>
          <w:rFonts w:hint="eastAsia" w:ascii="宋体" w:hAnsi="宋体" w:eastAsia="宋体" w:cs="宋体"/>
          <w:b w:val="0"/>
          <w:bCs/>
          <w:color w:val="auto"/>
          <w:kern w:val="2"/>
          <w:sz w:val="24"/>
          <w:szCs w:val="24"/>
          <w:lang w:val="en-US" w:eastAsia="zh-CN"/>
        </w:rPr>
      </w:pPr>
      <w:r>
        <w:rPr>
          <w:rFonts w:hint="eastAsia" w:ascii="宋体" w:hAnsi="宋体" w:eastAsia="宋体" w:cs="宋体"/>
          <w:b w:val="0"/>
          <w:bCs/>
          <w:color w:val="auto"/>
          <w:kern w:val="2"/>
          <w:sz w:val="24"/>
          <w:szCs w:val="24"/>
        </w:rPr>
        <w:t>项目编号：</w:t>
      </w:r>
      <w:r>
        <w:rPr>
          <w:rFonts w:hint="eastAsia" w:ascii="宋体" w:hAnsi="宋体" w:eastAsia="宋体" w:cs="宋体"/>
          <w:b w:val="0"/>
          <w:bCs/>
          <w:color w:val="auto"/>
          <w:kern w:val="2"/>
          <w:sz w:val="24"/>
          <w:szCs w:val="24"/>
          <w:lang w:val="en-US" w:eastAsia="zh-CN"/>
        </w:rPr>
        <w:t xml:space="preserve"> </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签订地点：成都市金牛区市场监督管理局</w:t>
      </w:r>
    </w:p>
    <w:p>
      <w:pPr>
        <w:spacing w:line="360" w:lineRule="auto"/>
        <w:ind w:firstLine="480" w:firstLineChars="200"/>
        <w:rPr>
          <w:rFonts w:hint="eastAsia" w:ascii="宋体" w:hAnsi="宋体" w:eastAsia="宋体" w:cs="宋体"/>
          <w:kern w:val="2"/>
          <w:sz w:val="24"/>
          <w:szCs w:val="24"/>
        </w:rPr>
      </w:pPr>
      <w:r>
        <w:rPr>
          <w:rFonts w:hint="eastAsia" w:ascii="宋体" w:hAnsi="宋体" w:eastAsia="宋体" w:cs="宋体"/>
          <w:b w:val="0"/>
          <w:bCs/>
          <w:color w:val="auto"/>
          <w:kern w:val="2"/>
          <w:sz w:val="24"/>
          <w:szCs w:val="24"/>
        </w:rPr>
        <w:t>签订时间：202</w:t>
      </w:r>
      <w:r>
        <w:rPr>
          <w:rFonts w:hint="eastAsia" w:ascii="宋体" w:hAnsi="宋体" w:eastAsia="宋体" w:cs="宋体"/>
          <w:b w:val="0"/>
          <w:bCs/>
          <w:color w:val="auto"/>
          <w:kern w:val="2"/>
          <w:sz w:val="24"/>
          <w:szCs w:val="24"/>
          <w:lang w:val="en-US" w:eastAsia="zh-CN"/>
        </w:rPr>
        <w:t>1</w:t>
      </w:r>
      <w:r>
        <w:rPr>
          <w:rFonts w:hint="eastAsia" w:ascii="宋体" w:hAnsi="宋体" w:eastAsia="宋体" w:cs="宋体"/>
          <w:b w:val="0"/>
          <w:bCs/>
          <w:color w:val="auto"/>
          <w:kern w:val="2"/>
          <w:sz w:val="24"/>
          <w:szCs w:val="24"/>
        </w:rPr>
        <w:t>年</w:t>
      </w:r>
      <w:r>
        <w:rPr>
          <w:rFonts w:hint="eastAsia" w:ascii="宋体" w:hAnsi="宋体" w:eastAsia="宋体" w:cs="宋体"/>
          <w:b w:val="0"/>
          <w:bCs/>
          <w:color w:val="auto"/>
          <w:kern w:val="2"/>
          <w:sz w:val="24"/>
          <w:szCs w:val="24"/>
          <w:u w:val="single"/>
        </w:rPr>
        <w:t xml:space="preserve">   </w:t>
      </w:r>
      <w:r>
        <w:rPr>
          <w:rFonts w:hint="eastAsia" w:ascii="宋体" w:hAnsi="宋体" w:eastAsia="宋体" w:cs="宋体"/>
          <w:b w:val="0"/>
          <w:bCs/>
          <w:color w:val="auto"/>
          <w:kern w:val="2"/>
          <w:sz w:val="24"/>
          <w:szCs w:val="24"/>
        </w:rPr>
        <w:t>月</w:t>
      </w:r>
      <w:r>
        <w:rPr>
          <w:rFonts w:hint="eastAsia" w:ascii="宋体" w:hAnsi="宋体" w:eastAsia="宋体" w:cs="宋体"/>
          <w:b w:val="0"/>
          <w:bCs/>
          <w:color w:val="auto"/>
          <w:kern w:val="2"/>
          <w:sz w:val="24"/>
          <w:szCs w:val="24"/>
          <w:u w:val="single"/>
        </w:rPr>
        <w:t xml:space="preserve">   </w:t>
      </w:r>
      <w:r>
        <w:rPr>
          <w:rFonts w:hint="eastAsia" w:ascii="宋体" w:hAnsi="宋体" w:eastAsia="宋体" w:cs="宋体"/>
          <w:b w:val="0"/>
          <w:bCs/>
          <w:color w:val="auto"/>
          <w:kern w:val="2"/>
          <w:sz w:val="24"/>
          <w:szCs w:val="24"/>
        </w:rPr>
        <w:t>日</w:t>
      </w:r>
    </w:p>
    <w:p>
      <w:pPr>
        <w:spacing w:line="360" w:lineRule="auto"/>
        <w:ind w:firstLine="480" w:firstLineChars="200"/>
        <w:rPr>
          <w:rFonts w:hint="eastAsia" w:ascii="宋体" w:hAnsi="宋体" w:eastAsia="宋体" w:cs="宋体"/>
          <w:kern w:val="2"/>
          <w:sz w:val="24"/>
          <w:szCs w:val="24"/>
        </w:rPr>
      </w:pPr>
      <w:bookmarkStart w:id="154" w:name="_Hlk483467872"/>
      <w:r>
        <w:rPr>
          <w:rFonts w:hint="eastAsia" w:ascii="宋体" w:hAnsi="宋体" w:eastAsia="宋体" w:cs="宋体"/>
          <w:b w:val="0"/>
          <w:bCs/>
          <w:color w:val="auto"/>
          <w:kern w:val="2"/>
          <w:sz w:val="24"/>
          <w:szCs w:val="24"/>
        </w:rPr>
        <w:t>依据《中华人民共和国</w:t>
      </w:r>
      <w:r>
        <w:rPr>
          <w:rFonts w:hint="eastAsia" w:ascii="宋体" w:hAnsi="宋体" w:eastAsia="宋体" w:cs="宋体"/>
          <w:b w:val="0"/>
          <w:bCs/>
          <w:color w:val="auto"/>
          <w:kern w:val="2"/>
          <w:sz w:val="24"/>
          <w:szCs w:val="24"/>
          <w:highlight w:val="none"/>
          <w:lang w:val="en-US" w:eastAsia="zh-CN"/>
        </w:rPr>
        <w:t>民</w:t>
      </w:r>
      <w:r>
        <w:rPr>
          <w:rFonts w:hint="eastAsia" w:ascii="宋体" w:hAnsi="宋体" w:eastAsia="宋体" w:cs="宋体"/>
          <w:b w:val="0"/>
          <w:bCs/>
          <w:color w:val="auto"/>
          <w:kern w:val="2"/>
          <w:sz w:val="24"/>
          <w:szCs w:val="24"/>
          <w:highlight w:val="none"/>
        </w:rPr>
        <w:t>法</w:t>
      </w:r>
      <w:r>
        <w:rPr>
          <w:rFonts w:hint="eastAsia" w:hAnsi="宋体" w:cs="宋体"/>
          <w:b w:val="0"/>
          <w:bCs/>
          <w:color w:val="auto"/>
          <w:kern w:val="2"/>
          <w:sz w:val="24"/>
          <w:szCs w:val="24"/>
          <w:highlight w:val="none"/>
          <w:lang w:eastAsia="zh-CN"/>
        </w:rPr>
        <w:t>典</w:t>
      </w:r>
      <w:r>
        <w:rPr>
          <w:rFonts w:hint="eastAsia" w:ascii="宋体" w:hAnsi="宋体" w:eastAsia="宋体" w:cs="宋体"/>
          <w:b w:val="0"/>
          <w:bCs/>
          <w:color w:val="auto"/>
          <w:kern w:val="2"/>
          <w:sz w:val="24"/>
          <w:szCs w:val="24"/>
        </w:rPr>
        <w:t>》、《中华人民共和国政府采购法》、《中华人民共和国政府采购法实施条例》与项目行业有关的法律法规，以及</w:t>
      </w:r>
      <w:r>
        <w:rPr>
          <w:rFonts w:hint="eastAsia" w:ascii="宋体" w:hAnsi="宋体" w:eastAsia="宋体" w:cs="宋体"/>
          <w:b w:val="0"/>
          <w:bCs/>
          <w:kern w:val="2"/>
          <w:sz w:val="24"/>
          <w:szCs w:val="24"/>
          <w:highlight w:val="none"/>
          <w:lang w:val="en-US" w:eastAsia="zh-CN" w:bidi="ar-SA"/>
        </w:rPr>
        <w:t>成都市金牛区市场监督管理局2021年第二次食品安全抽检监测服务项目</w:t>
      </w:r>
      <w:r>
        <w:rPr>
          <w:rFonts w:hint="eastAsia" w:ascii="宋体" w:hAnsi="宋体" w:eastAsia="宋体" w:cs="宋体"/>
          <w:b w:val="0"/>
          <w:bCs/>
          <w:color w:val="auto"/>
          <w:kern w:val="2"/>
          <w:sz w:val="24"/>
          <w:szCs w:val="24"/>
        </w:rPr>
        <w:t>(项目编号：</w:t>
      </w:r>
      <w:r>
        <w:rPr>
          <w:rFonts w:hint="eastAsia" w:ascii="宋体" w:hAnsi="宋体" w:eastAsia="宋体" w:cs="宋体"/>
          <w:b w:val="0"/>
          <w:bCs/>
          <w:color w:val="auto"/>
          <w:kern w:val="2"/>
          <w:sz w:val="24"/>
          <w:szCs w:val="24"/>
          <w:lang w:val="en-US" w:eastAsia="zh-CN"/>
        </w:rPr>
        <w:t xml:space="preserve">   </w:t>
      </w:r>
      <w:r>
        <w:rPr>
          <w:rFonts w:hint="eastAsia" w:ascii="宋体" w:hAnsi="宋体" w:eastAsia="宋体" w:cs="宋体"/>
          <w:b w:val="0"/>
          <w:bCs/>
          <w:color w:val="auto"/>
          <w:kern w:val="2"/>
          <w:sz w:val="24"/>
          <w:szCs w:val="24"/>
        </w:rPr>
        <w:t>)</w:t>
      </w:r>
      <w:r>
        <w:rPr>
          <w:rFonts w:hint="eastAsia" w:ascii="Calibri" w:eastAsia="宋体" w:cs="宋体"/>
          <w:b w:val="0"/>
          <w:bCs/>
          <w:color w:val="auto"/>
          <w:kern w:val="2"/>
          <w:sz w:val="24"/>
          <w:szCs w:val="24"/>
          <w:lang w:eastAsia="zh-CN"/>
        </w:rPr>
        <w:t>（包件号及名称：</w:t>
      </w:r>
      <w:r>
        <w:rPr>
          <w:rFonts w:hint="eastAsia" w:ascii="Calibri" w:eastAsia="宋体" w:cs="宋体"/>
          <w:b w:val="0"/>
          <w:bCs/>
          <w:color w:val="auto"/>
          <w:kern w:val="2"/>
          <w:sz w:val="24"/>
          <w:szCs w:val="24"/>
          <w:lang w:val="en-US" w:eastAsia="zh-CN"/>
        </w:rPr>
        <w:t xml:space="preserve">    </w:t>
      </w:r>
      <w:r>
        <w:rPr>
          <w:rFonts w:hint="eastAsia" w:ascii="Calibri"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的《招标文件》，乙方的《投标文件》及《中标通知书》，甲、乙双方同意签订本合同</w:t>
      </w:r>
      <w:bookmarkEnd w:id="154"/>
      <w:r>
        <w:rPr>
          <w:rFonts w:hint="eastAsia" w:ascii="宋体" w:hAnsi="宋体" w:eastAsia="宋体" w:cs="宋体"/>
          <w:b w:val="0"/>
          <w:bCs/>
          <w:color w:val="auto"/>
          <w:kern w:val="2"/>
          <w:sz w:val="24"/>
          <w:szCs w:val="24"/>
        </w:rPr>
        <w:t>。详细技术说明及其他有关合同项目的特定信息由合同附件予以说明，合同附件及本项目的《招标文件》、《投标文件》、《中标通知书》等均为本合同的组成部分。</w:t>
      </w:r>
    </w:p>
    <w:p>
      <w:pPr>
        <w:spacing w:line="360" w:lineRule="auto"/>
        <w:ind w:firstLine="480" w:firstLineChars="200"/>
        <w:rPr>
          <w:rFonts w:hint="eastAsia" w:ascii="宋体" w:hAnsi="宋体" w:eastAsia="宋体" w:cs="宋体"/>
          <w:b w:val="0"/>
          <w:bCs/>
          <w:color w:val="auto"/>
          <w:kern w:val="2"/>
          <w:sz w:val="24"/>
          <w:szCs w:val="24"/>
        </w:rPr>
      </w:pPr>
      <w:bookmarkStart w:id="155" w:name="_Toc211854449"/>
      <w:bookmarkStart w:id="156" w:name="_Toc282696226"/>
      <w:bookmarkStart w:id="157" w:name="_Toc241833903"/>
      <w:bookmarkStart w:id="158" w:name="_Toc239568418"/>
      <w:bookmarkStart w:id="159" w:name="_Toc251768862"/>
      <w:bookmarkStart w:id="160" w:name="_Toc212019594"/>
      <w:bookmarkStart w:id="161" w:name="_Toc237145406"/>
      <w:bookmarkStart w:id="162" w:name="_Toc225654644"/>
      <w:bookmarkStart w:id="163" w:name="_Toc286993786"/>
      <w:bookmarkStart w:id="164" w:name="_Toc238984975"/>
      <w:bookmarkStart w:id="165" w:name="_Toc239233914"/>
      <w:bookmarkStart w:id="166" w:name="_Toc185395249"/>
      <w:bookmarkStart w:id="167" w:name="_Toc211911348"/>
      <w:bookmarkStart w:id="168" w:name="_Toc225670751"/>
      <w:bookmarkStart w:id="169" w:name="_Toc247334841"/>
      <w:bookmarkStart w:id="170" w:name="_Toc225244852"/>
      <w:bookmarkStart w:id="171" w:name="_Toc232492928"/>
      <w:bookmarkStart w:id="172" w:name="_Toc283019214"/>
      <w:r>
        <w:rPr>
          <w:rFonts w:hint="eastAsia" w:ascii="宋体" w:hAnsi="宋体" w:eastAsia="宋体" w:cs="宋体"/>
          <w:b w:val="0"/>
          <w:bCs/>
          <w:color w:val="auto"/>
          <w:kern w:val="2"/>
          <w:sz w:val="24"/>
          <w:szCs w:val="24"/>
        </w:rPr>
        <w:t>第一条 项目基本情况</w:t>
      </w:r>
    </w:p>
    <w:p>
      <w:pPr>
        <w:spacing w:line="360" w:lineRule="auto"/>
        <w:ind w:firstLine="480" w:firstLineChars="200"/>
        <w:rPr>
          <w:rFonts w:hint="eastAsia" w:ascii="宋体" w:hAnsi="宋体" w:eastAsia="宋体" w:cs="宋体"/>
          <w:b w:val="0"/>
          <w:bCs/>
          <w:kern w:val="2"/>
          <w:sz w:val="24"/>
          <w:szCs w:val="24"/>
          <w:highlight w:val="none"/>
          <w:lang w:val="en-US" w:eastAsia="zh-CN" w:bidi="ar-SA"/>
        </w:rPr>
      </w:pPr>
      <w:r>
        <w:rPr>
          <w:rFonts w:hint="eastAsia" w:ascii="宋体" w:hAnsi="宋体" w:eastAsia="宋体" w:cs="宋体"/>
          <w:b w:val="0"/>
          <w:bCs/>
          <w:color w:val="auto"/>
          <w:kern w:val="2"/>
          <w:sz w:val="24"/>
          <w:szCs w:val="24"/>
        </w:rPr>
        <w:t>1、项目名称：</w:t>
      </w:r>
      <w:r>
        <w:rPr>
          <w:rFonts w:hint="eastAsia" w:ascii="宋体" w:hAnsi="宋体" w:eastAsia="宋体" w:cs="宋体"/>
          <w:b w:val="0"/>
          <w:bCs/>
          <w:kern w:val="2"/>
          <w:sz w:val="24"/>
          <w:szCs w:val="24"/>
          <w:highlight w:val="none"/>
          <w:lang w:val="en-US" w:eastAsia="zh-CN" w:bidi="ar-SA"/>
        </w:rPr>
        <w:t>成都市金牛区市场监督管理局2021年第二次食品安全抽检监测服务项目</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2、项目编号：</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第二条 合同期限</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u w:val="single"/>
        </w:rPr>
        <w:t>202</w:t>
      </w:r>
      <w:r>
        <w:rPr>
          <w:rFonts w:hint="eastAsia" w:ascii="宋体" w:hAnsi="宋体" w:eastAsia="宋体" w:cs="宋体"/>
          <w:b w:val="0"/>
          <w:bCs/>
          <w:color w:val="auto"/>
          <w:kern w:val="2"/>
          <w:sz w:val="24"/>
          <w:szCs w:val="24"/>
          <w:u w:val="single"/>
          <w:lang w:val="en-US" w:eastAsia="zh-CN"/>
        </w:rPr>
        <w:t>1</w:t>
      </w:r>
      <w:r>
        <w:rPr>
          <w:rFonts w:hint="eastAsia" w:ascii="宋体" w:hAnsi="宋体" w:eastAsia="宋体" w:cs="宋体"/>
          <w:b w:val="0"/>
          <w:bCs/>
          <w:i w:val="0"/>
          <w:iCs w:val="0"/>
          <w:color w:val="auto"/>
          <w:kern w:val="2"/>
          <w:sz w:val="24"/>
          <w:szCs w:val="24"/>
          <w:u w:val="none"/>
        </w:rPr>
        <w:t>年</w:t>
      </w:r>
      <w:r>
        <w:rPr>
          <w:rFonts w:hint="eastAsia" w:ascii="宋体" w:hAnsi="宋体" w:eastAsia="宋体" w:cs="宋体"/>
          <w:b w:val="0"/>
          <w:bCs/>
          <w:color w:val="auto"/>
          <w:kern w:val="2"/>
          <w:sz w:val="24"/>
          <w:szCs w:val="24"/>
          <w:u w:val="single"/>
        </w:rPr>
        <w:t>xx</w:t>
      </w:r>
      <w:r>
        <w:rPr>
          <w:rFonts w:hint="eastAsia" w:ascii="宋体" w:hAnsi="宋体" w:eastAsia="宋体" w:cs="宋体"/>
          <w:b w:val="0"/>
          <w:bCs/>
          <w:color w:val="auto"/>
          <w:kern w:val="2"/>
          <w:sz w:val="24"/>
          <w:szCs w:val="24"/>
        </w:rPr>
        <w:t>月</w:t>
      </w:r>
      <w:r>
        <w:rPr>
          <w:rFonts w:hint="eastAsia" w:ascii="宋体" w:hAnsi="宋体" w:eastAsia="宋体" w:cs="宋体"/>
          <w:b w:val="0"/>
          <w:bCs/>
          <w:color w:val="auto"/>
          <w:kern w:val="2"/>
          <w:sz w:val="24"/>
          <w:szCs w:val="24"/>
          <w:u w:val="single"/>
        </w:rPr>
        <w:t>xx</w:t>
      </w:r>
      <w:r>
        <w:rPr>
          <w:rFonts w:hint="eastAsia" w:ascii="宋体" w:hAnsi="宋体" w:eastAsia="宋体" w:cs="宋体"/>
          <w:b w:val="0"/>
          <w:bCs/>
          <w:color w:val="auto"/>
          <w:kern w:val="2"/>
          <w:sz w:val="24"/>
          <w:szCs w:val="24"/>
        </w:rPr>
        <w:t>日至</w:t>
      </w:r>
      <w:r>
        <w:rPr>
          <w:rFonts w:hint="eastAsia" w:ascii="宋体" w:hAnsi="宋体" w:eastAsia="宋体" w:cs="宋体"/>
          <w:b w:val="0"/>
          <w:bCs/>
          <w:color w:val="auto"/>
          <w:kern w:val="2"/>
          <w:sz w:val="24"/>
          <w:szCs w:val="24"/>
          <w:u w:val="single"/>
        </w:rPr>
        <w:t xml:space="preserve"> 202</w:t>
      </w:r>
      <w:r>
        <w:rPr>
          <w:rFonts w:hint="eastAsia" w:ascii="宋体" w:hAnsi="宋体" w:eastAsia="宋体" w:cs="宋体"/>
          <w:b w:val="0"/>
          <w:bCs/>
          <w:color w:val="auto"/>
          <w:kern w:val="2"/>
          <w:sz w:val="24"/>
          <w:szCs w:val="24"/>
          <w:u w:val="single"/>
          <w:lang w:val="en-US" w:eastAsia="zh-CN"/>
        </w:rPr>
        <w:t>2</w:t>
      </w:r>
      <w:r>
        <w:rPr>
          <w:rFonts w:hint="eastAsia" w:ascii="宋体" w:hAnsi="宋体" w:eastAsia="宋体" w:cs="宋体"/>
          <w:b w:val="0"/>
          <w:bCs/>
          <w:color w:val="auto"/>
          <w:kern w:val="2"/>
          <w:sz w:val="24"/>
          <w:szCs w:val="24"/>
        </w:rPr>
        <w:t>年</w:t>
      </w:r>
      <w:r>
        <w:rPr>
          <w:rFonts w:hint="eastAsia" w:ascii="宋体" w:hAnsi="宋体" w:eastAsia="宋体" w:cs="宋体"/>
          <w:b w:val="0"/>
          <w:bCs/>
          <w:color w:val="auto"/>
          <w:kern w:val="2"/>
          <w:sz w:val="24"/>
          <w:szCs w:val="24"/>
          <w:u w:val="single"/>
        </w:rPr>
        <w:t>xx</w:t>
      </w:r>
      <w:r>
        <w:rPr>
          <w:rFonts w:hint="eastAsia" w:ascii="宋体" w:hAnsi="宋体" w:eastAsia="宋体" w:cs="宋体"/>
          <w:b w:val="0"/>
          <w:bCs/>
          <w:color w:val="auto"/>
          <w:kern w:val="2"/>
          <w:sz w:val="24"/>
          <w:szCs w:val="24"/>
        </w:rPr>
        <w:t>月</w:t>
      </w:r>
      <w:r>
        <w:rPr>
          <w:rFonts w:hint="eastAsia" w:ascii="宋体" w:hAnsi="宋体" w:eastAsia="宋体" w:cs="宋体"/>
          <w:b w:val="0"/>
          <w:bCs/>
          <w:color w:val="auto"/>
          <w:kern w:val="2"/>
          <w:sz w:val="24"/>
          <w:szCs w:val="24"/>
          <w:u w:val="single"/>
        </w:rPr>
        <w:t>xx</w:t>
      </w:r>
      <w:r>
        <w:rPr>
          <w:rFonts w:hint="eastAsia" w:ascii="宋体" w:hAnsi="宋体" w:eastAsia="宋体" w:cs="宋体"/>
          <w:b w:val="0"/>
          <w:bCs/>
          <w:color w:val="auto"/>
          <w:kern w:val="2"/>
          <w:sz w:val="24"/>
          <w:szCs w:val="24"/>
        </w:rPr>
        <w:t>日。</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第三条 服务内容与质量标准</w:t>
      </w:r>
    </w:p>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Pr>
        <w:spacing w:line="360" w:lineRule="auto"/>
        <w:ind w:firstLine="480" w:firstLineChars="200"/>
        <w:rPr>
          <w:rFonts w:hint="eastAsia" w:ascii="宋体" w:hAnsi="宋体" w:eastAsia="宋体" w:cs="宋体"/>
          <w:b w:val="0"/>
          <w:bCs/>
          <w:color w:val="auto"/>
          <w:kern w:val="2"/>
          <w:sz w:val="24"/>
          <w:szCs w:val="24"/>
        </w:rPr>
      </w:pPr>
    </w:p>
    <w:p>
      <w:pPr>
        <w:spacing w:line="360" w:lineRule="auto"/>
        <w:ind w:firstLine="480" w:firstLineChars="2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第四条 服务费用及支付方式</w:t>
      </w:r>
    </w:p>
    <w:p>
      <w:pPr>
        <w:spacing w:line="360" w:lineRule="auto"/>
        <w:ind w:firstLine="482" w:firstLineChars="200"/>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（一）本项目服务费。</w:t>
      </w:r>
    </w:p>
    <w:p>
      <w:pPr>
        <w:spacing w:line="360" w:lineRule="auto"/>
        <w:ind w:firstLine="480" w:firstLineChars="2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1、本项目合同总价</w:t>
      </w:r>
    </w:p>
    <w:p>
      <w:pPr>
        <w:spacing w:line="360" w:lineRule="auto"/>
        <w:ind w:firstLine="480" w:firstLineChars="2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人民币大写：</w:t>
      </w:r>
      <w:r>
        <w:rPr>
          <w:rFonts w:hint="eastAsia" w:ascii="宋体" w:hAnsi="宋体" w:eastAsia="宋体" w:cs="宋体"/>
          <w:b w:val="0"/>
          <w:bCs/>
          <w:color w:val="auto"/>
          <w:sz w:val="24"/>
          <w:szCs w:val="24"/>
          <w:u w:val="single"/>
        </w:rPr>
        <w:t>xxxx元整</w:t>
      </w:r>
      <w:r>
        <w:rPr>
          <w:rFonts w:hint="eastAsia" w:ascii="宋体" w:hAnsi="宋体" w:eastAsia="宋体" w:cs="宋体"/>
          <w:b w:val="0"/>
          <w:bCs/>
          <w:color w:val="auto"/>
          <w:sz w:val="24"/>
          <w:szCs w:val="24"/>
        </w:rPr>
        <w:t>，即RMBXXXXXX元；该合同总价包括采样费、项目服务、维护、人工费用、相关辅助材料费、分析报告有关费用等其他有关该项目完工前的所有费用。</w:t>
      </w:r>
    </w:p>
    <w:p>
      <w:pPr>
        <w:spacing w:line="360" w:lineRule="auto"/>
        <w:ind w:firstLine="480" w:firstLineChars="2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2、履约保证金及付款方式            </w:t>
      </w:r>
    </w:p>
    <w:p>
      <w:pPr>
        <w:spacing w:line="360" w:lineRule="auto"/>
        <w:ind w:firstLine="480" w:firstLineChars="2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履约保证金作为违约金的一部分及用于补偿甲方因乙方不能履行合同义务而蒙受的损失。签订合同后中标供应商（乙方）须向采购人（甲方）缴纳人民币</w:t>
      </w:r>
      <w:r>
        <w:rPr>
          <w:rFonts w:hint="eastAsia" w:ascii="宋体" w:hAnsi="宋体" w:eastAsia="宋体" w:cs="宋体"/>
          <w:b w:val="0"/>
          <w:bCs/>
          <w:color w:val="auto"/>
          <w:sz w:val="24"/>
          <w:szCs w:val="24"/>
          <w:u w:val="single"/>
        </w:rPr>
        <w:t>XXXXX</w:t>
      </w:r>
      <w:r>
        <w:rPr>
          <w:rFonts w:hint="eastAsia" w:ascii="宋体" w:hAnsi="宋体" w:eastAsia="宋体" w:cs="宋体"/>
          <w:b w:val="0"/>
          <w:bCs/>
          <w:color w:val="auto"/>
          <w:sz w:val="24"/>
          <w:szCs w:val="24"/>
        </w:rPr>
        <w:t>元（大写：</w:t>
      </w:r>
      <w:r>
        <w:rPr>
          <w:rFonts w:hint="eastAsia" w:ascii="宋体" w:hAnsi="宋体" w:eastAsia="宋体" w:cs="宋体"/>
          <w:b w:val="0"/>
          <w:bCs/>
          <w:color w:val="auto"/>
          <w:sz w:val="24"/>
          <w:szCs w:val="24"/>
          <w:u w:val="single"/>
        </w:rPr>
        <w:t>XXXXXX元</w:t>
      </w:r>
      <w:r>
        <w:rPr>
          <w:rFonts w:hint="eastAsia" w:ascii="宋体" w:hAnsi="宋体" w:eastAsia="宋体" w:cs="宋体"/>
          <w:b w:val="0"/>
          <w:bCs/>
          <w:color w:val="auto"/>
          <w:sz w:val="24"/>
          <w:szCs w:val="24"/>
        </w:rPr>
        <w:t>），作为履约保证金，项目验收合格后，</w:t>
      </w:r>
      <w:r>
        <w:rPr>
          <w:rFonts w:hint="eastAsia" w:hAnsi="宋体" w:cs="宋体"/>
          <w:b w:val="0"/>
          <w:bCs/>
          <w:color w:val="auto"/>
          <w:sz w:val="24"/>
          <w:szCs w:val="24"/>
          <w:lang w:val="en-US" w:eastAsia="zh-CN"/>
        </w:rPr>
        <w:t>30</w:t>
      </w:r>
      <w:r>
        <w:rPr>
          <w:rFonts w:hint="eastAsia" w:ascii="宋体" w:hAnsi="宋体" w:eastAsia="宋体" w:cs="宋体"/>
          <w:b w:val="0"/>
          <w:bCs/>
          <w:color w:val="auto"/>
          <w:sz w:val="24"/>
          <w:szCs w:val="24"/>
        </w:rPr>
        <w:t>个工作日内由甲方无息退还乙方。</w:t>
      </w:r>
    </w:p>
    <w:p>
      <w:pPr>
        <w:spacing w:line="360" w:lineRule="auto"/>
        <w:ind w:firstLine="482" w:firstLineChars="200"/>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 xml:space="preserve">（二）服务费支付方式。 </w:t>
      </w:r>
    </w:p>
    <w:p>
      <w:pPr>
        <w:spacing w:line="360" w:lineRule="auto"/>
        <w:ind w:firstLine="480" w:firstLineChars="200"/>
        <w:rPr>
          <w:rFonts w:hint="eastAsia" w:ascii="宋体" w:hAnsi="宋体" w:eastAsia="宋体" w:cs="宋体"/>
          <w:b w:val="0"/>
          <w:bCs/>
          <w:color w:val="auto"/>
          <w:kern w:val="2"/>
          <w:sz w:val="24"/>
          <w:szCs w:val="24"/>
        </w:rPr>
      </w:pP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第五条 知识产权</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乙方应保证所提供的服务或其任何一部分均不会侵犯任何第三方的专利权、商标权或著作权。</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第六条 无产权瑕疵条款</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乙方保证所提供的服务的所有权完全属于乙方且无任何抵押、查封等产权瑕疵。如有产权瑕疵的，视为乙方违约。乙方应负担由此而产生的一切损失。</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第七条 甲方的权利和义务</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2、甲方有权依据双方签订的考评办法对乙方提供的服务进行考评。当考评结果未达到标准时，有权依据考评办法约定的数额扣除</w:t>
      </w:r>
      <w:r>
        <w:rPr>
          <w:rFonts w:hint="eastAsia" w:ascii="宋体" w:hAnsi="宋体" w:eastAsia="宋体" w:cs="宋体"/>
          <w:b w:val="0"/>
          <w:bCs/>
          <w:color w:val="auto"/>
          <w:kern w:val="2"/>
          <w:sz w:val="24"/>
          <w:szCs w:val="24"/>
          <w:lang w:eastAsia="zh-CN"/>
        </w:rPr>
        <w:t>抽检费用</w:t>
      </w:r>
      <w:r>
        <w:rPr>
          <w:rFonts w:hint="eastAsia" w:ascii="宋体" w:hAnsi="宋体" w:eastAsia="宋体" w:cs="宋体"/>
          <w:b w:val="0"/>
          <w:bCs/>
          <w:color w:val="auto"/>
          <w:kern w:val="2"/>
          <w:sz w:val="24"/>
          <w:szCs w:val="24"/>
        </w:rPr>
        <w:t>。</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3、负责检查监督乙方管理工作的实施及制度的执行情况。</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4、根据本合同规定，按时向乙方支付应付服务费用。</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5、国家法律、法规所规定由甲方承担的其它责任。</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第八条 乙方的权利和义务</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1、对本合同规定的委托服务范围内的项目享有管理权及服务义务。</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2、根据本合同的规定向甲方收取相关服务费用，并有权在本项目管理范围内管理及合理使用。</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3、及时向甲方通告本项目服务范围内有关服务的重大事项，及时配合处理投诉。</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4、接受项目行业管理部门及政府有关部门的指导，接受甲方的监督。</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5、国家法律、法规所规定由乙方承担的其它责任。</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第九条 违约责任</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1、甲乙双方必须遵守本合同并执行合同中的各项规定，保证本合同的正常履行。</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第十条 不可抗力事件处理</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1、在合同有效期内，任何一方因不可抗力事件导致不能履行合同，则合同履行期可延长，其延长期与不可抗力影响期相同。</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2、不可抗力事件发生后，应立即通知对方，并寄送有关权威机构出具的证明。</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3、不可抗力事件延续30天以上，双方应通过友好协商，确定是否继续履行合同。</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第十一条 解决合同纠纷的方式</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在协议执行期间，若发生任何争议或者未尽事宜，甲、乙双方应友好协商解决</w:t>
      </w: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 xml:space="preserve">若友好协商不能解决，任何一方可向甲方所在地的有管辖权的人民法院起诉。  </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第十二条 合同生效及其他</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1、合同经双方法定代表人或授权委托代理人签字并加盖单位公章后生效。</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2、合同执行中涉及采购资金和采购内容修改或补充的，须经政府采购监管部门审批，并签书面补充协议报政府采购监督管理部门备案，方可作为主合同不可分割的一部分。</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3、本合同一式6份，自双方签章之日起起效。甲方2份，乙方1份，政府采购代理机构2份，同级财政部门备案1份，具有同等法律效力。</w:t>
      </w:r>
    </w:p>
    <w:p>
      <w:pPr>
        <w:spacing w:line="360" w:lineRule="auto"/>
        <w:rPr>
          <w:rFonts w:hint="eastAsia" w:ascii="宋体" w:hAnsi="宋体" w:eastAsia="宋体" w:cs="宋体"/>
          <w:b w:val="0"/>
          <w:bCs/>
          <w:color w:val="auto"/>
          <w:kern w:val="2"/>
          <w:sz w:val="24"/>
          <w:szCs w:val="24"/>
        </w:rPr>
      </w:pPr>
    </w:p>
    <w:p>
      <w:pPr>
        <w:spacing w:line="360" w:lineRule="auto"/>
        <w:ind w:firstLine="482" w:firstLineChars="200"/>
        <w:rPr>
          <w:rFonts w:hint="eastAsia" w:ascii="宋体" w:hAnsi="宋体" w:eastAsia="宋体" w:cs="宋体"/>
          <w:b w:val="0"/>
          <w:bCs/>
          <w:color w:val="auto"/>
          <w:kern w:val="2"/>
          <w:sz w:val="24"/>
          <w:szCs w:val="24"/>
        </w:rPr>
      </w:pPr>
      <w:r>
        <w:rPr>
          <w:rFonts w:hint="eastAsia" w:ascii="宋体" w:hAnsi="宋体" w:eastAsia="宋体" w:cs="宋体"/>
          <w:b/>
          <w:bCs w:val="0"/>
          <w:color w:val="auto"/>
          <w:kern w:val="2"/>
          <w:sz w:val="24"/>
          <w:szCs w:val="24"/>
        </w:rPr>
        <w:t xml:space="preserve"> 甲 方：</w:t>
      </w:r>
      <w:r>
        <w:rPr>
          <w:rFonts w:hint="eastAsia" w:ascii="宋体" w:hAnsi="宋体" w:eastAsia="宋体" w:cs="宋体"/>
          <w:b w:val="0"/>
          <w:bCs/>
          <w:color w:val="auto"/>
          <w:kern w:val="2"/>
          <w:sz w:val="24"/>
          <w:szCs w:val="24"/>
        </w:rPr>
        <w:t xml:space="preserve">成都市金牛区                  </w:t>
      </w:r>
      <w:r>
        <w:rPr>
          <w:rFonts w:hint="eastAsia" w:ascii="宋体" w:hAnsi="宋体" w:eastAsia="宋体" w:cs="宋体"/>
          <w:b w:val="0"/>
          <w:bCs/>
          <w:color w:val="auto"/>
          <w:kern w:val="2"/>
          <w:sz w:val="24"/>
          <w:szCs w:val="24"/>
          <w:lang w:val="en-US" w:eastAsia="zh-CN"/>
        </w:rPr>
        <w:t xml:space="preserve">       </w:t>
      </w:r>
      <w:r>
        <w:rPr>
          <w:rFonts w:hint="eastAsia" w:ascii="宋体" w:hAnsi="宋体" w:eastAsia="宋体" w:cs="宋体"/>
          <w:b/>
          <w:bCs w:val="0"/>
          <w:color w:val="auto"/>
          <w:kern w:val="2"/>
          <w:sz w:val="24"/>
          <w:szCs w:val="24"/>
        </w:rPr>
        <w:t>乙 方</w:t>
      </w:r>
      <w:r>
        <w:rPr>
          <w:rFonts w:hint="eastAsia" w:ascii="宋体" w:hAnsi="宋体" w:eastAsia="宋体" w:cs="宋体"/>
          <w:b w:val="0"/>
          <w:bCs/>
          <w:color w:val="auto"/>
          <w:kern w:val="2"/>
          <w:sz w:val="24"/>
          <w:szCs w:val="24"/>
        </w:rPr>
        <w:t>：(盖章)</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 xml:space="preserve">市场监督管理局(盖章)                     </w:t>
      </w:r>
      <w:r>
        <w:rPr>
          <w:rFonts w:hint="eastAsia" w:ascii="Calibri" w:eastAsia="宋体" w:cs="宋体"/>
          <w:b w:val="0"/>
          <w:bCs/>
          <w:color w:val="auto"/>
          <w:kern w:val="2"/>
          <w:sz w:val="24"/>
          <w:szCs w:val="24"/>
          <w:lang w:val="en-US" w:eastAsia="zh-CN"/>
        </w:rPr>
        <w:t xml:space="preserve">          </w:t>
      </w:r>
      <w:r>
        <w:rPr>
          <w:rFonts w:hint="eastAsia" w:ascii="宋体" w:hAnsi="宋体" w:eastAsia="宋体" w:cs="宋体"/>
          <w:b w:val="0"/>
          <w:bCs/>
          <w:color w:val="auto"/>
          <w:kern w:val="2"/>
          <w:sz w:val="24"/>
          <w:szCs w:val="24"/>
        </w:rPr>
        <w:t xml:space="preserve"> </w:t>
      </w:r>
    </w:p>
    <w:p>
      <w:pPr>
        <w:spacing w:line="360" w:lineRule="auto"/>
        <w:ind w:firstLine="480" w:firstLineChars="200"/>
        <w:rPr>
          <w:rFonts w:hint="eastAsia" w:ascii="宋体" w:hAnsi="宋体" w:eastAsia="宋体" w:cs="宋体"/>
          <w:b/>
          <w:bCs w:val="0"/>
          <w:color w:val="auto"/>
          <w:kern w:val="2"/>
          <w:sz w:val="24"/>
          <w:szCs w:val="24"/>
        </w:rPr>
      </w:pPr>
      <w:r>
        <w:rPr>
          <w:rFonts w:hint="eastAsia" w:ascii="宋体" w:hAnsi="宋体" w:eastAsia="宋体" w:cs="宋体"/>
          <w:b w:val="0"/>
          <w:bCs/>
          <w:color w:val="auto"/>
          <w:kern w:val="2"/>
          <w:sz w:val="24"/>
          <w:szCs w:val="24"/>
        </w:rPr>
        <w:t xml:space="preserve">    </w:t>
      </w:r>
      <w:r>
        <w:rPr>
          <w:rFonts w:hint="eastAsia" w:ascii="宋体" w:hAnsi="宋体" w:eastAsia="宋体" w:cs="宋体"/>
          <w:b/>
          <w:bCs w:val="0"/>
          <w:color w:val="auto"/>
          <w:kern w:val="2"/>
          <w:sz w:val="24"/>
          <w:szCs w:val="24"/>
        </w:rPr>
        <w:t xml:space="preserve"> 法定代表人或                            法定代表人或</w:t>
      </w:r>
    </w:p>
    <w:p>
      <w:pPr>
        <w:spacing w:line="360" w:lineRule="auto"/>
        <w:ind w:firstLine="482" w:firstLineChars="200"/>
        <w:rPr>
          <w:rFonts w:hint="eastAsia" w:ascii="宋体" w:hAnsi="宋体" w:eastAsia="宋体" w:cs="宋体"/>
          <w:b w:val="0"/>
          <w:bCs/>
          <w:color w:val="auto"/>
          <w:kern w:val="2"/>
          <w:sz w:val="24"/>
          <w:szCs w:val="24"/>
        </w:rPr>
      </w:pPr>
      <w:r>
        <w:rPr>
          <w:rFonts w:hint="eastAsia" w:ascii="宋体" w:hAnsi="宋体" w:eastAsia="宋体" w:cs="宋体"/>
          <w:b/>
          <w:bCs w:val="0"/>
          <w:color w:val="auto"/>
          <w:kern w:val="2"/>
          <w:sz w:val="24"/>
          <w:szCs w:val="24"/>
        </w:rPr>
        <w:t>(授权代表)：                                  (授权代表)：</w:t>
      </w:r>
    </w:p>
    <w:p>
      <w:pPr>
        <w:spacing w:line="360" w:lineRule="auto"/>
        <w:ind w:firstLine="482" w:firstLineChars="200"/>
        <w:rPr>
          <w:rFonts w:hint="eastAsia" w:ascii="宋体" w:hAnsi="宋体" w:eastAsia="宋体" w:cs="宋体"/>
          <w:b w:val="0"/>
          <w:bCs/>
          <w:color w:val="auto"/>
          <w:kern w:val="2"/>
          <w:sz w:val="24"/>
          <w:szCs w:val="24"/>
        </w:rPr>
      </w:pPr>
      <w:r>
        <w:rPr>
          <w:rFonts w:hint="eastAsia" w:ascii="宋体" w:hAnsi="宋体" w:eastAsia="宋体" w:cs="宋体"/>
          <w:b/>
          <w:bCs w:val="0"/>
          <w:color w:val="auto"/>
          <w:kern w:val="2"/>
          <w:sz w:val="24"/>
          <w:szCs w:val="24"/>
        </w:rPr>
        <w:t>地 址：</w:t>
      </w:r>
      <w:r>
        <w:rPr>
          <w:rFonts w:hint="eastAsia" w:ascii="宋体" w:hAnsi="宋体" w:eastAsia="宋体" w:cs="宋体"/>
          <w:b w:val="0"/>
          <w:bCs/>
          <w:color w:val="auto"/>
          <w:kern w:val="2"/>
          <w:sz w:val="24"/>
          <w:szCs w:val="24"/>
        </w:rPr>
        <w:t xml:space="preserve">沙湾东二路5号智业                      </w:t>
      </w:r>
      <w:r>
        <w:rPr>
          <w:rFonts w:hint="eastAsia" w:ascii="宋体" w:hAnsi="宋体" w:eastAsia="宋体" w:cs="宋体"/>
          <w:b/>
          <w:bCs w:val="0"/>
          <w:color w:val="auto"/>
          <w:kern w:val="2"/>
          <w:sz w:val="24"/>
          <w:szCs w:val="24"/>
        </w:rPr>
        <w:t>地 址：</w:t>
      </w:r>
      <w:r>
        <w:rPr>
          <w:rFonts w:hint="eastAsia" w:ascii="宋体" w:hAnsi="宋体" w:eastAsia="宋体" w:cs="宋体"/>
          <w:b w:val="0"/>
          <w:bCs/>
          <w:color w:val="auto"/>
          <w:kern w:val="2"/>
          <w:sz w:val="24"/>
          <w:szCs w:val="24"/>
        </w:rPr>
        <w:t xml:space="preserve"> </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 xml:space="preserve"> </w:t>
      </w:r>
      <w:r>
        <w:rPr>
          <w:rFonts w:hint="eastAsia" w:hAnsi="宋体" w:cs="宋体"/>
          <w:b w:val="0"/>
          <w:bCs/>
          <w:color w:val="auto"/>
          <w:kern w:val="2"/>
          <w:sz w:val="24"/>
          <w:szCs w:val="24"/>
          <w:lang w:eastAsia="zh-CN"/>
        </w:rPr>
        <w:t>加洲</w:t>
      </w:r>
      <w:r>
        <w:rPr>
          <w:rFonts w:hint="eastAsia" w:ascii="宋体" w:hAnsi="宋体" w:eastAsia="宋体" w:cs="宋体"/>
          <w:b w:val="0"/>
          <w:bCs/>
          <w:color w:val="auto"/>
          <w:kern w:val="2"/>
          <w:sz w:val="24"/>
          <w:szCs w:val="24"/>
        </w:rPr>
        <w:t xml:space="preserve">B座            </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 xml:space="preserve">开户银行：                                     开户银行： </w:t>
      </w:r>
    </w:p>
    <w:p>
      <w:pPr>
        <w:spacing w:line="360" w:lineRule="auto"/>
        <w:ind w:firstLine="480" w:firstLineChars="200"/>
        <w:rPr>
          <w:rFonts w:hint="eastAsia" w:ascii="宋体" w:hAnsi="宋体" w:eastAsia="宋体" w:cs="宋体"/>
          <w:b w:val="0"/>
          <w:bCs/>
          <w:color w:val="auto"/>
          <w:kern w:val="2"/>
          <w:sz w:val="24"/>
          <w:szCs w:val="24"/>
        </w:rPr>
      </w:pPr>
      <w:r>
        <w:rPr>
          <w:rFonts w:hint="eastAsia" w:ascii="宋体" w:hAnsi="宋体" w:eastAsia="宋体" w:cs="宋体"/>
          <w:b w:val="0"/>
          <w:bCs/>
          <w:color w:val="auto"/>
          <w:kern w:val="2"/>
          <w:sz w:val="24"/>
          <w:szCs w:val="24"/>
        </w:rPr>
        <w:t>账  号：                                       账  号：</w:t>
      </w:r>
    </w:p>
    <w:p>
      <w:pPr>
        <w:widowControl w:val="0"/>
        <w:spacing w:after="120"/>
        <w:jc w:val="both"/>
        <w:rPr>
          <w:rFonts w:hint="eastAsia" w:ascii="宋体" w:hAnsi="宋体" w:eastAsia="宋体" w:cs="宋体"/>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签约日期：202</w:t>
      </w:r>
      <w:r>
        <w:rPr>
          <w:rFonts w:hint="eastAsia" w:ascii="宋体" w:hAnsi="Times New Roman" w:eastAsia="宋体" w:cs="宋体"/>
          <w:b w:val="0"/>
          <w:bCs/>
          <w:color w:val="auto"/>
          <w:kern w:val="2"/>
          <w:sz w:val="24"/>
          <w:szCs w:val="24"/>
          <w:lang w:val="en-US" w:eastAsia="zh-CN" w:bidi="ar-SA"/>
        </w:rPr>
        <w:t>1</w:t>
      </w:r>
      <w:r>
        <w:rPr>
          <w:rFonts w:hint="eastAsia" w:ascii="宋体" w:hAnsi="宋体" w:eastAsia="宋体" w:cs="宋体"/>
          <w:b w:val="0"/>
          <w:bCs/>
          <w:color w:val="auto"/>
          <w:kern w:val="2"/>
          <w:sz w:val="24"/>
          <w:szCs w:val="24"/>
          <w:lang w:val="en-US" w:eastAsia="zh-CN" w:bidi="ar-SA"/>
        </w:rPr>
        <w:t xml:space="preserve">年  月  日 </w:t>
      </w:r>
      <w:r>
        <w:rPr>
          <w:rFonts w:hint="eastAsia" w:ascii="宋体" w:hAnsi="宋体" w:eastAsia="宋体" w:cs="宋体"/>
          <w:b w:val="0"/>
          <w:bCs/>
          <w:color w:val="auto"/>
          <w:kern w:val="2"/>
          <w:sz w:val="24"/>
          <w:szCs w:val="24"/>
          <w:lang w:val="en-US" w:eastAsia="zh-CN" w:bidi="ar-SA"/>
        </w:rPr>
        <w:tab/>
      </w:r>
      <w:r>
        <w:rPr>
          <w:rFonts w:hint="eastAsia" w:ascii="宋体" w:hAnsi="宋体" w:eastAsia="宋体" w:cs="宋体"/>
          <w:b w:val="0"/>
          <w:bCs/>
          <w:color w:val="auto"/>
          <w:kern w:val="2"/>
          <w:sz w:val="24"/>
          <w:szCs w:val="24"/>
          <w:lang w:val="en-US" w:eastAsia="zh-CN" w:bidi="ar-SA"/>
        </w:rPr>
        <w:t xml:space="preserve">                签约日期：202</w:t>
      </w:r>
      <w:r>
        <w:rPr>
          <w:rFonts w:hint="eastAsia" w:ascii="宋体" w:hAnsi="Times New Roman" w:eastAsia="宋体" w:cs="宋体"/>
          <w:b w:val="0"/>
          <w:bCs/>
          <w:color w:val="auto"/>
          <w:kern w:val="2"/>
          <w:sz w:val="24"/>
          <w:szCs w:val="24"/>
          <w:lang w:val="en-US" w:eastAsia="zh-CN" w:bidi="ar-SA"/>
        </w:rPr>
        <w:t>1</w:t>
      </w:r>
      <w:r>
        <w:rPr>
          <w:rFonts w:hint="eastAsia" w:ascii="宋体" w:hAnsi="宋体" w:eastAsia="宋体" w:cs="宋体"/>
          <w:b w:val="0"/>
          <w:bCs/>
          <w:color w:val="auto"/>
          <w:kern w:val="2"/>
          <w:sz w:val="24"/>
          <w:szCs w:val="24"/>
          <w:lang w:val="en-US" w:eastAsia="zh-CN" w:bidi="ar-SA"/>
        </w:rPr>
        <w:t>年  月  日</w:t>
      </w:r>
    </w:p>
    <w:p>
      <w:pPr>
        <w:spacing w:line="400" w:lineRule="exac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注：以上为合同主要条款，具体合同内容以最后采购人确定为准。</w:t>
      </w:r>
    </w:p>
    <w:p>
      <w:pPr>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br w:type="page"/>
      </w:r>
    </w:p>
    <w:p>
      <w:pPr>
        <w:pStyle w:val="4"/>
        <w:keepNext/>
        <w:keepLines/>
        <w:pageBreakBefore w:val="0"/>
        <w:widowControl w:val="0"/>
        <w:kinsoku/>
        <w:wordWrap/>
        <w:overflowPunct/>
        <w:topLinePunct w:val="0"/>
        <w:autoSpaceDE/>
        <w:autoSpaceDN/>
        <w:bidi w:val="0"/>
        <w:adjustRightInd/>
        <w:snapToGrid/>
        <w:spacing w:before="0" w:line="416" w:lineRule="auto"/>
        <w:textAlignment w:val="auto"/>
        <w:rPr>
          <w:rFonts w:hint="eastAsia" w:ascii="宋体" w:hAnsi="宋体" w:eastAsia="宋体" w:cs="宋体"/>
          <w:color w:val="auto"/>
          <w:sz w:val="24"/>
          <w:szCs w:val="24"/>
          <w:highlight w:val="none"/>
        </w:rPr>
      </w:pPr>
      <w:bookmarkStart w:id="173" w:name="_Toc22219"/>
      <w:bookmarkStart w:id="174" w:name="_Toc1421"/>
      <w:bookmarkStart w:id="175" w:name="_Toc25623"/>
      <w:r>
        <w:rPr>
          <w:rFonts w:hint="eastAsia" w:ascii="宋体" w:hAnsi="宋体" w:eastAsia="宋体" w:cs="宋体"/>
          <w:color w:val="auto"/>
          <w:sz w:val="24"/>
          <w:szCs w:val="24"/>
          <w:highlight w:val="none"/>
        </w:rPr>
        <w:t>附件一：川财采</w:t>
      </w:r>
      <w:r>
        <w:rPr>
          <w:rFonts w:hAnsi="宋体"/>
          <w:color w:val="auto"/>
          <w:sz w:val="24"/>
          <w:szCs w:val="24"/>
          <w:highlight w:val="none"/>
        </w:rPr>
        <w:t>〔</w:t>
      </w:r>
      <w:r>
        <w:rPr>
          <w:rFonts w:hint="eastAsia" w:ascii="宋体" w:hAnsi="宋体" w:eastAsia="宋体" w:cs="宋体"/>
          <w:color w:val="auto"/>
          <w:sz w:val="24"/>
          <w:szCs w:val="24"/>
          <w:highlight w:val="none"/>
        </w:rPr>
        <w:t>2018</w:t>
      </w:r>
      <w:r>
        <w:rPr>
          <w:rFonts w:hAnsi="宋体"/>
          <w:color w:val="auto"/>
          <w:sz w:val="24"/>
          <w:szCs w:val="24"/>
          <w:highlight w:val="none"/>
        </w:rPr>
        <w:t>〕</w:t>
      </w:r>
      <w:r>
        <w:rPr>
          <w:rFonts w:hint="eastAsia" w:ascii="宋体" w:hAnsi="宋体" w:eastAsia="宋体" w:cs="宋体"/>
          <w:color w:val="auto"/>
          <w:sz w:val="24"/>
          <w:szCs w:val="24"/>
          <w:highlight w:val="none"/>
        </w:rPr>
        <w:t>123号 </w:t>
      </w:r>
      <w:bookmarkEnd w:id="173"/>
      <w:bookmarkEnd w:id="174"/>
      <w:bookmarkEnd w:id="175"/>
    </w:p>
    <w:p>
      <w:pPr>
        <w:pStyle w:val="510"/>
        <w:spacing w:before="0" w:after="0" w:line="240" w:lineRule="atLeast"/>
        <w:jc w:val="center"/>
        <w:rPr>
          <w:rStyle w:val="511"/>
          <w:rFonts w:hint="eastAsia" w:cs="宋体"/>
          <w:color w:val="auto"/>
          <w:highlight w:val="none"/>
        </w:rPr>
      </w:pPr>
      <w:r>
        <w:rPr>
          <w:rStyle w:val="511"/>
          <w:rFonts w:hint="eastAsia" w:cs="宋体"/>
          <w:color w:val="auto"/>
          <w:highlight w:val="none"/>
        </w:rPr>
        <w:drawing>
          <wp:inline distT="0" distB="0" distL="114300" distR="114300">
            <wp:extent cx="4480560" cy="1571625"/>
            <wp:effectExtent l="0" t="0" r="15240"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4480560" cy="1571625"/>
                    </a:xfrm>
                    <a:prstGeom prst="rect">
                      <a:avLst/>
                    </a:prstGeom>
                    <a:noFill/>
                    <a:ln>
                      <a:noFill/>
                    </a:ln>
                  </pic:spPr>
                </pic:pic>
              </a:graphicData>
            </a:graphic>
          </wp:inline>
        </w:drawing>
      </w:r>
    </w:p>
    <w:p>
      <w:pPr>
        <w:pStyle w:val="510"/>
        <w:spacing w:before="0" w:after="0" w:line="240" w:lineRule="atLeast"/>
        <w:rPr>
          <w:rStyle w:val="511"/>
          <w:rFonts w:hint="eastAsia" w:cs="宋体"/>
          <w:color w:val="auto"/>
          <w:highlight w:val="none"/>
        </w:rPr>
      </w:pPr>
      <w:r>
        <w:rPr>
          <w:rStyle w:val="511"/>
          <w:rFonts w:hint="eastAsia" w:cs="宋体"/>
          <w:color w:val="auto"/>
          <w:sz w:val="32"/>
          <w:szCs w:val="32"/>
          <w:highlight w:val="none"/>
        </w:rPr>
        <w:t> </w:t>
      </w:r>
    </w:p>
    <w:p>
      <w:pPr>
        <w:pStyle w:val="510"/>
        <w:spacing w:before="0" w:after="0" w:line="440" w:lineRule="atLeast"/>
        <w:rPr>
          <w:rStyle w:val="511"/>
          <w:rFonts w:hint="eastAsia" w:cs="宋体"/>
          <w:color w:val="auto"/>
          <w:sz w:val="24"/>
          <w:szCs w:val="24"/>
          <w:highlight w:val="none"/>
        </w:rPr>
      </w:pPr>
      <w:r>
        <w:rPr>
          <w:rStyle w:val="511"/>
          <w:rFonts w:hint="eastAsia" w:cs="宋体"/>
          <w:color w:val="auto"/>
          <w:sz w:val="24"/>
          <w:szCs w:val="24"/>
          <w:highlight w:val="none"/>
        </w:rPr>
        <w:t>各市（州）、扩权县（市）财政局，各省直机关、事业单位、团体组织，各金融机构，各采购代理机构，各政府采购供应商：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一、融资概念</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510"/>
        <w:spacing w:before="0" w:after="0" w:line="440" w:lineRule="atLeast"/>
        <w:ind w:left="634"/>
        <w:rPr>
          <w:rStyle w:val="511"/>
          <w:rFonts w:hint="eastAsia" w:cs="宋体"/>
          <w:color w:val="auto"/>
          <w:sz w:val="24"/>
          <w:szCs w:val="24"/>
          <w:highlight w:val="none"/>
        </w:rPr>
      </w:pPr>
      <w:r>
        <w:rPr>
          <w:rStyle w:val="511"/>
          <w:rFonts w:hint="eastAsia" w:cs="宋体"/>
          <w:color w:val="auto"/>
          <w:sz w:val="24"/>
          <w:szCs w:val="24"/>
          <w:highlight w:val="none"/>
        </w:rPr>
        <w:t>二、基本原则</w:t>
      </w:r>
    </w:p>
    <w:p>
      <w:pPr>
        <w:pStyle w:val="510"/>
        <w:spacing w:before="0" w:after="0" w:line="440" w:lineRule="atLeast"/>
        <w:ind w:firstLine="628"/>
        <w:rPr>
          <w:rStyle w:val="511"/>
          <w:rFonts w:hint="eastAsia" w:cs="宋体"/>
          <w:b/>
          <w:color w:val="auto"/>
          <w:sz w:val="24"/>
          <w:szCs w:val="24"/>
          <w:highlight w:val="none"/>
        </w:rPr>
      </w:pPr>
      <w:r>
        <w:rPr>
          <w:rStyle w:val="511"/>
          <w:rFonts w:hint="eastAsia" w:cs="宋体"/>
          <w:b/>
          <w:color w:val="auto"/>
          <w:sz w:val="24"/>
          <w:szCs w:val="24"/>
          <w:highlight w:val="none"/>
        </w:rPr>
        <w:t>（一）财政引导，市场运行</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财政部门推进“政采贷”，银行和供应商按照自愿原则参与。供应商自愿选择是否申请“政采贷”，银行依据其内部审查制度和决策程序决定是否为供应商提供融资，自担风险。</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（二）建立机制，服务银企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（三）优质优惠，加强扶持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三、基本条件</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（一）银行暨“政采贷”金融产品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1、征集。</w:t>
      </w:r>
      <w:r>
        <w:rPr>
          <w:rStyle w:val="511"/>
          <w:rFonts w:hint="eastAsia" w:cs="宋体"/>
          <w:color w:val="auto"/>
          <w:sz w:val="24"/>
          <w:szCs w:val="24"/>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银行提供的“政采贷”产品应当满足“无抵押担保、程序简便、利率优惠、放款及时”的基本条件以及本通知其他相关规定。</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银行申请材料中应当载明其自愿提供“政采贷”产品，自担风险，不得要求或者变相要求财政部门和采购人为其提供风险担保、承诺。</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2、公示。</w:t>
      </w:r>
      <w:r>
        <w:rPr>
          <w:rStyle w:val="511"/>
          <w:rFonts w:hint="eastAsia" w:cs="宋体"/>
          <w:color w:val="auto"/>
          <w:sz w:val="24"/>
          <w:szCs w:val="24"/>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（二）供应商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政府采购供应商向银行申请“政采贷”，应当满足下列基本条件：</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1、</w:t>
      </w:r>
      <w:r>
        <w:rPr>
          <w:rStyle w:val="511"/>
          <w:rFonts w:hint="eastAsia" w:cs="宋体"/>
          <w:color w:val="auto"/>
          <w:sz w:val="24"/>
          <w:szCs w:val="24"/>
          <w:highlight w:val="none"/>
        </w:rPr>
        <w:t>具有依法承担民事责任的能力；</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2、</w:t>
      </w:r>
      <w:r>
        <w:rPr>
          <w:rStyle w:val="511"/>
          <w:rFonts w:hint="eastAsia" w:cs="宋体"/>
          <w:color w:val="auto"/>
          <w:sz w:val="24"/>
          <w:szCs w:val="24"/>
          <w:highlight w:val="none"/>
        </w:rPr>
        <w:t>具有依法履行政府采购合同的能力；</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3、</w:t>
      </w:r>
      <w:r>
        <w:rPr>
          <w:rStyle w:val="511"/>
          <w:rFonts w:hint="eastAsia" w:cs="宋体"/>
          <w:color w:val="auto"/>
          <w:sz w:val="24"/>
          <w:szCs w:val="24"/>
          <w:highlight w:val="none"/>
        </w:rPr>
        <w:t>参加的政府采购活动未被财政部门依法暂停、责令重新开展或者认定中标、成交无效；</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4、</w:t>
      </w:r>
      <w:r>
        <w:rPr>
          <w:rStyle w:val="511"/>
          <w:rFonts w:hint="eastAsia" w:cs="宋体"/>
          <w:color w:val="auto"/>
          <w:sz w:val="24"/>
          <w:szCs w:val="24"/>
          <w:highlight w:val="none"/>
        </w:rPr>
        <w:t>无《政府采购法》第二十二条第一款第（五）项所称的重大违法记录；</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5、</w:t>
      </w:r>
      <w:r>
        <w:rPr>
          <w:rStyle w:val="511"/>
          <w:rFonts w:hint="eastAsia" w:cs="宋体"/>
          <w:color w:val="auto"/>
          <w:sz w:val="24"/>
          <w:szCs w:val="24"/>
          <w:highlight w:val="none"/>
        </w:rPr>
        <w:t>未被法院、市场监管、税务、银行等部门单位纳入失信名单且在有效期内；</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6、</w:t>
      </w:r>
      <w:r>
        <w:rPr>
          <w:rStyle w:val="511"/>
          <w:rFonts w:hint="eastAsia" w:cs="宋体"/>
          <w:color w:val="auto"/>
          <w:sz w:val="24"/>
          <w:szCs w:val="24"/>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7、</w:t>
      </w:r>
      <w:r>
        <w:rPr>
          <w:rStyle w:val="511"/>
          <w:rFonts w:hint="eastAsia" w:cs="宋体"/>
          <w:color w:val="auto"/>
          <w:sz w:val="24"/>
          <w:szCs w:val="24"/>
          <w:highlight w:val="none"/>
        </w:rPr>
        <w:t>其他银行要求的不属于提供财产抵押或第三方担保的条件。</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四、构建平台</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四川省财政厅将在四川政府采购网统一构建四川省“政采贷”信息化服务平台，推进四川省“政采贷”工作信息化建设。</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五、财金互动</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六、基本流程</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（一）意向申请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 xml:space="preserve">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 </w:t>
      </w:r>
      <w:r>
        <w:rPr>
          <w:rStyle w:val="511"/>
          <w:rFonts w:hint="eastAsia" w:cs="宋体"/>
          <w:b/>
          <w:color w:val="auto"/>
          <w:sz w:val="24"/>
          <w:szCs w:val="24"/>
          <w:highlight w:val="none"/>
        </w:rPr>
        <w:t>                                 （二）正式申请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510"/>
        <w:spacing w:before="0" w:after="0" w:line="440" w:lineRule="atLeast"/>
        <w:ind w:firstLine="622"/>
        <w:rPr>
          <w:rStyle w:val="511"/>
          <w:rFonts w:hint="eastAsia" w:cs="宋体"/>
          <w:color w:val="auto"/>
          <w:sz w:val="24"/>
          <w:szCs w:val="24"/>
          <w:highlight w:val="none"/>
        </w:rPr>
      </w:pPr>
      <w:r>
        <w:rPr>
          <w:rStyle w:val="511"/>
          <w:rFonts w:hint="eastAsia" w:cs="宋体"/>
          <w:b/>
          <w:color w:val="auto"/>
          <w:sz w:val="24"/>
          <w:szCs w:val="24"/>
          <w:highlight w:val="none"/>
        </w:rPr>
        <w:t>（三）贷款审查</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（四）信息报送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（五）资金支付</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政府采购资金支付过程中，银行需要查询采购资金支付进程有关信息的，财政部门和采购人应当支持。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七、职责要求</w:t>
      </w:r>
    </w:p>
    <w:p>
      <w:pPr>
        <w:pStyle w:val="510"/>
        <w:spacing w:before="0" w:after="0" w:line="440" w:lineRule="atLeast"/>
        <w:ind w:firstLine="622"/>
        <w:rPr>
          <w:rStyle w:val="511"/>
          <w:rFonts w:hint="eastAsia" w:cs="宋体"/>
          <w:color w:val="auto"/>
          <w:sz w:val="24"/>
          <w:szCs w:val="24"/>
          <w:highlight w:val="none"/>
        </w:rPr>
      </w:pPr>
      <w:r>
        <w:rPr>
          <w:rStyle w:val="511"/>
          <w:rFonts w:hint="eastAsia" w:cs="宋体"/>
          <w:b/>
          <w:color w:val="auto"/>
          <w:sz w:val="24"/>
          <w:szCs w:val="24"/>
          <w:highlight w:val="none"/>
        </w:rPr>
        <w:t>（一）</w:t>
      </w:r>
      <w:r>
        <w:rPr>
          <w:rStyle w:val="511"/>
          <w:rFonts w:hint="eastAsia" w:cs="宋体"/>
          <w:color w:val="auto"/>
          <w:sz w:val="24"/>
          <w:szCs w:val="24"/>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510"/>
        <w:spacing w:before="0" w:after="0" w:line="440" w:lineRule="atLeast"/>
        <w:ind w:firstLine="622"/>
        <w:rPr>
          <w:rStyle w:val="511"/>
          <w:rFonts w:hint="eastAsia" w:cs="宋体"/>
          <w:color w:val="auto"/>
          <w:sz w:val="24"/>
          <w:szCs w:val="24"/>
          <w:highlight w:val="none"/>
        </w:rPr>
      </w:pPr>
      <w:r>
        <w:rPr>
          <w:rStyle w:val="511"/>
          <w:rFonts w:hint="eastAsia" w:cs="宋体"/>
          <w:b/>
          <w:color w:val="auto"/>
          <w:sz w:val="24"/>
          <w:szCs w:val="24"/>
          <w:highlight w:val="none"/>
        </w:rPr>
        <w:t>（二）</w:t>
      </w:r>
      <w:r>
        <w:rPr>
          <w:rStyle w:val="511"/>
          <w:rFonts w:hint="eastAsia" w:cs="宋体"/>
          <w:color w:val="auto"/>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（三）</w:t>
      </w:r>
      <w:r>
        <w:rPr>
          <w:rStyle w:val="511"/>
          <w:rFonts w:hint="eastAsia" w:cs="宋体"/>
          <w:color w:val="auto"/>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510"/>
        <w:spacing w:before="0" w:after="0" w:line="440" w:lineRule="atLeast"/>
        <w:ind w:firstLine="622"/>
        <w:rPr>
          <w:rStyle w:val="511"/>
          <w:rFonts w:hint="eastAsia" w:cs="宋体"/>
          <w:color w:val="auto"/>
          <w:sz w:val="24"/>
          <w:szCs w:val="24"/>
          <w:highlight w:val="none"/>
        </w:rPr>
      </w:pPr>
      <w:r>
        <w:rPr>
          <w:rStyle w:val="511"/>
          <w:rFonts w:hint="eastAsia" w:cs="宋体"/>
          <w:b/>
          <w:color w:val="auto"/>
          <w:sz w:val="24"/>
          <w:szCs w:val="24"/>
          <w:highlight w:val="none"/>
        </w:rPr>
        <w:t>（四）</w:t>
      </w:r>
      <w:r>
        <w:rPr>
          <w:rStyle w:val="511"/>
          <w:rFonts w:hint="eastAsia" w:cs="宋体"/>
          <w:color w:val="auto"/>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（五）</w:t>
      </w:r>
      <w:r>
        <w:rPr>
          <w:rStyle w:val="511"/>
          <w:rFonts w:hint="eastAsia" w:cs="宋体"/>
          <w:color w:val="auto"/>
          <w:sz w:val="24"/>
          <w:szCs w:val="24"/>
          <w:highlight w:val="none"/>
        </w:rPr>
        <w:t>供应商应当依法参加政府采购活动，公平竞争，诚实守信，严格按照政府采购合同履约，严格按照借款合同偿还债务。</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（六）</w:t>
      </w:r>
      <w:r>
        <w:rPr>
          <w:rStyle w:val="511"/>
          <w:rFonts w:hint="eastAsia" w:cs="宋体"/>
          <w:color w:val="auto"/>
          <w:sz w:val="24"/>
          <w:szCs w:val="24"/>
          <w:highlight w:val="none"/>
        </w:rPr>
        <w:t>财政部门、采购人、采购代理机构及其他有关单位和个人不得违规干预供应商选择“政采贷”银行及其产品，也不得违规干预银行向供应商进行贷款。</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（七）</w:t>
      </w:r>
      <w:r>
        <w:rPr>
          <w:rStyle w:val="511"/>
          <w:rFonts w:hint="eastAsia" w:cs="宋体"/>
          <w:color w:val="auto"/>
          <w:sz w:val="24"/>
          <w:szCs w:val="24"/>
          <w:highlight w:val="none"/>
        </w:rPr>
        <w:t>相关单位和个人在开展“政采贷”工作过程中，发现新问题、新情况或者有意见建议的，请及时向四川省财政厅反馈。</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八、违规处理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（一）银行违规处理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（二）供应商违规处理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b/>
          <w:color w:val="auto"/>
          <w:sz w:val="24"/>
          <w:szCs w:val="24"/>
          <w:highlight w:val="none"/>
        </w:rPr>
        <w:t>（三）其他违规处理</w:t>
      </w:r>
    </w:p>
    <w:p>
      <w:pPr>
        <w:pStyle w:val="510"/>
        <w:spacing w:before="0" w:after="0" w:line="440" w:lineRule="atLeast"/>
        <w:ind w:firstLine="628"/>
        <w:rPr>
          <w:rStyle w:val="511"/>
          <w:rFonts w:hint="eastAsia" w:cs="宋体"/>
          <w:color w:val="auto"/>
          <w:sz w:val="24"/>
          <w:szCs w:val="24"/>
          <w:highlight w:val="none"/>
        </w:rPr>
      </w:pPr>
      <w:r>
        <w:rPr>
          <w:rStyle w:val="511"/>
          <w:rFonts w:hint="eastAsia" w:cs="宋体"/>
          <w:color w:val="auto"/>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510"/>
        <w:spacing w:before="0" w:after="0" w:line="580" w:lineRule="atLeast"/>
        <w:ind w:firstLine="628"/>
        <w:jc w:val="right"/>
        <w:rPr>
          <w:rStyle w:val="511"/>
          <w:rFonts w:hint="eastAsia" w:cs="宋体"/>
          <w:color w:val="auto"/>
          <w:highlight w:val="none"/>
        </w:rPr>
      </w:pPr>
      <w:r>
        <w:rPr>
          <w:rStyle w:val="511"/>
          <w:rFonts w:hint="eastAsia" w:cs="宋体"/>
          <w:color w:val="auto"/>
          <w:sz w:val="32"/>
          <w:szCs w:val="32"/>
          <w:highlight w:val="none"/>
        </w:rPr>
        <w:t> </w:t>
      </w:r>
      <w:r>
        <w:rPr>
          <w:rStyle w:val="511"/>
          <w:rFonts w:hint="eastAsia" w:cs="宋体"/>
          <w:color w:val="auto"/>
          <w:highlight w:val="none"/>
        </w:rPr>
        <w:drawing>
          <wp:inline distT="0" distB="0" distL="114300" distR="114300">
            <wp:extent cx="1771650" cy="1781175"/>
            <wp:effectExtent l="0" t="0" r="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0"/>
                    <a:stretch>
                      <a:fillRect/>
                    </a:stretch>
                  </pic:blipFill>
                  <pic:spPr>
                    <a:xfrm>
                      <a:off x="0" y="0"/>
                      <a:ext cx="1771650" cy="1781175"/>
                    </a:xfrm>
                    <a:prstGeom prst="rect">
                      <a:avLst/>
                    </a:prstGeom>
                    <a:noFill/>
                    <a:ln>
                      <a:noFill/>
                    </a:ln>
                  </pic:spPr>
                </pic:pic>
              </a:graphicData>
            </a:graphic>
          </wp:inline>
        </w:drawing>
      </w:r>
    </w:p>
    <w:p>
      <w:pPr>
        <w:pStyle w:val="4"/>
        <w:rPr>
          <w:rStyle w:val="511"/>
          <w:rFonts w:hint="eastAsia" w:ascii="宋体" w:hAnsi="宋体" w:eastAsia="宋体" w:cs="宋体"/>
          <w:color w:val="auto"/>
          <w:sz w:val="18"/>
          <w:szCs w:val="18"/>
          <w:highlight w:val="none"/>
        </w:rPr>
      </w:pPr>
      <w:bookmarkStart w:id="176" w:name="_Toc19473"/>
      <w:bookmarkStart w:id="177" w:name="_Toc30471"/>
      <w:r>
        <w:rPr>
          <w:rFonts w:hint="eastAsia" w:ascii="宋体" w:hAnsi="宋体" w:eastAsia="宋体" w:cs="宋体"/>
          <w:color w:val="auto"/>
          <w:sz w:val="24"/>
          <w:szCs w:val="24"/>
          <w:highlight w:val="none"/>
        </w:rPr>
        <w:t>附件二：成</w:t>
      </w:r>
      <w:bookmarkEnd w:id="176"/>
      <w:r>
        <w:rPr>
          <w:rFonts w:hint="eastAsia" w:ascii="宋体" w:hAnsi="宋体" w:eastAsia="宋体" w:cs="宋体"/>
          <w:color w:val="auto"/>
          <w:sz w:val="24"/>
          <w:szCs w:val="24"/>
          <w:highlight w:val="none"/>
        </w:rPr>
        <w:t>财采</w:t>
      </w:r>
      <w:r>
        <w:rPr>
          <w:rFonts w:hAnsi="宋体"/>
          <w:color w:val="auto"/>
          <w:sz w:val="24"/>
          <w:szCs w:val="24"/>
          <w:highlight w:val="none"/>
        </w:rPr>
        <w:t>〔</w:t>
      </w:r>
      <w:r>
        <w:rPr>
          <w:rFonts w:hint="eastAsia" w:ascii="宋体" w:hAnsi="宋体" w:eastAsia="宋体" w:cs="宋体"/>
          <w:color w:val="auto"/>
          <w:sz w:val="24"/>
          <w:szCs w:val="24"/>
          <w:highlight w:val="none"/>
        </w:rPr>
        <w:t>2019</w:t>
      </w:r>
      <w:r>
        <w:rPr>
          <w:rFonts w:hAnsi="宋体"/>
          <w:color w:val="auto"/>
          <w:sz w:val="24"/>
          <w:szCs w:val="24"/>
          <w:highlight w:val="none"/>
        </w:rPr>
        <w:t>〕</w:t>
      </w:r>
      <w:r>
        <w:rPr>
          <w:rFonts w:hint="eastAsia" w:ascii="宋体" w:hAnsi="宋体" w:eastAsia="宋体" w:cs="宋体"/>
          <w:color w:val="auto"/>
          <w:sz w:val="24"/>
          <w:szCs w:val="24"/>
          <w:highlight w:val="none"/>
        </w:rPr>
        <w:t>17号文</w:t>
      </w:r>
      <w:bookmarkEnd w:id="177"/>
      <w:r>
        <w:rPr>
          <w:rStyle w:val="511"/>
          <w:rFonts w:hint="eastAsia" w:ascii="宋体" w:hAnsi="宋体" w:eastAsia="宋体" w:cs="宋体"/>
          <w:color w:val="auto"/>
          <w:sz w:val="18"/>
          <w:szCs w:val="18"/>
          <w:highlight w:val="none"/>
        </w:rPr>
        <w:t xml:space="preserve">   </w:t>
      </w:r>
    </w:p>
    <w:p>
      <w:pPr>
        <w:rPr>
          <w:rFonts w:hint="eastAsia" w:hAnsi="宋体" w:cs="宋体"/>
          <w:color w:val="auto"/>
          <w:highlight w:val="none"/>
        </w:rPr>
      </w:pPr>
      <w:r>
        <w:rPr>
          <w:rFonts w:hint="eastAsia" w:hAnsi="宋体" w:cs="宋体"/>
          <w:color w:val="auto"/>
          <w:highlight w:val="none"/>
        </w:rPr>
        <w:drawing>
          <wp:inline distT="0" distB="0" distL="114300" distR="114300">
            <wp:extent cx="4873625" cy="7276465"/>
            <wp:effectExtent l="0" t="0" r="3175" b="63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a:stretch>
                      <a:fillRect/>
                    </a:stretch>
                  </pic:blipFill>
                  <pic:spPr>
                    <a:xfrm>
                      <a:off x="0" y="0"/>
                      <a:ext cx="4873625" cy="727646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64785" cy="7888605"/>
            <wp:effectExtent l="0" t="0" r="12065" b="171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2"/>
                    <a:stretch>
                      <a:fillRect/>
                    </a:stretch>
                  </pic:blipFill>
                  <pic:spPr>
                    <a:xfrm>
                      <a:off x="0" y="0"/>
                      <a:ext cx="5264785" cy="788860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26685" cy="7235825"/>
            <wp:effectExtent l="0" t="0" r="12065"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3"/>
                    <a:stretch>
                      <a:fillRect/>
                    </a:stretch>
                  </pic:blipFill>
                  <pic:spPr>
                    <a:xfrm>
                      <a:off x="0" y="0"/>
                      <a:ext cx="5226685" cy="723582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450840" cy="7713980"/>
            <wp:effectExtent l="0" t="0" r="16510" b="127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4"/>
                    <a:stretch>
                      <a:fillRect/>
                    </a:stretch>
                  </pic:blipFill>
                  <pic:spPr>
                    <a:xfrm>
                      <a:off x="0" y="0"/>
                      <a:ext cx="5450840" cy="771398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66055" cy="6833235"/>
            <wp:effectExtent l="0" t="0" r="10795" b="57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5266055" cy="683323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86375" cy="7481570"/>
            <wp:effectExtent l="0" t="0" r="9525" b="508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6"/>
                    <a:stretch>
                      <a:fillRect/>
                    </a:stretch>
                  </pic:blipFill>
                  <pic:spPr>
                    <a:xfrm>
                      <a:off x="0" y="0"/>
                      <a:ext cx="5286375" cy="748157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12080" cy="7030720"/>
            <wp:effectExtent l="0" t="0" r="7620" b="1778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7"/>
                    <a:stretch>
                      <a:fillRect/>
                    </a:stretch>
                  </pic:blipFill>
                  <pic:spPr>
                    <a:xfrm>
                      <a:off x="0" y="0"/>
                      <a:ext cx="5212080" cy="7030720"/>
                    </a:xfrm>
                    <a:prstGeom prst="rect">
                      <a:avLst/>
                    </a:prstGeom>
                    <a:noFill/>
                    <a:ln>
                      <a:noFill/>
                    </a:ln>
                  </pic:spPr>
                </pic:pic>
              </a:graphicData>
            </a:graphic>
          </wp:inline>
        </w:drawing>
      </w:r>
    </w:p>
    <w:p>
      <w:pPr>
        <w:rPr>
          <w:rFonts w:hint="eastAsia" w:hAnsi="宋体" w:cs="宋体"/>
          <w:color w:val="auto"/>
          <w:highlight w:val="none"/>
        </w:rPr>
      </w:pPr>
      <w:r>
        <w:rPr>
          <w:rFonts w:hint="eastAsia" w:hAnsi="宋体" w:cs="宋体"/>
          <w:color w:val="auto"/>
          <w:highlight w:val="none"/>
        </w:rPr>
        <w:drawing>
          <wp:inline distT="0" distB="0" distL="114300" distR="114300">
            <wp:extent cx="5403215" cy="7634605"/>
            <wp:effectExtent l="0" t="0" r="6985" b="444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8"/>
                    <a:stretch>
                      <a:fillRect/>
                    </a:stretch>
                  </pic:blipFill>
                  <pic:spPr>
                    <a:xfrm>
                      <a:off x="0" y="0"/>
                      <a:ext cx="5403215" cy="763460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449570" cy="7125970"/>
            <wp:effectExtent l="0" t="0" r="17780" b="1778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9"/>
                    <a:stretch>
                      <a:fillRect/>
                    </a:stretch>
                  </pic:blipFill>
                  <pic:spPr>
                    <a:xfrm>
                      <a:off x="0" y="0"/>
                      <a:ext cx="5449570" cy="712597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361305" cy="7586980"/>
            <wp:effectExtent l="0" t="0" r="10795" b="1397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0"/>
                    <a:stretch>
                      <a:fillRect/>
                    </a:stretch>
                  </pic:blipFill>
                  <pic:spPr>
                    <a:xfrm>
                      <a:off x="0" y="0"/>
                      <a:ext cx="5361305" cy="758698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120640" cy="6731635"/>
            <wp:effectExtent l="0" t="0" r="3810" b="1206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a:stretch>
                      <a:fillRect/>
                    </a:stretch>
                  </pic:blipFill>
                  <pic:spPr>
                    <a:xfrm>
                      <a:off x="0" y="0"/>
                      <a:ext cx="5120640" cy="6731635"/>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450205" cy="7700010"/>
            <wp:effectExtent l="0" t="0" r="17145" b="1524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2"/>
                    <a:stretch>
                      <a:fillRect/>
                    </a:stretch>
                  </pic:blipFill>
                  <pic:spPr>
                    <a:xfrm>
                      <a:off x="0" y="0"/>
                      <a:ext cx="5450205" cy="770001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22240" cy="6724650"/>
            <wp:effectExtent l="0" t="0" r="16510"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3"/>
                    <a:stretch>
                      <a:fillRect/>
                    </a:stretch>
                  </pic:blipFill>
                  <pic:spPr>
                    <a:xfrm>
                      <a:off x="0" y="0"/>
                      <a:ext cx="5222240" cy="672465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r>
        <w:rPr>
          <w:rFonts w:hint="eastAsia" w:hAnsi="宋体" w:cs="宋体"/>
          <w:color w:val="auto"/>
          <w:highlight w:val="none"/>
        </w:rPr>
        <w:drawing>
          <wp:inline distT="0" distB="0" distL="114300" distR="114300">
            <wp:extent cx="5248910" cy="7428230"/>
            <wp:effectExtent l="0" t="0" r="8890" b="127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4"/>
                    <a:stretch>
                      <a:fillRect/>
                    </a:stretch>
                  </pic:blipFill>
                  <pic:spPr>
                    <a:xfrm>
                      <a:off x="0" y="0"/>
                      <a:ext cx="5248910" cy="7428230"/>
                    </a:xfrm>
                    <a:prstGeom prst="rect">
                      <a:avLst/>
                    </a:prstGeom>
                    <a:noFill/>
                    <a:ln>
                      <a:noFill/>
                    </a:ln>
                  </pic:spPr>
                </pic:pic>
              </a:graphicData>
            </a:graphic>
          </wp:inline>
        </w:drawing>
      </w:r>
    </w:p>
    <w:p>
      <w:pPr>
        <w:rPr>
          <w:rFonts w:hint="eastAsia" w:hAnsi="宋体" w:cs="宋体"/>
          <w:color w:val="auto"/>
          <w:highlight w:val="none"/>
        </w:rPr>
      </w:pPr>
    </w:p>
    <w:p>
      <w:pPr>
        <w:rPr>
          <w:rFonts w:hint="eastAsia" w:hAnsi="宋体" w:cs="宋体"/>
          <w:color w:val="auto"/>
          <w:highlight w:val="none"/>
        </w:rPr>
      </w:pPr>
    </w:p>
    <w:p>
      <w:pPr>
        <w:rPr>
          <w:rFonts w:hint="eastAsia" w:hAnsi="宋体" w:cs="宋体"/>
          <w:b/>
          <w:bCs/>
          <w:color w:val="auto"/>
          <w:sz w:val="24"/>
          <w:szCs w:val="24"/>
          <w:highlight w:val="none"/>
        </w:rPr>
      </w:pPr>
      <w:r>
        <w:rPr>
          <w:rFonts w:hint="eastAsia" w:hAnsi="宋体" w:cs="宋体"/>
          <w:color w:val="auto"/>
          <w:highlight w:val="none"/>
        </w:rPr>
        <w:drawing>
          <wp:inline distT="0" distB="0" distL="114300" distR="114300">
            <wp:extent cx="5323205" cy="6654800"/>
            <wp:effectExtent l="0" t="0" r="10795" b="1270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pic:cNvPicPr>
                  </pic:nvPicPr>
                  <pic:blipFill>
                    <a:blip r:embed="rId25"/>
                    <a:stretch>
                      <a:fillRect/>
                    </a:stretch>
                  </pic:blipFill>
                  <pic:spPr>
                    <a:xfrm>
                      <a:off x="0" y="0"/>
                      <a:ext cx="5323205" cy="6654800"/>
                    </a:xfrm>
                    <a:prstGeom prst="rect">
                      <a:avLst/>
                    </a:prstGeom>
                    <a:noFill/>
                    <a:ln>
                      <a:noFill/>
                    </a:ln>
                  </pic:spPr>
                </pic:pic>
              </a:graphicData>
            </a:graphic>
          </wp:inline>
        </w:drawing>
      </w:r>
      <w:r>
        <w:rPr>
          <w:rFonts w:hint="eastAsia" w:hAnsi="宋体" w:cs="宋体"/>
          <w:b/>
          <w:bCs/>
          <w:color w:val="auto"/>
          <w:sz w:val="24"/>
          <w:szCs w:val="24"/>
          <w:highlight w:val="none"/>
        </w:rPr>
        <w:t xml:space="preserve"> </w:t>
      </w:r>
    </w:p>
    <w:p>
      <w:pPr>
        <w:pStyle w:val="2"/>
        <w:rPr>
          <w:rFonts w:hint="eastAsia"/>
          <w:color w:val="auto"/>
        </w:rPr>
      </w:pPr>
      <w:bookmarkStart w:id="178" w:name="_Toc6253"/>
      <w:bookmarkStart w:id="179" w:name="_Toc10607"/>
      <w:bookmarkStart w:id="180" w:name="_Toc11310"/>
      <w:bookmarkStart w:id="181" w:name="_Toc19910"/>
      <w:bookmarkStart w:id="182" w:name="_Toc19297"/>
      <w:r>
        <w:rPr>
          <w:rFonts w:hint="eastAsia" w:ascii="宋体" w:hAnsi="宋体" w:eastAsia="宋体" w:cs="宋体"/>
          <w:color w:val="auto"/>
          <w:sz w:val="24"/>
          <w:szCs w:val="24"/>
          <w:highlight w:val="none"/>
        </w:rPr>
        <w:drawing>
          <wp:inline distT="0" distB="0" distL="114300" distR="114300">
            <wp:extent cx="5233670" cy="7395210"/>
            <wp:effectExtent l="0" t="0" r="5080" b="15240"/>
            <wp:docPr id="8" name="图片 18" descr="关于增补“蓉采贷”政策合作银行及做好相关工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关于增补“蓉采贷”政策合作银行及做好相关工作的通知_01"/>
                    <pic:cNvPicPr>
                      <a:picLocks noChangeAspect="1"/>
                    </pic:cNvPicPr>
                  </pic:nvPicPr>
                  <pic:blipFill>
                    <a:blip r:embed="rId26"/>
                    <a:stretch>
                      <a:fillRect/>
                    </a:stretch>
                  </pic:blipFill>
                  <pic:spPr>
                    <a:xfrm>
                      <a:off x="0" y="0"/>
                      <a:ext cx="5233670" cy="7395210"/>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5233670" cy="7395210"/>
            <wp:effectExtent l="0" t="0" r="5080" b="15240"/>
            <wp:docPr id="4" name="图片 19" descr="关于增补“蓉采贷”政策合作银行及做好相关工作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关于增补“蓉采贷”政策合作银行及做好相关工作的通知_02"/>
                    <pic:cNvPicPr>
                      <a:picLocks noChangeAspect="1"/>
                    </pic:cNvPicPr>
                  </pic:nvPicPr>
                  <pic:blipFill>
                    <a:blip r:embed="rId27"/>
                    <a:stretch>
                      <a:fillRect/>
                    </a:stretch>
                  </pic:blipFill>
                  <pic:spPr>
                    <a:xfrm>
                      <a:off x="0" y="0"/>
                      <a:ext cx="5233670" cy="7395210"/>
                    </a:xfrm>
                    <a:prstGeom prst="rect">
                      <a:avLst/>
                    </a:prstGeom>
                    <a:noFill/>
                    <a:ln>
                      <a:noFill/>
                    </a:ln>
                  </pic:spPr>
                </pic:pic>
              </a:graphicData>
            </a:graphic>
          </wp:inline>
        </w:drawing>
      </w:r>
      <w:bookmarkEnd w:id="178"/>
      <w:bookmarkEnd w:id="179"/>
      <w:bookmarkEnd w:id="180"/>
      <w:bookmarkEnd w:id="181"/>
      <w:bookmarkEnd w:id="182"/>
      <w:r>
        <w:rPr>
          <w:rFonts w:hint="eastAsia" w:ascii="宋体" w:hAnsi="宋体" w:eastAsia="宋体" w:cs="宋体"/>
          <w:color w:val="auto"/>
          <w:sz w:val="24"/>
          <w:szCs w:val="24"/>
          <w:highlight w:val="none"/>
        </w:rPr>
        <w:t xml:space="preserve">    </w:t>
      </w: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pPr>
        <w:pStyle w:val="2"/>
        <w:rPr>
          <w:rFonts w:hint="eastAsia"/>
          <w:color w:val="auto"/>
          <w:lang w:eastAsia="zh-CN"/>
        </w:rPr>
        <w:sectPr>
          <w:headerReference r:id="rId7" w:type="default"/>
          <w:pgSz w:w="11906" w:h="16838"/>
          <w:pgMar w:top="1089" w:right="1797" w:bottom="1089" w:left="1797" w:header="851" w:footer="992" w:gutter="0"/>
          <w:cols w:space="425" w:num="1"/>
          <w:docGrid w:linePitch="312" w:charSpace="0"/>
        </w:sectPr>
      </w:pPr>
    </w:p>
    <w:p>
      <w:pPr>
        <w:pStyle w:val="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：政府采购云平台使用介绍</w:t>
      </w:r>
    </w:p>
    <w:p>
      <w:pPr>
        <w:pStyle w:val="4"/>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1.输入网址：https://www.zcygov.cn</w:t>
      </w:r>
    </w:p>
    <w:p>
      <w:pPr>
        <w:pStyle w:val="4"/>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2.选择与项目对应的行政区域如：四川省-成都市-成都市本级</w:t>
      </w:r>
    </w:p>
    <w:p>
      <w:pPr>
        <w:pStyle w:val="4"/>
        <w:rPr>
          <w:rFonts w:hint="eastAsia" w:ascii="宋体" w:hAnsi="宋体" w:eastAsia="宋体" w:cs="宋体"/>
          <w:color w:val="auto"/>
          <w:sz w:val="24"/>
          <w:szCs w:val="24"/>
          <w:highlight w:val="none"/>
          <w:lang w:eastAsia="zh-CN"/>
        </w:rPr>
      </w:pPr>
      <w:r>
        <w:rPr>
          <w:color w:val="auto"/>
          <w:highlight w:val="yellow"/>
        </w:rPr>
        <w:drawing>
          <wp:inline distT="0" distB="0" distL="114300" distR="114300">
            <wp:extent cx="6225540" cy="3893185"/>
            <wp:effectExtent l="0" t="0" r="3810" b="1206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8"/>
                    <a:stretch>
                      <a:fillRect/>
                    </a:stretch>
                  </pic:blipFill>
                  <pic:spPr>
                    <a:xfrm>
                      <a:off x="0" y="0"/>
                      <a:ext cx="6225540" cy="3893185"/>
                    </a:xfrm>
                    <a:prstGeom prst="rect">
                      <a:avLst/>
                    </a:prstGeom>
                    <a:noFill/>
                    <a:ln>
                      <a:noFill/>
                    </a:ln>
                  </pic:spPr>
                </pic:pic>
              </a:graphicData>
            </a:graphic>
          </wp:inline>
        </w:drawing>
      </w:r>
    </w:p>
    <w:p>
      <w:pPr>
        <w:pStyle w:val="4"/>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点击操作指南-供应商</w:t>
      </w:r>
    </w:p>
    <w:p>
      <w:pPr>
        <w:jc w:val="left"/>
        <w:rPr>
          <w:rFonts w:hint="eastAsia" w:ascii="宋体" w:hAnsi="宋体" w:eastAsia="宋体" w:cs="宋体"/>
          <w:b/>
          <w:bCs/>
          <w:color w:val="auto"/>
          <w:kern w:val="2"/>
          <w:sz w:val="24"/>
          <w:szCs w:val="24"/>
          <w:highlight w:val="none"/>
          <w:lang w:val="en-US" w:eastAsia="zh-CN" w:bidi="ar-SA"/>
        </w:rPr>
      </w:pPr>
      <w:r>
        <w:rPr>
          <w:color w:val="auto"/>
          <w:highlight w:val="yellow"/>
        </w:rPr>
        <w:drawing>
          <wp:inline distT="0" distB="0" distL="114300" distR="114300">
            <wp:extent cx="8854440" cy="4585335"/>
            <wp:effectExtent l="0" t="0" r="3810" b="57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9"/>
                    <a:stretch>
                      <a:fillRect/>
                    </a:stretch>
                  </pic:blipFill>
                  <pic:spPr>
                    <a:xfrm>
                      <a:off x="0" y="0"/>
                      <a:ext cx="8854440" cy="4585335"/>
                    </a:xfrm>
                    <a:prstGeom prst="rect">
                      <a:avLst/>
                    </a:prstGeom>
                    <a:noFill/>
                    <a:ln>
                      <a:noFill/>
                    </a:ln>
                  </pic:spPr>
                </pic:pic>
              </a:graphicData>
            </a:graphic>
          </wp:inline>
        </w:drawing>
      </w:r>
      <w:r>
        <w:rPr>
          <w:color w:val="auto"/>
          <w:highlight w:val="yellow"/>
        </w:rPr>
        <w:br w:type="page"/>
      </w:r>
      <w:r>
        <w:rPr>
          <w:rFonts w:hint="eastAsia" w:ascii="宋体" w:hAnsi="宋体" w:eastAsia="宋体" w:cs="宋体"/>
          <w:b/>
          <w:bCs/>
          <w:color w:val="auto"/>
          <w:kern w:val="2"/>
          <w:sz w:val="24"/>
          <w:szCs w:val="24"/>
          <w:highlight w:val="none"/>
          <w:lang w:val="en-US" w:eastAsia="zh-CN" w:bidi="ar-SA"/>
        </w:rPr>
        <w:t>4.进入政采云供应商学习专题页面（https://edu.zcygov.cn/luban/xxzt-chengdu-gys?utm=a0017.b1347.cl50.5.0917bc90b7bb11eb807c353645758db6）</w:t>
      </w:r>
    </w:p>
    <w:p>
      <w:pPr>
        <w:rPr>
          <w:color w:val="auto"/>
          <w:highlight w:val="yellow"/>
        </w:rPr>
      </w:pPr>
      <w:r>
        <w:rPr>
          <w:color w:val="auto"/>
          <w:highlight w:val="yellow"/>
        </w:rPr>
        <w:drawing>
          <wp:inline distT="0" distB="0" distL="114300" distR="114300">
            <wp:extent cx="9255760" cy="4606290"/>
            <wp:effectExtent l="0" t="0" r="2540" b="381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0"/>
                    <a:stretch>
                      <a:fillRect/>
                    </a:stretch>
                  </pic:blipFill>
                  <pic:spPr>
                    <a:xfrm>
                      <a:off x="0" y="0"/>
                      <a:ext cx="9255760" cy="4606290"/>
                    </a:xfrm>
                    <a:prstGeom prst="rect">
                      <a:avLst/>
                    </a:prstGeom>
                    <a:noFill/>
                    <a:ln>
                      <a:noFill/>
                    </a:ln>
                  </pic:spPr>
                </pic:pic>
              </a:graphicData>
            </a:graphic>
          </wp:inline>
        </w:drawing>
      </w:r>
    </w:p>
    <w:p>
      <w:pPr>
        <w:rPr>
          <w:rFonts w:hint="eastAsia" w:ascii="宋体" w:hAnsi="宋体" w:eastAsia="宋体" w:cs="宋体"/>
          <w:b/>
          <w:bCs/>
          <w:color w:val="auto"/>
          <w:kern w:val="2"/>
          <w:sz w:val="24"/>
          <w:szCs w:val="24"/>
          <w:highlight w:val="none"/>
          <w:lang w:val="en-US" w:eastAsia="zh-CN" w:bidi="ar-SA"/>
        </w:rPr>
      </w:pPr>
      <w:r>
        <w:rPr>
          <w:rFonts w:hint="eastAsia"/>
          <w:color w:val="auto"/>
          <w:highlight w:val="yellow"/>
        </w:rPr>
        <w:br w:type="page"/>
      </w:r>
      <w:r>
        <w:rPr>
          <w:rFonts w:hint="eastAsia" w:ascii="宋体" w:hAnsi="宋体" w:eastAsia="宋体" w:cs="宋体"/>
          <w:b/>
          <w:bCs/>
          <w:color w:val="auto"/>
          <w:kern w:val="2"/>
          <w:sz w:val="24"/>
          <w:szCs w:val="24"/>
          <w:highlight w:val="none"/>
          <w:lang w:val="en-US" w:eastAsia="zh-CN" w:bidi="ar-SA"/>
        </w:rPr>
        <w:t>5.供应商资讯服务渠道</w:t>
      </w:r>
    </w:p>
    <w:p>
      <w:pPr>
        <w:rPr>
          <w:color w:val="auto"/>
          <w:highlight w:val="yellow"/>
        </w:rPr>
      </w:pPr>
      <w:r>
        <w:rPr>
          <w:color w:val="auto"/>
          <w:highlight w:val="yellow"/>
        </w:rPr>
        <w:drawing>
          <wp:inline distT="0" distB="0" distL="114300" distR="114300">
            <wp:extent cx="9380855" cy="3362960"/>
            <wp:effectExtent l="0" t="0" r="10795" b="889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1"/>
                    <a:stretch>
                      <a:fillRect/>
                    </a:stretch>
                  </pic:blipFill>
                  <pic:spPr>
                    <a:xfrm>
                      <a:off x="0" y="0"/>
                      <a:ext cx="9380855" cy="3362960"/>
                    </a:xfrm>
                    <a:prstGeom prst="rect">
                      <a:avLst/>
                    </a:prstGeom>
                    <a:noFill/>
                    <a:ln>
                      <a:noFill/>
                    </a:ln>
                  </pic:spPr>
                </pic:pic>
              </a:graphicData>
            </a:graphic>
          </wp:inline>
        </w:drawing>
      </w:r>
    </w:p>
    <w:p>
      <w:pPr>
        <w:rPr>
          <w:rFonts w:hint="eastAsia" w:ascii="宋体" w:hAnsi="宋体" w:eastAsia="宋体" w:cs="宋体"/>
          <w:b/>
          <w:bCs/>
          <w:color w:val="auto"/>
          <w:kern w:val="2"/>
          <w:sz w:val="24"/>
          <w:szCs w:val="24"/>
          <w:highlight w:val="none"/>
          <w:lang w:val="en-US" w:eastAsia="zh-CN" w:bidi="ar-SA"/>
        </w:rPr>
      </w:pPr>
      <w:r>
        <w:rPr>
          <w:color w:val="auto"/>
          <w:highlight w:val="yellow"/>
        </w:rPr>
        <w:br w:type="page"/>
      </w:r>
      <w:r>
        <w:rPr>
          <w:rFonts w:hint="eastAsia" w:ascii="宋体" w:hAnsi="宋体" w:eastAsia="宋体" w:cs="宋体"/>
          <w:b/>
          <w:bCs/>
          <w:color w:val="auto"/>
          <w:kern w:val="2"/>
          <w:sz w:val="24"/>
          <w:szCs w:val="24"/>
          <w:highlight w:val="none"/>
          <w:lang w:val="en-US" w:eastAsia="zh-CN" w:bidi="ar-SA"/>
        </w:rPr>
        <w:t>6.入驻政府采购云平台（注册）</w:t>
      </w:r>
    </w:p>
    <w:p>
      <w:pPr>
        <w:rPr>
          <w:color w:val="auto"/>
          <w:highlight w:val="yellow"/>
        </w:rPr>
      </w:pPr>
      <w:r>
        <w:rPr>
          <w:color w:val="auto"/>
          <w:highlight w:val="yellow"/>
        </w:rPr>
        <w:drawing>
          <wp:inline distT="0" distB="0" distL="114300" distR="114300">
            <wp:extent cx="8853805" cy="3604895"/>
            <wp:effectExtent l="0" t="0" r="4445" b="1460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2"/>
                    <a:stretch>
                      <a:fillRect/>
                    </a:stretch>
                  </pic:blipFill>
                  <pic:spPr>
                    <a:xfrm>
                      <a:off x="0" y="0"/>
                      <a:ext cx="8853805" cy="3604895"/>
                    </a:xfrm>
                    <a:prstGeom prst="rect">
                      <a:avLst/>
                    </a:prstGeom>
                    <a:noFill/>
                    <a:ln>
                      <a:noFill/>
                    </a:ln>
                  </pic:spPr>
                </pic:pic>
              </a:graphicData>
            </a:graphic>
          </wp:inline>
        </w:drawing>
      </w:r>
    </w:p>
    <w:p>
      <w:pPr>
        <w:rPr>
          <w:rFonts w:hint="eastAsia" w:ascii="宋体" w:hAnsi="宋体" w:eastAsia="宋体" w:cs="宋体"/>
          <w:b/>
          <w:bCs/>
          <w:color w:val="auto"/>
          <w:kern w:val="2"/>
          <w:sz w:val="24"/>
          <w:szCs w:val="24"/>
          <w:highlight w:val="none"/>
          <w:lang w:val="en-US" w:eastAsia="zh-CN" w:bidi="ar-SA"/>
        </w:rPr>
      </w:pPr>
      <w:r>
        <w:rPr>
          <w:color w:val="auto"/>
          <w:highlight w:val="yellow"/>
        </w:rPr>
        <w:br w:type="page"/>
      </w:r>
      <w:r>
        <w:rPr>
          <w:rFonts w:hint="eastAsia" w:ascii="宋体" w:hAnsi="宋体" w:eastAsia="宋体" w:cs="宋体"/>
          <w:b/>
          <w:bCs/>
          <w:color w:val="auto"/>
          <w:kern w:val="2"/>
          <w:sz w:val="24"/>
          <w:szCs w:val="24"/>
          <w:highlight w:val="none"/>
          <w:lang w:val="en-US" w:eastAsia="zh-CN" w:bidi="ar-SA"/>
        </w:rPr>
        <w:t>7.下载《供应商政府采购项目电子交易操作指南》</w:t>
      </w:r>
    </w:p>
    <w:p>
      <w:pPr>
        <w:rPr>
          <w:rFonts w:hint="eastAsia"/>
          <w:color w:val="auto"/>
          <w:lang w:eastAsia="zh-CN"/>
        </w:rPr>
      </w:pPr>
      <w:r>
        <w:rPr>
          <w:color w:val="auto"/>
          <w:highlight w:val="yellow"/>
        </w:rPr>
        <w:drawing>
          <wp:inline distT="0" distB="0" distL="114300" distR="114300">
            <wp:extent cx="8404225" cy="4656455"/>
            <wp:effectExtent l="0" t="0" r="15875" b="1079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3"/>
                    <a:stretch>
                      <a:fillRect/>
                    </a:stretch>
                  </pic:blipFill>
                  <pic:spPr>
                    <a:xfrm>
                      <a:off x="0" y="0"/>
                      <a:ext cx="8404225" cy="4656455"/>
                    </a:xfrm>
                    <a:prstGeom prst="rect">
                      <a:avLst/>
                    </a:prstGeom>
                    <a:noFill/>
                    <a:ln>
                      <a:noFill/>
                    </a:ln>
                  </pic:spPr>
                </pic:pic>
              </a:graphicData>
            </a:graphic>
          </wp:inline>
        </w:drawing>
      </w:r>
    </w:p>
    <w:sectPr>
      <w:pgSz w:w="16838" w:h="11906" w:orient="landscape"/>
      <w:pgMar w:top="1797" w:right="1769" w:bottom="1797" w:left="1769"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长城仿宋">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Segoe Print"/>
    <w:panose1 w:val="02070603080606020203"/>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华文楷体">
    <w:altName w:val="宋体"/>
    <w:panose1 w:val="02010600040101010101"/>
    <w:charset w:val="86"/>
    <w:family w:val="auto"/>
    <w:pitch w:val="default"/>
    <w:sig w:usb0="00000000" w:usb1="00000000" w:usb2="00000000" w:usb3="00000000" w:csb0="0004009F" w:csb1="DFD70000"/>
  </w:font>
  <w:font w:name="宋体-方正超大字符集">
    <w:altName w:val="宋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p>
    <w:pPr>
      <w:pStyle w:val="30"/>
    </w:pPr>
    <w:r>
      <mc:AlternateContent>
        <mc:Choice Requires="wps">
          <w:drawing>
            <wp:anchor distT="0" distB="0" distL="114300" distR="114300" simplePos="0" relativeHeight="251660288" behindDoc="0" locked="0" layoutInCell="1" allowOverlap="1">
              <wp:simplePos x="0" y="0"/>
              <wp:positionH relativeFrom="margin">
                <wp:posOffset>2609850</wp:posOffset>
              </wp:positionH>
              <wp:positionV relativeFrom="paragraph">
                <wp:posOffset>74930</wp:posOffset>
              </wp:positionV>
              <wp:extent cx="254635" cy="1397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254635" cy="139700"/>
                      </a:xfrm>
                      <a:prstGeom prst="rect">
                        <a:avLst/>
                      </a:prstGeom>
                      <a:noFill/>
                      <a:ln w="15875">
                        <a:noFill/>
                      </a:ln>
                      <a:effectLst/>
                    </wps:spPr>
                    <wps:txbx>
                      <w:txbxContent>
                        <w:p>
                          <w:pPr>
                            <w:pStyle w:val="30"/>
                            <w:jc w:val="center"/>
                          </w:pPr>
                          <w:r>
                            <w:fldChar w:fldCharType="begin"/>
                          </w:r>
                          <w:r>
                            <w:instrText xml:space="preserve"> PAGE   \* MERGEFORMAT </w:instrText>
                          </w:r>
                          <w:r>
                            <w:fldChar w:fldCharType="separate"/>
                          </w:r>
                          <w:r>
                            <w:t>36</w:t>
                          </w:r>
                          <w: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left:205.5pt;margin-top:5.9pt;height:11pt;width:20.05pt;mso-position-horizontal-relative:margin;z-index:251660288;mso-width-relative:page;mso-height-relative:page;" filled="f" stroked="f" coordsize="21600,21600" o:gfxdata="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YB22AAAAAkBAAAPAAAAAAAAAAEA&#10;IAAAACIAAABkcnMvZG93bnJldi54bWxQSwECFAAUAAAACACHTuJAgiLHTdYBAACjAwAADgAAAAAA&#10;AAABACAAAAAnAQAAZHJzL2Uyb0RvYy54bWxQSwUGAAAAAAYABgBZAQAAbwUAAAAA&#10;">
              <v:fill on="f" focussize="0,0"/>
              <v:stroke on="f" weight="1.25pt"/>
              <v:imagedata o:title=""/>
              <o:lock v:ext="edit" aspectratio="f"/>
              <v:textbox inset="0mm,0mm,0mm,0mm" style="mso-fit-shape-to-text:t;">
                <w:txbxContent>
                  <w:p>
                    <w:pPr>
                      <w:pStyle w:val="30"/>
                      <w:jc w:val="cente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p>
    <w:pPr>
      <w:pStyle w:val="30"/>
    </w:pPr>
    <w:r>
      <mc:AlternateContent>
        <mc:Choice Requires="wps">
          <w:drawing>
            <wp:anchor distT="0" distB="0" distL="114300" distR="114300" simplePos="0" relativeHeight="251659264" behindDoc="0" locked="0" layoutInCell="1" allowOverlap="1">
              <wp:simplePos x="0" y="0"/>
              <wp:positionH relativeFrom="margin">
                <wp:posOffset>2609850</wp:posOffset>
              </wp:positionH>
              <wp:positionV relativeFrom="paragraph">
                <wp:posOffset>74930</wp:posOffset>
              </wp:positionV>
              <wp:extent cx="254635" cy="1397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254635" cy="139700"/>
                      </a:xfrm>
                      <a:prstGeom prst="rect">
                        <a:avLst/>
                      </a:prstGeom>
                      <a:noFill/>
                      <a:ln w="15875">
                        <a:noFill/>
                      </a:ln>
                      <a:effectLst/>
                    </wps:spPr>
                    <wps:txbx>
                      <w:txbxContent>
                        <w:p>
                          <w:pPr>
                            <w:pStyle w:val="30"/>
                            <w:jc w:val="center"/>
                          </w:pPr>
                          <w:r>
                            <w:fldChar w:fldCharType="begin"/>
                          </w:r>
                          <w:r>
                            <w:instrText xml:space="preserve"> PAGE   \* MERGEFORMAT </w:instrText>
                          </w:r>
                          <w:r>
                            <w:fldChar w:fldCharType="separate"/>
                          </w:r>
                          <w:r>
                            <w:t>61</w:t>
                          </w:r>
                          <w:r>
                            <w:fldChar w:fldCharType="end"/>
                          </w:r>
                        </w:p>
                      </w:txbxContent>
                    </wps:txbx>
                    <wps:bodyPr lIns="0" tIns="0" rIns="0" bIns="0" upright="1">
                      <a:spAutoFit/>
                    </wps:bodyPr>
                  </wps:wsp>
                </a:graphicData>
              </a:graphic>
            </wp:anchor>
          </w:drawing>
        </mc:Choice>
        <mc:Fallback>
          <w:pict>
            <v:shape id="文本框 1" o:spid="_x0000_s1026" o:spt="202" type="#_x0000_t202" style="position:absolute;left:0pt;margin-left:205.5pt;margin-top:5.9pt;height:11pt;width:20.05pt;mso-position-horizontal-relative:margin;z-index:251659264;mso-width-relative:page;mso-height-relative:page;" filled="f" stroked="f" coordsize="21600,21600" o:gfxdata="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YB22AAAAAkBAAAPAAAAAAAAAAEA&#10;IAAAACIAAABkcnMvZG93bnJldi54bWxQSwECFAAUAAAACACHTuJAMAOyBtYBAACjAwAADgAAAAAA&#10;AAABACAAAAAnAQAAZHJzL2Uyb0RvYy54bWxQSwUGAAAAAAYABgBZAQAAbwUAAAAA&#10;">
              <v:fill on="f" focussize="0,0"/>
              <v:stroke on="f" weight="1.25pt"/>
              <v:imagedata o:title=""/>
              <o:lock v:ext="edit" aspectratio="f"/>
              <v:textbox inset="0mm,0mm,0mm,0mm" style="mso-fit-shape-to-text:t;">
                <w:txbxContent>
                  <w:p>
                    <w:pPr>
                      <w:pStyle w:val="30"/>
                      <w:jc w:val="center"/>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pacing w:line="240" w:lineRule="auto"/>
      <w:ind w:firstLine="0" w:firstLineChars="0"/>
      <w:jc w:val="both"/>
    </w:pPr>
    <w:r>
      <w:rPr>
        <w:rFonts w:hint="eastAsia" w:ascii="华文楷体" w:hAnsi="华文楷体" w:eastAsia="华文楷体"/>
        <w:color w:val="auto"/>
        <w:kern w:val="2"/>
        <w:sz w:val="18"/>
        <w:szCs w:val="20"/>
        <w:lang w:val="en-US"/>
      </w:rPr>
      <w:drawing>
        <wp:inline distT="0" distB="0" distL="114300" distR="114300">
          <wp:extent cx="197485" cy="248285"/>
          <wp:effectExtent l="0" t="0" r="12065" b="18415"/>
          <wp:docPr id="40" name="图片 2" descr="均益logo--JPEG版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均益logo--JPEG版本"/>
                  <pic:cNvPicPr>
                    <a:picLocks noChangeAspect="1"/>
                  </pic:cNvPicPr>
                </pic:nvPicPr>
                <pic:blipFill>
                  <a:blip r:embed="rId1"/>
                  <a:stretch>
                    <a:fillRect/>
                  </a:stretch>
                </pic:blipFill>
                <pic:spPr>
                  <a:xfrm>
                    <a:off x="0" y="0"/>
                    <a:ext cx="197485" cy="248285"/>
                  </a:xfrm>
                  <a:prstGeom prst="rect">
                    <a:avLst/>
                  </a:prstGeom>
                  <a:noFill/>
                  <a:ln>
                    <a:noFill/>
                  </a:ln>
                </pic:spPr>
              </pic:pic>
            </a:graphicData>
          </a:graphic>
        </wp:inline>
      </w:drawing>
    </w:r>
    <w:r>
      <w:rPr>
        <w:rFonts w:hint="eastAsia" w:ascii="华文楷体" w:hAnsi="华文楷体" w:eastAsia="华文楷体"/>
        <w:color w:val="auto"/>
        <w:kern w:val="2"/>
        <w:sz w:val="21"/>
        <w:szCs w:val="21"/>
        <w:lang w:val="en-US"/>
      </w:rPr>
      <w:t>成都市均益建设工程造价咨询有限</w:t>
    </w:r>
    <w:r>
      <w:rPr>
        <w:rFonts w:hint="eastAsia" w:ascii="华文楷体" w:hAnsi="华文楷体" w:eastAsia="华文楷体"/>
        <w:color w:val="auto"/>
        <w:kern w:val="2"/>
        <w:sz w:val="21"/>
        <w:szCs w:val="21"/>
        <w:lang w:val="en-US" w:eastAsia="zh-CN"/>
      </w:rPr>
      <w:t xml:space="preserve">责任公司     </w:t>
    </w:r>
    <w:r>
      <w:rPr>
        <w:rFonts w:hint="eastAsia"/>
      </w:rPr>
      <w:t xml:space="preserve"> </w:t>
    </w:r>
    <w:r>
      <w:rPr>
        <w:rFonts w:hint="eastAsia"/>
        <w:lang w:val="en-US" w:eastAsia="zh-CN"/>
      </w:rPr>
      <w:t xml:space="preserve">      </w:t>
    </w:r>
    <w:r>
      <w:rPr>
        <w:rFonts w:hint="eastAsia" w:hAnsi="宋体"/>
        <w:sz w:val="18"/>
        <w:szCs w:val="18"/>
      </w:rPr>
      <w:t>公开</w:t>
    </w:r>
    <w:r>
      <w:rPr>
        <w:rFonts w:hint="eastAsia"/>
        <w:sz w:val="18"/>
        <w:szCs w:val="18"/>
      </w:rPr>
      <w:t xml:space="preserve"> </w:t>
    </w:r>
    <w:r>
      <w:rPr>
        <w:rFonts w:hint="eastAsia" w:hAnsi="宋体"/>
        <w:sz w:val="18"/>
        <w:szCs w:val="18"/>
      </w:rPr>
      <w:t>公平</w:t>
    </w:r>
    <w:r>
      <w:rPr>
        <w:rFonts w:hint="eastAsia"/>
        <w:sz w:val="18"/>
        <w:szCs w:val="18"/>
      </w:rPr>
      <w:t xml:space="preserve"> </w:t>
    </w:r>
    <w:r>
      <w:rPr>
        <w:rFonts w:hint="eastAsia" w:hAnsi="宋体"/>
        <w:sz w:val="18"/>
        <w:szCs w:val="18"/>
      </w:rPr>
      <w:t>公正</w:t>
    </w:r>
    <w:r>
      <w:rPr>
        <w:rFonts w:hint="eastAsia"/>
        <w:sz w:val="18"/>
        <w:szCs w:val="18"/>
      </w:rPr>
      <w:t xml:space="preserve"> </w:t>
    </w:r>
    <w:r>
      <w:rPr>
        <w:rFonts w:hint="eastAsia" w:hAnsi="宋体"/>
        <w:sz w:val="18"/>
        <w:szCs w:val="18"/>
      </w:rPr>
      <w:t>诚信</w:t>
    </w:r>
    <w:r>
      <w:rPr>
        <w:rFonts w:hint="eastAsia"/>
        <w:sz w:val="18"/>
        <w:szCs w:val="18"/>
      </w:rPr>
      <w:t xml:space="preserve"> </w:t>
    </w:r>
    <w:r>
      <w:rPr>
        <w:rFonts w:hint="eastAsia" w:hAnsi="宋体"/>
        <w:sz w:val="18"/>
        <w:szCs w:val="18"/>
      </w:rPr>
      <w:t>务实</w:t>
    </w:r>
  </w:p>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pacing w:line="240" w:lineRule="auto"/>
      <w:ind w:firstLine="0" w:firstLineChars="0"/>
      <w:jc w:val="both"/>
    </w:pPr>
    <w:r>
      <w:rPr>
        <w:rFonts w:hint="eastAsia" w:ascii="华文楷体" w:hAnsi="华文楷体" w:eastAsia="华文楷体"/>
        <w:color w:val="auto"/>
        <w:kern w:val="2"/>
        <w:sz w:val="18"/>
        <w:szCs w:val="20"/>
        <w:lang w:val="en-US"/>
      </w:rPr>
      <w:drawing>
        <wp:inline distT="0" distB="0" distL="114300" distR="114300">
          <wp:extent cx="197485" cy="248285"/>
          <wp:effectExtent l="0" t="0" r="12065" b="18415"/>
          <wp:docPr id="39" name="图片 2" descr="均益logo--JPEG版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均益logo--JPEG版本"/>
                  <pic:cNvPicPr>
                    <a:picLocks noChangeAspect="1"/>
                  </pic:cNvPicPr>
                </pic:nvPicPr>
                <pic:blipFill>
                  <a:blip r:embed="rId1"/>
                  <a:stretch>
                    <a:fillRect/>
                  </a:stretch>
                </pic:blipFill>
                <pic:spPr>
                  <a:xfrm>
                    <a:off x="0" y="0"/>
                    <a:ext cx="197485" cy="248285"/>
                  </a:xfrm>
                  <a:prstGeom prst="rect">
                    <a:avLst/>
                  </a:prstGeom>
                  <a:noFill/>
                  <a:ln>
                    <a:noFill/>
                  </a:ln>
                </pic:spPr>
              </pic:pic>
            </a:graphicData>
          </a:graphic>
        </wp:inline>
      </w:drawing>
    </w:r>
    <w:r>
      <w:rPr>
        <w:rFonts w:hint="eastAsia" w:ascii="华文楷体" w:hAnsi="华文楷体" w:eastAsia="华文楷体"/>
        <w:color w:val="auto"/>
        <w:kern w:val="2"/>
        <w:sz w:val="21"/>
        <w:szCs w:val="21"/>
        <w:lang w:val="en-US"/>
      </w:rPr>
      <w:t>成都市均益建设工程造价咨询有限</w:t>
    </w:r>
    <w:r>
      <w:rPr>
        <w:rFonts w:hint="eastAsia" w:ascii="华文楷体" w:hAnsi="华文楷体" w:eastAsia="华文楷体"/>
        <w:color w:val="auto"/>
        <w:kern w:val="2"/>
        <w:sz w:val="21"/>
        <w:szCs w:val="21"/>
        <w:lang w:val="en-US" w:eastAsia="zh-CN"/>
      </w:rPr>
      <w:t xml:space="preserve">公司     </w:t>
    </w:r>
    <w:r>
      <w:rPr>
        <w:rFonts w:hint="eastAsia"/>
      </w:rPr>
      <w:t xml:space="preserve"> </w:t>
    </w:r>
    <w:r>
      <w:rPr>
        <w:rFonts w:hint="eastAsia"/>
        <w:lang w:val="en-US" w:eastAsia="zh-CN"/>
      </w:rPr>
      <w:t xml:space="preserve">         </w:t>
    </w:r>
    <w:r>
      <w:rPr>
        <w:rFonts w:hint="eastAsia" w:hAnsi="宋体"/>
        <w:sz w:val="18"/>
        <w:szCs w:val="18"/>
      </w:rPr>
      <w:t>公开</w:t>
    </w:r>
    <w:r>
      <w:rPr>
        <w:rFonts w:hint="eastAsia"/>
        <w:sz w:val="18"/>
        <w:szCs w:val="18"/>
      </w:rPr>
      <w:t xml:space="preserve"> </w:t>
    </w:r>
    <w:r>
      <w:rPr>
        <w:rFonts w:hint="eastAsia" w:hAnsi="宋体"/>
        <w:sz w:val="18"/>
        <w:szCs w:val="18"/>
      </w:rPr>
      <w:t>公平</w:t>
    </w:r>
    <w:r>
      <w:rPr>
        <w:rFonts w:hint="eastAsia"/>
        <w:sz w:val="18"/>
        <w:szCs w:val="18"/>
      </w:rPr>
      <w:t xml:space="preserve"> </w:t>
    </w:r>
    <w:r>
      <w:rPr>
        <w:rFonts w:hint="eastAsia" w:hAnsi="宋体"/>
        <w:sz w:val="18"/>
        <w:szCs w:val="18"/>
      </w:rPr>
      <w:t>公正</w:t>
    </w:r>
    <w:r>
      <w:rPr>
        <w:rFonts w:hint="eastAsia"/>
        <w:sz w:val="18"/>
        <w:szCs w:val="18"/>
      </w:rPr>
      <w:t xml:space="preserve"> </w:t>
    </w:r>
    <w:r>
      <w:rPr>
        <w:rFonts w:hint="eastAsia" w:hAnsi="宋体"/>
        <w:sz w:val="18"/>
        <w:szCs w:val="18"/>
      </w:rPr>
      <w:t>诚信</w:t>
    </w:r>
    <w:r>
      <w:rPr>
        <w:rFonts w:hint="eastAsia"/>
        <w:sz w:val="18"/>
        <w:szCs w:val="18"/>
      </w:rPr>
      <w:t xml:space="preserve"> </w:t>
    </w:r>
    <w:r>
      <w:rPr>
        <w:rFonts w:hint="eastAsia" w:hAnsi="宋体"/>
        <w:sz w:val="18"/>
        <w:szCs w:val="18"/>
      </w:rPr>
      <w:t>务实</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pacing w:line="240" w:lineRule="auto"/>
      <w:ind w:firstLine="0" w:firstLineChars="0"/>
      <w:jc w:val="both"/>
    </w:pPr>
    <w:r>
      <w:rPr>
        <w:rFonts w:hint="eastAsia" w:ascii="华文楷体" w:hAnsi="华文楷体" w:eastAsia="华文楷体"/>
        <w:color w:val="auto"/>
        <w:kern w:val="2"/>
        <w:sz w:val="18"/>
        <w:szCs w:val="20"/>
        <w:lang w:val="en-US"/>
      </w:rPr>
      <w:drawing>
        <wp:inline distT="0" distB="0" distL="114300" distR="114300">
          <wp:extent cx="197485" cy="248285"/>
          <wp:effectExtent l="0" t="0" r="12065" b="18415"/>
          <wp:docPr id="1" name="图片 2" descr="均益logo--JPEG版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均益logo--JPEG版本"/>
                  <pic:cNvPicPr>
                    <a:picLocks noChangeAspect="1"/>
                  </pic:cNvPicPr>
                </pic:nvPicPr>
                <pic:blipFill>
                  <a:blip r:embed="rId1"/>
                  <a:stretch>
                    <a:fillRect/>
                  </a:stretch>
                </pic:blipFill>
                <pic:spPr>
                  <a:xfrm>
                    <a:off x="0" y="0"/>
                    <a:ext cx="197485" cy="248285"/>
                  </a:xfrm>
                  <a:prstGeom prst="rect">
                    <a:avLst/>
                  </a:prstGeom>
                  <a:noFill/>
                  <a:ln>
                    <a:noFill/>
                  </a:ln>
                </pic:spPr>
              </pic:pic>
            </a:graphicData>
          </a:graphic>
        </wp:inline>
      </w:drawing>
    </w:r>
    <w:r>
      <w:rPr>
        <w:rFonts w:hint="eastAsia" w:ascii="华文楷体" w:hAnsi="华文楷体" w:eastAsia="华文楷体"/>
        <w:color w:val="auto"/>
        <w:kern w:val="2"/>
        <w:sz w:val="21"/>
        <w:szCs w:val="21"/>
        <w:lang w:val="en-US"/>
      </w:rPr>
      <w:t>成都市均益建设工程造价咨询有限</w:t>
    </w:r>
    <w:r>
      <w:rPr>
        <w:rFonts w:hint="eastAsia" w:ascii="华文楷体" w:hAnsi="华文楷体" w:eastAsia="华文楷体"/>
        <w:color w:val="auto"/>
        <w:kern w:val="2"/>
        <w:sz w:val="21"/>
        <w:szCs w:val="21"/>
        <w:lang w:val="en-US" w:eastAsia="zh-CN"/>
      </w:rPr>
      <w:t xml:space="preserve">责任公司     </w:t>
    </w:r>
    <w:r>
      <w:rPr>
        <w:rFonts w:hint="eastAsia"/>
      </w:rPr>
      <w:t xml:space="preserve"> </w:t>
    </w:r>
    <w:r>
      <w:rPr>
        <w:rFonts w:hint="eastAsia"/>
        <w:lang w:val="en-US" w:eastAsia="zh-CN"/>
      </w:rPr>
      <w:t xml:space="preserve">      </w:t>
    </w:r>
    <w:r>
      <w:rPr>
        <w:rFonts w:hint="eastAsia" w:hAnsi="宋体"/>
        <w:sz w:val="18"/>
        <w:szCs w:val="18"/>
      </w:rPr>
      <w:t>公开</w:t>
    </w:r>
    <w:r>
      <w:rPr>
        <w:rFonts w:hint="eastAsia"/>
        <w:sz w:val="18"/>
        <w:szCs w:val="18"/>
      </w:rPr>
      <w:t xml:space="preserve"> </w:t>
    </w:r>
    <w:r>
      <w:rPr>
        <w:rFonts w:hint="eastAsia" w:hAnsi="宋体"/>
        <w:sz w:val="18"/>
        <w:szCs w:val="18"/>
      </w:rPr>
      <w:t>公平</w:t>
    </w:r>
    <w:r>
      <w:rPr>
        <w:rFonts w:hint="eastAsia"/>
        <w:sz w:val="18"/>
        <w:szCs w:val="18"/>
      </w:rPr>
      <w:t xml:space="preserve"> </w:t>
    </w:r>
    <w:r>
      <w:rPr>
        <w:rFonts w:hint="eastAsia" w:hAnsi="宋体"/>
        <w:sz w:val="18"/>
        <w:szCs w:val="18"/>
      </w:rPr>
      <w:t>公正</w:t>
    </w:r>
    <w:r>
      <w:rPr>
        <w:rFonts w:hint="eastAsia"/>
        <w:sz w:val="18"/>
        <w:szCs w:val="18"/>
      </w:rPr>
      <w:t xml:space="preserve"> </w:t>
    </w:r>
    <w:r>
      <w:rPr>
        <w:rFonts w:hint="eastAsia" w:hAnsi="宋体"/>
        <w:sz w:val="18"/>
        <w:szCs w:val="18"/>
      </w:rPr>
      <w:t>诚信</w:t>
    </w:r>
    <w:r>
      <w:rPr>
        <w:rFonts w:hint="eastAsia"/>
        <w:sz w:val="18"/>
        <w:szCs w:val="18"/>
      </w:rPr>
      <w:t xml:space="preserve"> </w:t>
    </w:r>
    <w:r>
      <w:rPr>
        <w:rFonts w:hint="eastAsia" w:hAnsi="宋体"/>
        <w:sz w:val="18"/>
        <w:szCs w:val="18"/>
      </w:rPr>
      <w:t>务实</w:t>
    </w:r>
  </w:p>
  <w:p>
    <w:pPr>
      <w:pStyle w:val="3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6D5F0"/>
    <w:multiLevelType w:val="singleLevel"/>
    <w:tmpl w:val="DE46D5F0"/>
    <w:lvl w:ilvl="0" w:tentative="0">
      <w:start w:val="6"/>
      <w:numFmt w:val="decimal"/>
      <w:suff w:val="nothing"/>
      <w:lvlText w:val="%1、"/>
      <w:lvlJc w:val="left"/>
    </w:lvl>
  </w:abstractNum>
  <w:abstractNum w:abstractNumId="1">
    <w:nsid w:val="0000000A"/>
    <w:multiLevelType w:val="multilevel"/>
    <w:tmpl w:val="0000000A"/>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56"/>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E"/>
    <w:multiLevelType w:val="multilevel"/>
    <w:tmpl w:val="0000000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3">
    <w:nsid w:val="00000014"/>
    <w:multiLevelType w:val="multilevel"/>
    <w:tmpl w:val="00000014"/>
    <w:lvl w:ilvl="0" w:tentative="0">
      <w:start w:val="4"/>
      <w:numFmt w:val="japaneseCounting"/>
      <w:pStyle w:val="14"/>
      <w:lvlText w:val="第%1章"/>
      <w:lvlJc w:val="left"/>
      <w:pPr>
        <w:tabs>
          <w:tab w:val="left" w:pos="1440"/>
        </w:tabs>
        <w:ind w:left="1440" w:hanging="144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16E83CE"/>
    <w:multiLevelType w:val="singleLevel"/>
    <w:tmpl w:val="216E83CE"/>
    <w:lvl w:ilvl="0" w:tentative="0">
      <w:start w:val="1"/>
      <w:numFmt w:val="decimal"/>
      <w:suff w:val="space"/>
      <w:lvlText w:val="%1."/>
      <w:lvlJc w:val="left"/>
    </w:lvl>
  </w:abstractNum>
  <w:abstractNum w:abstractNumId="5">
    <w:nsid w:val="376F4EEB"/>
    <w:multiLevelType w:val="multilevel"/>
    <w:tmpl w:val="376F4EEB"/>
    <w:lvl w:ilvl="0" w:tentative="0">
      <w:start w:val="3"/>
      <w:numFmt w:val="decimal"/>
      <w:lvlText w:val="%1"/>
      <w:lvlJc w:val="left"/>
      <w:pPr>
        <w:ind w:left="360" w:hanging="360"/>
      </w:pPr>
      <w:rPr>
        <w:rFonts w:hint="default" w:cs="Times New Roman"/>
      </w:rPr>
    </w:lvl>
    <w:lvl w:ilvl="1" w:tentative="0">
      <w:start w:val="1"/>
      <w:numFmt w:val="decimal"/>
      <w:pStyle w:val="141"/>
      <w:lvlText w:val="%1.%2"/>
      <w:lvlJc w:val="left"/>
      <w:pPr>
        <w:ind w:left="644" w:hanging="360"/>
      </w:pPr>
      <w:rPr>
        <w:rFonts w:hint="default" w:ascii="Times New Roman" w:hAnsi="Times New Roman" w:cs="Times New Roman"/>
        <w:b w:val="0"/>
      </w:rPr>
    </w:lvl>
    <w:lvl w:ilvl="2" w:tentative="0">
      <w:start w:val="1"/>
      <w:numFmt w:val="decimal"/>
      <w:pStyle w:val="165"/>
      <w:lvlText w:val="%1.%2.%3"/>
      <w:lvlJc w:val="left"/>
      <w:pPr>
        <w:ind w:left="720" w:hanging="720"/>
      </w:pPr>
      <w:rPr>
        <w:rFonts w:hint="default" w:cs="Times New Roman"/>
        <w:b w:val="0"/>
      </w:rPr>
    </w:lvl>
    <w:lvl w:ilvl="3" w:tentative="0">
      <w:start w:val="1"/>
      <w:numFmt w:val="decimal"/>
      <w:lvlText w:val="%1.%2.%3.%4"/>
      <w:lvlJc w:val="left"/>
      <w:pPr>
        <w:ind w:left="720" w:hanging="72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080" w:hanging="1080"/>
      </w:pPr>
      <w:rPr>
        <w:rFonts w:hint="default" w:cs="Times New Roman"/>
      </w:rPr>
    </w:lvl>
    <w:lvl w:ilvl="6" w:tentative="0">
      <w:start w:val="1"/>
      <w:numFmt w:val="decimal"/>
      <w:lvlText w:val="%1.%2.%3.%4.%5.%6.%7"/>
      <w:lvlJc w:val="left"/>
      <w:pPr>
        <w:ind w:left="1080" w:hanging="1080"/>
      </w:pPr>
      <w:rPr>
        <w:rFonts w:hint="default" w:cs="Times New Roman"/>
      </w:rPr>
    </w:lvl>
    <w:lvl w:ilvl="7" w:tentative="0">
      <w:start w:val="1"/>
      <w:numFmt w:val="decimal"/>
      <w:lvlText w:val="%1.%2.%3.%4.%5.%6.%7.%8"/>
      <w:lvlJc w:val="left"/>
      <w:pPr>
        <w:ind w:left="1440" w:hanging="1440"/>
      </w:pPr>
      <w:rPr>
        <w:rFonts w:hint="default" w:cs="Times New Roman"/>
      </w:rPr>
    </w:lvl>
    <w:lvl w:ilvl="8" w:tentative="0">
      <w:start w:val="1"/>
      <w:numFmt w:val="decimal"/>
      <w:lvlText w:val="%1.%2.%3.%4.%5.%6.%7.%8.%9"/>
      <w:lvlJc w:val="left"/>
      <w:pPr>
        <w:ind w:left="1440" w:hanging="1440"/>
      </w:pPr>
      <w:rPr>
        <w:rFonts w:hint="default" w:cs="Times New Roman"/>
      </w:rPr>
    </w:lvl>
  </w:abstractNum>
  <w:abstractNum w:abstractNumId="6">
    <w:nsid w:val="3953FD27"/>
    <w:multiLevelType w:val="singleLevel"/>
    <w:tmpl w:val="3953FD27"/>
    <w:lvl w:ilvl="0" w:tentative="0">
      <w:start w:val="12"/>
      <w:numFmt w:val="decimal"/>
      <w:suff w:val="space"/>
      <w:lvlText w:val="%1."/>
      <w:lvlJc w:val="left"/>
      <w:pPr>
        <w:ind w:left="480" w:firstLine="0"/>
      </w:pPr>
    </w:lvl>
  </w:abstractNum>
  <w:abstractNum w:abstractNumId="7">
    <w:nsid w:val="56F38B86"/>
    <w:multiLevelType w:val="singleLevel"/>
    <w:tmpl w:val="56F38B86"/>
    <w:lvl w:ilvl="0" w:tentative="0">
      <w:start w:val="1"/>
      <w:numFmt w:val="decimal"/>
      <w:suff w:val="nothing"/>
      <w:lvlText w:val="%1、"/>
      <w:lvlJc w:val="left"/>
      <w:pPr>
        <w:ind w:left="0" w:firstLine="0"/>
      </w:pPr>
    </w:lvl>
  </w:abstractNum>
  <w:abstractNum w:abstractNumId="8">
    <w:nsid w:val="6A53D849"/>
    <w:multiLevelType w:val="singleLevel"/>
    <w:tmpl w:val="6A53D849"/>
    <w:lvl w:ilvl="0" w:tentative="0">
      <w:start w:val="1"/>
      <w:numFmt w:val="decimal"/>
      <w:suff w:val="space"/>
      <w:lvlText w:val="%1."/>
      <w:lvlJc w:val="left"/>
    </w:lvl>
  </w:abstractNum>
  <w:abstractNum w:abstractNumId="9">
    <w:nsid w:val="735D10AE"/>
    <w:multiLevelType w:val="multilevel"/>
    <w:tmpl w:val="735D10AE"/>
    <w:lvl w:ilvl="0" w:tentative="0">
      <w:start w:val="1"/>
      <w:numFmt w:val="decimal"/>
      <w:lvlText w:val="%1."/>
      <w:lvlJc w:val="left"/>
      <w:pPr>
        <w:ind w:left="980" w:hanging="420"/>
      </w:pPr>
      <w:rPr>
        <w:rFonts w:hint="eastAsia"/>
      </w:rPr>
    </w:lvl>
    <w:lvl w:ilvl="1" w:tentative="0">
      <w:start w:val="1"/>
      <w:numFmt w:val="decimal"/>
      <w:suff w:val="nothing"/>
      <w:lvlText w:val="%2."/>
      <w:lvlJc w:val="left"/>
      <w:pPr>
        <w:ind w:left="1400" w:hanging="420"/>
      </w:pPr>
      <w:rPr>
        <w:rFonts w:hint="eastAsia"/>
      </w:rPr>
    </w:lvl>
    <w:lvl w:ilvl="2" w:tentative="0">
      <w:start w:val="3"/>
      <w:numFmt w:val="decimal"/>
      <w:lvlText w:val="%3"/>
      <w:lvlJc w:val="left"/>
      <w:pPr>
        <w:ind w:left="1760" w:hanging="360"/>
      </w:pPr>
      <w:rPr>
        <w:rFonts w:hint="default"/>
      </w:r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3"/>
  </w:num>
  <w:num w:numId="3">
    <w:abstractNumId w:val="1"/>
  </w:num>
  <w:num w:numId="4">
    <w:abstractNumId w:val="5"/>
  </w:num>
  <w:num w:numId="5">
    <w:abstractNumId w:val="4"/>
  </w:num>
  <w:num w:numId="6">
    <w:abstractNumId w:val="6"/>
  </w:num>
  <w:num w:numId="7">
    <w:abstractNumId w:val="8"/>
  </w:num>
  <w:num w:numId="8">
    <w:abstractNumId w:val="9"/>
  </w:num>
  <w:num w:numId="9">
    <w:abstractNumId w:val="7"/>
    <w:lvlOverride w:ilvl="0">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24F"/>
    <w:rsid w:val="000012E3"/>
    <w:rsid w:val="00073164"/>
    <w:rsid w:val="00074130"/>
    <w:rsid w:val="000C4847"/>
    <w:rsid w:val="000C687D"/>
    <w:rsid w:val="000D17E2"/>
    <w:rsid w:val="00102391"/>
    <w:rsid w:val="00127A93"/>
    <w:rsid w:val="00142BAC"/>
    <w:rsid w:val="001474DC"/>
    <w:rsid w:val="001527AB"/>
    <w:rsid w:val="00160AFD"/>
    <w:rsid w:val="001961D5"/>
    <w:rsid w:val="001C63C0"/>
    <w:rsid w:val="001F6E7F"/>
    <w:rsid w:val="00235C93"/>
    <w:rsid w:val="002C430F"/>
    <w:rsid w:val="003312A7"/>
    <w:rsid w:val="00336FA8"/>
    <w:rsid w:val="00346E10"/>
    <w:rsid w:val="00363387"/>
    <w:rsid w:val="0037624D"/>
    <w:rsid w:val="004221A9"/>
    <w:rsid w:val="0044524F"/>
    <w:rsid w:val="004569C1"/>
    <w:rsid w:val="004800AB"/>
    <w:rsid w:val="004C410C"/>
    <w:rsid w:val="004C44EF"/>
    <w:rsid w:val="00525379"/>
    <w:rsid w:val="00537713"/>
    <w:rsid w:val="0057061C"/>
    <w:rsid w:val="00582088"/>
    <w:rsid w:val="005D66A8"/>
    <w:rsid w:val="005E6A42"/>
    <w:rsid w:val="006525B6"/>
    <w:rsid w:val="00653A8B"/>
    <w:rsid w:val="00677DA6"/>
    <w:rsid w:val="00687A37"/>
    <w:rsid w:val="006B44CB"/>
    <w:rsid w:val="006D4954"/>
    <w:rsid w:val="00726270"/>
    <w:rsid w:val="00752095"/>
    <w:rsid w:val="007543C4"/>
    <w:rsid w:val="0076073D"/>
    <w:rsid w:val="00762E42"/>
    <w:rsid w:val="008209CF"/>
    <w:rsid w:val="00837BBB"/>
    <w:rsid w:val="00861424"/>
    <w:rsid w:val="0086778A"/>
    <w:rsid w:val="00872D51"/>
    <w:rsid w:val="008C3A03"/>
    <w:rsid w:val="008C70CC"/>
    <w:rsid w:val="008D4B9D"/>
    <w:rsid w:val="008E3CE1"/>
    <w:rsid w:val="008F48E0"/>
    <w:rsid w:val="009256AE"/>
    <w:rsid w:val="00937223"/>
    <w:rsid w:val="00945ABA"/>
    <w:rsid w:val="00953042"/>
    <w:rsid w:val="00967EEE"/>
    <w:rsid w:val="00997647"/>
    <w:rsid w:val="009B011A"/>
    <w:rsid w:val="009F3428"/>
    <w:rsid w:val="00A25D01"/>
    <w:rsid w:val="00A743C4"/>
    <w:rsid w:val="00AB3C3D"/>
    <w:rsid w:val="00AB4AD6"/>
    <w:rsid w:val="00AC48A4"/>
    <w:rsid w:val="00AD6269"/>
    <w:rsid w:val="00AD706F"/>
    <w:rsid w:val="00AF3399"/>
    <w:rsid w:val="00B11FC0"/>
    <w:rsid w:val="00B1362B"/>
    <w:rsid w:val="00B1401A"/>
    <w:rsid w:val="00BB35FB"/>
    <w:rsid w:val="00BC7C87"/>
    <w:rsid w:val="00BE50A6"/>
    <w:rsid w:val="00BF7A24"/>
    <w:rsid w:val="00C016C4"/>
    <w:rsid w:val="00C5656B"/>
    <w:rsid w:val="00C62947"/>
    <w:rsid w:val="00C7481A"/>
    <w:rsid w:val="00C90662"/>
    <w:rsid w:val="00CE6170"/>
    <w:rsid w:val="00D42DDF"/>
    <w:rsid w:val="00D912EC"/>
    <w:rsid w:val="00DD264F"/>
    <w:rsid w:val="00E206CA"/>
    <w:rsid w:val="00E4207C"/>
    <w:rsid w:val="00EA0183"/>
    <w:rsid w:val="00EE18FF"/>
    <w:rsid w:val="00EE4492"/>
    <w:rsid w:val="00EE6E14"/>
    <w:rsid w:val="00F214AF"/>
    <w:rsid w:val="00F37966"/>
    <w:rsid w:val="00F56521"/>
    <w:rsid w:val="00F80B2C"/>
    <w:rsid w:val="00FE35DE"/>
    <w:rsid w:val="00FF46F9"/>
    <w:rsid w:val="012C0DC3"/>
    <w:rsid w:val="01AB5794"/>
    <w:rsid w:val="01C96BFA"/>
    <w:rsid w:val="02263D9E"/>
    <w:rsid w:val="024169E8"/>
    <w:rsid w:val="02431CA7"/>
    <w:rsid w:val="027163B3"/>
    <w:rsid w:val="02760051"/>
    <w:rsid w:val="02A8123C"/>
    <w:rsid w:val="030037A2"/>
    <w:rsid w:val="03252EB0"/>
    <w:rsid w:val="035E0D90"/>
    <w:rsid w:val="03A96F5E"/>
    <w:rsid w:val="03CE5B4F"/>
    <w:rsid w:val="041B5256"/>
    <w:rsid w:val="042A078B"/>
    <w:rsid w:val="05142F63"/>
    <w:rsid w:val="053B36D0"/>
    <w:rsid w:val="057A2EAC"/>
    <w:rsid w:val="064E2D56"/>
    <w:rsid w:val="0689158C"/>
    <w:rsid w:val="06BE05D7"/>
    <w:rsid w:val="0759253C"/>
    <w:rsid w:val="07900B8B"/>
    <w:rsid w:val="081B61AF"/>
    <w:rsid w:val="083E428D"/>
    <w:rsid w:val="0852594A"/>
    <w:rsid w:val="08A5310D"/>
    <w:rsid w:val="08AE2792"/>
    <w:rsid w:val="08C05E45"/>
    <w:rsid w:val="08D82AE7"/>
    <w:rsid w:val="09025743"/>
    <w:rsid w:val="09083B96"/>
    <w:rsid w:val="09263313"/>
    <w:rsid w:val="094F5C49"/>
    <w:rsid w:val="095F4FE8"/>
    <w:rsid w:val="09652571"/>
    <w:rsid w:val="09EC3A97"/>
    <w:rsid w:val="0A1B0B05"/>
    <w:rsid w:val="0AAF3FA1"/>
    <w:rsid w:val="0ADC09D3"/>
    <w:rsid w:val="0B5650BC"/>
    <w:rsid w:val="0B77009A"/>
    <w:rsid w:val="0BF52B22"/>
    <w:rsid w:val="0C060CE4"/>
    <w:rsid w:val="0C2954EA"/>
    <w:rsid w:val="0CDB2D7F"/>
    <w:rsid w:val="0D19282F"/>
    <w:rsid w:val="0D3D1493"/>
    <w:rsid w:val="0D712BED"/>
    <w:rsid w:val="0DB2650A"/>
    <w:rsid w:val="0DBC0F62"/>
    <w:rsid w:val="0DDB65E1"/>
    <w:rsid w:val="0DE34599"/>
    <w:rsid w:val="0DFD4516"/>
    <w:rsid w:val="0E280B61"/>
    <w:rsid w:val="0EAB17E8"/>
    <w:rsid w:val="0F2C292F"/>
    <w:rsid w:val="0FB104CA"/>
    <w:rsid w:val="0FBF5EA9"/>
    <w:rsid w:val="0FCF3BE2"/>
    <w:rsid w:val="10774D2E"/>
    <w:rsid w:val="10CF660A"/>
    <w:rsid w:val="10E566E9"/>
    <w:rsid w:val="1109503E"/>
    <w:rsid w:val="115706AF"/>
    <w:rsid w:val="11FD17AA"/>
    <w:rsid w:val="120922CD"/>
    <w:rsid w:val="129E4687"/>
    <w:rsid w:val="12DC216F"/>
    <w:rsid w:val="12DF30BA"/>
    <w:rsid w:val="13553FFA"/>
    <w:rsid w:val="13A40EB2"/>
    <w:rsid w:val="13E93C1A"/>
    <w:rsid w:val="141F3C52"/>
    <w:rsid w:val="14242AD9"/>
    <w:rsid w:val="145816C5"/>
    <w:rsid w:val="14654B0D"/>
    <w:rsid w:val="1501032F"/>
    <w:rsid w:val="15324CB0"/>
    <w:rsid w:val="15507E5E"/>
    <w:rsid w:val="155843E3"/>
    <w:rsid w:val="15C96897"/>
    <w:rsid w:val="15CD5E22"/>
    <w:rsid w:val="16256870"/>
    <w:rsid w:val="163E682D"/>
    <w:rsid w:val="166660F6"/>
    <w:rsid w:val="16CD11C6"/>
    <w:rsid w:val="16D060F2"/>
    <w:rsid w:val="16E02D49"/>
    <w:rsid w:val="174004E1"/>
    <w:rsid w:val="179D2649"/>
    <w:rsid w:val="17BD541C"/>
    <w:rsid w:val="18806EAA"/>
    <w:rsid w:val="18B22348"/>
    <w:rsid w:val="18B24AAB"/>
    <w:rsid w:val="194D64E5"/>
    <w:rsid w:val="196210BA"/>
    <w:rsid w:val="196D6D94"/>
    <w:rsid w:val="1A0707EC"/>
    <w:rsid w:val="1A294D5F"/>
    <w:rsid w:val="1AE47458"/>
    <w:rsid w:val="1B0E1C5C"/>
    <w:rsid w:val="1B783B2A"/>
    <w:rsid w:val="1BF0180C"/>
    <w:rsid w:val="1C496336"/>
    <w:rsid w:val="1C9F7709"/>
    <w:rsid w:val="1D057365"/>
    <w:rsid w:val="1D282185"/>
    <w:rsid w:val="1D800390"/>
    <w:rsid w:val="1D844169"/>
    <w:rsid w:val="1E424EDE"/>
    <w:rsid w:val="1E493318"/>
    <w:rsid w:val="1E5D57A4"/>
    <w:rsid w:val="1E875EF3"/>
    <w:rsid w:val="1E9B6A0B"/>
    <w:rsid w:val="1EC67C93"/>
    <w:rsid w:val="1F8F0A32"/>
    <w:rsid w:val="1FE800AB"/>
    <w:rsid w:val="20214297"/>
    <w:rsid w:val="205509A4"/>
    <w:rsid w:val="20B076F7"/>
    <w:rsid w:val="20E53C93"/>
    <w:rsid w:val="21355B63"/>
    <w:rsid w:val="213B40D6"/>
    <w:rsid w:val="21490C4F"/>
    <w:rsid w:val="215E0162"/>
    <w:rsid w:val="21722243"/>
    <w:rsid w:val="21F15D7A"/>
    <w:rsid w:val="22787523"/>
    <w:rsid w:val="22994F66"/>
    <w:rsid w:val="22C96F41"/>
    <w:rsid w:val="22FF24F9"/>
    <w:rsid w:val="230E77D8"/>
    <w:rsid w:val="23E03C8A"/>
    <w:rsid w:val="24145438"/>
    <w:rsid w:val="24162B86"/>
    <w:rsid w:val="24353DC1"/>
    <w:rsid w:val="24427144"/>
    <w:rsid w:val="24875A2C"/>
    <w:rsid w:val="249A19B8"/>
    <w:rsid w:val="24C90BC8"/>
    <w:rsid w:val="2503794F"/>
    <w:rsid w:val="25046FB2"/>
    <w:rsid w:val="251765CE"/>
    <w:rsid w:val="253A1199"/>
    <w:rsid w:val="259F5C2C"/>
    <w:rsid w:val="25B94108"/>
    <w:rsid w:val="264E153B"/>
    <w:rsid w:val="26C50C17"/>
    <w:rsid w:val="26F54624"/>
    <w:rsid w:val="276F4262"/>
    <w:rsid w:val="282903B3"/>
    <w:rsid w:val="28740A25"/>
    <w:rsid w:val="292B79D8"/>
    <w:rsid w:val="29521A6B"/>
    <w:rsid w:val="29E47F0D"/>
    <w:rsid w:val="2A670A3B"/>
    <w:rsid w:val="2AB0427D"/>
    <w:rsid w:val="2AB177E6"/>
    <w:rsid w:val="2AC06C64"/>
    <w:rsid w:val="2ADF60F7"/>
    <w:rsid w:val="2ADF6AD3"/>
    <w:rsid w:val="2B98067B"/>
    <w:rsid w:val="2B9F145E"/>
    <w:rsid w:val="2BC461A3"/>
    <w:rsid w:val="2C237626"/>
    <w:rsid w:val="2C496E5E"/>
    <w:rsid w:val="2C516BF0"/>
    <w:rsid w:val="2C670BE4"/>
    <w:rsid w:val="2CBF5993"/>
    <w:rsid w:val="2CCD4D98"/>
    <w:rsid w:val="2CF40AF4"/>
    <w:rsid w:val="2D8C5E0D"/>
    <w:rsid w:val="2DD042D5"/>
    <w:rsid w:val="2DED0FB9"/>
    <w:rsid w:val="2E22434E"/>
    <w:rsid w:val="2E346FD7"/>
    <w:rsid w:val="2E4A0B5D"/>
    <w:rsid w:val="2EB643A5"/>
    <w:rsid w:val="2F7C73ED"/>
    <w:rsid w:val="2FF21E1B"/>
    <w:rsid w:val="30415477"/>
    <w:rsid w:val="30455A79"/>
    <w:rsid w:val="304C24FD"/>
    <w:rsid w:val="308C071A"/>
    <w:rsid w:val="30C001A6"/>
    <w:rsid w:val="30FC0BD2"/>
    <w:rsid w:val="31200CC7"/>
    <w:rsid w:val="3234553E"/>
    <w:rsid w:val="32AE2918"/>
    <w:rsid w:val="32C51A90"/>
    <w:rsid w:val="32D2072D"/>
    <w:rsid w:val="33247483"/>
    <w:rsid w:val="33587F96"/>
    <w:rsid w:val="337924EC"/>
    <w:rsid w:val="33983CBF"/>
    <w:rsid w:val="342B5CF3"/>
    <w:rsid w:val="345A79CC"/>
    <w:rsid w:val="348231A6"/>
    <w:rsid w:val="34B97DBA"/>
    <w:rsid w:val="34D57EDA"/>
    <w:rsid w:val="353D1D6B"/>
    <w:rsid w:val="35651BFB"/>
    <w:rsid w:val="358C2BB3"/>
    <w:rsid w:val="359E23DB"/>
    <w:rsid w:val="35D84EE8"/>
    <w:rsid w:val="363023C1"/>
    <w:rsid w:val="36676052"/>
    <w:rsid w:val="366E0E33"/>
    <w:rsid w:val="373E56F6"/>
    <w:rsid w:val="37402C76"/>
    <w:rsid w:val="37450B5F"/>
    <w:rsid w:val="37EB0ADD"/>
    <w:rsid w:val="389E4D62"/>
    <w:rsid w:val="38C3596D"/>
    <w:rsid w:val="39431E20"/>
    <w:rsid w:val="39782D7F"/>
    <w:rsid w:val="397A5698"/>
    <w:rsid w:val="3A061DE9"/>
    <w:rsid w:val="3A9403F5"/>
    <w:rsid w:val="3ACC50C3"/>
    <w:rsid w:val="3AF446F8"/>
    <w:rsid w:val="3AF62428"/>
    <w:rsid w:val="3B40242F"/>
    <w:rsid w:val="3B464818"/>
    <w:rsid w:val="3B742CDC"/>
    <w:rsid w:val="3B7975CB"/>
    <w:rsid w:val="3C1F3FF2"/>
    <w:rsid w:val="3C3E6EA0"/>
    <w:rsid w:val="3CA3047A"/>
    <w:rsid w:val="3CC75E25"/>
    <w:rsid w:val="3D195AD4"/>
    <w:rsid w:val="3DE774C4"/>
    <w:rsid w:val="3EBB5341"/>
    <w:rsid w:val="3F8A26A4"/>
    <w:rsid w:val="3FEA3365"/>
    <w:rsid w:val="401915A8"/>
    <w:rsid w:val="40396DCB"/>
    <w:rsid w:val="4085341B"/>
    <w:rsid w:val="40A430F0"/>
    <w:rsid w:val="41A57305"/>
    <w:rsid w:val="41C20C37"/>
    <w:rsid w:val="42551B6D"/>
    <w:rsid w:val="427117E8"/>
    <w:rsid w:val="42755870"/>
    <w:rsid w:val="42925936"/>
    <w:rsid w:val="42C616D4"/>
    <w:rsid w:val="430652F3"/>
    <w:rsid w:val="437B0A75"/>
    <w:rsid w:val="441F4C79"/>
    <w:rsid w:val="442F540D"/>
    <w:rsid w:val="443960A4"/>
    <w:rsid w:val="44C10929"/>
    <w:rsid w:val="450A2C5D"/>
    <w:rsid w:val="455209B5"/>
    <w:rsid w:val="45593C73"/>
    <w:rsid w:val="455959AB"/>
    <w:rsid w:val="45626608"/>
    <w:rsid w:val="45E544C6"/>
    <w:rsid w:val="45EF3931"/>
    <w:rsid w:val="460B50FA"/>
    <w:rsid w:val="46182108"/>
    <w:rsid w:val="465D1EBE"/>
    <w:rsid w:val="46C62275"/>
    <w:rsid w:val="47093FFC"/>
    <w:rsid w:val="4745483F"/>
    <w:rsid w:val="47922591"/>
    <w:rsid w:val="47B41A32"/>
    <w:rsid w:val="47D93818"/>
    <w:rsid w:val="48015687"/>
    <w:rsid w:val="4883632E"/>
    <w:rsid w:val="489C1A4E"/>
    <w:rsid w:val="48AC174A"/>
    <w:rsid w:val="48BE54E7"/>
    <w:rsid w:val="48FA6C4A"/>
    <w:rsid w:val="491E053E"/>
    <w:rsid w:val="49B84EC1"/>
    <w:rsid w:val="49F65B75"/>
    <w:rsid w:val="4A104FDE"/>
    <w:rsid w:val="4A1472AE"/>
    <w:rsid w:val="4A801A09"/>
    <w:rsid w:val="4A870C9B"/>
    <w:rsid w:val="4AE12679"/>
    <w:rsid w:val="4B5E6D10"/>
    <w:rsid w:val="4BEE6AF7"/>
    <w:rsid w:val="4D5A500E"/>
    <w:rsid w:val="4D63669A"/>
    <w:rsid w:val="4D843188"/>
    <w:rsid w:val="4D986B63"/>
    <w:rsid w:val="4DC45B9C"/>
    <w:rsid w:val="4DD36E02"/>
    <w:rsid w:val="4E500AF7"/>
    <w:rsid w:val="4E807A00"/>
    <w:rsid w:val="4EE41294"/>
    <w:rsid w:val="4F3E5EAA"/>
    <w:rsid w:val="4F482175"/>
    <w:rsid w:val="4F6406D0"/>
    <w:rsid w:val="4FF35839"/>
    <w:rsid w:val="50193F22"/>
    <w:rsid w:val="501E3F8A"/>
    <w:rsid w:val="50AC5B83"/>
    <w:rsid w:val="50FB04BE"/>
    <w:rsid w:val="50FD7059"/>
    <w:rsid w:val="51063F0F"/>
    <w:rsid w:val="511729A4"/>
    <w:rsid w:val="5147377A"/>
    <w:rsid w:val="516F3987"/>
    <w:rsid w:val="51CF6C9E"/>
    <w:rsid w:val="51DA7183"/>
    <w:rsid w:val="52556F55"/>
    <w:rsid w:val="528639A4"/>
    <w:rsid w:val="52E7220C"/>
    <w:rsid w:val="53AE4945"/>
    <w:rsid w:val="53B4637E"/>
    <w:rsid w:val="54825DB2"/>
    <w:rsid w:val="54A55BDC"/>
    <w:rsid w:val="54BC5237"/>
    <w:rsid w:val="54DB3DFD"/>
    <w:rsid w:val="54E2413C"/>
    <w:rsid w:val="55351632"/>
    <w:rsid w:val="55CC6B77"/>
    <w:rsid w:val="55E13FF9"/>
    <w:rsid w:val="561D084A"/>
    <w:rsid w:val="563A7DE2"/>
    <w:rsid w:val="563C72CA"/>
    <w:rsid w:val="5654743A"/>
    <w:rsid w:val="570D7063"/>
    <w:rsid w:val="57116265"/>
    <w:rsid w:val="57C64274"/>
    <w:rsid w:val="57CF2B7F"/>
    <w:rsid w:val="58006906"/>
    <w:rsid w:val="585B075E"/>
    <w:rsid w:val="58D6699C"/>
    <w:rsid w:val="59282C5C"/>
    <w:rsid w:val="59634572"/>
    <w:rsid w:val="59980E71"/>
    <w:rsid w:val="599D0854"/>
    <w:rsid w:val="5A110B0E"/>
    <w:rsid w:val="5A4D0CCC"/>
    <w:rsid w:val="5B4D6AE1"/>
    <w:rsid w:val="5B752874"/>
    <w:rsid w:val="5B7A7A8F"/>
    <w:rsid w:val="5C064A39"/>
    <w:rsid w:val="5C59279C"/>
    <w:rsid w:val="5CE76CE3"/>
    <w:rsid w:val="5CF7512D"/>
    <w:rsid w:val="5D6C1F2A"/>
    <w:rsid w:val="5D7E1E7F"/>
    <w:rsid w:val="5E010D79"/>
    <w:rsid w:val="5E0550BF"/>
    <w:rsid w:val="5E0A682A"/>
    <w:rsid w:val="5E1E091F"/>
    <w:rsid w:val="5E661D20"/>
    <w:rsid w:val="5EE32A30"/>
    <w:rsid w:val="5EE84548"/>
    <w:rsid w:val="5F254D11"/>
    <w:rsid w:val="5F466EA6"/>
    <w:rsid w:val="5F8C4AFF"/>
    <w:rsid w:val="5F901980"/>
    <w:rsid w:val="601A11D7"/>
    <w:rsid w:val="60303F35"/>
    <w:rsid w:val="60351937"/>
    <w:rsid w:val="60AB3018"/>
    <w:rsid w:val="60AE6E21"/>
    <w:rsid w:val="6152252C"/>
    <w:rsid w:val="61610485"/>
    <w:rsid w:val="61E1388D"/>
    <w:rsid w:val="61F66209"/>
    <w:rsid w:val="62756D00"/>
    <w:rsid w:val="627C66AD"/>
    <w:rsid w:val="62C157DF"/>
    <w:rsid w:val="62EF7AB5"/>
    <w:rsid w:val="631A46A8"/>
    <w:rsid w:val="63614351"/>
    <w:rsid w:val="638B05A4"/>
    <w:rsid w:val="63AA5E04"/>
    <w:rsid w:val="63DF6FCF"/>
    <w:rsid w:val="63F120EA"/>
    <w:rsid w:val="641E09B0"/>
    <w:rsid w:val="643B60C1"/>
    <w:rsid w:val="644C23C8"/>
    <w:rsid w:val="6530257F"/>
    <w:rsid w:val="65895E3D"/>
    <w:rsid w:val="659278AE"/>
    <w:rsid w:val="65CF49FD"/>
    <w:rsid w:val="65EB3207"/>
    <w:rsid w:val="661256A7"/>
    <w:rsid w:val="6628605F"/>
    <w:rsid w:val="66333543"/>
    <w:rsid w:val="664C57AD"/>
    <w:rsid w:val="665B2423"/>
    <w:rsid w:val="66673AD7"/>
    <w:rsid w:val="668140F0"/>
    <w:rsid w:val="66843DEF"/>
    <w:rsid w:val="66AB6237"/>
    <w:rsid w:val="672E5F44"/>
    <w:rsid w:val="674C10A9"/>
    <w:rsid w:val="68024A7C"/>
    <w:rsid w:val="681C10D4"/>
    <w:rsid w:val="684B7876"/>
    <w:rsid w:val="689F6F96"/>
    <w:rsid w:val="68B07653"/>
    <w:rsid w:val="693656A4"/>
    <w:rsid w:val="69A20906"/>
    <w:rsid w:val="69A275E6"/>
    <w:rsid w:val="69B66723"/>
    <w:rsid w:val="69D52952"/>
    <w:rsid w:val="69E761E1"/>
    <w:rsid w:val="6A4458C4"/>
    <w:rsid w:val="6AF4013C"/>
    <w:rsid w:val="6B247DB9"/>
    <w:rsid w:val="6B7B17A5"/>
    <w:rsid w:val="6B8023F9"/>
    <w:rsid w:val="6BA817DD"/>
    <w:rsid w:val="6BD862A0"/>
    <w:rsid w:val="6C875BAF"/>
    <w:rsid w:val="6C8D16B1"/>
    <w:rsid w:val="6D007254"/>
    <w:rsid w:val="6D1B641D"/>
    <w:rsid w:val="6DA4475A"/>
    <w:rsid w:val="6E1750E3"/>
    <w:rsid w:val="6E4E4893"/>
    <w:rsid w:val="6E9D635D"/>
    <w:rsid w:val="6EA9438E"/>
    <w:rsid w:val="6EED27F4"/>
    <w:rsid w:val="6EF22556"/>
    <w:rsid w:val="6F510309"/>
    <w:rsid w:val="6FC331F8"/>
    <w:rsid w:val="6FCD1709"/>
    <w:rsid w:val="701C5AD9"/>
    <w:rsid w:val="70283397"/>
    <w:rsid w:val="70C37CC1"/>
    <w:rsid w:val="70CA259F"/>
    <w:rsid w:val="71A4412D"/>
    <w:rsid w:val="72D1605B"/>
    <w:rsid w:val="72F9557A"/>
    <w:rsid w:val="73571990"/>
    <w:rsid w:val="73A95A25"/>
    <w:rsid w:val="74373A79"/>
    <w:rsid w:val="74433EDE"/>
    <w:rsid w:val="74436E18"/>
    <w:rsid w:val="74687748"/>
    <w:rsid w:val="74796F1A"/>
    <w:rsid w:val="74AA56F9"/>
    <w:rsid w:val="74B94605"/>
    <w:rsid w:val="76354164"/>
    <w:rsid w:val="763D5724"/>
    <w:rsid w:val="7676057D"/>
    <w:rsid w:val="770B5B51"/>
    <w:rsid w:val="774573D4"/>
    <w:rsid w:val="77490494"/>
    <w:rsid w:val="77656A29"/>
    <w:rsid w:val="779C284C"/>
    <w:rsid w:val="77AB2E56"/>
    <w:rsid w:val="77BF1536"/>
    <w:rsid w:val="77CB74C4"/>
    <w:rsid w:val="77CD602A"/>
    <w:rsid w:val="77E811B0"/>
    <w:rsid w:val="77FF163C"/>
    <w:rsid w:val="784123CC"/>
    <w:rsid w:val="78F31E44"/>
    <w:rsid w:val="798308D1"/>
    <w:rsid w:val="79F02AE7"/>
    <w:rsid w:val="7A4535F6"/>
    <w:rsid w:val="7AB41502"/>
    <w:rsid w:val="7B1D68CF"/>
    <w:rsid w:val="7B3A11DC"/>
    <w:rsid w:val="7B7E12A6"/>
    <w:rsid w:val="7B914A7A"/>
    <w:rsid w:val="7B966395"/>
    <w:rsid w:val="7BD54B54"/>
    <w:rsid w:val="7CA52A8E"/>
    <w:rsid w:val="7CA612BA"/>
    <w:rsid w:val="7CC257C2"/>
    <w:rsid w:val="7D2C22E8"/>
    <w:rsid w:val="7D7B37A5"/>
    <w:rsid w:val="7DA956FB"/>
    <w:rsid w:val="7E462465"/>
    <w:rsid w:val="7E8D5112"/>
    <w:rsid w:val="7F0346EA"/>
    <w:rsid w:val="7F0B7104"/>
    <w:rsid w:val="7F156D63"/>
    <w:rsid w:val="7FEC3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0" w:semiHidden="0" w:name="toc 2"/>
    <w:lsdException w:qFormat="1" w:uiPriority="0" w:semiHidden="0" w:name="toc 3"/>
    <w:lsdException w:qFormat="1"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Calibri" w:eastAsia="宋体" w:cs="Times New Roman"/>
      <w:sz w:val="34"/>
      <w:lang w:val="en-US" w:eastAsia="zh-CN" w:bidi="ar-SA"/>
    </w:rPr>
  </w:style>
  <w:style w:type="paragraph" w:styleId="3">
    <w:name w:val="heading 1"/>
    <w:basedOn w:val="1"/>
    <w:next w:val="1"/>
    <w:link w:val="58"/>
    <w:qFormat/>
    <w:uiPriority w:val="99"/>
    <w:pPr>
      <w:keepNext/>
      <w:keepLines/>
      <w:spacing w:before="340" w:after="330" w:line="700" w:lineRule="exact"/>
      <w:jc w:val="center"/>
      <w:outlineLvl w:val="0"/>
    </w:pPr>
    <w:rPr>
      <w:rFonts w:ascii="Calibri"/>
      <w:b/>
      <w:bCs/>
      <w:kern w:val="44"/>
      <w:sz w:val="36"/>
      <w:szCs w:val="44"/>
    </w:rPr>
  </w:style>
  <w:style w:type="paragraph" w:styleId="4">
    <w:name w:val="heading 2"/>
    <w:basedOn w:val="1"/>
    <w:next w:val="1"/>
    <w:link w:val="59"/>
    <w:qFormat/>
    <w:uiPriority w:val="0"/>
    <w:pPr>
      <w:keepNext/>
      <w:keepLines/>
      <w:spacing w:before="260" w:after="260" w:line="416" w:lineRule="auto"/>
      <w:outlineLvl w:val="1"/>
    </w:pPr>
    <w:rPr>
      <w:rFonts w:ascii="Arial" w:hAnsi="Arial" w:eastAsia="黑体"/>
      <w:b/>
      <w:bCs/>
      <w:kern w:val="2"/>
      <w:sz w:val="32"/>
      <w:szCs w:val="32"/>
    </w:rPr>
  </w:style>
  <w:style w:type="paragraph" w:styleId="5">
    <w:name w:val="heading 3"/>
    <w:basedOn w:val="1"/>
    <w:next w:val="1"/>
    <w:link w:val="139"/>
    <w:qFormat/>
    <w:uiPriority w:val="0"/>
    <w:pPr>
      <w:keepNext/>
      <w:keepLines/>
      <w:spacing w:before="260" w:after="260" w:line="416" w:lineRule="auto"/>
      <w:outlineLvl w:val="2"/>
    </w:pPr>
    <w:rPr>
      <w:rFonts w:ascii="Calibri"/>
      <w:b/>
      <w:bCs/>
      <w:kern w:val="2"/>
      <w:sz w:val="32"/>
      <w:szCs w:val="32"/>
    </w:rPr>
  </w:style>
  <w:style w:type="paragraph" w:styleId="6">
    <w:name w:val="heading 4"/>
    <w:basedOn w:val="1"/>
    <w:next w:val="1"/>
    <w:link w:val="61"/>
    <w:qFormat/>
    <w:uiPriority w:val="9"/>
    <w:pPr>
      <w:keepNext/>
      <w:keepLines/>
      <w:spacing w:before="280" w:after="290" w:line="376" w:lineRule="auto"/>
      <w:outlineLvl w:val="3"/>
    </w:pPr>
    <w:rPr>
      <w:rFonts w:ascii="Arial" w:hAnsi="Arial" w:eastAsia="黑体"/>
      <w:b/>
      <w:bCs/>
      <w:kern w:val="2"/>
      <w:sz w:val="28"/>
      <w:szCs w:val="28"/>
    </w:rPr>
  </w:style>
  <w:style w:type="paragraph" w:styleId="7">
    <w:name w:val="heading 5"/>
    <w:basedOn w:val="1"/>
    <w:next w:val="8"/>
    <w:link w:val="62"/>
    <w:qFormat/>
    <w:uiPriority w:val="0"/>
    <w:pPr>
      <w:keepNext/>
      <w:keepLines/>
      <w:numPr>
        <w:ilvl w:val="4"/>
        <w:numId w:val="1"/>
      </w:numPr>
      <w:spacing w:before="280" w:after="290" w:line="376" w:lineRule="auto"/>
      <w:outlineLvl w:val="4"/>
    </w:pPr>
    <w:rPr>
      <w:rFonts w:ascii="Calibri"/>
      <w:b/>
      <w:kern w:val="2"/>
      <w:sz w:val="28"/>
      <w:szCs w:val="24"/>
    </w:rPr>
  </w:style>
  <w:style w:type="paragraph" w:styleId="9">
    <w:name w:val="heading 6"/>
    <w:basedOn w:val="1"/>
    <w:next w:val="8"/>
    <w:link w:val="63"/>
    <w:qFormat/>
    <w:uiPriority w:val="0"/>
    <w:pPr>
      <w:keepNext/>
      <w:keepLines/>
      <w:numPr>
        <w:ilvl w:val="5"/>
        <w:numId w:val="1"/>
      </w:numPr>
      <w:spacing w:before="240" w:after="64" w:line="320" w:lineRule="auto"/>
      <w:outlineLvl w:val="5"/>
    </w:pPr>
    <w:rPr>
      <w:rFonts w:ascii="Arial" w:hAnsi="Arial" w:eastAsia="黑体"/>
      <w:b/>
      <w:kern w:val="2"/>
      <w:sz w:val="24"/>
      <w:szCs w:val="24"/>
    </w:rPr>
  </w:style>
  <w:style w:type="paragraph" w:styleId="10">
    <w:name w:val="heading 7"/>
    <w:basedOn w:val="1"/>
    <w:next w:val="8"/>
    <w:link w:val="64"/>
    <w:qFormat/>
    <w:uiPriority w:val="0"/>
    <w:pPr>
      <w:keepNext/>
      <w:keepLines/>
      <w:numPr>
        <w:ilvl w:val="6"/>
        <w:numId w:val="1"/>
      </w:numPr>
      <w:spacing w:before="240" w:after="64" w:line="320" w:lineRule="auto"/>
      <w:outlineLvl w:val="6"/>
    </w:pPr>
    <w:rPr>
      <w:rFonts w:ascii="Calibri"/>
      <w:b/>
      <w:kern w:val="2"/>
      <w:sz w:val="24"/>
      <w:szCs w:val="24"/>
    </w:rPr>
  </w:style>
  <w:style w:type="paragraph" w:styleId="11">
    <w:name w:val="heading 8"/>
    <w:basedOn w:val="1"/>
    <w:next w:val="8"/>
    <w:link w:val="65"/>
    <w:qFormat/>
    <w:uiPriority w:val="0"/>
    <w:pPr>
      <w:keepNext/>
      <w:keepLines/>
      <w:numPr>
        <w:ilvl w:val="7"/>
        <w:numId w:val="1"/>
      </w:numPr>
      <w:spacing w:before="240" w:after="64" w:line="320" w:lineRule="auto"/>
      <w:outlineLvl w:val="7"/>
    </w:pPr>
    <w:rPr>
      <w:rFonts w:ascii="Arial" w:hAnsi="Arial" w:eastAsia="黑体"/>
      <w:kern w:val="2"/>
      <w:sz w:val="24"/>
      <w:szCs w:val="24"/>
    </w:rPr>
  </w:style>
  <w:style w:type="paragraph" w:styleId="12">
    <w:name w:val="heading 9"/>
    <w:basedOn w:val="1"/>
    <w:next w:val="8"/>
    <w:link w:val="66"/>
    <w:qFormat/>
    <w:uiPriority w:val="0"/>
    <w:pPr>
      <w:keepNext/>
      <w:keepLines/>
      <w:numPr>
        <w:ilvl w:val="8"/>
        <w:numId w:val="1"/>
      </w:numPr>
      <w:spacing w:before="240" w:after="64" w:line="320" w:lineRule="auto"/>
      <w:outlineLvl w:val="8"/>
    </w:pPr>
    <w:rPr>
      <w:rFonts w:ascii="Arial" w:hAnsi="Arial" w:eastAsia="黑体"/>
      <w:kern w:val="2"/>
      <w:sz w:val="21"/>
      <w:szCs w:val="24"/>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9"/>
    <w:unhideWhenUsed/>
    <w:qFormat/>
    <w:uiPriority w:val="0"/>
    <w:pPr>
      <w:spacing w:after="120"/>
    </w:pPr>
  </w:style>
  <w:style w:type="paragraph" w:styleId="8">
    <w:name w:val="Normal Indent"/>
    <w:basedOn w:val="1"/>
    <w:link w:val="167"/>
    <w:qFormat/>
    <w:uiPriority w:val="0"/>
    <w:pPr>
      <w:ind w:firstLine="420" w:firstLineChars="200"/>
    </w:pPr>
    <w:rPr>
      <w:rFonts w:asciiTheme="minorHAnsi" w:hAnsiTheme="minorHAnsi" w:cstheme="minorBidi"/>
      <w:kern w:val="2"/>
      <w:sz w:val="21"/>
      <w:szCs w:val="24"/>
    </w:rPr>
  </w:style>
  <w:style w:type="paragraph" w:styleId="13">
    <w:name w:val="toc 7"/>
    <w:basedOn w:val="1"/>
    <w:next w:val="1"/>
    <w:qFormat/>
    <w:uiPriority w:val="0"/>
    <w:pPr>
      <w:spacing w:line="360" w:lineRule="auto"/>
      <w:ind w:left="1440"/>
      <w:jc w:val="left"/>
    </w:pPr>
    <w:rPr>
      <w:rFonts w:ascii="Calibri" w:cs="Calibri"/>
      <w:sz w:val="18"/>
      <w:szCs w:val="18"/>
    </w:rPr>
  </w:style>
  <w:style w:type="paragraph" w:styleId="14">
    <w:name w:val="List Bullet"/>
    <w:basedOn w:val="1"/>
    <w:qFormat/>
    <w:uiPriority w:val="0"/>
    <w:pPr>
      <w:numPr>
        <w:ilvl w:val="0"/>
        <w:numId w:val="2"/>
      </w:numPr>
      <w:tabs>
        <w:tab w:val="left" w:pos="900"/>
        <w:tab w:val="clear" w:pos="1440"/>
      </w:tabs>
      <w:adjustRightInd w:val="0"/>
      <w:snapToGrid w:val="0"/>
      <w:spacing w:line="360" w:lineRule="auto"/>
    </w:pPr>
    <w:rPr>
      <w:rFonts w:hAnsi="宋体"/>
      <w:sz w:val="24"/>
    </w:rPr>
  </w:style>
  <w:style w:type="paragraph" w:styleId="15">
    <w:name w:val="Document Map"/>
    <w:basedOn w:val="1"/>
    <w:link w:val="174"/>
    <w:qFormat/>
    <w:uiPriority w:val="0"/>
    <w:pPr>
      <w:shd w:val="clear" w:color="auto" w:fill="000080"/>
    </w:pPr>
    <w:rPr>
      <w:rFonts w:cstheme="minorBidi"/>
      <w:sz w:val="18"/>
      <w:szCs w:val="18"/>
      <w:lang w:eastAsia="en-US" w:bidi="en-US"/>
    </w:rPr>
  </w:style>
  <w:style w:type="paragraph" w:styleId="16">
    <w:name w:val="annotation text"/>
    <w:basedOn w:val="1"/>
    <w:link w:val="67"/>
    <w:unhideWhenUsed/>
    <w:qFormat/>
    <w:uiPriority w:val="99"/>
    <w:pPr>
      <w:jc w:val="left"/>
    </w:pPr>
  </w:style>
  <w:style w:type="paragraph" w:styleId="17">
    <w:name w:val="Salutation"/>
    <w:basedOn w:val="1"/>
    <w:next w:val="1"/>
    <w:link w:val="179"/>
    <w:qFormat/>
    <w:uiPriority w:val="0"/>
    <w:rPr>
      <w:rFonts w:asciiTheme="minorHAnsi" w:hAnsiTheme="minorHAnsi" w:cstheme="minorBidi"/>
      <w:kern w:val="2"/>
      <w:sz w:val="21"/>
      <w:szCs w:val="24"/>
    </w:rPr>
  </w:style>
  <w:style w:type="paragraph" w:styleId="18">
    <w:name w:val="Body Text 3"/>
    <w:basedOn w:val="1"/>
    <w:link w:val="183"/>
    <w:qFormat/>
    <w:uiPriority w:val="0"/>
    <w:pPr>
      <w:spacing w:line="500" w:lineRule="exact"/>
    </w:pPr>
    <w:rPr>
      <w:rFonts w:asciiTheme="minorHAnsi" w:hAnsiTheme="minorHAnsi" w:cstheme="minorBidi"/>
      <w:b/>
      <w:bCs/>
      <w:kern w:val="2"/>
      <w:sz w:val="24"/>
      <w:szCs w:val="24"/>
    </w:rPr>
  </w:style>
  <w:style w:type="paragraph" w:styleId="19">
    <w:name w:val="Closing"/>
    <w:basedOn w:val="1"/>
    <w:link w:val="176"/>
    <w:qFormat/>
    <w:uiPriority w:val="0"/>
    <w:pPr>
      <w:ind w:left="100" w:leftChars="2100"/>
    </w:pPr>
    <w:rPr>
      <w:rFonts w:asciiTheme="minorHAnsi" w:hAnsiTheme="minorHAnsi" w:cstheme="minorBidi"/>
      <w:kern w:val="2"/>
      <w:sz w:val="21"/>
      <w:szCs w:val="24"/>
    </w:rPr>
  </w:style>
  <w:style w:type="paragraph" w:styleId="20">
    <w:name w:val="Body Text Indent"/>
    <w:basedOn w:val="1"/>
    <w:link w:val="75"/>
    <w:qFormat/>
    <w:uiPriority w:val="0"/>
    <w:pPr>
      <w:ind w:firstLine="630"/>
    </w:pPr>
    <w:rPr>
      <w:rFonts w:asciiTheme="minorHAnsi" w:hAnsiTheme="minorHAnsi" w:cstheme="minorBidi"/>
      <w:kern w:val="2"/>
      <w:sz w:val="32"/>
    </w:rPr>
  </w:style>
  <w:style w:type="paragraph" w:styleId="21">
    <w:name w:val="Block Text"/>
    <w:basedOn w:val="1"/>
    <w:qFormat/>
    <w:uiPriority w:val="0"/>
    <w:pPr>
      <w:spacing w:line="400" w:lineRule="exact"/>
      <w:ind w:left="-359" w:leftChars="-171" w:right="-687" w:rightChars="-327" w:firstLine="720"/>
    </w:pPr>
    <w:rPr>
      <w:rFonts w:hAnsi="宋体"/>
      <w:sz w:val="28"/>
    </w:rPr>
  </w:style>
  <w:style w:type="paragraph" w:styleId="22">
    <w:name w:val="index 4"/>
    <w:basedOn w:val="1"/>
    <w:next w:val="1"/>
    <w:unhideWhenUsed/>
    <w:qFormat/>
    <w:uiPriority w:val="99"/>
    <w:pPr>
      <w:ind w:left="600" w:leftChars="600"/>
    </w:pPr>
  </w:style>
  <w:style w:type="paragraph" w:styleId="23">
    <w:name w:val="toc 5"/>
    <w:basedOn w:val="1"/>
    <w:next w:val="1"/>
    <w:qFormat/>
    <w:uiPriority w:val="0"/>
    <w:pPr>
      <w:spacing w:line="360" w:lineRule="auto"/>
      <w:ind w:left="960"/>
      <w:jc w:val="left"/>
    </w:pPr>
    <w:rPr>
      <w:rFonts w:ascii="Calibri" w:cs="Calibri"/>
      <w:sz w:val="18"/>
      <w:szCs w:val="18"/>
    </w:rPr>
  </w:style>
  <w:style w:type="paragraph" w:styleId="24">
    <w:name w:val="toc 3"/>
    <w:basedOn w:val="1"/>
    <w:next w:val="1"/>
    <w:unhideWhenUsed/>
    <w:qFormat/>
    <w:uiPriority w:val="0"/>
    <w:pPr>
      <w:spacing w:line="360" w:lineRule="auto"/>
      <w:ind w:left="480"/>
      <w:jc w:val="left"/>
    </w:pPr>
    <w:rPr>
      <w:rFonts w:ascii="Calibri" w:cs="Calibri"/>
      <w:i/>
      <w:iCs/>
      <w:sz w:val="20"/>
    </w:rPr>
  </w:style>
  <w:style w:type="paragraph" w:styleId="25">
    <w:name w:val="Plain Text"/>
    <w:basedOn w:val="1"/>
    <w:link w:val="184"/>
    <w:qFormat/>
    <w:uiPriority w:val="99"/>
    <w:rPr>
      <w:rFonts w:hAnsi="Courier New" w:cs="Courier New"/>
      <w:kern w:val="2"/>
      <w:sz w:val="21"/>
      <w:szCs w:val="21"/>
    </w:rPr>
  </w:style>
  <w:style w:type="paragraph" w:styleId="26">
    <w:name w:val="toc 8"/>
    <w:basedOn w:val="1"/>
    <w:next w:val="1"/>
    <w:qFormat/>
    <w:uiPriority w:val="0"/>
    <w:pPr>
      <w:spacing w:line="360" w:lineRule="auto"/>
      <w:ind w:left="1680"/>
      <w:jc w:val="left"/>
    </w:pPr>
    <w:rPr>
      <w:rFonts w:ascii="Calibri" w:cs="Calibri"/>
      <w:sz w:val="18"/>
      <w:szCs w:val="18"/>
    </w:rPr>
  </w:style>
  <w:style w:type="paragraph" w:styleId="27">
    <w:name w:val="Date"/>
    <w:basedOn w:val="1"/>
    <w:next w:val="1"/>
    <w:link w:val="173"/>
    <w:qFormat/>
    <w:uiPriority w:val="0"/>
    <w:rPr>
      <w:rFonts w:eastAsia="黑体" w:asciiTheme="minorHAnsi" w:hAnsiTheme="minorHAnsi" w:cstheme="minorBidi"/>
      <w:kern w:val="2"/>
      <w:sz w:val="36"/>
    </w:rPr>
  </w:style>
  <w:style w:type="paragraph" w:styleId="28">
    <w:name w:val="Body Text Indent 2"/>
    <w:basedOn w:val="1"/>
    <w:link w:val="175"/>
    <w:qFormat/>
    <w:uiPriority w:val="0"/>
    <w:pPr>
      <w:spacing w:after="120" w:line="480" w:lineRule="auto"/>
      <w:ind w:left="420" w:leftChars="200"/>
    </w:pPr>
    <w:rPr>
      <w:rFonts w:asciiTheme="minorHAnsi" w:hAnsiTheme="minorHAnsi" w:cstheme="minorBidi"/>
      <w:kern w:val="2"/>
      <w:sz w:val="21"/>
      <w:szCs w:val="24"/>
    </w:rPr>
  </w:style>
  <w:style w:type="paragraph" w:styleId="29">
    <w:name w:val="Balloon Text"/>
    <w:basedOn w:val="1"/>
    <w:link w:val="182"/>
    <w:qFormat/>
    <w:uiPriority w:val="99"/>
    <w:rPr>
      <w:rFonts w:hAnsiTheme="minorHAnsi" w:eastAsiaTheme="minorEastAsia" w:cstheme="minorBidi"/>
      <w:sz w:val="18"/>
      <w:szCs w:val="18"/>
    </w:rPr>
  </w:style>
  <w:style w:type="paragraph" w:styleId="30">
    <w:name w:val="footer"/>
    <w:basedOn w:val="1"/>
    <w:link w:val="80"/>
    <w:unhideWhenUsed/>
    <w:qFormat/>
    <w:uiPriority w:val="99"/>
    <w:pPr>
      <w:tabs>
        <w:tab w:val="center" w:pos="4153"/>
        <w:tab w:val="right" w:pos="8306"/>
      </w:tabs>
      <w:snapToGrid w:val="0"/>
      <w:jc w:val="left"/>
    </w:pPr>
    <w:rPr>
      <w:sz w:val="18"/>
      <w:szCs w:val="18"/>
    </w:rPr>
  </w:style>
  <w:style w:type="paragraph" w:styleId="31">
    <w:name w:val="header"/>
    <w:basedOn w:val="1"/>
    <w:link w:val="81"/>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hAnsi="宋体"/>
      <w:b/>
      <w:bCs/>
      <w:caps/>
      <w:sz w:val="24"/>
    </w:rPr>
  </w:style>
  <w:style w:type="paragraph" w:styleId="33">
    <w:name w:val="toc 4"/>
    <w:basedOn w:val="1"/>
    <w:next w:val="1"/>
    <w:unhideWhenUsed/>
    <w:qFormat/>
    <w:uiPriority w:val="0"/>
    <w:pPr>
      <w:spacing w:line="360" w:lineRule="auto"/>
      <w:ind w:left="720"/>
      <w:jc w:val="left"/>
    </w:pPr>
    <w:rPr>
      <w:rFonts w:ascii="Calibri" w:cs="Calibri"/>
      <w:sz w:val="18"/>
      <w:szCs w:val="18"/>
    </w:rPr>
  </w:style>
  <w:style w:type="paragraph" w:styleId="34">
    <w:name w:val="Subtitle"/>
    <w:basedOn w:val="1"/>
    <w:next w:val="1"/>
    <w:link w:val="82"/>
    <w:qFormat/>
    <w:uiPriority w:val="0"/>
    <w:pPr>
      <w:spacing w:before="240" w:after="60" w:line="312" w:lineRule="auto"/>
      <w:jc w:val="center"/>
      <w:outlineLvl w:val="1"/>
    </w:pPr>
    <w:rPr>
      <w:rFonts w:ascii="Cambria" w:hAnsi="Cambria"/>
      <w:b/>
      <w:bCs/>
      <w:kern w:val="28"/>
      <w:sz w:val="32"/>
      <w:szCs w:val="32"/>
    </w:rPr>
  </w:style>
  <w:style w:type="paragraph" w:styleId="35">
    <w:name w:val="toc 6"/>
    <w:basedOn w:val="1"/>
    <w:next w:val="1"/>
    <w:qFormat/>
    <w:uiPriority w:val="0"/>
    <w:pPr>
      <w:spacing w:line="360" w:lineRule="auto"/>
      <w:ind w:left="1200"/>
      <w:jc w:val="left"/>
    </w:pPr>
    <w:rPr>
      <w:rFonts w:ascii="Calibri" w:cs="Calibri"/>
      <w:sz w:val="18"/>
      <w:szCs w:val="18"/>
    </w:rPr>
  </w:style>
  <w:style w:type="paragraph" w:styleId="36">
    <w:name w:val="Body Text Indent 3"/>
    <w:basedOn w:val="1"/>
    <w:link w:val="170"/>
    <w:qFormat/>
    <w:uiPriority w:val="0"/>
    <w:pPr>
      <w:spacing w:after="120"/>
      <w:ind w:left="420" w:leftChars="200"/>
    </w:pPr>
    <w:rPr>
      <w:rFonts w:asciiTheme="minorHAnsi" w:hAnsiTheme="minorHAnsi" w:cstheme="minorBidi"/>
      <w:kern w:val="2"/>
      <w:sz w:val="16"/>
      <w:szCs w:val="16"/>
    </w:rPr>
  </w:style>
  <w:style w:type="paragraph" w:styleId="37">
    <w:name w:val="toc 2"/>
    <w:basedOn w:val="1"/>
    <w:next w:val="1"/>
    <w:unhideWhenUsed/>
    <w:qFormat/>
    <w:uiPriority w:val="0"/>
    <w:pPr>
      <w:spacing w:line="360" w:lineRule="auto"/>
      <w:ind w:left="240"/>
      <w:jc w:val="left"/>
    </w:pPr>
    <w:rPr>
      <w:rFonts w:ascii="Calibri" w:cs="Calibri"/>
      <w:smallCaps/>
      <w:sz w:val="20"/>
    </w:rPr>
  </w:style>
  <w:style w:type="paragraph" w:styleId="38">
    <w:name w:val="toc 9"/>
    <w:basedOn w:val="1"/>
    <w:next w:val="1"/>
    <w:qFormat/>
    <w:uiPriority w:val="0"/>
    <w:pPr>
      <w:spacing w:line="360" w:lineRule="auto"/>
      <w:ind w:left="1920"/>
      <w:jc w:val="left"/>
    </w:pPr>
    <w:rPr>
      <w:rFonts w:ascii="Calibri" w:cs="Calibri"/>
      <w:sz w:val="18"/>
      <w:szCs w:val="18"/>
    </w:rPr>
  </w:style>
  <w:style w:type="paragraph" w:styleId="39">
    <w:name w:val="Body Text 2"/>
    <w:basedOn w:val="1"/>
    <w:link w:val="181"/>
    <w:qFormat/>
    <w:uiPriority w:val="0"/>
    <w:pPr>
      <w:spacing w:after="120" w:line="480" w:lineRule="auto"/>
    </w:pPr>
    <w:rPr>
      <w:rFonts w:asciiTheme="minorHAnsi" w:hAnsiTheme="minorHAnsi" w:cstheme="minorBidi"/>
      <w:kern w:val="2"/>
      <w:sz w:val="21"/>
      <w:szCs w:val="24"/>
    </w:rPr>
  </w:style>
  <w:style w:type="paragraph" w:styleId="40">
    <w:name w:val="HTML Preformatted"/>
    <w:basedOn w:val="1"/>
    <w:link w:val="18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z w:val="24"/>
      <w:szCs w:val="24"/>
    </w:rPr>
  </w:style>
  <w:style w:type="paragraph" w:styleId="41">
    <w:name w:val="Normal (Web)"/>
    <w:basedOn w:val="1"/>
    <w:qFormat/>
    <w:uiPriority w:val="0"/>
    <w:pPr>
      <w:widowControl/>
      <w:spacing w:before="100" w:beforeAutospacing="1" w:after="100" w:afterAutospacing="1"/>
      <w:jc w:val="left"/>
    </w:pPr>
    <w:rPr>
      <w:rFonts w:hAnsi="宋体"/>
      <w:sz w:val="18"/>
      <w:szCs w:val="18"/>
    </w:rPr>
  </w:style>
  <w:style w:type="paragraph" w:styleId="42">
    <w:name w:val="index 1"/>
    <w:basedOn w:val="1"/>
    <w:next w:val="1"/>
    <w:link w:val="509"/>
    <w:qFormat/>
    <w:uiPriority w:val="0"/>
    <w:pPr>
      <w:jc w:val="center"/>
    </w:pPr>
    <w:rPr>
      <w:rFonts w:ascii="仿宋_GB2312" w:hAnsi="宋体" w:eastAsia="仿宋_GB2312"/>
      <w:b/>
      <w:bCs/>
      <w:sz w:val="30"/>
    </w:rPr>
  </w:style>
  <w:style w:type="paragraph" w:styleId="43">
    <w:name w:val="Title"/>
    <w:basedOn w:val="1"/>
    <w:next w:val="1"/>
    <w:link w:val="86"/>
    <w:qFormat/>
    <w:uiPriority w:val="0"/>
    <w:pPr>
      <w:spacing w:before="240" w:after="60" w:line="360" w:lineRule="auto"/>
      <w:jc w:val="center"/>
      <w:outlineLvl w:val="0"/>
    </w:pPr>
    <w:rPr>
      <w:rFonts w:ascii="Cambria" w:hAnsi="Cambria"/>
      <w:b/>
      <w:bCs/>
      <w:sz w:val="32"/>
      <w:szCs w:val="32"/>
    </w:rPr>
  </w:style>
  <w:style w:type="paragraph" w:styleId="44">
    <w:name w:val="annotation subject"/>
    <w:basedOn w:val="16"/>
    <w:next w:val="16"/>
    <w:link w:val="172"/>
    <w:qFormat/>
    <w:uiPriority w:val="0"/>
    <w:pPr>
      <w:jc w:val="both"/>
    </w:pPr>
    <w:rPr>
      <w:b/>
      <w:bCs/>
      <w:kern w:val="2"/>
      <w:sz w:val="20"/>
    </w:rPr>
  </w:style>
  <w:style w:type="paragraph" w:styleId="45">
    <w:name w:val="Body Text First Indent"/>
    <w:basedOn w:val="2"/>
    <w:link w:val="178"/>
    <w:qFormat/>
    <w:uiPriority w:val="0"/>
    <w:pPr>
      <w:spacing w:after="0"/>
      <w:ind w:firstLine="420" w:firstLineChars="100"/>
    </w:pPr>
    <w:rPr>
      <w:kern w:val="2"/>
    </w:rPr>
  </w:style>
  <w:style w:type="paragraph" w:styleId="46">
    <w:name w:val="Body Text First Indent 2"/>
    <w:basedOn w:val="20"/>
    <w:unhideWhenUsed/>
    <w:qFormat/>
    <w:uiPriority w:val="99"/>
    <w:pPr>
      <w:ind w:firstLine="420" w:firstLineChars="200"/>
    </w:pPr>
  </w:style>
  <w:style w:type="table" w:styleId="48">
    <w:name w:val="Table Grid"/>
    <w:basedOn w:val="4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basedOn w:val="49"/>
    <w:qFormat/>
    <w:uiPriority w:val="0"/>
    <w:rPr>
      <w:b/>
      <w:bCs/>
    </w:rPr>
  </w:style>
  <w:style w:type="character" w:styleId="51">
    <w:name w:val="page number"/>
    <w:basedOn w:val="49"/>
    <w:qFormat/>
    <w:uiPriority w:val="99"/>
  </w:style>
  <w:style w:type="character" w:styleId="52">
    <w:name w:val="FollowedHyperlink"/>
    <w:qFormat/>
    <w:uiPriority w:val="0"/>
    <w:rPr>
      <w:color w:val="800080"/>
      <w:u w:val="single"/>
    </w:rPr>
  </w:style>
  <w:style w:type="character" w:styleId="53">
    <w:name w:val="Emphasis"/>
    <w:basedOn w:val="49"/>
    <w:qFormat/>
    <w:uiPriority w:val="0"/>
    <w:rPr>
      <w:b/>
      <w:bCs/>
    </w:rPr>
  </w:style>
  <w:style w:type="character" w:styleId="54">
    <w:name w:val="Hyperlink"/>
    <w:qFormat/>
    <w:uiPriority w:val="99"/>
    <w:rPr>
      <w:color w:val="0000FF"/>
      <w:u w:val="single"/>
    </w:rPr>
  </w:style>
  <w:style w:type="character" w:styleId="55">
    <w:name w:val="annotation reference"/>
    <w:qFormat/>
    <w:uiPriority w:val="0"/>
    <w:rPr>
      <w:sz w:val="21"/>
    </w:rPr>
  </w:style>
  <w:style w:type="paragraph" w:customStyle="1" w:styleId="56">
    <w:name w:val="标题 5（有编号）（绿盟科技）"/>
    <w:basedOn w:val="1"/>
    <w:next w:val="57"/>
    <w:qFormat/>
    <w:uiPriority w:val="0"/>
    <w:pPr>
      <w:keepNext/>
      <w:keepLines/>
      <w:numPr>
        <w:ilvl w:val="4"/>
        <w:numId w:val="3"/>
      </w:numPr>
      <w:spacing w:before="280" w:beforeLines="0" w:after="156" w:afterLines="0" w:line="377" w:lineRule="auto"/>
      <w:jc w:val="left"/>
      <w:outlineLvl w:val="4"/>
    </w:pPr>
    <w:rPr>
      <w:rFonts w:ascii="Arial" w:hAnsi="Arial" w:eastAsia="黑体"/>
      <w:sz w:val="24"/>
      <w:szCs w:val="28"/>
    </w:rPr>
  </w:style>
  <w:style w:type="paragraph" w:customStyle="1" w:styleId="57">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58">
    <w:name w:val="标题 1 字符"/>
    <w:basedOn w:val="49"/>
    <w:link w:val="3"/>
    <w:qFormat/>
    <w:uiPriority w:val="99"/>
    <w:rPr>
      <w:rFonts w:ascii="Calibri" w:hAnsi="Calibri" w:eastAsia="宋体" w:cs="Times New Roman"/>
      <w:b/>
      <w:bCs/>
      <w:kern w:val="44"/>
      <w:sz w:val="36"/>
      <w:szCs w:val="44"/>
    </w:rPr>
  </w:style>
  <w:style w:type="character" w:customStyle="1" w:styleId="59">
    <w:name w:val="标题 2 字符"/>
    <w:basedOn w:val="49"/>
    <w:link w:val="4"/>
    <w:qFormat/>
    <w:uiPriority w:val="0"/>
    <w:rPr>
      <w:rFonts w:ascii="Arial" w:hAnsi="Arial" w:eastAsia="黑体" w:cs="Times New Roman"/>
      <w:b/>
      <w:bCs/>
      <w:sz w:val="32"/>
      <w:szCs w:val="32"/>
    </w:rPr>
  </w:style>
  <w:style w:type="character" w:customStyle="1" w:styleId="60">
    <w:name w:val="标题 3 Char"/>
    <w:basedOn w:val="49"/>
    <w:qFormat/>
    <w:uiPriority w:val="0"/>
    <w:rPr>
      <w:rFonts w:ascii="宋体" w:hAnsi="Calibri" w:eastAsia="宋体" w:cs="Times New Roman"/>
      <w:b/>
      <w:bCs/>
      <w:kern w:val="0"/>
      <w:sz w:val="32"/>
      <w:szCs w:val="32"/>
    </w:rPr>
  </w:style>
  <w:style w:type="character" w:customStyle="1" w:styleId="61">
    <w:name w:val="标题 4 字符"/>
    <w:basedOn w:val="49"/>
    <w:link w:val="6"/>
    <w:qFormat/>
    <w:uiPriority w:val="9"/>
    <w:rPr>
      <w:rFonts w:ascii="Arial" w:hAnsi="Arial" w:eastAsia="黑体" w:cs="Times New Roman"/>
      <w:b/>
      <w:bCs/>
      <w:sz w:val="28"/>
      <w:szCs w:val="28"/>
    </w:rPr>
  </w:style>
  <w:style w:type="character" w:customStyle="1" w:styleId="62">
    <w:name w:val="标题 5 字符"/>
    <w:basedOn w:val="49"/>
    <w:link w:val="7"/>
    <w:qFormat/>
    <w:uiPriority w:val="0"/>
    <w:rPr>
      <w:rFonts w:ascii="Calibri" w:hAnsi="Calibri" w:eastAsia="宋体" w:cs="Times New Roman"/>
      <w:b/>
      <w:sz w:val="28"/>
      <w:szCs w:val="24"/>
    </w:rPr>
  </w:style>
  <w:style w:type="character" w:customStyle="1" w:styleId="63">
    <w:name w:val="标题 6 字符"/>
    <w:basedOn w:val="49"/>
    <w:link w:val="9"/>
    <w:qFormat/>
    <w:uiPriority w:val="0"/>
    <w:rPr>
      <w:rFonts w:ascii="Arial" w:hAnsi="Arial" w:eastAsia="黑体" w:cs="Times New Roman"/>
      <w:b/>
      <w:sz w:val="24"/>
      <w:szCs w:val="24"/>
    </w:rPr>
  </w:style>
  <w:style w:type="character" w:customStyle="1" w:styleId="64">
    <w:name w:val="标题 7 字符"/>
    <w:basedOn w:val="49"/>
    <w:link w:val="10"/>
    <w:qFormat/>
    <w:uiPriority w:val="0"/>
    <w:rPr>
      <w:rFonts w:ascii="Calibri" w:hAnsi="Calibri" w:eastAsia="宋体" w:cs="Times New Roman"/>
      <w:b/>
      <w:sz w:val="24"/>
      <w:szCs w:val="24"/>
    </w:rPr>
  </w:style>
  <w:style w:type="character" w:customStyle="1" w:styleId="65">
    <w:name w:val="标题 8 字符"/>
    <w:basedOn w:val="49"/>
    <w:link w:val="11"/>
    <w:qFormat/>
    <w:uiPriority w:val="0"/>
    <w:rPr>
      <w:rFonts w:ascii="Arial" w:hAnsi="Arial" w:eastAsia="黑体" w:cs="Times New Roman"/>
      <w:sz w:val="24"/>
      <w:szCs w:val="24"/>
    </w:rPr>
  </w:style>
  <w:style w:type="character" w:customStyle="1" w:styleId="66">
    <w:name w:val="标题 9 字符"/>
    <w:basedOn w:val="49"/>
    <w:link w:val="12"/>
    <w:qFormat/>
    <w:uiPriority w:val="0"/>
    <w:rPr>
      <w:rFonts w:ascii="Arial" w:hAnsi="Arial" w:eastAsia="黑体" w:cs="Times New Roman"/>
      <w:szCs w:val="24"/>
    </w:rPr>
  </w:style>
  <w:style w:type="character" w:customStyle="1" w:styleId="67">
    <w:name w:val="批注文字 字符"/>
    <w:basedOn w:val="49"/>
    <w:link w:val="16"/>
    <w:qFormat/>
    <w:uiPriority w:val="99"/>
    <w:rPr>
      <w:rFonts w:ascii="宋体" w:hAnsi="Calibri" w:eastAsia="宋体" w:cs="Times New Roman"/>
      <w:kern w:val="0"/>
      <w:sz w:val="34"/>
      <w:szCs w:val="20"/>
    </w:rPr>
  </w:style>
  <w:style w:type="character" w:customStyle="1" w:styleId="68">
    <w:name w:val="批注主题 Char"/>
    <w:basedOn w:val="67"/>
    <w:qFormat/>
    <w:uiPriority w:val="0"/>
    <w:rPr>
      <w:rFonts w:ascii="宋体" w:hAnsi="Calibri" w:eastAsia="宋体" w:cs="Times New Roman"/>
      <w:b/>
      <w:bCs/>
      <w:kern w:val="0"/>
      <w:sz w:val="34"/>
      <w:szCs w:val="20"/>
    </w:rPr>
  </w:style>
  <w:style w:type="character" w:customStyle="1" w:styleId="69">
    <w:name w:val="正文文本 字符"/>
    <w:basedOn w:val="49"/>
    <w:link w:val="2"/>
    <w:qFormat/>
    <w:uiPriority w:val="0"/>
    <w:rPr>
      <w:rFonts w:ascii="宋体" w:hAnsi="Calibri" w:eastAsia="宋体" w:cs="Times New Roman"/>
      <w:kern w:val="0"/>
      <w:sz w:val="34"/>
      <w:szCs w:val="20"/>
    </w:rPr>
  </w:style>
  <w:style w:type="character" w:customStyle="1" w:styleId="70">
    <w:name w:val="正文首行缩进 Char"/>
    <w:basedOn w:val="69"/>
    <w:qFormat/>
    <w:uiPriority w:val="0"/>
    <w:rPr>
      <w:rFonts w:ascii="宋体" w:hAnsi="Calibri" w:eastAsia="宋体" w:cs="Times New Roman"/>
      <w:kern w:val="0"/>
      <w:sz w:val="34"/>
      <w:szCs w:val="20"/>
    </w:rPr>
  </w:style>
  <w:style w:type="character" w:customStyle="1" w:styleId="71">
    <w:name w:val="文档结构图 Char"/>
    <w:basedOn w:val="49"/>
    <w:qFormat/>
    <w:uiPriority w:val="0"/>
    <w:rPr>
      <w:rFonts w:ascii="宋体" w:hAnsi="Calibri" w:eastAsia="宋体" w:cs="Times New Roman"/>
      <w:kern w:val="0"/>
      <w:sz w:val="18"/>
      <w:szCs w:val="18"/>
    </w:rPr>
  </w:style>
  <w:style w:type="character" w:customStyle="1" w:styleId="72">
    <w:name w:val="称呼 Char"/>
    <w:basedOn w:val="49"/>
    <w:qFormat/>
    <w:uiPriority w:val="0"/>
    <w:rPr>
      <w:rFonts w:ascii="宋体" w:hAnsi="Calibri" w:eastAsia="宋体" w:cs="Times New Roman"/>
      <w:kern w:val="0"/>
      <w:sz w:val="34"/>
      <w:szCs w:val="20"/>
    </w:rPr>
  </w:style>
  <w:style w:type="character" w:customStyle="1" w:styleId="73">
    <w:name w:val="正文文本 3 Char"/>
    <w:basedOn w:val="49"/>
    <w:qFormat/>
    <w:uiPriority w:val="0"/>
    <w:rPr>
      <w:rFonts w:ascii="宋体" w:hAnsi="Calibri" w:eastAsia="宋体" w:cs="Times New Roman"/>
      <w:kern w:val="0"/>
      <w:sz w:val="16"/>
      <w:szCs w:val="16"/>
    </w:rPr>
  </w:style>
  <w:style w:type="character" w:customStyle="1" w:styleId="74">
    <w:name w:val="结束语 Char"/>
    <w:basedOn w:val="49"/>
    <w:qFormat/>
    <w:uiPriority w:val="0"/>
    <w:rPr>
      <w:rFonts w:ascii="宋体" w:hAnsi="Calibri" w:eastAsia="宋体" w:cs="Times New Roman"/>
      <w:kern w:val="0"/>
      <w:sz w:val="34"/>
      <w:szCs w:val="20"/>
    </w:rPr>
  </w:style>
  <w:style w:type="character" w:customStyle="1" w:styleId="75">
    <w:name w:val="正文文本缩进 字符"/>
    <w:basedOn w:val="49"/>
    <w:link w:val="20"/>
    <w:qFormat/>
    <w:uiPriority w:val="0"/>
    <w:rPr>
      <w:rFonts w:eastAsia="宋体"/>
      <w:sz w:val="32"/>
      <w:szCs w:val="20"/>
    </w:rPr>
  </w:style>
  <w:style w:type="character" w:customStyle="1" w:styleId="76">
    <w:name w:val="纯文本 Char"/>
    <w:basedOn w:val="49"/>
    <w:qFormat/>
    <w:uiPriority w:val="99"/>
    <w:rPr>
      <w:rFonts w:ascii="宋体" w:hAnsi="Courier New" w:eastAsia="宋体" w:cs="Courier New"/>
      <w:kern w:val="0"/>
      <w:szCs w:val="21"/>
    </w:rPr>
  </w:style>
  <w:style w:type="character" w:customStyle="1" w:styleId="77">
    <w:name w:val="日期 Char"/>
    <w:basedOn w:val="49"/>
    <w:qFormat/>
    <w:uiPriority w:val="0"/>
    <w:rPr>
      <w:rFonts w:ascii="宋体" w:hAnsi="Calibri" w:eastAsia="宋体" w:cs="Times New Roman"/>
      <w:kern w:val="0"/>
      <w:sz w:val="34"/>
      <w:szCs w:val="20"/>
    </w:rPr>
  </w:style>
  <w:style w:type="character" w:customStyle="1" w:styleId="78">
    <w:name w:val="正文文本缩进 2 Char"/>
    <w:basedOn w:val="49"/>
    <w:qFormat/>
    <w:uiPriority w:val="0"/>
    <w:rPr>
      <w:rFonts w:ascii="宋体" w:hAnsi="Calibri" w:eastAsia="宋体" w:cs="Times New Roman"/>
      <w:kern w:val="0"/>
      <w:sz w:val="34"/>
      <w:szCs w:val="20"/>
    </w:rPr>
  </w:style>
  <w:style w:type="character" w:customStyle="1" w:styleId="79">
    <w:name w:val="批注框文本 Char"/>
    <w:basedOn w:val="49"/>
    <w:qFormat/>
    <w:uiPriority w:val="99"/>
    <w:rPr>
      <w:rFonts w:ascii="宋体" w:hAnsi="Calibri" w:eastAsia="宋体" w:cs="Times New Roman"/>
      <w:kern w:val="0"/>
      <w:sz w:val="18"/>
      <w:szCs w:val="18"/>
    </w:rPr>
  </w:style>
  <w:style w:type="character" w:customStyle="1" w:styleId="80">
    <w:name w:val="页脚 字符"/>
    <w:basedOn w:val="49"/>
    <w:link w:val="30"/>
    <w:qFormat/>
    <w:uiPriority w:val="99"/>
    <w:rPr>
      <w:rFonts w:ascii="宋体" w:hAnsi="Calibri" w:eastAsia="宋体" w:cs="Times New Roman"/>
      <w:kern w:val="0"/>
      <w:sz w:val="18"/>
      <w:szCs w:val="18"/>
    </w:rPr>
  </w:style>
  <w:style w:type="character" w:customStyle="1" w:styleId="81">
    <w:name w:val="页眉 字符"/>
    <w:basedOn w:val="49"/>
    <w:link w:val="31"/>
    <w:qFormat/>
    <w:uiPriority w:val="99"/>
    <w:rPr>
      <w:rFonts w:ascii="宋体" w:hAnsi="Calibri" w:eastAsia="宋体" w:cs="Times New Roman"/>
      <w:kern w:val="0"/>
      <w:sz w:val="18"/>
      <w:szCs w:val="18"/>
    </w:rPr>
  </w:style>
  <w:style w:type="character" w:customStyle="1" w:styleId="82">
    <w:name w:val="副标题 字符"/>
    <w:basedOn w:val="49"/>
    <w:link w:val="34"/>
    <w:qFormat/>
    <w:uiPriority w:val="0"/>
    <w:rPr>
      <w:rFonts w:ascii="Cambria" w:hAnsi="Cambria" w:eastAsia="宋体" w:cs="Times New Roman"/>
      <w:b/>
      <w:bCs/>
      <w:kern w:val="28"/>
      <w:sz w:val="32"/>
      <w:szCs w:val="32"/>
    </w:rPr>
  </w:style>
  <w:style w:type="character" w:customStyle="1" w:styleId="83">
    <w:name w:val="正文文本缩进 3 Char"/>
    <w:basedOn w:val="49"/>
    <w:qFormat/>
    <w:uiPriority w:val="0"/>
    <w:rPr>
      <w:rFonts w:ascii="宋体" w:hAnsi="Calibri" w:eastAsia="宋体" w:cs="Times New Roman"/>
      <w:kern w:val="0"/>
      <w:sz w:val="16"/>
      <w:szCs w:val="16"/>
    </w:rPr>
  </w:style>
  <w:style w:type="character" w:customStyle="1" w:styleId="84">
    <w:name w:val="正文文本 2 Char"/>
    <w:basedOn w:val="49"/>
    <w:qFormat/>
    <w:uiPriority w:val="0"/>
    <w:rPr>
      <w:rFonts w:ascii="宋体" w:hAnsi="Calibri" w:eastAsia="宋体" w:cs="Times New Roman"/>
      <w:kern w:val="0"/>
      <w:sz w:val="34"/>
      <w:szCs w:val="20"/>
    </w:rPr>
  </w:style>
  <w:style w:type="character" w:customStyle="1" w:styleId="85">
    <w:name w:val="HTML 预设格式 Char"/>
    <w:basedOn w:val="49"/>
    <w:qFormat/>
    <w:uiPriority w:val="0"/>
    <w:rPr>
      <w:rFonts w:ascii="Courier New" w:hAnsi="Courier New" w:eastAsia="宋体" w:cs="Courier New"/>
      <w:kern w:val="0"/>
      <w:sz w:val="20"/>
      <w:szCs w:val="20"/>
    </w:rPr>
  </w:style>
  <w:style w:type="character" w:customStyle="1" w:styleId="86">
    <w:name w:val="标题 字符"/>
    <w:basedOn w:val="49"/>
    <w:link w:val="43"/>
    <w:qFormat/>
    <w:uiPriority w:val="0"/>
    <w:rPr>
      <w:rFonts w:ascii="Cambria" w:hAnsi="Cambria" w:eastAsia="宋体" w:cs="Times New Roman"/>
      <w:b/>
      <w:bCs/>
      <w:kern w:val="0"/>
      <w:sz w:val="32"/>
      <w:szCs w:val="32"/>
    </w:rPr>
  </w:style>
  <w:style w:type="character" w:customStyle="1" w:styleId="87">
    <w:name w:val="明显引用 Char"/>
    <w:qFormat/>
    <w:uiPriority w:val="0"/>
    <w:rPr>
      <w:rFonts w:ascii="Calibri" w:hAnsi="Calibri" w:eastAsia="宋体"/>
      <w:b/>
      <w:bCs/>
      <w:i/>
      <w:iCs/>
      <w:color w:val="4F81BD"/>
      <w:kern w:val="2"/>
      <w:sz w:val="21"/>
      <w:szCs w:val="22"/>
    </w:rPr>
  </w:style>
  <w:style w:type="paragraph" w:styleId="88">
    <w:name w:val="Intense Quote"/>
    <w:basedOn w:val="1"/>
    <w:next w:val="1"/>
    <w:link w:val="89"/>
    <w:qFormat/>
    <w:uiPriority w:val="0"/>
    <w:pPr>
      <w:pBdr>
        <w:bottom w:val="single" w:color="4F81BD" w:sz="4" w:space="4"/>
      </w:pBdr>
      <w:spacing w:before="200" w:after="280"/>
      <w:ind w:left="936" w:right="936"/>
    </w:pPr>
    <w:rPr>
      <w:rFonts w:ascii="Calibri" w:cstheme="minorBidi"/>
      <w:b/>
      <w:bCs/>
      <w:i/>
      <w:iCs/>
      <w:color w:val="4F81BD"/>
      <w:kern w:val="2"/>
      <w:sz w:val="21"/>
      <w:szCs w:val="22"/>
    </w:rPr>
  </w:style>
  <w:style w:type="character" w:customStyle="1" w:styleId="89">
    <w:name w:val="明显引用 字符"/>
    <w:basedOn w:val="49"/>
    <w:link w:val="88"/>
    <w:qFormat/>
    <w:uiPriority w:val="0"/>
    <w:rPr>
      <w:rFonts w:ascii="Calibri" w:hAnsi="Calibri" w:eastAsia="宋体"/>
      <w:b/>
      <w:bCs/>
      <w:i/>
      <w:iCs/>
      <w:color w:val="4F81BD"/>
    </w:rPr>
  </w:style>
  <w:style w:type="character" w:customStyle="1" w:styleId="90">
    <w:name w:val="纯文本 Char1"/>
    <w:qFormat/>
    <w:uiPriority w:val="99"/>
    <w:rPr>
      <w:rFonts w:ascii="宋体" w:hAnsi="Courier New" w:eastAsia="宋体" w:cs="Courier New"/>
      <w:szCs w:val="21"/>
    </w:rPr>
  </w:style>
  <w:style w:type="character" w:customStyle="1" w:styleId="91">
    <w:name w:val="unnamed31"/>
    <w:qFormat/>
    <w:uiPriority w:val="0"/>
    <w:rPr>
      <w:sz w:val="22"/>
      <w:szCs w:val="22"/>
    </w:rPr>
  </w:style>
  <w:style w:type="character" w:customStyle="1" w:styleId="92">
    <w:name w:val="正文文本缩进 Char2"/>
    <w:qFormat/>
    <w:uiPriority w:val="0"/>
    <w:rPr>
      <w:rFonts w:eastAsia="宋体"/>
      <w:kern w:val="2"/>
      <w:sz w:val="32"/>
    </w:rPr>
  </w:style>
  <w:style w:type="character" w:customStyle="1" w:styleId="93">
    <w:name w:val="font81"/>
    <w:basedOn w:val="49"/>
    <w:qFormat/>
    <w:uiPriority w:val="0"/>
    <w:rPr>
      <w:rFonts w:hint="eastAsia" w:ascii="宋体" w:hAnsi="宋体" w:eastAsia="宋体"/>
      <w:color w:val="000000"/>
      <w:sz w:val="22"/>
      <w:szCs w:val="22"/>
      <w:u w:val="none"/>
    </w:rPr>
  </w:style>
  <w:style w:type="character" w:customStyle="1" w:styleId="94">
    <w:name w:val="Body Text(ch) Char Char"/>
    <w:qFormat/>
    <w:uiPriority w:val="0"/>
    <w:rPr>
      <w:rFonts w:eastAsia="宋体"/>
      <w:sz w:val="24"/>
      <w:szCs w:val="24"/>
      <w:lang w:bidi="ar-SA"/>
    </w:rPr>
  </w:style>
  <w:style w:type="character" w:customStyle="1" w:styleId="95">
    <w:name w:val="font61"/>
    <w:qFormat/>
    <w:uiPriority w:val="0"/>
    <w:rPr>
      <w:rFonts w:hint="eastAsia" w:ascii="宋体" w:hAnsi="宋体" w:eastAsia="宋体"/>
      <w:color w:val="000000"/>
      <w:sz w:val="21"/>
      <w:szCs w:val="21"/>
      <w:u w:val="none"/>
    </w:rPr>
  </w:style>
  <w:style w:type="character" w:customStyle="1" w:styleId="96">
    <w:name w:val="hui3"/>
    <w:qFormat/>
    <w:uiPriority w:val="0"/>
    <w:rPr>
      <w:color w:val="333333"/>
    </w:rPr>
  </w:style>
  <w:style w:type="character" w:customStyle="1" w:styleId="97">
    <w:name w:val="main1"/>
    <w:basedOn w:val="49"/>
    <w:qFormat/>
    <w:uiPriority w:val="0"/>
  </w:style>
  <w:style w:type="character" w:customStyle="1" w:styleId="98">
    <w:name w:val="z-catalog-i2n1"/>
    <w:qFormat/>
    <w:uiPriority w:val="0"/>
    <w:rPr>
      <w:color w:val="AAAAAA"/>
    </w:rPr>
  </w:style>
  <w:style w:type="character" w:customStyle="1" w:styleId="99">
    <w:name w:val="textnorm_chn1"/>
    <w:qFormat/>
    <w:uiPriority w:val="0"/>
    <w:rPr>
      <w:rFonts w:hint="default" w:ascii="Arial" w:hAnsi="Arial" w:cs="Arial"/>
      <w:color w:val="21254A"/>
      <w:sz w:val="22"/>
      <w:szCs w:val="22"/>
    </w:rPr>
  </w:style>
  <w:style w:type="character" w:customStyle="1" w:styleId="100">
    <w:name w:val="headline-content3"/>
    <w:qFormat/>
    <w:uiPriority w:val="0"/>
  </w:style>
  <w:style w:type="character" w:customStyle="1" w:styleId="101">
    <w:name w:val="Char Char16"/>
    <w:qFormat/>
    <w:uiPriority w:val="0"/>
    <w:rPr>
      <w:rFonts w:ascii="宋体" w:hAnsi="Courier New" w:eastAsia="宋体" w:cs="Courier New"/>
      <w:kern w:val="2"/>
      <w:sz w:val="21"/>
      <w:szCs w:val="21"/>
      <w:lang w:val="en-US" w:eastAsia="zh-CN" w:bidi="ar-SA"/>
    </w:rPr>
  </w:style>
  <w:style w:type="character" w:customStyle="1" w:styleId="102">
    <w:name w:val="black1"/>
    <w:qFormat/>
    <w:uiPriority w:val="0"/>
    <w:rPr>
      <w:rFonts w:hint="default" w:ascii="Arial" w:hAnsi="Arial" w:cs="Arial"/>
      <w:color w:val="535353"/>
      <w:sz w:val="12"/>
      <w:szCs w:val="12"/>
    </w:rPr>
  </w:style>
  <w:style w:type="character" w:customStyle="1" w:styleId="103">
    <w:name w:val="headline-1-index1"/>
    <w:qFormat/>
    <w:uiPriority w:val="0"/>
    <w:rPr>
      <w:color w:val="E9E9E9"/>
      <w:sz w:val="24"/>
      <w:szCs w:val="24"/>
      <w:shd w:val="clear" w:color="auto" w:fill="auto"/>
    </w:rPr>
  </w:style>
  <w:style w:type="character" w:customStyle="1" w:styleId="104">
    <w:name w:val="small"/>
    <w:basedOn w:val="49"/>
    <w:qFormat/>
    <w:uiPriority w:val="0"/>
  </w:style>
  <w:style w:type="character" w:customStyle="1" w:styleId="105">
    <w:name w:val="文章正文 Char"/>
    <w:qFormat/>
    <w:uiPriority w:val="0"/>
    <w:rPr>
      <w:rFonts w:ascii="仿宋_GB2312" w:hAnsi="宋体" w:eastAsia="仿宋_GB2312"/>
      <w:color w:val="000000"/>
      <w:kern w:val="2"/>
      <w:sz w:val="28"/>
      <w:lang w:val="en-US" w:eastAsia="zh-CN" w:bidi="ar-SA"/>
    </w:rPr>
  </w:style>
  <w:style w:type="character" w:customStyle="1" w:styleId="106">
    <w:name w:val="param_td12"/>
    <w:basedOn w:val="49"/>
    <w:qFormat/>
    <w:uiPriority w:val="0"/>
  </w:style>
  <w:style w:type="character" w:customStyle="1" w:styleId="107">
    <w:name w:val="列表段落 字符"/>
    <w:link w:val="108"/>
    <w:qFormat/>
    <w:uiPriority w:val="0"/>
    <w:rPr>
      <w:rFonts w:ascii="Calibri" w:hAnsi="Calibri" w:eastAsia="宋体"/>
    </w:rPr>
  </w:style>
  <w:style w:type="paragraph" w:styleId="108">
    <w:name w:val="List Paragraph"/>
    <w:basedOn w:val="1"/>
    <w:link w:val="107"/>
    <w:qFormat/>
    <w:uiPriority w:val="0"/>
    <w:pPr>
      <w:ind w:firstLine="420" w:firstLineChars="200"/>
    </w:pPr>
    <w:rPr>
      <w:rFonts w:ascii="Calibri" w:cstheme="minorBidi"/>
      <w:kern w:val="2"/>
      <w:sz w:val="21"/>
      <w:szCs w:val="22"/>
    </w:rPr>
  </w:style>
  <w:style w:type="character" w:customStyle="1" w:styleId="109">
    <w:name w:val="m_text"/>
    <w:basedOn w:val="49"/>
    <w:qFormat/>
    <w:uiPriority w:val="0"/>
  </w:style>
  <w:style w:type="character" w:customStyle="1" w:styleId="110">
    <w:name w:val="页脚 Char Char"/>
    <w:qFormat/>
    <w:uiPriority w:val="0"/>
    <w:rPr>
      <w:kern w:val="2"/>
      <w:sz w:val="18"/>
      <w:szCs w:val="18"/>
    </w:rPr>
  </w:style>
  <w:style w:type="character" w:customStyle="1" w:styleId="111">
    <w:name w:val="Char Char Char Char Char Char Char Char Char Char Char Char Char Char"/>
    <w:basedOn w:val="112"/>
    <w:link w:val="113"/>
    <w:qFormat/>
    <w:uiPriority w:val="0"/>
    <w:rPr>
      <w:rFonts w:ascii="Tahoma" w:hAnsi="Tahoma" w:eastAsia="宋体" w:cs="Tahoma"/>
      <w:sz w:val="24"/>
      <w:szCs w:val="24"/>
      <w:shd w:val="clear" w:color="auto" w:fill="000080"/>
      <w:lang w:eastAsia="en-US" w:bidi="en-US"/>
    </w:rPr>
  </w:style>
  <w:style w:type="character" w:customStyle="1" w:styleId="112">
    <w:name w:val="文档结构图 Char1"/>
    <w:basedOn w:val="49"/>
    <w:qFormat/>
    <w:uiPriority w:val="0"/>
    <w:rPr>
      <w:rFonts w:ascii="宋体" w:hAnsi="Calibri" w:eastAsia="宋体"/>
      <w:sz w:val="18"/>
      <w:szCs w:val="18"/>
      <w:shd w:val="clear" w:color="auto" w:fill="000080"/>
      <w:lang w:eastAsia="en-US" w:bidi="en-US"/>
    </w:rPr>
  </w:style>
  <w:style w:type="paragraph" w:customStyle="1" w:styleId="113">
    <w:name w:val="Char Char Char Char Char Char Char Char Char Char Char Char Char"/>
    <w:basedOn w:val="15"/>
    <w:link w:val="111"/>
    <w:qFormat/>
    <w:uiPriority w:val="0"/>
    <w:rPr>
      <w:rFonts w:ascii="Tahoma" w:hAnsi="Tahoma" w:cs="Tahoma"/>
      <w:kern w:val="2"/>
      <w:sz w:val="24"/>
      <w:szCs w:val="24"/>
    </w:rPr>
  </w:style>
  <w:style w:type="character" w:customStyle="1" w:styleId="114">
    <w:name w:val="样式11 Char"/>
    <w:link w:val="115"/>
    <w:qFormat/>
    <w:uiPriority w:val="0"/>
    <w:rPr>
      <w:rFonts w:eastAsia="宋体"/>
      <w:b/>
      <w:bCs/>
      <w:sz w:val="32"/>
      <w:szCs w:val="32"/>
    </w:rPr>
  </w:style>
  <w:style w:type="paragraph" w:customStyle="1" w:styleId="115">
    <w:name w:val="样式11"/>
    <w:basedOn w:val="5"/>
    <w:link w:val="114"/>
    <w:qFormat/>
    <w:uiPriority w:val="0"/>
    <w:pPr>
      <w:spacing w:line="360" w:lineRule="auto"/>
    </w:pPr>
    <w:rPr>
      <w:rFonts w:asciiTheme="minorHAnsi" w:hAnsiTheme="minorHAnsi" w:cstheme="minorBidi"/>
    </w:rPr>
  </w:style>
  <w:style w:type="character" w:customStyle="1" w:styleId="116">
    <w:name w:val="Char Char17"/>
    <w:qFormat/>
    <w:uiPriority w:val="0"/>
    <w:rPr>
      <w:b/>
      <w:bCs/>
      <w:kern w:val="2"/>
      <w:lang w:bidi="ar-SA"/>
    </w:rPr>
  </w:style>
  <w:style w:type="character" w:customStyle="1" w:styleId="117">
    <w:name w:val="Char Char2"/>
    <w:qFormat/>
    <w:uiPriority w:val="0"/>
    <w:rPr>
      <w:rFonts w:ascii="宋体" w:hAnsi="Courier New" w:eastAsia="宋体"/>
      <w:kern w:val="2"/>
      <w:sz w:val="21"/>
      <w:lang w:val="en-US" w:eastAsia="zh-CN" w:bidi="ar-SA"/>
    </w:rPr>
  </w:style>
  <w:style w:type="character" w:customStyle="1" w:styleId="118">
    <w:name w:val="标题 3 Char Char"/>
    <w:qFormat/>
    <w:uiPriority w:val="0"/>
    <w:rPr>
      <w:rFonts w:eastAsia="宋体"/>
      <w:b/>
      <w:kern w:val="2"/>
      <w:lang w:val="en-US" w:eastAsia="zh-CN" w:bidi="ar-SA"/>
    </w:rPr>
  </w:style>
  <w:style w:type="character" w:customStyle="1" w:styleId="119">
    <w:name w:val="页码1"/>
    <w:qFormat/>
    <w:uiPriority w:val="0"/>
    <w:rPr>
      <w:rFonts w:cs="Times New Roman"/>
    </w:rPr>
  </w:style>
  <w:style w:type="character" w:customStyle="1" w:styleId="120">
    <w:name w:val="无间隔 字符"/>
    <w:link w:val="121"/>
    <w:qFormat/>
    <w:uiPriority w:val="0"/>
    <w:rPr>
      <w:sz w:val="22"/>
      <w:szCs w:val="24"/>
    </w:rPr>
  </w:style>
  <w:style w:type="paragraph" w:styleId="121">
    <w:name w:val="No Spacing"/>
    <w:link w:val="120"/>
    <w:qFormat/>
    <w:uiPriority w:val="0"/>
    <w:pPr>
      <w:spacing w:line="360" w:lineRule="auto"/>
      <w:jc w:val="both"/>
    </w:pPr>
    <w:rPr>
      <w:rFonts w:asciiTheme="minorHAnsi" w:hAnsiTheme="minorHAnsi" w:eastAsiaTheme="minorEastAsia" w:cstheme="minorBidi"/>
      <w:kern w:val="2"/>
      <w:sz w:val="22"/>
      <w:szCs w:val="24"/>
      <w:lang w:val="en-US" w:eastAsia="zh-CN" w:bidi="ar-SA"/>
    </w:rPr>
  </w:style>
  <w:style w:type="character" w:customStyle="1" w:styleId="122">
    <w:name w:val="15"/>
    <w:qFormat/>
    <w:uiPriority w:val="0"/>
    <w:rPr>
      <w:rFonts w:hint="default" w:ascii="Times New Roman" w:hAnsi="Times New Roman" w:cs="Times New Roman"/>
      <w:color w:val="0000FF"/>
      <w:u w:val="single"/>
    </w:rPr>
  </w:style>
  <w:style w:type="character" w:customStyle="1" w:styleId="123">
    <w:name w:val="文档正文 Char"/>
    <w:link w:val="124"/>
    <w:qFormat/>
    <w:locked/>
    <w:uiPriority w:val="99"/>
    <w:rPr>
      <w:rFonts w:ascii="长城仿宋"/>
      <w:sz w:val="24"/>
    </w:rPr>
  </w:style>
  <w:style w:type="paragraph" w:customStyle="1" w:styleId="124">
    <w:name w:val="文档正文"/>
    <w:basedOn w:val="1"/>
    <w:link w:val="123"/>
    <w:qFormat/>
    <w:uiPriority w:val="99"/>
    <w:pPr>
      <w:adjustRightInd w:val="0"/>
      <w:spacing w:line="480" w:lineRule="atLeast"/>
      <w:ind w:firstLine="567"/>
      <w:textAlignment w:val="baseline"/>
    </w:pPr>
    <w:rPr>
      <w:rFonts w:ascii="长城仿宋" w:hAnsiTheme="minorHAnsi" w:eastAsiaTheme="minorEastAsia" w:cstheme="minorBidi"/>
      <w:kern w:val="2"/>
      <w:sz w:val="24"/>
      <w:szCs w:val="22"/>
    </w:rPr>
  </w:style>
  <w:style w:type="character" w:customStyle="1" w:styleId="125">
    <w:name w:val="Char Char18"/>
    <w:qFormat/>
    <w:uiPriority w:val="0"/>
    <w:rPr>
      <w:kern w:val="2"/>
      <w:lang w:bidi="ar-SA"/>
    </w:rPr>
  </w:style>
  <w:style w:type="character" w:customStyle="1" w:styleId="126">
    <w:name w:val="apple-style-span"/>
    <w:basedOn w:val="49"/>
    <w:qFormat/>
    <w:uiPriority w:val="0"/>
  </w:style>
  <w:style w:type="character" w:customStyle="1" w:styleId="127">
    <w:name w:val="text1"/>
    <w:qFormat/>
    <w:uiPriority w:val="0"/>
    <w:rPr>
      <w:sz w:val="21"/>
      <w:szCs w:val="21"/>
    </w:rPr>
  </w:style>
  <w:style w:type="character" w:customStyle="1" w:styleId="128">
    <w:name w:val="font71"/>
    <w:qFormat/>
    <w:uiPriority w:val="0"/>
    <w:rPr>
      <w:rFonts w:hint="eastAsia" w:ascii="仿宋" w:eastAsia="仿宋"/>
      <w:b/>
      <w:bCs/>
      <w:color w:val="000000"/>
      <w:sz w:val="21"/>
      <w:szCs w:val="21"/>
      <w:u w:val="none"/>
    </w:rPr>
  </w:style>
  <w:style w:type="character" w:customStyle="1" w:styleId="129">
    <w:name w:val="样式14 Char"/>
    <w:link w:val="130"/>
    <w:qFormat/>
    <w:uiPriority w:val="0"/>
    <w:rPr>
      <w:rFonts w:ascii="宋体" w:hAnsi="宋体" w:eastAsia="宋体"/>
      <w:sz w:val="28"/>
      <w:szCs w:val="28"/>
    </w:rPr>
  </w:style>
  <w:style w:type="paragraph" w:customStyle="1" w:styleId="130">
    <w:name w:val="样式14"/>
    <w:basedOn w:val="1"/>
    <w:link w:val="129"/>
    <w:qFormat/>
    <w:uiPriority w:val="0"/>
    <w:pPr>
      <w:spacing w:line="360" w:lineRule="auto"/>
      <w:ind w:firstLine="560" w:firstLineChars="200"/>
    </w:pPr>
    <w:rPr>
      <w:rFonts w:hAnsi="宋体" w:cstheme="minorBidi"/>
      <w:kern w:val="2"/>
      <w:sz w:val="28"/>
      <w:szCs w:val="28"/>
    </w:rPr>
  </w:style>
  <w:style w:type="character" w:customStyle="1" w:styleId="131">
    <w:name w:val="正文文字首行缩进 Char"/>
    <w:qFormat/>
    <w:uiPriority w:val="0"/>
    <w:rPr>
      <w:kern w:val="2"/>
      <w:sz w:val="32"/>
    </w:rPr>
  </w:style>
  <w:style w:type="character" w:customStyle="1" w:styleId="132">
    <w:name w:val="正文首行缩进两字符 Char"/>
    <w:qFormat/>
    <w:uiPriority w:val="0"/>
    <w:rPr>
      <w:rFonts w:eastAsia="宋体"/>
      <w:kern w:val="2"/>
      <w:sz w:val="21"/>
      <w:szCs w:val="24"/>
      <w:lang w:val="en-US" w:eastAsia="zh-CN" w:bidi="ar-SA"/>
    </w:rPr>
  </w:style>
  <w:style w:type="character" w:customStyle="1" w:styleId="133">
    <w:name w:val="font91"/>
    <w:qFormat/>
    <w:uiPriority w:val="0"/>
    <w:rPr>
      <w:rFonts w:hint="eastAsia" w:ascii="宋体" w:hAnsi="宋体" w:eastAsia="宋体"/>
      <w:color w:val="333333"/>
      <w:sz w:val="18"/>
      <w:szCs w:val="18"/>
      <w:u w:val="none"/>
    </w:rPr>
  </w:style>
  <w:style w:type="character" w:customStyle="1" w:styleId="134">
    <w:name w:val="样式7 Char1"/>
    <w:link w:val="135"/>
    <w:qFormat/>
    <w:locked/>
    <w:uiPriority w:val="0"/>
    <w:rPr>
      <w:rFonts w:ascii="宋体" w:hAnsi="宋体" w:eastAsia="宋体"/>
      <w:b/>
      <w:bCs/>
      <w:color w:val="000000"/>
      <w:sz w:val="28"/>
      <w:szCs w:val="28"/>
    </w:rPr>
  </w:style>
  <w:style w:type="paragraph" w:customStyle="1" w:styleId="135">
    <w:name w:val="样式7"/>
    <w:basedOn w:val="1"/>
    <w:link w:val="134"/>
    <w:qFormat/>
    <w:uiPriority w:val="0"/>
    <w:pPr>
      <w:widowControl/>
      <w:spacing w:line="360" w:lineRule="auto"/>
      <w:jc w:val="left"/>
      <w:outlineLvl w:val="1"/>
    </w:pPr>
    <w:rPr>
      <w:rFonts w:hAnsi="宋体" w:cstheme="minorBidi"/>
      <w:b/>
      <w:bCs/>
      <w:color w:val="000000"/>
      <w:kern w:val="2"/>
      <w:sz w:val="28"/>
      <w:szCs w:val="28"/>
    </w:rPr>
  </w:style>
  <w:style w:type="character" w:customStyle="1" w:styleId="136">
    <w:name w:val="书籍标题1"/>
    <w:qFormat/>
    <w:uiPriority w:val="0"/>
    <w:rPr>
      <w:b/>
      <w:bCs/>
      <w:smallCaps/>
      <w:spacing w:val="5"/>
    </w:rPr>
  </w:style>
  <w:style w:type="character" w:customStyle="1" w:styleId="137">
    <w:name w:val="（符号）邀请函中一、"/>
    <w:qFormat/>
    <w:uiPriority w:val="0"/>
    <w:rPr>
      <w:rFonts w:ascii="黑体" w:hAnsi="黑体" w:eastAsia="黑体"/>
      <w:b/>
      <w:bCs/>
      <w:sz w:val="24"/>
    </w:rPr>
  </w:style>
  <w:style w:type="character" w:customStyle="1" w:styleId="138">
    <w:name w:val="catalog-item-index11"/>
    <w:qFormat/>
    <w:uiPriority w:val="0"/>
    <w:rPr>
      <w:color w:val="B2B2B2"/>
      <w:sz w:val="24"/>
      <w:szCs w:val="24"/>
    </w:rPr>
  </w:style>
  <w:style w:type="character" w:customStyle="1" w:styleId="139">
    <w:name w:val="标题 3 字符"/>
    <w:link w:val="5"/>
    <w:qFormat/>
    <w:uiPriority w:val="0"/>
    <w:rPr>
      <w:rFonts w:ascii="Calibri" w:hAnsi="Calibri" w:eastAsia="宋体" w:cs="Times New Roman"/>
      <w:b/>
      <w:bCs/>
      <w:sz w:val="32"/>
      <w:szCs w:val="32"/>
    </w:rPr>
  </w:style>
  <w:style w:type="character" w:customStyle="1" w:styleId="140">
    <w:name w:val="head 1.1 Char"/>
    <w:basedOn w:val="49"/>
    <w:link w:val="141"/>
    <w:qFormat/>
    <w:locked/>
    <w:uiPriority w:val="0"/>
    <w:rPr>
      <w:rFonts w:ascii="宋体" w:hAnsi="宋体"/>
      <w:bCs/>
      <w:szCs w:val="24"/>
    </w:rPr>
  </w:style>
  <w:style w:type="paragraph" w:customStyle="1" w:styleId="141">
    <w:name w:val="head 1.1"/>
    <w:basedOn w:val="142"/>
    <w:link w:val="140"/>
    <w:qFormat/>
    <w:uiPriority w:val="0"/>
    <w:pPr>
      <w:numPr>
        <w:ilvl w:val="1"/>
        <w:numId w:val="4"/>
      </w:numPr>
      <w:spacing w:before="260" w:after="260"/>
      <w:ind w:firstLine="0" w:firstLineChars="0"/>
    </w:pPr>
    <w:rPr>
      <w:rFonts w:ascii="宋体" w:hAnsi="宋体" w:eastAsiaTheme="minorEastAsia" w:cstheme="minorBidi"/>
      <w:bCs/>
      <w:szCs w:val="24"/>
    </w:rPr>
  </w:style>
  <w:style w:type="paragraph" w:customStyle="1" w:styleId="142">
    <w:name w:val="List Paragraph1"/>
    <w:basedOn w:val="1"/>
    <w:qFormat/>
    <w:uiPriority w:val="0"/>
    <w:pPr>
      <w:ind w:firstLine="420" w:firstLineChars="200"/>
    </w:pPr>
    <w:rPr>
      <w:rFonts w:ascii="Calibri"/>
      <w:kern w:val="2"/>
      <w:sz w:val="21"/>
      <w:szCs w:val="22"/>
    </w:rPr>
  </w:style>
  <w:style w:type="character" w:customStyle="1" w:styleId="143">
    <w:name w:val="正文首行缩进两字符 Char Char"/>
    <w:qFormat/>
    <w:uiPriority w:val="0"/>
    <w:rPr>
      <w:rFonts w:eastAsia="宋体"/>
      <w:kern w:val="2"/>
      <w:sz w:val="21"/>
      <w:szCs w:val="24"/>
      <w:lang w:val="en-US" w:eastAsia="zh-CN" w:bidi="ar-SA"/>
    </w:rPr>
  </w:style>
  <w:style w:type="character" w:customStyle="1" w:styleId="144">
    <w:name w:val="v15"/>
    <w:basedOn w:val="49"/>
    <w:qFormat/>
    <w:uiPriority w:val="0"/>
  </w:style>
  <w:style w:type="character" w:customStyle="1" w:styleId="145">
    <w:name w:val="param-value1"/>
    <w:qFormat/>
    <w:uiPriority w:val="0"/>
    <w:rPr>
      <w:color w:val="333333"/>
    </w:rPr>
  </w:style>
  <w:style w:type="character" w:customStyle="1" w:styleId="146">
    <w:name w:val="页眉 Char1"/>
    <w:semiHidden/>
    <w:qFormat/>
    <w:uiPriority w:val="0"/>
    <w:rPr>
      <w:rFonts w:ascii="Times New Roman" w:hAnsi="Times New Roman" w:eastAsia="宋体" w:cs="Times New Roman"/>
      <w:sz w:val="18"/>
      <w:szCs w:val="18"/>
    </w:rPr>
  </w:style>
  <w:style w:type="character" w:customStyle="1" w:styleId="147">
    <w:name w:val="apple-converted-space"/>
    <w:basedOn w:val="49"/>
    <w:qFormat/>
    <w:uiPriority w:val="0"/>
  </w:style>
  <w:style w:type="character" w:customStyle="1" w:styleId="148">
    <w:name w:val="批注文字 Char1"/>
    <w:qFormat/>
    <w:uiPriority w:val="99"/>
    <w:rPr>
      <w:rFonts w:ascii="Times New Roman" w:hAnsi="Times New Roman" w:eastAsia="宋体" w:cs="Times New Roman"/>
      <w:szCs w:val="24"/>
    </w:rPr>
  </w:style>
  <w:style w:type="character" w:customStyle="1" w:styleId="149">
    <w:name w:val="search_content1"/>
    <w:qFormat/>
    <w:uiPriority w:val="0"/>
    <w:rPr>
      <w:sz w:val="20"/>
      <w:szCs w:val="20"/>
    </w:rPr>
  </w:style>
  <w:style w:type="character" w:customStyle="1" w:styleId="150">
    <w:name w:val="正文文本缩进 Char1"/>
    <w:qFormat/>
    <w:uiPriority w:val="0"/>
    <w:rPr>
      <w:kern w:val="2"/>
      <w:sz w:val="21"/>
      <w:szCs w:val="24"/>
    </w:rPr>
  </w:style>
  <w:style w:type="character" w:customStyle="1" w:styleId="151">
    <w:name w:val="maincss1"/>
    <w:qFormat/>
    <w:uiPriority w:val="0"/>
    <w:rPr>
      <w:rFonts w:hint="default" w:ascii="Arial" w:hAnsi="Arial" w:cs="Arial"/>
      <w:color w:val="363636"/>
      <w:sz w:val="12"/>
      <w:szCs w:val="12"/>
      <w:u w:val="none"/>
    </w:rPr>
  </w:style>
  <w:style w:type="character" w:customStyle="1" w:styleId="152">
    <w:name w:val="gray s"/>
    <w:basedOn w:val="49"/>
    <w:qFormat/>
    <w:uiPriority w:val="0"/>
  </w:style>
  <w:style w:type="character" w:customStyle="1" w:styleId="153">
    <w:name w:val="font41"/>
    <w:basedOn w:val="49"/>
    <w:qFormat/>
    <w:uiPriority w:val="0"/>
    <w:rPr>
      <w:rFonts w:hint="eastAsia" w:ascii="宋体" w:hAnsi="宋体" w:eastAsia="宋体"/>
      <w:color w:val="000000"/>
      <w:sz w:val="22"/>
      <w:szCs w:val="22"/>
      <w:u w:val="none"/>
    </w:rPr>
  </w:style>
  <w:style w:type="character" w:customStyle="1" w:styleId="154">
    <w:name w:val="font31"/>
    <w:qFormat/>
    <w:uiPriority w:val="0"/>
    <w:rPr>
      <w:rFonts w:hint="default" w:ascii="Calibri" w:hAnsi="Calibri" w:cs="Calibri"/>
      <w:color w:val="000000"/>
      <w:sz w:val="21"/>
      <w:szCs w:val="21"/>
      <w:u w:val="none"/>
    </w:rPr>
  </w:style>
  <w:style w:type="character" w:customStyle="1" w:styleId="155">
    <w:name w:val="Char Char"/>
    <w:qFormat/>
    <w:uiPriority w:val="0"/>
    <w:rPr>
      <w:rFonts w:eastAsia="宋体"/>
      <w:b/>
      <w:kern w:val="2"/>
      <w:sz w:val="32"/>
      <w:lang w:val="en-US" w:eastAsia="zh-CN" w:bidi="ar-SA"/>
    </w:rPr>
  </w:style>
  <w:style w:type="character" w:customStyle="1" w:styleId="156">
    <w:name w:val="text_edit1"/>
    <w:qFormat/>
    <w:uiPriority w:val="0"/>
    <w:rPr>
      <w:color w:val="3366CC"/>
      <w:sz w:val="18"/>
      <w:szCs w:val="18"/>
    </w:rPr>
  </w:style>
  <w:style w:type="character" w:customStyle="1" w:styleId="157">
    <w:name w:val="param-name1"/>
    <w:qFormat/>
    <w:uiPriority w:val="0"/>
    <w:rPr>
      <w:b/>
    </w:rPr>
  </w:style>
  <w:style w:type="character" w:customStyle="1" w:styleId="158">
    <w:name w:val="表格 Char"/>
    <w:link w:val="159"/>
    <w:qFormat/>
    <w:uiPriority w:val="0"/>
    <w:rPr>
      <w:rFonts w:eastAsia="宋体"/>
      <w:sz w:val="24"/>
      <w:szCs w:val="24"/>
    </w:rPr>
  </w:style>
  <w:style w:type="paragraph" w:customStyle="1" w:styleId="159">
    <w:name w:val="表格"/>
    <w:basedOn w:val="1"/>
    <w:link w:val="158"/>
    <w:qFormat/>
    <w:uiPriority w:val="0"/>
    <w:pPr>
      <w:spacing w:line="400" w:lineRule="exact"/>
    </w:pPr>
    <w:rPr>
      <w:rFonts w:asciiTheme="minorHAnsi" w:hAnsiTheme="minorHAnsi" w:cstheme="minorBidi"/>
      <w:kern w:val="2"/>
      <w:sz w:val="24"/>
      <w:szCs w:val="24"/>
    </w:rPr>
  </w:style>
  <w:style w:type="character" w:customStyle="1" w:styleId="160">
    <w:name w:val="tw4winTerm"/>
    <w:qFormat/>
    <w:uiPriority w:val="0"/>
    <w:rPr>
      <w:color w:val="0000FF"/>
    </w:rPr>
  </w:style>
  <w:style w:type="character" w:customStyle="1" w:styleId="161">
    <w:name w:val="批注主题 Char1"/>
    <w:semiHidden/>
    <w:qFormat/>
    <w:uiPriority w:val="0"/>
    <w:rPr>
      <w:rFonts w:ascii="Times New Roman" w:hAnsi="Times New Roman" w:eastAsia="宋体" w:cs="Times New Roman"/>
      <w:b/>
      <w:bCs/>
      <w:szCs w:val="24"/>
    </w:rPr>
  </w:style>
  <w:style w:type="character" w:customStyle="1" w:styleId="162">
    <w:name w:val="font51"/>
    <w:qFormat/>
    <w:uiPriority w:val="0"/>
    <w:rPr>
      <w:rFonts w:hint="default" w:ascii="Wingdings" w:hAnsi="Wingdings"/>
      <w:color w:val="000000"/>
      <w:sz w:val="21"/>
      <w:szCs w:val="21"/>
      <w:u w:val="none"/>
    </w:rPr>
  </w:style>
  <w:style w:type="character" w:customStyle="1" w:styleId="163">
    <w:name w:val="text11"/>
    <w:qFormat/>
    <w:uiPriority w:val="0"/>
    <w:rPr>
      <w:rFonts w:hint="default" w:ascii="Verdana" w:hAnsi="Verdana"/>
      <w:color w:val="4E4E4E"/>
      <w:sz w:val="18"/>
    </w:rPr>
  </w:style>
  <w:style w:type="character" w:customStyle="1" w:styleId="164">
    <w:name w:val="head 1.1.1 Char"/>
    <w:basedOn w:val="49"/>
    <w:link w:val="165"/>
    <w:qFormat/>
    <w:locked/>
    <w:uiPriority w:val="0"/>
    <w:rPr>
      <w:rFonts w:ascii="Times New Roman" w:hAnsi="Times New Roman"/>
      <w:bCs/>
      <w:szCs w:val="24"/>
    </w:rPr>
  </w:style>
  <w:style w:type="paragraph" w:customStyle="1" w:styleId="165">
    <w:name w:val="head 1.1.1"/>
    <w:basedOn w:val="142"/>
    <w:link w:val="164"/>
    <w:qFormat/>
    <w:uiPriority w:val="0"/>
    <w:pPr>
      <w:numPr>
        <w:ilvl w:val="2"/>
        <w:numId w:val="4"/>
      </w:numPr>
      <w:ind w:firstLine="0" w:firstLineChars="0"/>
    </w:pPr>
    <w:rPr>
      <w:rFonts w:ascii="Times New Roman" w:hAnsi="Times New Roman" w:eastAsiaTheme="minorEastAsia" w:cstheme="minorBidi"/>
      <w:bCs/>
      <w:szCs w:val="24"/>
    </w:rPr>
  </w:style>
  <w:style w:type="character" w:customStyle="1" w:styleId="166">
    <w:name w:val="text91"/>
    <w:qFormat/>
    <w:uiPriority w:val="0"/>
    <w:rPr>
      <w:sz w:val="18"/>
      <w:u w:val="none"/>
    </w:rPr>
  </w:style>
  <w:style w:type="character" w:customStyle="1" w:styleId="167">
    <w:name w:val="正文缩进 字符"/>
    <w:link w:val="8"/>
    <w:qFormat/>
    <w:uiPriority w:val="0"/>
    <w:rPr>
      <w:rFonts w:eastAsia="宋体"/>
      <w:szCs w:val="24"/>
    </w:rPr>
  </w:style>
  <w:style w:type="character" w:customStyle="1" w:styleId="168">
    <w:name w:val="font01"/>
    <w:qFormat/>
    <w:uiPriority w:val="0"/>
    <w:rPr>
      <w:rFonts w:hint="eastAsia" w:ascii="仿宋" w:eastAsia="仿宋"/>
      <w:color w:val="000000"/>
      <w:sz w:val="24"/>
      <w:szCs w:val="24"/>
      <w:u w:val="none"/>
    </w:rPr>
  </w:style>
  <w:style w:type="character" w:customStyle="1" w:styleId="169">
    <w:name w:val="标题 3 Char Char Char"/>
    <w:qFormat/>
    <w:uiPriority w:val="0"/>
    <w:rPr>
      <w:rFonts w:eastAsia="宋体"/>
      <w:b/>
      <w:kern w:val="2"/>
      <w:sz w:val="32"/>
      <w:lang w:val="en-US" w:eastAsia="zh-CN" w:bidi="ar-SA"/>
    </w:rPr>
  </w:style>
  <w:style w:type="character" w:customStyle="1" w:styleId="170">
    <w:name w:val="正文文本缩进 3 字符"/>
    <w:basedOn w:val="49"/>
    <w:link w:val="36"/>
    <w:qFormat/>
    <w:uiPriority w:val="0"/>
    <w:rPr>
      <w:rFonts w:eastAsia="宋体"/>
      <w:sz w:val="16"/>
      <w:szCs w:val="16"/>
    </w:rPr>
  </w:style>
  <w:style w:type="character" w:customStyle="1" w:styleId="171">
    <w:name w:val="批注文字 Char2"/>
    <w:basedOn w:val="49"/>
    <w:qFormat/>
    <w:uiPriority w:val="99"/>
    <w:rPr>
      <w:rFonts w:ascii="宋体" w:hAnsi="Calibri" w:eastAsia="宋体" w:cs="Times New Roman"/>
      <w:sz w:val="34"/>
    </w:rPr>
  </w:style>
  <w:style w:type="character" w:customStyle="1" w:styleId="172">
    <w:name w:val="批注主题 字符"/>
    <w:basedOn w:val="171"/>
    <w:link w:val="44"/>
    <w:qFormat/>
    <w:uiPriority w:val="0"/>
    <w:rPr>
      <w:rFonts w:ascii="宋体" w:hAnsi="Calibri" w:eastAsia="宋体" w:cs="Times New Roman"/>
      <w:b/>
      <w:bCs/>
      <w:sz w:val="20"/>
      <w:szCs w:val="20"/>
    </w:rPr>
  </w:style>
  <w:style w:type="character" w:customStyle="1" w:styleId="173">
    <w:name w:val="日期 字符"/>
    <w:basedOn w:val="49"/>
    <w:link w:val="27"/>
    <w:qFormat/>
    <w:uiPriority w:val="0"/>
    <w:rPr>
      <w:rFonts w:eastAsia="黑体"/>
      <w:sz w:val="36"/>
      <w:szCs w:val="20"/>
    </w:rPr>
  </w:style>
  <w:style w:type="character" w:customStyle="1" w:styleId="174">
    <w:name w:val="文档结构图 字符"/>
    <w:basedOn w:val="49"/>
    <w:link w:val="15"/>
    <w:qFormat/>
    <w:uiPriority w:val="0"/>
    <w:rPr>
      <w:rFonts w:ascii="宋体" w:hAnsi="Calibri" w:eastAsia="宋体"/>
      <w:kern w:val="0"/>
      <w:sz w:val="18"/>
      <w:szCs w:val="18"/>
      <w:shd w:val="clear" w:color="auto" w:fill="000080"/>
      <w:lang w:eastAsia="en-US" w:bidi="en-US"/>
    </w:rPr>
  </w:style>
  <w:style w:type="character" w:customStyle="1" w:styleId="175">
    <w:name w:val="正文文本缩进 2 字符"/>
    <w:basedOn w:val="49"/>
    <w:link w:val="28"/>
    <w:qFormat/>
    <w:uiPriority w:val="0"/>
    <w:rPr>
      <w:rFonts w:eastAsia="宋体"/>
      <w:szCs w:val="24"/>
    </w:rPr>
  </w:style>
  <w:style w:type="character" w:customStyle="1" w:styleId="176">
    <w:name w:val="结束语 字符"/>
    <w:basedOn w:val="49"/>
    <w:link w:val="19"/>
    <w:qFormat/>
    <w:uiPriority w:val="0"/>
    <w:rPr>
      <w:rFonts w:eastAsia="宋体"/>
      <w:szCs w:val="24"/>
    </w:rPr>
  </w:style>
  <w:style w:type="character" w:customStyle="1" w:styleId="177">
    <w:name w:val="正文文本 Char1"/>
    <w:basedOn w:val="49"/>
    <w:semiHidden/>
    <w:qFormat/>
    <w:uiPriority w:val="99"/>
    <w:rPr>
      <w:rFonts w:ascii="宋体" w:hAnsi="Calibri" w:eastAsia="宋体" w:cs="Times New Roman"/>
      <w:sz w:val="34"/>
    </w:rPr>
  </w:style>
  <w:style w:type="character" w:customStyle="1" w:styleId="178">
    <w:name w:val="正文文本首行缩进 字符"/>
    <w:basedOn w:val="177"/>
    <w:link w:val="45"/>
    <w:qFormat/>
    <w:uiPriority w:val="0"/>
    <w:rPr>
      <w:rFonts w:ascii="宋体" w:hAnsi="Calibri" w:eastAsia="宋体" w:cs="Times New Roman"/>
      <w:sz w:val="34"/>
      <w:szCs w:val="20"/>
    </w:rPr>
  </w:style>
  <w:style w:type="character" w:customStyle="1" w:styleId="179">
    <w:name w:val="称呼 字符"/>
    <w:basedOn w:val="49"/>
    <w:link w:val="17"/>
    <w:qFormat/>
    <w:uiPriority w:val="0"/>
    <w:rPr>
      <w:rFonts w:eastAsia="宋体"/>
      <w:szCs w:val="24"/>
    </w:rPr>
  </w:style>
  <w:style w:type="character" w:customStyle="1" w:styleId="180">
    <w:name w:val="HTML 预设格式 字符"/>
    <w:basedOn w:val="49"/>
    <w:link w:val="40"/>
    <w:qFormat/>
    <w:uiPriority w:val="0"/>
    <w:rPr>
      <w:rFonts w:ascii="Arial" w:hAnsi="Arial" w:eastAsia="宋体" w:cs="Arial"/>
      <w:kern w:val="0"/>
      <w:sz w:val="24"/>
      <w:szCs w:val="24"/>
    </w:rPr>
  </w:style>
  <w:style w:type="character" w:customStyle="1" w:styleId="181">
    <w:name w:val="正文文本 2 字符"/>
    <w:basedOn w:val="49"/>
    <w:link w:val="39"/>
    <w:qFormat/>
    <w:uiPriority w:val="0"/>
    <w:rPr>
      <w:rFonts w:eastAsia="宋体"/>
      <w:szCs w:val="24"/>
    </w:rPr>
  </w:style>
  <w:style w:type="character" w:customStyle="1" w:styleId="182">
    <w:name w:val="批注框文本 字符"/>
    <w:basedOn w:val="49"/>
    <w:link w:val="29"/>
    <w:qFormat/>
    <w:uiPriority w:val="99"/>
    <w:rPr>
      <w:rFonts w:ascii="宋体"/>
      <w:kern w:val="0"/>
      <w:sz w:val="18"/>
      <w:szCs w:val="18"/>
    </w:rPr>
  </w:style>
  <w:style w:type="character" w:customStyle="1" w:styleId="183">
    <w:name w:val="正文文本 3 字符"/>
    <w:basedOn w:val="49"/>
    <w:link w:val="18"/>
    <w:qFormat/>
    <w:uiPriority w:val="0"/>
    <w:rPr>
      <w:rFonts w:eastAsia="宋体"/>
      <w:b/>
      <w:bCs/>
      <w:sz w:val="24"/>
      <w:szCs w:val="24"/>
    </w:rPr>
  </w:style>
  <w:style w:type="character" w:customStyle="1" w:styleId="184">
    <w:name w:val="纯文本 字符"/>
    <w:basedOn w:val="49"/>
    <w:link w:val="25"/>
    <w:qFormat/>
    <w:uiPriority w:val="0"/>
    <w:rPr>
      <w:rFonts w:ascii="宋体" w:hAnsi="Courier New" w:eastAsia="宋体" w:cs="Courier New"/>
      <w:szCs w:val="21"/>
    </w:rPr>
  </w:style>
  <w:style w:type="paragraph" w:customStyle="1" w:styleId="185">
    <w:name w:val="p15"/>
    <w:basedOn w:val="1"/>
    <w:qFormat/>
    <w:uiPriority w:val="0"/>
    <w:pPr>
      <w:widowControl/>
      <w:ind w:firstLine="420"/>
    </w:pPr>
    <w:rPr>
      <w:szCs w:val="21"/>
    </w:rPr>
  </w:style>
  <w:style w:type="paragraph" w:customStyle="1" w:styleId="186">
    <w:name w:val="纯文本1"/>
    <w:basedOn w:val="1"/>
    <w:qFormat/>
    <w:uiPriority w:val="0"/>
    <w:pPr>
      <w:adjustRightInd w:val="0"/>
      <w:textAlignment w:val="baseline"/>
    </w:pPr>
    <w:rPr>
      <w:rFonts w:hAnsi="Courier New"/>
    </w:rPr>
  </w:style>
  <w:style w:type="paragraph" w:customStyle="1" w:styleId="18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sz w:val="20"/>
    </w:rPr>
  </w:style>
  <w:style w:type="paragraph" w:customStyle="1" w:styleId="188">
    <w:name w:val="font13"/>
    <w:basedOn w:val="1"/>
    <w:qFormat/>
    <w:uiPriority w:val="0"/>
    <w:pPr>
      <w:widowControl/>
      <w:spacing w:before="100" w:beforeAutospacing="1" w:after="100" w:afterAutospacing="1"/>
      <w:jc w:val="left"/>
    </w:pPr>
    <w:rPr>
      <w:rFonts w:hAnsi="宋体" w:cs="宋体"/>
      <w:b/>
      <w:bCs/>
      <w:sz w:val="24"/>
    </w:rPr>
  </w:style>
  <w:style w:type="paragraph" w:customStyle="1" w:styleId="189">
    <w:name w:val="et90"/>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190">
    <w:name w:val="xl180"/>
    <w:basedOn w:val="1"/>
    <w:qFormat/>
    <w:uiPriority w:val="0"/>
    <w:pPr>
      <w:widowControl/>
      <w:pBdr>
        <w:bottom w:val="single" w:color="auto" w:sz="4" w:space="0"/>
      </w:pBdr>
      <w:spacing w:before="100" w:beforeAutospacing="1" w:after="100" w:afterAutospacing="1"/>
      <w:jc w:val="left"/>
    </w:pPr>
    <w:rPr>
      <w:rFonts w:hAnsi="宋体" w:cs="宋体"/>
      <w:b/>
      <w:bCs/>
      <w:color w:val="0000FF"/>
      <w:sz w:val="20"/>
    </w:rPr>
  </w:style>
  <w:style w:type="paragraph" w:customStyle="1" w:styleId="191">
    <w:name w:val="Char Char Char1 Char Char Char Char"/>
    <w:basedOn w:val="1"/>
    <w:qFormat/>
    <w:uiPriority w:val="0"/>
    <w:pPr>
      <w:spacing w:line="300" w:lineRule="auto"/>
    </w:pPr>
    <w:rPr>
      <w:rFonts w:ascii="Tahoma" w:hAnsi="Tahoma"/>
      <w:sz w:val="24"/>
    </w:rPr>
  </w:style>
  <w:style w:type="paragraph" w:customStyle="1" w:styleId="192">
    <w:name w:val="font7"/>
    <w:basedOn w:val="1"/>
    <w:qFormat/>
    <w:uiPriority w:val="0"/>
    <w:pPr>
      <w:widowControl/>
      <w:spacing w:before="100" w:beforeAutospacing="1" w:after="100" w:afterAutospacing="1"/>
      <w:jc w:val="left"/>
    </w:pPr>
    <w:rPr>
      <w:rFonts w:hAnsi="宋体" w:cs="宋体"/>
      <w:b/>
      <w:bCs/>
      <w:sz w:val="20"/>
    </w:rPr>
  </w:style>
  <w:style w:type="paragraph" w:customStyle="1" w:styleId="193">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Ansi="宋体" w:cs="宋体"/>
      <w:sz w:val="20"/>
    </w:rPr>
  </w:style>
  <w:style w:type="paragraph" w:customStyle="1" w:styleId="194">
    <w:name w:val="xl16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195">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96">
    <w:name w:val="font4"/>
    <w:basedOn w:val="1"/>
    <w:qFormat/>
    <w:uiPriority w:val="0"/>
    <w:pPr>
      <w:widowControl/>
      <w:spacing w:before="100" w:beforeAutospacing="1" w:after="100" w:afterAutospacing="1"/>
      <w:jc w:val="left"/>
    </w:pPr>
    <w:rPr>
      <w:rFonts w:ascii="仿宋" w:hAnsi="宋体" w:eastAsia="仿宋" w:cs="宋体"/>
      <w:color w:val="000000"/>
      <w:sz w:val="21"/>
      <w:szCs w:val="21"/>
    </w:rPr>
  </w:style>
  <w:style w:type="paragraph" w:customStyle="1" w:styleId="197">
    <w:name w:val="xl177"/>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pPr>
    <w:rPr>
      <w:rFonts w:hAnsi="宋体" w:cs="宋体"/>
      <w:b/>
      <w:bCs/>
      <w:color w:val="FF0000"/>
      <w:sz w:val="20"/>
    </w:rPr>
  </w:style>
  <w:style w:type="paragraph" w:customStyle="1" w:styleId="198">
    <w:name w:val="et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199">
    <w:name w:val="xl169"/>
    <w:basedOn w:val="1"/>
    <w:qFormat/>
    <w:uiPriority w:val="0"/>
    <w:pPr>
      <w:widowControl/>
      <w:pBdr>
        <w:bottom w:val="single" w:color="auto" w:sz="4" w:space="0"/>
      </w:pBdr>
      <w:spacing w:before="100" w:beforeAutospacing="1" w:after="100" w:afterAutospacing="1"/>
      <w:jc w:val="left"/>
    </w:pPr>
    <w:rPr>
      <w:rFonts w:hAnsi="宋体" w:cs="宋体"/>
      <w:color w:val="FF0000"/>
      <w:sz w:val="20"/>
    </w:rPr>
  </w:style>
  <w:style w:type="paragraph" w:customStyle="1" w:styleId="200">
    <w:name w:val="xl1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color w:val="C0C0C0"/>
      <w:sz w:val="20"/>
    </w:rPr>
  </w:style>
  <w:style w:type="paragraph" w:customStyle="1" w:styleId="201">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C0C0C0"/>
      <w:sz w:val="20"/>
    </w:rPr>
  </w:style>
  <w:style w:type="paragraph" w:customStyle="1" w:styleId="202">
    <w:name w:val="et1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3">
    <w:name w:val="无间隔1"/>
    <w:qFormat/>
    <w:uiPriority w:val="0"/>
    <w:pPr>
      <w:widowControl w:val="0"/>
      <w:jc w:val="both"/>
    </w:pPr>
    <w:rPr>
      <w:rFonts w:ascii="Calibri" w:hAnsi="Calibri" w:eastAsia="宋体" w:cs="Times New Roman"/>
      <w:kern w:val="2"/>
      <w:sz w:val="21"/>
      <w:lang w:val="en-US" w:eastAsia="zh-CN" w:bidi="ar-SA"/>
    </w:rPr>
  </w:style>
  <w:style w:type="paragraph" w:customStyle="1" w:styleId="204">
    <w:name w:val="正文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205">
    <w:name w:val="et1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6">
    <w:name w:val="表"/>
    <w:basedOn w:val="1"/>
    <w:next w:val="1"/>
    <w:qFormat/>
    <w:uiPriority w:val="0"/>
    <w:pPr>
      <w:spacing w:line="360" w:lineRule="auto"/>
    </w:pPr>
    <w:rPr>
      <w:sz w:val="24"/>
      <w:szCs w:val="21"/>
    </w:rPr>
  </w:style>
  <w:style w:type="paragraph" w:customStyle="1" w:styleId="207">
    <w:name w:val="et9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8">
    <w:name w:val="et2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09">
    <w:name w:val="列出段落1"/>
    <w:basedOn w:val="1"/>
    <w:qFormat/>
    <w:uiPriority w:val="99"/>
    <w:pPr>
      <w:ind w:firstLine="420" w:firstLineChars="200"/>
    </w:pPr>
    <w:rPr>
      <w:rFonts w:ascii="Calibri"/>
      <w:szCs w:val="22"/>
    </w:rPr>
  </w:style>
  <w:style w:type="paragraph" w:customStyle="1" w:styleId="210">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211">
    <w:name w:val="文章正文"/>
    <w:basedOn w:val="1"/>
    <w:qFormat/>
    <w:uiPriority w:val="0"/>
    <w:pPr>
      <w:ind w:firstLine="560" w:firstLineChars="200"/>
    </w:pPr>
    <w:rPr>
      <w:rFonts w:ascii="仿宋_GB2312" w:hAnsi="宋体" w:eastAsia="仿宋_GB2312"/>
      <w:color w:val="000000"/>
      <w:sz w:val="28"/>
    </w:rPr>
  </w:style>
  <w:style w:type="paragraph" w:customStyle="1" w:styleId="212">
    <w:name w:val="et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13">
    <w:name w:val="表 靠左"/>
    <w:basedOn w:val="206"/>
    <w:next w:val="206"/>
    <w:qFormat/>
    <w:uiPriority w:val="0"/>
    <w:pPr>
      <w:spacing w:line="240" w:lineRule="auto"/>
      <w:jc w:val="left"/>
    </w:pPr>
  </w:style>
  <w:style w:type="paragraph" w:customStyle="1" w:styleId="214">
    <w:name w:val="et3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15">
    <w:name w:val="font11"/>
    <w:basedOn w:val="1"/>
    <w:qFormat/>
    <w:uiPriority w:val="0"/>
    <w:pPr>
      <w:widowControl/>
      <w:spacing w:before="100" w:beforeAutospacing="1" w:after="100" w:afterAutospacing="1"/>
      <w:jc w:val="left"/>
    </w:pPr>
    <w:rPr>
      <w:rFonts w:hAnsi="宋体" w:cs="宋体"/>
      <w:b/>
      <w:bCs/>
      <w:sz w:val="20"/>
    </w:rPr>
  </w:style>
  <w:style w:type="paragraph" w:customStyle="1" w:styleId="216">
    <w:name w:val="font27"/>
    <w:basedOn w:val="1"/>
    <w:qFormat/>
    <w:uiPriority w:val="0"/>
    <w:pPr>
      <w:widowControl/>
      <w:spacing w:before="100" w:beforeAutospacing="1" w:after="100" w:afterAutospacing="1"/>
      <w:jc w:val="left"/>
    </w:pPr>
    <w:rPr>
      <w:rFonts w:hAnsi="宋体" w:cs="宋体"/>
      <w:color w:val="000000"/>
      <w:sz w:val="24"/>
    </w:rPr>
  </w:style>
  <w:style w:type="paragraph" w:customStyle="1" w:styleId="217">
    <w:name w:val="z-catalog-i1"/>
    <w:basedOn w:val="1"/>
    <w:qFormat/>
    <w:uiPriority w:val="0"/>
    <w:pPr>
      <w:widowControl/>
      <w:spacing w:before="100" w:beforeAutospacing="1" w:after="100" w:afterAutospacing="1"/>
      <w:jc w:val="left"/>
    </w:pPr>
    <w:rPr>
      <w:rFonts w:hAnsi="宋体" w:cs="宋体"/>
      <w:sz w:val="24"/>
    </w:rPr>
  </w:style>
  <w:style w:type="paragraph" w:customStyle="1" w:styleId="218">
    <w:name w:val="album-div1"/>
    <w:basedOn w:val="1"/>
    <w:qFormat/>
    <w:uiPriority w:val="0"/>
    <w:pPr>
      <w:widowControl/>
      <w:shd w:val="clear" w:color="auto" w:fill="FFFFFF"/>
      <w:spacing w:before="100" w:beforeAutospacing="1" w:after="100" w:afterAutospacing="1"/>
      <w:jc w:val="left"/>
    </w:pPr>
    <w:rPr>
      <w:rFonts w:hAnsi="宋体" w:cs="宋体"/>
      <w:sz w:val="24"/>
    </w:rPr>
  </w:style>
  <w:style w:type="paragraph" w:customStyle="1" w:styleId="219">
    <w:name w:val="xl17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color w:val="FF0000"/>
      <w:sz w:val="20"/>
    </w:rPr>
  </w:style>
  <w:style w:type="paragraph" w:customStyle="1" w:styleId="220">
    <w:name w:val="Char1"/>
    <w:basedOn w:val="1"/>
    <w:qFormat/>
    <w:uiPriority w:val="0"/>
    <w:rPr>
      <w:szCs w:val="21"/>
    </w:rPr>
  </w:style>
  <w:style w:type="paragraph" w:customStyle="1" w:styleId="221">
    <w:name w:val="xl120"/>
    <w:basedOn w:val="1"/>
    <w:qFormat/>
    <w:uiPriority w:val="0"/>
    <w:pPr>
      <w:widowControl/>
      <w:spacing w:before="100" w:beforeAutospacing="1" w:after="100" w:afterAutospacing="1"/>
      <w:jc w:val="left"/>
      <w:textAlignment w:val="center"/>
    </w:pPr>
    <w:rPr>
      <w:rFonts w:hAnsi="宋体" w:cs="宋体"/>
      <w:sz w:val="20"/>
    </w:rPr>
  </w:style>
  <w:style w:type="paragraph" w:customStyle="1" w:styleId="222">
    <w:name w:val="xl168"/>
    <w:basedOn w:val="1"/>
    <w:qFormat/>
    <w:uiPriority w:val="0"/>
    <w:pPr>
      <w:widowControl/>
      <w:pBdr>
        <w:bottom w:val="single" w:color="auto" w:sz="4" w:space="0"/>
      </w:pBdr>
      <w:spacing w:before="100" w:beforeAutospacing="1" w:after="100" w:afterAutospacing="1"/>
      <w:jc w:val="center"/>
    </w:pPr>
    <w:rPr>
      <w:rFonts w:hAnsi="宋体" w:cs="宋体"/>
      <w:color w:val="FF0000"/>
      <w:sz w:val="20"/>
    </w:rPr>
  </w:style>
  <w:style w:type="paragraph" w:customStyle="1" w:styleId="223">
    <w:name w:val="et7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2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sz w:val="20"/>
    </w:rPr>
  </w:style>
  <w:style w:type="paragraph" w:customStyle="1" w:styleId="225">
    <w:name w:val="et6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26">
    <w:name w:val="xl122"/>
    <w:basedOn w:val="1"/>
    <w:qFormat/>
    <w:uiPriority w:val="0"/>
    <w:pPr>
      <w:widowControl/>
      <w:spacing w:before="100" w:beforeAutospacing="1" w:after="100" w:afterAutospacing="1"/>
      <w:jc w:val="center"/>
      <w:textAlignment w:val="center"/>
    </w:pPr>
    <w:rPr>
      <w:rFonts w:hAnsi="宋体" w:cs="宋体"/>
      <w:b/>
      <w:bCs/>
      <w:color w:val="C0C0C0"/>
      <w:sz w:val="20"/>
    </w:rPr>
  </w:style>
  <w:style w:type="paragraph" w:customStyle="1" w:styleId="227">
    <w:name w:val="xl87"/>
    <w:basedOn w:val="1"/>
    <w:qFormat/>
    <w:uiPriority w:val="0"/>
    <w:pPr>
      <w:widowControl/>
      <w:spacing w:before="100" w:beforeAutospacing="1" w:after="100" w:afterAutospacing="1"/>
      <w:jc w:val="center"/>
    </w:pPr>
    <w:rPr>
      <w:rFonts w:hAnsi="宋体" w:cs="宋体"/>
      <w:sz w:val="20"/>
    </w:rPr>
  </w:style>
  <w:style w:type="paragraph" w:customStyle="1" w:styleId="228">
    <w:name w:val="正文 New New New"/>
    <w:qFormat/>
    <w:uiPriority w:val="0"/>
    <w:pPr>
      <w:widowControl w:val="0"/>
      <w:jc w:val="both"/>
    </w:pPr>
    <w:rPr>
      <w:rFonts w:ascii="Calibri" w:hAnsi="Calibri" w:eastAsia="宋体" w:cs="Times New Roman"/>
      <w:kern w:val="2"/>
      <w:sz w:val="21"/>
      <w:lang w:val="en-US" w:eastAsia="zh-CN" w:bidi="ar-SA"/>
    </w:rPr>
  </w:style>
  <w:style w:type="paragraph" w:customStyle="1" w:styleId="229">
    <w:name w:val="Char2"/>
    <w:basedOn w:val="1"/>
    <w:qFormat/>
    <w:uiPriority w:val="0"/>
    <w:rPr>
      <w:rFonts w:ascii="Tahoma" w:hAnsi="Tahoma" w:eastAsia="仿宋_GB2312"/>
      <w:b/>
      <w:bCs/>
      <w:color w:val="000000"/>
      <w:sz w:val="24"/>
    </w:rPr>
  </w:style>
  <w:style w:type="paragraph" w:customStyle="1" w:styleId="23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FF0000"/>
      <w:sz w:val="20"/>
    </w:rPr>
  </w:style>
  <w:style w:type="paragraph" w:customStyle="1" w:styleId="231">
    <w:name w:val="样式 正文缩进正文缩进 Char正文缩进 Char1 Char正文（首行缩进两字） Char1 Char正文缩进 Cha..."/>
    <w:basedOn w:val="8"/>
    <w:qFormat/>
    <w:uiPriority w:val="0"/>
    <w:pPr>
      <w:ind w:firstLine="0" w:firstLineChars="0"/>
      <w:jc w:val="left"/>
    </w:pPr>
    <w:rPr>
      <w:rFonts w:ascii="宋体" w:hAnsi="宋体" w:cs="宋体"/>
      <w:color w:val="000000"/>
      <w:szCs w:val="21"/>
    </w:rPr>
  </w:style>
  <w:style w:type="paragraph" w:customStyle="1" w:styleId="232">
    <w:name w:val="et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33">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C0C0C0"/>
      <w:sz w:val="20"/>
    </w:rPr>
  </w:style>
  <w:style w:type="paragraph" w:customStyle="1" w:styleId="234">
    <w:name w:val="xl83"/>
    <w:basedOn w:val="1"/>
    <w:qFormat/>
    <w:uiPriority w:val="0"/>
    <w:pPr>
      <w:widowControl/>
      <w:pBdr>
        <w:top w:val="single" w:color="auto" w:sz="4" w:space="0"/>
      </w:pBdr>
      <w:spacing w:before="100" w:beforeAutospacing="1" w:after="100" w:afterAutospacing="1"/>
      <w:jc w:val="left"/>
    </w:pPr>
    <w:rPr>
      <w:rFonts w:hAnsi="宋体" w:cs="宋体"/>
      <w:sz w:val="20"/>
    </w:rPr>
  </w:style>
  <w:style w:type="paragraph" w:customStyle="1" w:styleId="235">
    <w:name w:val="et59"/>
    <w:basedOn w:val="1"/>
    <w:qFormat/>
    <w:uiPriority w:val="0"/>
    <w:pPr>
      <w:widowControl/>
      <w:spacing w:before="100" w:beforeAutospacing="1" w:after="100" w:afterAutospacing="1"/>
      <w:jc w:val="left"/>
      <w:textAlignment w:val="center"/>
    </w:pPr>
    <w:rPr>
      <w:rFonts w:ascii="Calibri" w:cs="宋体"/>
      <w:color w:val="000000"/>
      <w:sz w:val="22"/>
      <w:szCs w:val="22"/>
    </w:rPr>
  </w:style>
  <w:style w:type="paragraph" w:customStyle="1" w:styleId="236">
    <w:name w:val="font5"/>
    <w:basedOn w:val="1"/>
    <w:qFormat/>
    <w:uiPriority w:val="0"/>
    <w:pPr>
      <w:widowControl/>
      <w:spacing w:before="100" w:beforeAutospacing="1" w:after="100" w:afterAutospacing="1"/>
      <w:jc w:val="left"/>
    </w:pPr>
    <w:rPr>
      <w:rFonts w:hAnsi="宋体" w:cs="宋体"/>
      <w:sz w:val="18"/>
      <w:szCs w:val="18"/>
    </w:rPr>
  </w:style>
  <w:style w:type="paragraph" w:customStyle="1" w:styleId="237">
    <w:name w:val="et47"/>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238">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C0C0C0"/>
      <w:sz w:val="20"/>
    </w:rPr>
  </w:style>
  <w:style w:type="paragraph" w:customStyle="1" w:styleId="239">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240">
    <w:name w:val="xl181"/>
    <w:basedOn w:val="1"/>
    <w:qFormat/>
    <w:uiPriority w:val="0"/>
    <w:pPr>
      <w:widowControl/>
      <w:pBdr>
        <w:bottom w:val="single" w:color="auto" w:sz="4" w:space="0"/>
      </w:pBdr>
      <w:spacing w:before="100" w:beforeAutospacing="1" w:after="100" w:afterAutospacing="1"/>
      <w:jc w:val="left"/>
    </w:pPr>
    <w:rPr>
      <w:rFonts w:hAnsi="宋体" w:cs="宋体"/>
      <w:b/>
      <w:bCs/>
      <w:color w:val="0000FF"/>
      <w:sz w:val="20"/>
    </w:rPr>
  </w:style>
  <w:style w:type="paragraph" w:customStyle="1" w:styleId="241">
    <w:name w:val="Char Char Char Char Char Char"/>
    <w:basedOn w:val="1"/>
    <w:qFormat/>
    <w:uiPriority w:val="0"/>
    <w:rPr>
      <w:rFonts w:ascii="Tahoma" w:hAnsi="Tahoma"/>
      <w:sz w:val="24"/>
    </w:rPr>
  </w:style>
  <w:style w:type="paragraph" w:customStyle="1" w:styleId="242">
    <w:name w:val="Char"/>
    <w:basedOn w:val="1"/>
    <w:qFormat/>
    <w:uiPriority w:val="0"/>
    <w:pPr>
      <w:widowControl/>
      <w:spacing w:before="100" w:beforeAutospacing="1" w:after="100" w:afterAutospacing="1" w:line="360" w:lineRule="auto"/>
      <w:jc w:val="left"/>
    </w:pPr>
    <w:rPr>
      <w:rFonts w:ascii="Verdana" w:hAnsi="Verdana"/>
      <w:sz w:val="20"/>
      <w:szCs w:val="21"/>
      <w:lang w:eastAsia="en-US"/>
    </w:rPr>
  </w:style>
  <w:style w:type="paragraph" w:customStyle="1" w:styleId="243">
    <w:name w:val="xl167"/>
    <w:basedOn w:val="1"/>
    <w:qFormat/>
    <w:uiPriority w:val="0"/>
    <w:pPr>
      <w:widowControl/>
      <w:spacing w:before="100" w:beforeAutospacing="1" w:after="100" w:afterAutospacing="1"/>
      <w:jc w:val="left"/>
    </w:pPr>
    <w:rPr>
      <w:rFonts w:hAnsi="宋体" w:cs="宋体"/>
      <w:sz w:val="20"/>
    </w:rPr>
  </w:style>
  <w:style w:type="paragraph" w:customStyle="1" w:styleId="24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245">
    <w:name w:val="xl8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sz w:val="20"/>
    </w:rPr>
  </w:style>
  <w:style w:type="paragraph" w:customStyle="1" w:styleId="246">
    <w:name w:val="Char Char Char Char Char Char Char"/>
    <w:basedOn w:val="1"/>
    <w:qFormat/>
    <w:uiPriority w:val="0"/>
  </w:style>
  <w:style w:type="paragraph" w:customStyle="1" w:styleId="247">
    <w:name w:val="xl178"/>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248">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249">
    <w:name w:val="et7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0">
    <w:name w:val="et5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1">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sz w:val="20"/>
    </w:rPr>
  </w:style>
  <w:style w:type="paragraph" w:customStyle="1" w:styleId="252">
    <w:name w:val="标书正文格式"/>
    <w:qFormat/>
    <w:uiPriority w:val="0"/>
    <w:pPr>
      <w:spacing w:line="360" w:lineRule="auto"/>
      <w:ind w:firstLine="200" w:firstLineChars="200"/>
    </w:pPr>
    <w:rPr>
      <w:rFonts w:ascii="Calibri" w:hAnsi="Calibri" w:eastAsia="楷体_GB2312" w:cs="Times New Roman"/>
      <w:kern w:val="2"/>
      <w:sz w:val="24"/>
      <w:szCs w:val="24"/>
      <w:lang w:val="en-US" w:eastAsia="zh-CN" w:bidi="ar-SA"/>
    </w:rPr>
  </w:style>
  <w:style w:type="paragraph" w:customStyle="1" w:styleId="253">
    <w:name w:val="et9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4">
    <w:name w:val="xl133"/>
    <w:basedOn w:val="1"/>
    <w:qFormat/>
    <w:uiPriority w:val="0"/>
    <w:pPr>
      <w:widowControl/>
      <w:pBdr>
        <w:top w:val="single" w:color="auto" w:sz="4" w:space="0"/>
      </w:pBdr>
      <w:spacing w:before="100" w:beforeAutospacing="1" w:after="100" w:afterAutospacing="1"/>
      <w:jc w:val="left"/>
    </w:pPr>
    <w:rPr>
      <w:rFonts w:hAnsi="宋体" w:cs="宋体"/>
      <w:color w:val="C0C0C0"/>
      <w:sz w:val="20"/>
    </w:rPr>
  </w:style>
  <w:style w:type="paragraph" w:customStyle="1" w:styleId="255">
    <w:name w:val="et3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6">
    <w:name w:val="正文文本 21"/>
    <w:basedOn w:val="1"/>
    <w:qFormat/>
    <w:uiPriority w:val="0"/>
    <w:pPr>
      <w:adjustRightInd w:val="0"/>
      <w:spacing w:line="300" w:lineRule="auto"/>
      <w:jc w:val="center"/>
      <w:textAlignment w:val="baseline"/>
    </w:pPr>
    <w:rPr>
      <w:rFonts w:hAnsi="宋体"/>
      <w:sz w:val="24"/>
    </w:rPr>
  </w:style>
  <w:style w:type="paragraph" w:customStyle="1" w:styleId="257">
    <w:name w:val="et1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8">
    <w:name w:val="et2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59">
    <w:name w:val="p17"/>
    <w:basedOn w:val="1"/>
    <w:qFormat/>
    <w:uiPriority w:val="0"/>
    <w:pPr>
      <w:widowControl/>
      <w:spacing w:line="360" w:lineRule="auto"/>
      <w:ind w:firstLine="420"/>
    </w:pPr>
    <w:rPr>
      <w:szCs w:val="21"/>
    </w:rPr>
  </w:style>
  <w:style w:type="paragraph" w:customStyle="1" w:styleId="260">
    <w:name w:val="xl76"/>
    <w:basedOn w:val="1"/>
    <w:qFormat/>
    <w:uiPriority w:val="0"/>
    <w:pPr>
      <w:widowControl/>
      <w:spacing w:before="100" w:beforeAutospacing="1" w:after="100" w:afterAutospacing="1"/>
      <w:jc w:val="left"/>
      <w:textAlignment w:val="center"/>
    </w:pPr>
    <w:rPr>
      <w:rFonts w:hAnsi="宋体" w:cs="宋体"/>
      <w:sz w:val="20"/>
    </w:rPr>
  </w:style>
  <w:style w:type="paragraph" w:customStyle="1" w:styleId="261">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sz w:val="20"/>
    </w:rPr>
  </w:style>
  <w:style w:type="paragraph" w:customStyle="1" w:styleId="262">
    <w:name w:val="正文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263">
    <w:name w:val="et46"/>
    <w:basedOn w:val="1"/>
    <w:qFormat/>
    <w:uiPriority w:val="0"/>
    <w:pPr>
      <w:widowControl/>
      <w:spacing w:before="100" w:beforeAutospacing="1" w:after="100" w:afterAutospacing="1"/>
      <w:jc w:val="left"/>
      <w:textAlignment w:val="center"/>
    </w:pPr>
    <w:rPr>
      <w:rFonts w:ascii="Calibri" w:cs="宋体"/>
      <w:color w:val="000000"/>
      <w:sz w:val="22"/>
      <w:szCs w:val="22"/>
    </w:rPr>
  </w:style>
  <w:style w:type="paragraph" w:customStyle="1" w:styleId="264">
    <w:name w:val="p0"/>
    <w:basedOn w:val="1"/>
    <w:qFormat/>
    <w:uiPriority w:val="0"/>
    <w:pPr>
      <w:widowControl/>
      <w:spacing w:line="365" w:lineRule="atLeast"/>
      <w:ind w:left="1"/>
    </w:pPr>
    <w:rPr>
      <w:sz w:val="20"/>
    </w:rPr>
  </w:style>
  <w:style w:type="paragraph" w:customStyle="1" w:styleId="265">
    <w:name w:val="et4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6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FF0000"/>
      <w:sz w:val="20"/>
    </w:rPr>
  </w:style>
  <w:style w:type="paragraph" w:customStyle="1" w:styleId="267">
    <w:name w:val="et39"/>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268">
    <w:name w:val="et8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69">
    <w:name w:val="Char1 Char Char Char Char Char Char"/>
    <w:basedOn w:val="1"/>
    <w:qFormat/>
    <w:uiPriority w:val="0"/>
    <w:rPr>
      <w:rFonts w:ascii="Tahoma" w:hAnsi="Tahoma"/>
      <w:sz w:val="24"/>
    </w:rPr>
  </w:style>
  <w:style w:type="paragraph" w:customStyle="1" w:styleId="270">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hAnsi="宋体"/>
      <w:sz w:val="22"/>
      <w:szCs w:val="22"/>
    </w:rPr>
  </w:style>
  <w:style w:type="paragraph" w:customStyle="1" w:styleId="271">
    <w:name w:val="et40"/>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272">
    <w:name w:val="Char2 Char Char Char"/>
    <w:basedOn w:val="1"/>
    <w:qFormat/>
    <w:uiPriority w:val="0"/>
    <w:rPr>
      <w:rFonts w:ascii="仿宋_GB2312" w:eastAsia="仿宋_GB2312"/>
      <w:b/>
      <w:sz w:val="32"/>
      <w:szCs w:val="32"/>
    </w:rPr>
  </w:style>
  <w:style w:type="paragraph" w:customStyle="1" w:styleId="273">
    <w:name w:val="plaintext"/>
    <w:basedOn w:val="1"/>
    <w:qFormat/>
    <w:uiPriority w:val="0"/>
    <w:pPr>
      <w:widowControl/>
      <w:spacing w:before="100" w:beforeAutospacing="1" w:after="100" w:afterAutospacing="1"/>
      <w:jc w:val="left"/>
    </w:pPr>
    <w:rPr>
      <w:rFonts w:hAnsi="宋体"/>
      <w:sz w:val="24"/>
    </w:rPr>
  </w:style>
  <w:style w:type="paragraph" w:customStyle="1" w:styleId="274">
    <w:name w:val="font26"/>
    <w:basedOn w:val="1"/>
    <w:qFormat/>
    <w:uiPriority w:val="0"/>
    <w:pPr>
      <w:widowControl/>
      <w:spacing w:before="100" w:beforeAutospacing="1" w:after="100" w:afterAutospacing="1"/>
      <w:jc w:val="left"/>
    </w:pPr>
    <w:rPr>
      <w:rFonts w:hAnsi="宋体" w:cs="宋体"/>
      <w:b/>
      <w:bCs/>
      <w:sz w:val="24"/>
    </w:rPr>
  </w:style>
  <w:style w:type="paragraph" w:customStyle="1" w:styleId="275">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276">
    <w:name w:val="Body Text 21"/>
    <w:basedOn w:val="1"/>
    <w:qFormat/>
    <w:uiPriority w:val="0"/>
    <w:pPr>
      <w:adjustRightInd w:val="0"/>
      <w:spacing w:line="300" w:lineRule="auto"/>
      <w:jc w:val="center"/>
      <w:textAlignment w:val="baseline"/>
    </w:pPr>
    <w:rPr>
      <w:rFonts w:hAnsi="宋体"/>
      <w:sz w:val="24"/>
    </w:rPr>
  </w:style>
  <w:style w:type="paragraph" w:customStyle="1" w:styleId="27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z w:val="20"/>
    </w:rPr>
  </w:style>
  <w:style w:type="paragraph" w:customStyle="1" w:styleId="278">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color w:val="0000FF"/>
      <w:sz w:val="20"/>
    </w:rPr>
  </w:style>
  <w:style w:type="paragraph" w:customStyle="1" w:styleId="279">
    <w:name w:val="xl11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sz w:val="20"/>
    </w:rPr>
  </w:style>
  <w:style w:type="paragraph" w:customStyle="1" w:styleId="280">
    <w:name w:val="xl19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b/>
      <w:bCs/>
      <w:sz w:val="20"/>
    </w:rPr>
  </w:style>
  <w:style w:type="paragraph" w:customStyle="1" w:styleId="281">
    <w:name w:val="xl114"/>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pPr>
    <w:rPr>
      <w:rFonts w:hAnsi="宋体" w:cs="宋体"/>
      <w:sz w:val="20"/>
    </w:rPr>
  </w:style>
  <w:style w:type="paragraph" w:customStyle="1" w:styleId="282">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283">
    <w:name w:val="et1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84">
    <w:name w:val="et36"/>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285">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286">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287">
    <w:name w:val="正文2"/>
    <w:next w:v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288">
    <w:name w:val="Char1 Char Char Char"/>
    <w:basedOn w:val="1"/>
    <w:qFormat/>
    <w:uiPriority w:val="0"/>
    <w:rPr>
      <w:rFonts w:ascii="Calibri"/>
      <w:szCs w:val="22"/>
    </w:rPr>
  </w:style>
  <w:style w:type="paragraph" w:customStyle="1" w:styleId="289">
    <w:name w:val="et5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90">
    <w:name w:val="Char Char Char Char Char Char1 Char Char Char Char"/>
    <w:basedOn w:val="1"/>
    <w:qFormat/>
    <w:uiPriority w:val="0"/>
  </w:style>
  <w:style w:type="paragraph" w:customStyle="1" w:styleId="291">
    <w:name w:val="xl9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292">
    <w:name w:val="xl202"/>
    <w:basedOn w:val="1"/>
    <w:qFormat/>
    <w:uiPriority w:val="0"/>
    <w:pPr>
      <w:widowControl/>
      <w:spacing w:before="100" w:beforeAutospacing="1" w:after="100" w:afterAutospacing="1"/>
      <w:jc w:val="left"/>
    </w:pPr>
    <w:rPr>
      <w:rFonts w:hAnsi="宋体" w:cs="宋体"/>
      <w:b/>
      <w:bCs/>
      <w:color w:val="0000FF"/>
      <w:sz w:val="20"/>
    </w:rPr>
  </w:style>
  <w:style w:type="paragraph" w:customStyle="1" w:styleId="293">
    <w:name w:val="xl18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color w:val="FF0000"/>
      <w:sz w:val="20"/>
    </w:rPr>
  </w:style>
  <w:style w:type="paragraph" w:customStyle="1" w:styleId="294">
    <w:name w:val="et2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95">
    <w:name w:val="xl17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296">
    <w:name w:val="et1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297">
    <w:name w:val="正文文本 22"/>
    <w:basedOn w:val="1"/>
    <w:qFormat/>
    <w:uiPriority w:val="0"/>
    <w:pPr>
      <w:adjustRightInd w:val="0"/>
      <w:spacing w:line="300" w:lineRule="auto"/>
      <w:jc w:val="center"/>
      <w:textAlignment w:val="baseline"/>
    </w:pPr>
    <w:rPr>
      <w:rFonts w:hAnsi="宋体"/>
      <w:sz w:val="24"/>
    </w:rPr>
  </w:style>
  <w:style w:type="paragraph" w:customStyle="1" w:styleId="298">
    <w:name w:val="xl140"/>
    <w:basedOn w:val="1"/>
    <w:qFormat/>
    <w:uiPriority w:val="0"/>
    <w:pPr>
      <w:widowControl/>
      <w:spacing w:before="100" w:beforeAutospacing="1" w:after="100" w:afterAutospacing="1"/>
      <w:jc w:val="left"/>
      <w:textAlignment w:val="center"/>
    </w:pPr>
    <w:rPr>
      <w:rFonts w:hAnsi="宋体" w:cs="宋体"/>
      <w:color w:val="C0C0C0"/>
      <w:sz w:val="20"/>
    </w:rPr>
  </w:style>
  <w:style w:type="paragraph" w:customStyle="1" w:styleId="299">
    <w:name w:val="默认段落字体 Para Char Char Char Char Char Char Char"/>
    <w:basedOn w:val="15"/>
    <w:qFormat/>
    <w:uiPriority w:val="0"/>
    <w:rPr>
      <w:rFonts w:ascii="Tahoma" w:hAnsi="Tahoma"/>
      <w:sz w:val="24"/>
    </w:rPr>
  </w:style>
  <w:style w:type="paragraph" w:customStyle="1" w:styleId="300">
    <w:name w:val="Plain Text1"/>
    <w:basedOn w:val="1"/>
    <w:qFormat/>
    <w:uiPriority w:val="0"/>
    <w:pPr>
      <w:adjustRightInd w:val="0"/>
      <w:textAlignment w:val="baseline"/>
    </w:pPr>
    <w:rPr>
      <w:rFonts w:hAnsi="Courier New"/>
    </w:rPr>
  </w:style>
  <w:style w:type="paragraph" w:customStyle="1" w:styleId="301">
    <w:name w:val="Char Char Char Char"/>
    <w:basedOn w:val="1"/>
    <w:qFormat/>
    <w:uiPriority w:val="0"/>
    <w:pPr>
      <w:widowControl/>
      <w:spacing w:before="100" w:beforeAutospacing="1" w:after="100" w:afterAutospacing="1" w:line="360" w:lineRule="auto"/>
      <w:jc w:val="left"/>
    </w:pPr>
    <w:rPr>
      <w:rFonts w:ascii="Verdana" w:hAnsi="Verdana"/>
      <w:sz w:val="20"/>
      <w:szCs w:val="21"/>
      <w:lang w:eastAsia="en-US"/>
    </w:rPr>
  </w:style>
  <w:style w:type="paragraph" w:customStyle="1" w:styleId="302">
    <w:name w:val="xl150"/>
    <w:basedOn w:val="1"/>
    <w:qFormat/>
    <w:uiPriority w:val="0"/>
    <w:pPr>
      <w:widowControl/>
      <w:spacing w:before="100" w:beforeAutospacing="1" w:after="100" w:afterAutospacing="1"/>
      <w:jc w:val="left"/>
    </w:pPr>
    <w:rPr>
      <w:rFonts w:hAnsi="宋体" w:cs="宋体"/>
      <w:color w:val="FF0000"/>
      <w:sz w:val="20"/>
    </w:rPr>
  </w:style>
  <w:style w:type="paragraph" w:customStyle="1" w:styleId="303">
    <w:name w:val="xl176"/>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pPr>
    <w:rPr>
      <w:rFonts w:hAnsi="宋体" w:cs="宋体"/>
      <w:color w:val="FF0000"/>
      <w:sz w:val="20"/>
    </w:rPr>
  </w:style>
  <w:style w:type="paragraph" w:customStyle="1" w:styleId="304">
    <w:name w:val="font10"/>
    <w:basedOn w:val="1"/>
    <w:qFormat/>
    <w:uiPriority w:val="0"/>
    <w:pPr>
      <w:widowControl/>
      <w:spacing w:before="100" w:beforeAutospacing="1" w:after="100" w:afterAutospacing="1"/>
      <w:jc w:val="left"/>
    </w:pPr>
    <w:rPr>
      <w:sz w:val="20"/>
    </w:rPr>
  </w:style>
  <w:style w:type="paragraph" w:customStyle="1" w:styleId="305">
    <w:name w:val="xl18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color w:val="FF0000"/>
      <w:sz w:val="20"/>
    </w:rPr>
  </w:style>
  <w:style w:type="paragraph" w:customStyle="1" w:styleId="30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30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b/>
      <w:bCs/>
      <w:sz w:val="20"/>
    </w:rPr>
  </w:style>
  <w:style w:type="paragraph" w:customStyle="1" w:styleId="308">
    <w:name w:val="xl19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sz w:val="20"/>
    </w:rPr>
  </w:style>
  <w:style w:type="paragraph" w:customStyle="1" w:styleId="309">
    <w:name w:val="xl204"/>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hAnsi="宋体" w:cs="宋体"/>
      <w:sz w:val="20"/>
    </w:rPr>
  </w:style>
  <w:style w:type="paragraph" w:customStyle="1" w:styleId="31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311">
    <w:name w:val="et93"/>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312">
    <w:name w:val="xl95"/>
    <w:basedOn w:val="1"/>
    <w:qFormat/>
    <w:uiPriority w:val="0"/>
    <w:pPr>
      <w:widowControl/>
      <w:pBdr>
        <w:bottom w:val="single" w:color="auto" w:sz="4" w:space="0"/>
      </w:pBdr>
      <w:spacing w:before="100" w:beforeAutospacing="1" w:after="100" w:afterAutospacing="1"/>
      <w:jc w:val="center"/>
    </w:pPr>
    <w:rPr>
      <w:rFonts w:hAnsi="宋体" w:cs="宋体"/>
      <w:sz w:val="20"/>
    </w:rPr>
  </w:style>
  <w:style w:type="paragraph" w:customStyle="1" w:styleId="313">
    <w:name w:val="p16"/>
    <w:basedOn w:val="1"/>
    <w:qFormat/>
    <w:uiPriority w:val="0"/>
    <w:pPr>
      <w:widowControl/>
    </w:pPr>
    <w:rPr>
      <w:szCs w:val="21"/>
    </w:rPr>
  </w:style>
  <w:style w:type="paragraph" w:customStyle="1" w:styleId="314">
    <w:name w:val="xl125"/>
    <w:basedOn w:val="1"/>
    <w:qFormat/>
    <w:uiPriority w:val="0"/>
    <w:pPr>
      <w:widowControl/>
      <w:spacing w:before="100" w:beforeAutospacing="1" w:after="100" w:afterAutospacing="1"/>
      <w:jc w:val="left"/>
      <w:textAlignment w:val="center"/>
    </w:pPr>
    <w:rPr>
      <w:rFonts w:hAnsi="宋体" w:cs="宋体"/>
      <w:color w:val="C0C0C0"/>
      <w:sz w:val="20"/>
    </w:rPr>
  </w:style>
  <w:style w:type="paragraph" w:customStyle="1" w:styleId="315">
    <w:name w:val="xl193"/>
    <w:basedOn w:val="1"/>
    <w:qFormat/>
    <w:uiPriority w:val="0"/>
    <w:pPr>
      <w:widowControl/>
      <w:pBdr>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16">
    <w:name w:val="et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17">
    <w:name w:val="font3"/>
    <w:basedOn w:val="1"/>
    <w:qFormat/>
    <w:uiPriority w:val="0"/>
    <w:pPr>
      <w:widowControl/>
      <w:spacing w:before="100" w:beforeAutospacing="1" w:after="100" w:afterAutospacing="1"/>
      <w:jc w:val="left"/>
    </w:pPr>
    <w:rPr>
      <w:rFonts w:ascii="Calibri" w:cs="宋体"/>
      <w:color w:val="000000"/>
      <w:sz w:val="21"/>
      <w:szCs w:val="21"/>
    </w:rPr>
  </w:style>
  <w:style w:type="paragraph" w:customStyle="1" w:styleId="318">
    <w:name w:val="xl20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sz w:val="20"/>
    </w:rPr>
  </w:style>
  <w:style w:type="paragraph" w:customStyle="1" w:styleId="319">
    <w:name w:val="msonormalcxspmiddle"/>
    <w:basedOn w:val="1"/>
    <w:qFormat/>
    <w:uiPriority w:val="0"/>
    <w:pPr>
      <w:widowControl/>
      <w:spacing w:before="100" w:beforeAutospacing="1" w:after="100" w:afterAutospacing="1"/>
      <w:jc w:val="left"/>
    </w:pPr>
    <w:rPr>
      <w:rFonts w:hint="eastAsia" w:hAnsi="宋体" w:cs="宋体"/>
      <w:sz w:val="24"/>
      <w:szCs w:val="24"/>
    </w:rPr>
  </w:style>
  <w:style w:type="paragraph" w:customStyle="1" w:styleId="320">
    <w:name w:val="xl151"/>
    <w:basedOn w:val="1"/>
    <w:qFormat/>
    <w:uiPriority w:val="0"/>
    <w:pPr>
      <w:widowControl/>
      <w:pBdr>
        <w:bottom w:val="single" w:color="auto" w:sz="4" w:space="0"/>
      </w:pBdr>
      <w:shd w:val="clear" w:color="auto" w:fill="FFFF99"/>
      <w:spacing w:before="100" w:beforeAutospacing="1" w:after="100" w:afterAutospacing="1"/>
      <w:jc w:val="left"/>
    </w:pPr>
    <w:rPr>
      <w:rFonts w:hAnsi="宋体" w:cs="宋体"/>
      <w:b/>
      <w:bCs/>
      <w:color w:val="FF0000"/>
      <w:sz w:val="20"/>
    </w:rPr>
  </w:style>
  <w:style w:type="paragraph" w:customStyle="1" w:styleId="321">
    <w:name w:val="et7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22">
    <w:name w:val="xl1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323">
    <w:name w:val="et2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24">
    <w:name w:val="et2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2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sz w:val="20"/>
    </w:rPr>
  </w:style>
  <w:style w:type="paragraph" w:customStyle="1" w:styleId="326">
    <w:name w:val="xl164"/>
    <w:basedOn w:val="1"/>
    <w:qFormat/>
    <w:uiPriority w:val="0"/>
    <w:pPr>
      <w:widowControl/>
      <w:spacing w:before="100" w:beforeAutospacing="1" w:after="100" w:afterAutospacing="1"/>
      <w:jc w:val="left"/>
    </w:pPr>
    <w:rPr>
      <w:rFonts w:hAnsi="宋体" w:cs="宋体"/>
      <w:sz w:val="24"/>
    </w:rPr>
  </w:style>
  <w:style w:type="paragraph" w:customStyle="1" w:styleId="32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328">
    <w:name w:val="xl102"/>
    <w:basedOn w:val="1"/>
    <w:qFormat/>
    <w:uiPriority w:val="0"/>
    <w:pPr>
      <w:widowControl/>
      <w:pBdr>
        <w:bottom w:val="single" w:color="auto" w:sz="4" w:space="0"/>
      </w:pBdr>
      <w:spacing w:before="100" w:beforeAutospacing="1" w:after="100" w:afterAutospacing="1"/>
      <w:jc w:val="left"/>
    </w:pPr>
    <w:rPr>
      <w:rFonts w:hAnsi="宋体" w:cs="宋体"/>
      <w:sz w:val="20"/>
    </w:rPr>
  </w:style>
  <w:style w:type="paragraph" w:customStyle="1" w:styleId="329">
    <w:name w:val="Char Char Char"/>
    <w:basedOn w:val="1"/>
    <w:qFormat/>
    <w:uiPriority w:val="0"/>
    <w:pPr>
      <w:widowControl/>
      <w:spacing w:after="160" w:line="240" w:lineRule="exact"/>
      <w:jc w:val="left"/>
    </w:pPr>
    <w:rPr>
      <w:rFonts w:ascii="Verdana" w:hAnsi="Verdana"/>
      <w:sz w:val="20"/>
      <w:lang w:eastAsia="en-US"/>
    </w:rPr>
  </w:style>
  <w:style w:type="paragraph" w:customStyle="1" w:styleId="330">
    <w:name w:val="et6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31">
    <w:name w:val="et28"/>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32">
    <w:name w:val="et54"/>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333">
    <w:name w:val="xl11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sz w:val="20"/>
    </w:rPr>
  </w:style>
  <w:style w:type="paragraph" w:customStyle="1" w:styleId="334">
    <w:name w:val="xl153"/>
    <w:basedOn w:val="1"/>
    <w:qFormat/>
    <w:uiPriority w:val="0"/>
    <w:pPr>
      <w:widowControl/>
      <w:spacing w:before="100" w:beforeAutospacing="1" w:after="100" w:afterAutospacing="1"/>
      <w:jc w:val="left"/>
      <w:textAlignment w:val="center"/>
    </w:pPr>
    <w:rPr>
      <w:rFonts w:hAnsi="宋体" w:cs="宋体"/>
      <w:sz w:val="24"/>
    </w:rPr>
  </w:style>
  <w:style w:type="paragraph" w:customStyle="1" w:styleId="335">
    <w:name w:val="et5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36">
    <w:name w:val="xl206"/>
    <w:basedOn w:val="1"/>
    <w:qFormat/>
    <w:uiPriority w:val="0"/>
    <w:pPr>
      <w:widowControl/>
      <w:pBdr>
        <w:top w:val="single" w:color="auto" w:sz="4" w:space="0"/>
        <w:bottom w:val="single" w:color="auto" w:sz="4" w:space="0"/>
      </w:pBdr>
      <w:spacing w:before="100" w:beforeAutospacing="1" w:after="100" w:afterAutospacing="1"/>
      <w:jc w:val="left"/>
    </w:pPr>
    <w:rPr>
      <w:rFonts w:hAnsi="宋体" w:cs="宋体"/>
      <w:b/>
      <w:bCs/>
      <w:sz w:val="20"/>
    </w:rPr>
  </w:style>
  <w:style w:type="paragraph" w:customStyle="1" w:styleId="337">
    <w:name w:val="Char Char Char Char Char Char Char Char Char Char Char Char1 Char Char Char Char Char Char1 Char Char Char Char Char Char Char Char Char Char"/>
    <w:basedOn w:val="1"/>
    <w:qFormat/>
    <w:uiPriority w:val="0"/>
    <w:rPr>
      <w:rFonts w:ascii="Tahoma" w:hAnsi="Tahoma" w:cs="仿宋_GB2312"/>
      <w:sz w:val="24"/>
    </w:rPr>
  </w:style>
  <w:style w:type="paragraph" w:customStyle="1" w:styleId="338">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sz w:val="20"/>
    </w:rPr>
  </w:style>
  <w:style w:type="paragraph" w:customStyle="1" w:styleId="339">
    <w:name w:val="font15"/>
    <w:basedOn w:val="1"/>
    <w:qFormat/>
    <w:uiPriority w:val="0"/>
    <w:pPr>
      <w:widowControl/>
      <w:spacing w:before="100" w:beforeAutospacing="1" w:after="100" w:afterAutospacing="1"/>
      <w:jc w:val="left"/>
    </w:pPr>
    <w:rPr>
      <w:rFonts w:hAnsi="宋体" w:cs="宋体"/>
      <w:sz w:val="24"/>
    </w:rPr>
  </w:style>
  <w:style w:type="paragraph" w:customStyle="1" w:styleId="340">
    <w:name w:val="xl14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hAnsi="宋体" w:cs="宋体"/>
      <w:color w:val="FF0000"/>
      <w:sz w:val="20"/>
    </w:rPr>
  </w:style>
  <w:style w:type="paragraph" w:customStyle="1" w:styleId="341">
    <w:name w:val="Char Char Char Char Char Char1 Char"/>
    <w:basedOn w:val="15"/>
    <w:qFormat/>
    <w:uiPriority w:val="0"/>
    <w:rPr>
      <w:rFonts w:ascii="Tahoma" w:hAnsi="Tahoma"/>
      <w:sz w:val="24"/>
    </w:rPr>
  </w:style>
  <w:style w:type="paragraph" w:customStyle="1" w:styleId="342">
    <w:name w:val="font21"/>
    <w:basedOn w:val="1"/>
    <w:qFormat/>
    <w:uiPriority w:val="0"/>
    <w:pPr>
      <w:widowControl/>
      <w:spacing w:before="100" w:beforeAutospacing="1" w:after="100" w:afterAutospacing="1"/>
      <w:jc w:val="left"/>
    </w:pPr>
    <w:rPr>
      <w:rFonts w:hAnsi="宋体" w:cs="宋体"/>
      <w:color w:val="000000"/>
      <w:sz w:val="24"/>
    </w:rPr>
  </w:style>
  <w:style w:type="paragraph" w:customStyle="1" w:styleId="34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color w:val="FF0000"/>
      <w:sz w:val="20"/>
    </w:rPr>
  </w:style>
  <w:style w:type="paragraph" w:customStyle="1" w:styleId="344">
    <w:name w:val="xl11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b/>
      <w:bCs/>
      <w:sz w:val="20"/>
    </w:rPr>
  </w:style>
  <w:style w:type="paragraph" w:customStyle="1" w:styleId="345">
    <w:name w:val="xl111"/>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center"/>
    </w:pPr>
    <w:rPr>
      <w:color w:val="FF0000"/>
      <w:sz w:val="20"/>
    </w:rPr>
  </w:style>
  <w:style w:type="paragraph" w:customStyle="1" w:styleId="346">
    <w:name w:val="font14"/>
    <w:basedOn w:val="1"/>
    <w:qFormat/>
    <w:uiPriority w:val="0"/>
    <w:pPr>
      <w:widowControl/>
      <w:spacing w:before="100" w:beforeAutospacing="1" w:after="100" w:afterAutospacing="1"/>
      <w:jc w:val="left"/>
    </w:pPr>
    <w:rPr>
      <w:rFonts w:hAnsi="宋体" w:cs="宋体"/>
      <w:b/>
      <w:bCs/>
      <w:color w:val="000000"/>
      <w:sz w:val="24"/>
    </w:rPr>
  </w:style>
  <w:style w:type="paragraph" w:customStyle="1" w:styleId="347">
    <w:name w:val="et7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4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000000"/>
      <w:sz w:val="20"/>
    </w:rPr>
  </w:style>
  <w:style w:type="paragraph" w:customStyle="1" w:styleId="349">
    <w:name w:val="et1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0">
    <w:name w:val="font28"/>
    <w:basedOn w:val="1"/>
    <w:qFormat/>
    <w:uiPriority w:val="0"/>
    <w:pPr>
      <w:widowControl/>
      <w:spacing w:before="100" w:beforeAutospacing="1" w:after="100" w:afterAutospacing="1"/>
      <w:jc w:val="left"/>
    </w:pPr>
    <w:rPr>
      <w:rFonts w:hAnsi="宋体" w:cs="宋体"/>
      <w:b/>
      <w:bCs/>
      <w:sz w:val="24"/>
    </w:rPr>
  </w:style>
  <w:style w:type="paragraph" w:customStyle="1" w:styleId="351">
    <w:name w:val="font12"/>
    <w:basedOn w:val="1"/>
    <w:qFormat/>
    <w:uiPriority w:val="0"/>
    <w:pPr>
      <w:widowControl/>
      <w:spacing w:before="100" w:beforeAutospacing="1" w:after="100" w:afterAutospacing="1"/>
      <w:jc w:val="left"/>
    </w:pPr>
    <w:rPr>
      <w:color w:val="FF0000"/>
      <w:sz w:val="20"/>
    </w:rPr>
  </w:style>
  <w:style w:type="paragraph" w:customStyle="1" w:styleId="352">
    <w:name w:val="et6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3">
    <w:name w:val="xl17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color w:val="FF0000"/>
      <w:sz w:val="20"/>
    </w:rPr>
  </w:style>
  <w:style w:type="paragraph" w:customStyle="1" w:styleId="354">
    <w:name w:val="xl1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Ansi="宋体" w:cs="宋体"/>
      <w:color w:val="FF0000"/>
      <w:sz w:val="20"/>
    </w:rPr>
  </w:style>
  <w:style w:type="paragraph" w:customStyle="1" w:styleId="355">
    <w:name w:val="et4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6">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0000"/>
      <w:sz w:val="20"/>
    </w:rPr>
  </w:style>
  <w:style w:type="paragraph" w:customStyle="1" w:styleId="357">
    <w:name w:val="et79"/>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58">
    <w:name w:val="xl91"/>
    <w:basedOn w:val="1"/>
    <w:qFormat/>
    <w:uiPriority w:val="0"/>
    <w:pPr>
      <w:widowControl/>
      <w:pBdr>
        <w:top w:val="single" w:color="auto" w:sz="4" w:space="0"/>
      </w:pBdr>
      <w:spacing w:before="100" w:beforeAutospacing="1" w:after="100" w:afterAutospacing="1"/>
      <w:jc w:val="left"/>
    </w:pPr>
    <w:rPr>
      <w:rFonts w:hAnsi="宋体" w:cs="宋体"/>
      <w:sz w:val="20"/>
    </w:rPr>
  </w:style>
  <w:style w:type="paragraph" w:customStyle="1" w:styleId="359">
    <w:name w:val="xl1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b/>
      <w:bCs/>
      <w:color w:val="C0C0C0"/>
      <w:sz w:val="20"/>
    </w:rPr>
  </w:style>
  <w:style w:type="paragraph" w:customStyle="1" w:styleId="360">
    <w:name w:val="font9"/>
    <w:basedOn w:val="1"/>
    <w:qFormat/>
    <w:uiPriority w:val="0"/>
    <w:pPr>
      <w:widowControl/>
      <w:spacing w:before="100" w:beforeAutospacing="1" w:after="100" w:afterAutospacing="1"/>
      <w:jc w:val="left"/>
    </w:pPr>
    <w:rPr>
      <w:rFonts w:hAnsi="宋体" w:cs="宋体"/>
      <w:sz w:val="20"/>
    </w:rPr>
  </w:style>
  <w:style w:type="paragraph" w:customStyle="1" w:styleId="361">
    <w:name w:val="xl90"/>
    <w:basedOn w:val="1"/>
    <w:qFormat/>
    <w:uiPriority w:val="0"/>
    <w:pPr>
      <w:widowControl/>
      <w:pBdr>
        <w:top w:val="single" w:color="auto" w:sz="4" w:space="0"/>
      </w:pBdr>
      <w:spacing w:before="100" w:beforeAutospacing="1" w:after="100" w:afterAutospacing="1"/>
      <w:jc w:val="center"/>
    </w:pPr>
    <w:rPr>
      <w:rFonts w:hAnsi="宋体" w:cs="宋体"/>
      <w:sz w:val="20"/>
    </w:rPr>
  </w:style>
  <w:style w:type="paragraph" w:customStyle="1" w:styleId="362">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363">
    <w:name w:val="font20"/>
    <w:basedOn w:val="1"/>
    <w:qFormat/>
    <w:uiPriority w:val="0"/>
    <w:pPr>
      <w:widowControl/>
      <w:spacing w:before="100" w:beforeAutospacing="1" w:after="100" w:afterAutospacing="1"/>
      <w:jc w:val="left"/>
    </w:pPr>
    <w:rPr>
      <w:rFonts w:hAnsi="宋体" w:cs="宋体"/>
      <w:color w:val="000000"/>
      <w:sz w:val="24"/>
    </w:rPr>
  </w:style>
  <w:style w:type="paragraph" w:customStyle="1" w:styleId="364">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rPr>
  </w:style>
  <w:style w:type="paragraph" w:customStyle="1" w:styleId="365">
    <w:name w:val="xl8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66">
    <w:name w:val="et49"/>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36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368">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C0C0C0"/>
      <w:sz w:val="20"/>
    </w:rPr>
  </w:style>
  <w:style w:type="paragraph" w:customStyle="1" w:styleId="369">
    <w:name w:val="et8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70">
    <w:name w:val="xl110"/>
    <w:basedOn w:val="1"/>
    <w:qFormat/>
    <w:uiPriority w:val="0"/>
    <w:pPr>
      <w:widowControl/>
      <w:pBdr>
        <w:bottom w:val="single" w:color="auto" w:sz="8" w:space="0"/>
        <w:right w:val="single" w:color="auto" w:sz="8" w:space="0"/>
      </w:pBdr>
      <w:spacing w:before="100" w:beforeAutospacing="1" w:after="100" w:afterAutospacing="1"/>
      <w:jc w:val="left"/>
      <w:textAlignment w:val="center"/>
    </w:pPr>
    <w:rPr>
      <w:color w:val="FF0000"/>
      <w:sz w:val="20"/>
    </w:rPr>
  </w:style>
  <w:style w:type="paragraph" w:customStyle="1" w:styleId="371">
    <w:name w:val="默认段落字体 Para Char Char Char Char"/>
    <w:basedOn w:val="1"/>
    <w:qFormat/>
    <w:uiPriority w:val="0"/>
  </w:style>
  <w:style w:type="paragraph" w:customStyle="1" w:styleId="372">
    <w:name w:val="_Style 4"/>
    <w:basedOn w:val="1"/>
    <w:qFormat/>
    <w:uiPriority w:val="0"/>
  </w:style>
  <w:style w:type="paragraph" w:customStyle="1" w:styleId="373">
    <w:name w:val="font24"/>
    <w:basedOn w:val="1"/>
    <w:qFormat/>
    <w:uiPriority w:val="0"/>
    <w:pPr>
      <w:widowControl/>
      <w:spacing w:before="100" w:beforeAutospacing="1" w:after="100" w:afterAutospacing="1"/>
      <w:jc w:val="left"/>
    </w:pPr>
    <w:rPr>
      <w:rFonts w:hAnsi="宋体" w:cs="宋体"/>
      <w:b/>
      <w:bCs/>
      <w:sz w:val="24"/>
    </w:rPr>
  </w:style>
  <w:style w:type="paragraph" w:customStyle="1" w:styleId="374">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375">
    <w:name w:val="et3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76">
    <w:name w:val="table head"/>
    <w:basedOn w:val="1"/>
    <w:qFormat/>
    <w:uiPriority w:val="0"/>
    <w:pPr>
      <w:keepNext/>
      <w:keepLines/>
      <w:adjustRightInd w:val="0"/>
      <w:spacing w:line="312" w:lineRule="atLeast"/>
      <w:jc w:val="center"/>
      <w:textAlignment w:val="baseline"/>
    </w:pPr>
    <w:rPr>
      <w:b/>
    </w:rPr>
  </w:style>
  <w:style w:type="paragraph" w:customStyle="1" w:styleId="377">
    <w:name w:val="font0"/>
    <w:basedOn w:val="1"/>
    <w:qFormat/>
    <w:uiPriority w:val="0"/>
    <w:pPr>
      <w:widowControl/>
      <w:spacing w:before="100" w:beforeAutospacing="1" w:after="100" w:afterAutospacing="1"/>
      <w:jc w:val="left"/>
    </w:pPr>
    <w:rPr>
      <w:rFonts w:hAnsi="宋体" w:cs="宋体"/>
      <w:sz w:val="24"/>
    </w:rPr>
  </w:style>
  <w:style w:type="paragraph" w:customStyle="1" w:styleId="378">
    <w:name w:val="正文缩进1"/>
    <w:basedOn w:val="1"/>
    <w:next w:val="1"/>
    <w:qFormat/>
    <w:uiPriority w:val="0"/>
    <w:pPr>
      <w:widowControl/>
      <w:ind w:firstLine="420"/>
    </w:pPr>
    <w:rPr>
      <w:color w:val="000000"/>
    </w:rPr>
  </w:style>
  <w:style w:type="paragraph" w:customStyle="1" w:styleId="379">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sz w:val="20"/>
    </w:rPr>
  </w:style>
  <w:style w:type="paragraph" w:customStyle="1" w:styleId="380">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381">
    <w:name w:val="xl195"/>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b/>
      <w:bCs/>
      <w:sz w:val="20"/>
    </w:rPr>
  </w:style>
  <w:style w:type="paragraph" w:customStyle="1" w:styleId="382">
    <w:name w:val="et8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3">
    <w:name w:val="et24"/>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4">
    <w:name w:val="et1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C0C0C0"/>
      <w:sz w:val="20"/>
    </w:rPr>
  </w:style>
  <w:style w:type="paragraph" w:customStyle="1" w:styleId="386">
    <w:name w:val="et3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387">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388">
    <w:name w:val="xl18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Ansi="宋体" w:cs="宋体"/>
      <w:color w:val="FF0000"/>
      <w:sz w:val="20"/>
    </w:rPr>
  </w:style>
  <w:style w:type="paragraph" w:customStyle="1" w:styleId="389">
    <w:name w:val="Char Char1 Char Char Char Char Char Char Char"/>
    <w:basedOn w:val="1"/>
    <w:qFormat/>
    <w:uiPriority w:val="0"/>
    <w:rPr>
      <w:rFonts w:ascii="Calibri"/>
    </w:rPr>
  </w:style>
  <w:style w:type="paragraph" w:customStyle="1" w:styleId="390">
    <w:name w:val="et84"/>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391">
    <w:name w:val="xl67"/>
    <w:basedOn w:val="1"/>
    <w:qFormat/>
    <w:uiPriority w:val="0"/>
    <w:pPr>
      <w:widowControl/>
      <w:spacing w:before="100" w:beforeAutospacing="1" w:after="100" w:afterAutospacing="1"/>
      <w:jc w:val="left"/>
    </w:pPr>
    <w:rPr>
      <w:rFonts w:hAnsi="宋体" w:cs="宋体"/>
      <w:sz w:val="20"/>
    </w:rPr>
  </w:style>
  <w:style w:type="paragraph" w:customStyle="1" w:styleId="392">
    <w:name w:val="xl16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393">
    <w:name w:val="总标题"/>
    <w:basedOn w:val="1"/>
    <w:qFormat/>
    <w:uiPriority w:val="0"/>
    <w:pPr>
      <w:spacing w:beforeLines="50" w:afterLines="50" w:line="360" w:lineRule="auto"/>
      <w:ind w:firstLine="200" w:firstLineChars="200"/>
      <w:jc w:val="center"/>
    </w:pPr>
    <w:rPr>
      <w:rFonts w:eastAsia="黑体"/>
      <w:b/>
      <w:sz w:val="44"/>
    </w:rPr>
  </w:style>
  <w:style w:type="paragraph" w:customStyle="1" w:styleId="394">
    <w:name w:val="样式2"/>
    <w:basedOn w:val="1"/>
    <w:qFormat/>
    <w:uiPriority w:val="0"/>
    <w:pPr>
      <w:adjustRightInd w:val="0"/>
      <w:spacing w:line="410" w:lineRule="atLeast"/>
      <w:textAlignment w:val="baseline"/>
    </w:pPr>
    <w:rPr>
      <w:sz w:val="24"/>
    </w:rPr>
  </w:style>
  <w:style w:type="paragraph" w:customStyle="1" w:styleId="39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96">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397">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C0C0C0"/>
      <w:sz w:val="20"/>
    </w:rPr>
  </w:style>
  <w:style w:type="paragraph" w:customStyle="1" w:styleId="398">
    <w:name w:val="xl126"/>
    <w:basedOn w:val="1"/>
    <w:qFormat/>
    <w:uiPriority w:val="0"/>
    <w:pPr>
      <w:widowControl/>
      <w:spacing w:before="100" w:beforeAutospacing="1" w:after="100" w:afterAutospacing="1"/>
      <w:jc w:val="center"/>
    </w:pPr>
    <w:rPr>
      <w:rFonts w:hAnsi="宋体" w:cs="宋体"/>
      <w:color w:val="C0C0C0"/>
      <w:sz w:val="20"/>
    </w:rPr>
  </w:style>
  <w:style w:type="paragraph" w:customStyle="1" w:styleId="399">
    <w:name w:val="et6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00">
    <w:name w:val="font16"/>
    <w:basedOn w:val="1"/>
    <w:qFormat/>
    <w:uiPriority w:val="0"/>
    <w:pPr>
      <w:widowControl/>
      <w:spacing w:before="100" w:beforeAutospacing="1" w:after="100" w:afterAutospacing="1"/>
      <w:jc w:val="left"/>
    </w:pPr>
    <w:rPr>
      <w:rFonts w:hAnsi="宋体" w:cs="宋体"/>
      <w:color w:val="FF0000"/>
      <w:sz w:val="24"/>
    </w:rPr>
  </w:style>
  <w:style w:type="paragraph" w:customStyle="1" w:styleId="401">
    <w:name w:val="font23"/>
    <w:basedOn w:val="1"/>
    <w:qFormat/>
    <w:uiPriority w:val="0"/>
    <w:pPr>
      <w:widowControl/>
      <w:spacing w:before="100" w:beforeAutospacing="1" w:after="100" w:afterAutospacing="1"/>
      <w:jc w:val="left"/>
    </w:pPr>
    <w:rPr>
      <w:rFonts w:hAnsi="宋体" w:cs="宋体"/>
      <w:sz w:val="24"/>
    </w:rPr>
  </w:style>
  <w:style w:type="paragraph" w:customStyle="1" w:styleId="402">
    <w:name w:val="et48"/>
    <w:basedOn w:val="1"/>
    <w:qFormat/>
    <w:uiPriority w:val="0"/>
    <w:pPr>
      <w:widowControl/>
      <w:spacing w:before="100" w:beforeAutospacing="1" w:after="100" w:afterAutospacing="1"/>
      <w:jc w:val="left"/>
      <w:textAlignment w:val="center"/>
    </w:pPr>
    <w:rPr>
      <w:rFonts w:ascii="Calibri" w:cs="宋体"/>
      <w:color w:val="000000"/>
      <w:sz w:val="22"/>
      <w:szCs w:val="22"/>
    </w:rPr>
  </w:style>
  <w:style w:type="paragraph" w:customStyle="1" w:styleId="403">
    <w:name w:val="xl40"/>
    <w:basedOn w:val="1"/>
    <w:qFormat/>
    <w:uiPriority w:val="0"/>
    <w:pPr>
      <w:widowControl/>
      <w:pBdr>
        <w:left w:val="single" w:color="auto" w:sz="4" w:space="0"/>
        <w:right w:val="single" w:color="auto" w:sz="4" w:space="0"/>
      </w:pBdr>
      <w:spacing w:before="100" w:beforeAutospacing="1" w:after="100" w:afterAutospacing="1"/>
      <w:jc w:val="center"/>
    </w:pPr>
    <w:rPr>
      <w:rFonts w:hAnsi="宋体"/>
      <w:sz w:val="24"/>
    </w:rPr>
  </w:style>
  <w:style w:type="paragraph" w:customStyle="1" w:styleId="404">
    <w:name w:val="默认段落字体 Para Char Char Char1 Char"/>
    <w:basedOn w:val="1"/>
    <w:next w:val="1"/>
    <w:qFormat/>
    <w:uiPriority w:val="0"/>
    <w:pPr>
      <w:spacing w:line="240" w:lineRule="atLeast"/>
      <w:ind w:left="420" w:firstLine="420"/>
      <w:jc w:val="left"/>
    </w:pPr>
    <w:rPr>
      <w:szCs w:val="21"/>
    </w:rPr>
  </w:style>
  <w:style w:type="paragraph" w:customStyle="1" w:styleId="405">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b/>
      <w:bCs/>
      <w:color w:val="0000FF"/>
      <w:sz w:val="20"/>
    </w:rPr>
  </w:style>
  <w:style w:type="paragraph" w:customStyle="1" w:styleId="406">
    <w:name w:val="font22"/>
    <w:basedOn w:val="1"/>
    <w:qFormat/>
    <w:uiPriority w:val="0"/>
    <w:pPr>
      <w:widowControl/>
      <w:spacing w:before="100" w:beforeAutospacing="1" w:after="100" w:afterAutospacing="1"/>
      <w:jc w:val="left"/>
    </w:pPr>
    <w:rPr>
      <w:rFonts w:hAnsi="宋体" w:cs="宋体"/>
      <w:color w:val="000000"/>
      <w:sz w:val="24"/>
    </w:rPr>
  </w:style>
  <w:style w:type="paragraph" w:customStyle="1" w:styleId="407">
    <w:name w:val="xl68"/>
    <w:basedOn w:val="1"/>
    <w:qFormat/>
    <w:uiPriority w:val="0"/>
    <w:pPr>
      <w:widowControl/>
      <w:spacing w:before="100" w:beforeAutospacing="1" w:after="100" w:afterAutospacing="1"/>
      <w:jc w:val="left"/>
    </w:pPr>
    <w:rPr>
      <w:rFonts w:hAnsi="宋体" w:cs="宋体"/>
      <w:sz w:val="20"/>
    </w:rPr>
  </w:style>
  <w:style w:type="paragraph" w:customStyle="1" w:styleId="408">
    <w:name w:val="et5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09">
    <w:name w:val="xl19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Ansi="宋体" w:cs="宋体"/>
      <w:sz w:val="20"/>
    </w:rPr>
  </w:style>
  <w:style w:type="paragraph" w:customStyle="1" w:styleId="410">
    <w:name w:val="et87"/>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1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12">
    <w:name w:val="xl135"/>
    <w:basedOn w:val="1"/>
    <w:qFormat/>
    <w:uiPriority w:val="0"/>
    <w:pPr>
      <w:widowControl/>
      <w:spacing w:before="100" w:beforeAutospacing="1" w:after="100" w:afterAutospacing="1"/>
      <w:jc w:val="center"/>
      <w:textAlignment w:val="center"/>
    </w:pPr>
    <w:rPr>
      <w:rFonts w:hAnsi="宋体" w:cs="宋体"/>
      <w:color w:val="C0C0C0"/>
      <w:sz w:val="20"/>
    </w:rPr>
  </w:style>
  <w:style w:type="paragraph" w:customStyle="1" w:styleId="413">
    <w:name w:val="font19"/>
    <w:basedOn w:val="1"/>
    <w:qFormat/>
    <w:uiPriority w:val="0"/>
    <w:pPr>
      <w:widowControl/>
      <w:spacing w:before="100" w:beforeAutospacing="1" w:after="100" w:afterAutospacing="1"/>
      <w:jc w:val="left"/>
    </w:pPr>
    <w:rPr>
      <w:rFonts w:hAnsi="宋体" w:cs="宋体"/>
      <w:color w:val="000000"/>
      <w:sz w:val="24"/>
    </w:rPr>
  </w:style>
  <w:style w:type="paragraph" w:customStyle="1" w:styleId="414">
    <w:name w:val="xl152"/>
    <w:basedOn w:val="1"/>
    <w:qFormat/>
    <w:uiPriority w:val="0"/>
    <w:pPr>
      <w:widowControl/>
      <w:spacing w:before="100" w:beforeAutospacing="1" w:after="100" w:afterAutospacing="1"/>
      <w:jc w:val="left"/>
      <w:textAlignment w:val="center"/>
    </w:pPr>
    <w:rPr>
      <w:rFonts w:hAnsi="宋体" w:cs="宋体"/>
      <w:color w:val="FF0000"/>
      <w:sz w:val="20"/>
    </w:rPr>
  </w:style>
  <w:style w:type="paragraph" w:customStyle="1" w:styleId="415">
    <w:name w:val="et6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16">
    <w:name w:val="Char Char1 Char Char Char Char Char Char Char Char Char Char Char Char Char Char Char"/>
    <w:basedOn w:val="1"/>
    <w:qFormat/>
    <w:uiPriority w:val="0"/>
    <w:pPr>
      <w:widowControl/>
      <w:spacing w:after="160" w:line="240" w:lineRule="exact"/>
      <w:jc w:val="left"/>
    </w:pPr>
    <w:rPr>
      <w:rFonts w:ascii="Verdana" w:hAnsi="Verdana"/>
      <w:sz w:val="20"/>
      <w:lang w:eastAsia="en-US"/>
    </w:rPr>
  </w:style>
  <w:style w:type="paragraph" w:customStyle="1" w:styleId="41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sz w:val="24"/>
    </w:rPr>
  </w:style>
  <w:style w:type="paragraph" w:customStyle="1" w:styleId="418">
    <w:name w:val="et8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19">
    <w:name w:val="xl192"/>
    <w:basedOn w:val="1"/>
    <w:qFormat/>
    <w:uiPriority w:val="0"/>
    <w:pPr>
      <w:widowControl/>
      <w:pBdr>
        <w:left w:val="single" w:color="auto" w:sz="4" w:space="0"/>
        <w:bottom w:val="single" w:color="auto" w:sz="4" w:space="0"/>
      </w:pBdr>
      <w:spacing w:before="100" w:beforeAutospacing="1" w:after="100" w:afterAutospacing="1"/>
      <w:jc w:val="center"/>
    </w:pPr>
    <w:rPr>
      <w:rFonts w:hAnsi="宋体" w:cs="宋体"/>
      <w:sz w:val="20"/>
    </w:rPr>
  </w:style>
  <w:style w:type="paragraph" w:customStyle="1" w:styleId="420">
    <w:name w:val="font25"/>
    <w:basedOn w:val="1"/>
    <w:qFormat/>
    <w:uiPriority w:val="0"/>
    <w:pPr>
      <w:widowControl/>
      <w:spacing w:before="100" w:beforeAutospacing="1" w:after="100" w:afterAutospacing="1"/>
      <w:jc w:val="left"/>
    </w:pPr>
    <w:rPr>
      <w:rFonts w:hAnsi="宋体" w:cs="宋体"/>
      <w:sz w:val="18"/>
      <w:szCs w:val="18"/>
    </w:rPr>
  </w:style>
  <w:style w:type="paragraph" w:customStyle="1" w:styleId="421">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22">
    <w:name w:val="xl121"/>
    <w:basedOn w:val="1"/>
    <w:qFormat/>
    <w:uiPriority w:val="0"/>
    <w:pPr>
      <w:widowControl/>
      <w:spacing w:before="100" w:beforeAutospacing="1" w:after="100" w:afterAutospacing="1"/>
      <w:jc w:val="left"/>
    </w:pPr>
    <w:rPr>
      <w:rFonts w:hAnsi="宋体" w:cs="宋体"/>
      <w:color w:val="C0C0C0"/>
      <w:sz w:val="20"/>
    </w:rPr>
  </w:style>
  <w:style w:type="paragraph" w:customStyle="1" w:styleId="423">
    <w:name w:val="font2"/>
    <w:basedOn w:val="1"/>
    <w:qFormat/>
    <w:uiPriority w:val="0"/>
    <w:pPr>
      <w:widowControl/>
      <w:spacing w:before="100" w:beforeAutospacing="1" w:after="100" w:afterAutospacing="1"/>
      <w:jc w:val="left"/>
    </w:pPr>
    <w:rPr>
      <w:rFonts w:ascii="Times New Roman" w:hAnsi="Times New Roman"/>
      <w:color w:val="000000"/>
      <w:sz w:val="14"/>
      <w:szCs w:val="14"/>
    </w:rPr>
  </w:style>
  <w:style w:type="paragraph" w:customStyle="1" w:styleId="424">
    <w:name w:val="xl1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42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color w:val="000000"/>
      <w:sz w:val="20"/>
    </w:rPr>
  </w:style>
  <w:style w:type="paragraph" w:customStyle="1" w:styleId="426">
    <w:name w:val="et6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27">
    <w:name w:val="et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28">
    <w:name w:val="xl134"/>
    <w:basedOn w:val="1"/>
    <w:qFormat/>
    <w:uiPriority w:val="0"/>
    <w:pPr>
      <w:widowControl/>
      <w:spacing w:before="100" w:beforeAutospacing="1" w:after="100" w:afterAutospacing="1"/>
      <w:jc w:val="center"/>
      <w:textAlignment w:val="center"/>
    </w:pPr>
    <w:rPr>
      <w:rFonts w:hAnsi="宋体" w:cs="宋体"/>
      <w:b/>
      <w:bCs/>
      <w:color w:val="C0C0C0"/>
      <w:sz w:val="20"/>
    </w:rPr>
  </w:style>
  <w:style w:type="paragraph" w:customStyle="1" w:styleId="42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000000"/>
      <w:sz w:val="20"/>
    </w:rPr>
  </w:style>
  <w:style w:type="paragraph" w:customStyle="1" w:styleId="430">
    <w:name w:val="Item List"/>
    <w:qFormat/>
    <w:uiPriority w:val="0"/>
    <w:pPr>
      <w:tabs>
        <w:tab w:val="left" w:pos="1440"/>
      </w:tabs>
      <w:spacing w:line="300" w:lineRule="auto"/>
      <w:ind w:left="1440" w:hanging="1440"/>
      <w:jc w:val="both"/>
    </w:pPr>
    <w:rPr>
      <w:rFonts w:ascii="Arial" w:hAnsi="Arial" w:eastAsia="宋体" w:cs="Arial"/>
      <w:sz w:val="21"/>
      <w:szCs w:val="21"/>
      <w:lang w:val="en-US" w:eastAsia="zh-CN" w:bidi="ar-SA"/>
    </w:rPr>
  </w:style>
  <w:style w:type="paragraph" w:customStyle="1" w:styleId="431">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32">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33">
    <w:name w:val="font29"/>
    <w:basedOn w:val="1"/>
    <w:qFormat/>
    <w:uiPriority w:val="0"/>
    <w:pPr>
      <w:widowControl/>
      <w:spacing w:before="100" w:beforeAutospacing="1" w:after="100" w:afterAutospacing="1"/>
      <w:jc w:val="left"/>
    </w:pPr>
    <w:rPr>
      <w:rFonts w:hAnsi="宋体" w:cs="宋体"/>
      <w:sz w:val="24"/>
    </w:rPr>
  </w:style>
  <w:style w:type="paragraph" w:customStyle="1" w:styleId="43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435">
    <w:name w:val="et71"/>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36">
    <w:name w:val="xl11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hAnsi="宋体" w:cs="宋体"/>
      <w:b/>
      <w:bCs/>
      <w:color w:val="808080"/>
      <w:sz w:val="20"/>
    </w:rPr>
  </w:style>
  <w:style w:type="paragraph" w:customStyle="1" w:styleId="437">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FF0000"/>
      <w:sz w:val="20"/>
    </w:rPr>
  </w:style>
  <w:style w:type="paragraph" w:customStyle="1" w:styleId="438">
    <w:name w:val="xl170"/>
    <w:basedOn w:val="1"/>
    <w:qFormat/>
    <w:uiPriority w:val="0"/>
    <w:pPr>
      <w:widowControl/>
      <w:spacing w:before="100" w:beforeAutospacing="1" w:after="100" w:afterAutospacing="1"/>
      <w:jc w:val="center"/>
    </w:pPr>
    <w:rPr>
      <w:rFonts w:hAnsi="宋体" w:cs="宋体"/>
      <w:color w:val="FF0000"/>
      <w:sz w:val="20"/>
    </w:rPr>
  </w:style>
  <w:style w:type="paragraph" w:customStyle="1" w:styleId="439">
    <w:name w:val="Table Text"/>
    <w:basedOn w:val="1"/>
    <w:qFormat/>
    <w:uiPriority w:val="0"/>
    <w:pPr>
      <w:widowControl/>
      <w:spacing w:before="60" w:after="60"/>
      <w:jc w:val="left"/>
    </w:pPr>
  </w:style>
  <w:style w:type="paragraph" w:customStyle="1" w:styleId="440">
    <w:name w:val="xl81"/>
    <w:basedOn w:val="1"/>
    <w:qFormat/>
    <w:uiPriority w:val="0"/>
    <w:pPr>
      <w:widowControl/>
      <w:pBdr>
        <w:top w:val="single" w:color="auto" w:sz="4" w:space="0"/>
        <w:bottom w:val="single" w:color="auto" w:sz="4" w:space="0"/>
      </w:pBdr>
      <w:spacing w:before="100" w:beforeAutospacing="1" w:after="100" w:afterAutospacing="1"/>
      <w:jc w:val="center"/>
    </w:pPr>
    <w:rPr>
      <w:rFonts w:hAnsi="宋体" w:cs="宋体"/>
      <w:sz w:val="20"/>
    </w:rPr>
  </w:style>
  <w:style w:type="paragraph" w:customStyle="1" w:styleId="44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sz w:val="24"/>
    </w:rPr>
  </w:style>
  <w:style w:type="paragraph" w:customStyle="1" w:styleId="442">
    <w:name w:val="et69"/>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43">
    <w:name w:val="xl19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Ansi="宋体" w:cs="宋体"/>
      <w:sz w:val="20"/>
    </w:rPr>
  </w:style>
  <w:style w:type="paragraph" w:customStyle="1" w:styleId="444">
    <w:name w:val="表格内字体字号"/>
    <w:basedOn w:val="1"/>
    <w:qFormat/>
    <w:uiPriority w:val="0"/>
    <w:pPr>
      <w:topLinePunct/>
      <w:snapToGrid w:val="0"/>
      <w:spacing w:beforeLines="20" w:afterLines="20"/>
      <w:ind w:left="30" w:leftChars="30" w:right="30" w:rightChars="30"/>
      <w:jc w:val="center"/>
    </w:pPr>
    <w:rPr>
      <w:rFonts w:ascii="Times New Roman" w:hAnsi="Times New Roman"/>
      <w:kern w:val="2"/>
      <w:sz w:val="18"/>
      <w:szCs w:val="18"/>
    </w:rPr>
  </w:style>
  <w:style w:type="paragraph" w:customStyle="1" w:styleId="44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46">
    <w:name w:val="et76"/>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47">
    <w:name w:val="xl20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Ansi="宋体" w:cs="宋体"/>
      <w:b/>
      <w:bCs/>
      <w:sz w:val="20"/>
    </w:rPr>
  </w:style>
  <w:style w:type="paragraph" w:customStyle="1" w:styleId="448">
    <w:name w:val="font6"/>
    <w:basedOn w:val="1"/>
    <w:qFormat/>
    <w:uiPriority w:val="0"/>
    <w:pPr>
      <w:widowControl/>
      <w:spacing w:before="100" w:beforeAutospacing="1" w:after="100" w:afterAutospacing="1"/>
      <w:jc w:val="left"/>
    </w:pPr>
    <w:rPr>
      <w:rFonts w:hAnsi="宋体" w:cs="宋体"/>
      <w:sz w:val="20"/>
    </w:rPr>
  </w:style>
  <w:style w:type="paragraph" w:customStyle="1" w:styleId="449">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hAnsi="宋体" w:cs="宋体"/>
      <w:color w:val="C0C0C0"/>
      <w:sz w:val="20"/>
    </w:rPr>
  </w:style>
  <w:style w:type="paragraph" w:customStyle="1" w:styleId="450">
    <w:name w:val="xl11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b/>
      <w:bCs/>
      <w:sz w:val="20"/>
    </w:rPr>
  </w:style>
  <w:style w:type="paragraph" w:customStyle="1" w:styleId="451">
    <w:name w:val="font8"/>
    <w:basedOn w:val="1"/>
    <w:qFormat/>
    <w:uiPriority w:val="0"/>
    <w:pPr>
      <w:widowControl/>
      <w:spacing w:before="100" w:beforeAutospacing="1" w:after="100" w:afterAutospacing="1"/>
      <w:jc w:val="left"/>
    </w:pPr>
    <w:rPr>
      <w:rFonts w:hAnsi="宋体" w:cs="宋体"/>
      <w:color w:val="FF0000"/>
      <w:sz w:val="20"/>
    </w:rPr>
  </w:style>
  <w:style w:type="paragraph" w:customStyle="1" w:styleId="452">
    <w:name w:val="et9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53">
    <w:name w:val="et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54">
    <w:name w:val="xl1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b/>
      <w:bCs/>
      <w:color w:val="C0C0C0"/>
      <w:sz w:val="20"/>
    </w:rPr>
  </w:style>
  <w:style w:type="paragraph" w:customStyle="1" w:styleId="455">
    <w:name w:val="xl129"/>
    <w:basedOn w:val="1"/>
    <w:qFormat/>
    <w:uiPriority w:val="0"/>
    <w:pPr>
      <w:widowControl/>
      <w:spacing w:before="100" w:beforeAutospacing="1" w:after="100" w:afterAutospacing="1"/>
      <w:jc w:val="left"/>
    </w:pPr>
    <w:rPr>
      <w:rFonts w:hAnsi="宋体" w:cs="宋体"/>
      <w:color w:val="C0C0C0"/>
      <w:sz w:val="20"/>
    </w:rPr>
  </w:style>
  <w:style w:type="paragraph" w:customStyle="1" w:styleId="456">
    <w:name w:val="et53"/>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457">
    <w:name w:val="et37"/>
    <w:basedOn w:val="1"/>
    <w:qFormat/>
    <w:uiPriority w:val="0"/>
    <w:pPr>
      <w:widowControl/>
      <w:spacing w:before="100" w:beforeAutospacing="1" w:after="100" w:afterAutospacing="1"/>
      <w:jc w:val="left"/>
      <w:textAlignment w:val="center"/>
    </w:pPr>
    <w:rPr>
      <w:rFonts w:ascii="Wingdings" w:hAnsi="Wingdings" w:cs="宋体"/>
      <w:color w:val="000000"/>
      <w:sz w:val="22"/>
      <w:szCs w:val="22"/>
    </w:rPr>
  </w:style>
  <w:style w:type="paragraph" w:customStyle="1" w:styleId="458">
    <w:name w:val="et6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59">
    <w:name w:val="xl1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color w:val="C0C0C0"/>
      <w:sz w:val="20"/>
    </w:rPr>
  </w:style>
  <w:style w:type="paragraph" w:customStyle="1" w:styleId="460">
    <w:name w:val="et92"/>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61">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Ansi="宋体" w:cs="宋体"/>
      <w:color w:val="C0C0C0"/>
      <w:sz w:val="20"/>
    </w:rPr>
  </w:style>
  <w:style w:type="paragraph" w:customStyle="1" w:styleId="462">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b/>
      <w:bCs/>
      <w:color w:val="969696"/>
      <w:sz w:val="20"/>
    </w:rPr>
  </w:style>
  <w:style w:type="paragraph" w:customStyle="1" w:styleId="463">
    <w:name w:val="et1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64">
    <w:name w:val="xl189"/>
    <w:basedOn w:val="1"/>
    <w:qFormat/>
    <w:uiPriority w:val="0"/>
    <w:pPr>
      <w:widowControl/>
      <w:pBdr>
        <w:top w:val="single" w:color="auto" w:sz="4" w:space="0"/>
        <w:bottom w:val="single" w:color="auto" w:sz="4" w:space="0"/>
      </w:pBdr>
      <w:spacing w:before="100" w:beforeAutospacing="1" w:after="100" w:afterAutospacing="1"/>
      <w:jc w:val="center"/>
    </w:pPr>
    <w:rPr>
      <w:rFonts w:hAnsi="宋体" w:cs="宋体"/>
      <w:color w:val="FF0000"/>
      <w:sz w:val="20"/>
    </w:rPr>
  </w:style>
  <w:style w:type="paragraph" w:customStyle="1" w:styleId="465">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66">
    <w:name w:val="f_center"/>
    <w:basedOn w:val="1"/>
    <w:qFormat/>
    <w:uiPriority w:val="0"/>
    <w:pPr>
      <w:widowControl/>
      <w:spacing w:before="100" w:beforeAutospacing="1" w:after="100" w:afterAutospacing="1"/>
      <w:jc w:val="left"/>
    </w:pPr>
    <w:rPr>
      <w:rFonts w:hAnsi="宋体" w:cs="宋体"/>
      <w:sz w:val="24"/>
    </w:rPr>
  </w:style>
  <w:style w:type="paragraph" w:customStyle="1" w:styleId="467">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color w:val="FF0000"/>
      <w:sz w:val="20"/>
    </w:rPr>
  </w:style>
  <w:style w:type="paragraph" w:customStyle="1" w:styleId="46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color w:val="C0C0C0"/>
      <w:sz w:val="20"/>
    </w:rPr>
  </w:style>
  <w:style w:type="paragraph" w:customStyle="1" w:styleId="469">
    <w:name w:val="0"/>
    <w:basedOn w:val="1"/>
    <w:qFormat/>
    <w:uiPriority w:val="0"/>
    <w:pPr>
      <w:widowControl/>
      <w:spacing w:before="100" w:beforeAutospacing="1" w:after="100" w:afterAutospacing="1"/>
      <w:jc w:val="left"/>
    </w:pPr>
    <w:rPr>
      <w:rFonts w:hAnsi="宋体" w:cs="宋体"/>
      <w:sz w:val="24"/>
    </w:rPr>
  </w:style>
  <w:style w:type="paragraph" w:customStyle="1" w:styleId="470">
    <w:name w:val="font17"/>
    <w:basedOn w:val="1"/>
    <w:qFormat/>
    <w:uiPriority w:val="0"/>
    <w:pPr>
      <w:widowControl/>
      <w:spacing w:before="100" w:beforeAutospacing="1" w:after="100" w:afterAutospacing="1"/>
      <w:jc w:val="left"/>
    </w:pPr>
    <w:rPr>
      <w:rFonts w:hAnsi="宋体" w:cs="宋体"/>
      <w:sz w:val="24"/>
    </w:rPr>
  </w:style>
  <w:style w:type="paragraph" w:customStyle="1" w:styleId="471">
    <w:name w:val="规范正文"/>
    <w:basedOn w:val="1"/>
    <w:qFormat/>
    <w:uiPriority w:val="0"/>
    <w:pPr>
      <w:adjustRightInd w:val="0"/>
      <w:spacing w:line="360" w:lineRule="auto"/>
      <w:ind w:left="480"/>
      <w:textAlignment w:val="baseline"/>
    </w:pPr>
    <w:rPr>
      <w:sz w:val="24"/>
    </w:rPr>
  </w:style>
  <w:style w:type="paragraph" w:customStyle="1" w:styleId="472">
    <w:name w:val="Norm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473">
    <w:name w:val="xl26"/>
    <w:basedOn w:val="1"/>
    <w:qFormat/>
    <w:uiPriority w:val="0"/>
    <w:pPr>
      <w:widowControl/>
      <w:pBdr>
        <w:left w:val="single" w:color="auto" w:sz="4" w:space="0"/>
        <w:right w:val="single" w:color="auto" w:sz="4" w:space="0"/>
      </w:pBdr>
      <w:spacing w:before="100" w:beforeAutospacing="1" w:after="100" w:afterAutospacing="1"/>
      <w:jc w:val="center"/>
      <w:textAlignment w:val="center"/>
    </w:pPr>
    <w:rPr>
      <w:sz w:val="24"/>
    </w:rPr>
  </w:style>
  <w:style w:type="paragraph" w:customStyle="1" w:styleId="474">
    <w:name w:val="font30"/>
    <w:basedOn w:val="1"/>
    <w:qFormat/>
    <w:uiPriority w:val="0"/>
    <w:pPr>
      <w:widowControl/>
      <w:spacing w:before="100" w:beforeAutospacing="1" w:after="100" w:afterAutospacing="1"/>
      <w:jc w:val="left"/>
    </w:pPr>
    <w:rPr>
      <w:rFonts w:hAnsi="宋体" w:cs="宋体"/>
      <w:b/>
      <w:bCs/>
      <w:sz w:val="24"/>
    </w:rPr>
  </w:style>
  <w:style w:type="paragraph" w:customStyle="1" w:styleId="475">
    <w:name w:val="xl199"/>
    <w:basedOn w:val="1"/>
    <w:qFormat/>
    <w:uiPriority w:val="0"/>
    <w:pPr>
      <w:widowControl/>
      <w:pBdr>
        <w:top w:val="single" w:color="auto" w:sz="4" w:space="0"/>
        <w:bottom w:val="single" w:color="auto" w:sz="4" w:space="0"/>
      </w:pBdr>
      <w:spacing w:before="100" w:beforeAutospacing="1" w:after="100" w:afterAutospacing="1"/>
      <w:jc w:val="left"/>
    </w:pPr>
    <w:rPr>
      <w:rFonts w:hAnsi="宋体" w:cs="宋体"/>
      <w:sz w:val="24"/>
    </w:rPr>
  </w:style>
  <w:style w:type="paragraph" w:customStyle="1" w:styleId="476">
    <w:name w:val="font18"/>
    <w:basedOn w:val="1"/>
    <w:qFormat/>
    <w:uiPriority w:val="0"/>
    <w:pPr>
      <w:widowControl/>
      <w:spacing w:before="100" w:beforeAutospacing="1" w:after="100" w:afterAutospacing="1"/>
      <w:jc w:val="left"/>
    </w:pPr>
    <w:rPr>
      <w:rFonts w:hAnsi="宋体" w:cs="宋体"/>
      <w:sz w:val="18"/>
      <w:szCs w:val="18"/>
    </w:rPr>
  </w:style>
  <w:style w:type="paragraph" w:customStyle="1" w:styleId="477">
    <w:name w:val="et80"/>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78">
    <w:name w:val="Default"/>
    <w:qFormat/>
    <w:uiPriority w:val="0"/>
    <w:pPr>
      <w:widowControl w:val="0"/>
      <w:autoSpaceDE w:val="0"/>
      <w:autoSpaceDN w:val="0"/>
      <w:adjustRightInd w:val="0"/>
    </w:pPr>
    <w:rPr>
      <w:rFonts w:ascii="Bodoni MT" w:hAnsi="Bodoni MT" w:eastAsia="宋体" w:cs="Bodoni MT"/>
      <w:color w:val="000000"/>
      <w:sz w:val="24"/>
      <w:szCs w:val="24"/>
      <w:lang w:val="en-US" w:eastAsia="zh-CN" w:bidi="ar-SA"/>
    </w:rPr>
  </w:style>
  <w:style w:type="paragraph" w:customStyle="1" w:styleId="479">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480">
    <w:name w:val="xl1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hAnsi="宋体" w:cs="宋体"/>
      <w:color w:val="C0C0C0"/>
      <w:sz w:val="20"/>
    </w:rPr>
  </w:style>
  <w:style w:type="paragraph" w:customStyle="1" w:styleId="48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sz w:val="20"/>
    </w:rPr>
  </w:style>
  <w:style w:type="paragraph" w:customStyle="1" w:styleId="482">
    <w:name w:val="et43"/>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8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color w:val="FF0000"/>
      <w:sz w:val="20"/>
    </w:rPr>
  </w:style>
  <w:style w:type="paragraph" w:customStyle="1" w:styleId="484">
    <w:name w:val="xl109"/>
    <w:basedOn w:val="1"/>
    <w:qFormat/>
    <w:uiPriority w:val="0"/>
    <w:pPr>
      <w:widowControl/>
      <w:pBdr>
        <w:left w:val="single" w:color="auto" w:sz="8" w:space="0"/>
        <w:bottom w:val="single" w:color="auto" w:sz="8" w:space="0"/>
        <w:right w:val="single" w:color="auto" w:sz="8" w:space="0"/>
      </w:pBdr>
      <w:spacing w:before="100" w:beforeAutospacing="1" w:after="100" w:afterAutospacing="1"/>
      <w:textAlignment w:val="center"/>
    </w:pPr>
    <w:rPr>
      <w:rFonts w:hAnsi="宋体" w:cs="宋体"/>
      <w:color w:val="FF0000"/>
      <w:sz w:val="20"/>
    </w:rPr>
  </w:style>
  <w:style w:type="paragraph" w:customStyle="1" w:styleId="48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sz w:val="20"/>
    </w:rPr>
  </w:style>
  <w:style w:type="paragraph" w:customStyle="1" w:styleId="48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color w:val="FF0000"/>
      <w:sz w:val="20"/>
    </w:rPr>
  </w:style>
  <w:style w:type="paragraph" w:customStyle="1" w:styleId="487">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Ansi="宋体" w:cs="宋体"/>
      <w:color w:val="C0C0C0"/>
      <w:sz w:val="20"/>
    </w:rPr>
  </w:style>
  <w:style w:type="paragraph" w:customStyle="1" w:styleId="488">
    <w:name w:val="et83"/>
    <w:basedOn w:val="1"/>
    <w:qFormat/>
    <w:uiPriority w:val="0"/>
    <w:pPr>
      <w:widowControl/>
      <w:spacing w:before="100" w:beforeAutospacing="1" w:after="100" w:afterAutospacing="1"/>
      <w:jc w:val="left"/>
      <w:textAlignment w:val="center"/>
    </w:pPr>
    <w:rPr>
      <w:rFonts w:hAnsi="宋体" w:cs="宋体"/>
      <w:color w:val="000000"/>
      <w:sz w:val="22"/>
      <w:szCs w:val="22"/>
    </w:rPr>
  </w:style>
  <w:style w:type="paragraph" w:customStyle="1" w:styleId="489">
    <w:name w:val="et25"/>
    <w:basedOn w:val="1"/>
    <w:qFormat/>
    <w:uiPriority w:val="0"/>
    <w:pPr>
      <w:widowControl/>
      <w:spacing w:before="100" w:beforeAutospacing="1" w:after="100" w:afterAutospacing="1"/>
      <w:jc w:val="left"/>
      <w:textAlignment w:val="center"/>
    </w:pPr>
    <w:rPr>
      <w:rFonts w:ascii="仿宋" w:hAnsi="宋体" w:eastAsia="仿宋" w:cs="宋体"/>
      <w:color w:val="000000"/>
      <w:sz w:val="22"/>
      <w:szCs w:val="22"/>
    </w:rPr>
  </w:style>
  <w:style w:type="paragraph" w:customStyle="1" w:styleId="490">
    <w:name w:val="正文首行缩进两字符"/>
    <w:basedOn w:val="1"/>
    <w:qFormat/>
    <w:uiPriority w:val="0"/>
    <w:pPr>
      <w:spacing w:line="360" w:lineRule="auto"/>
      <w:ind w:firstLine="200" w:firstLineChars="200"/>
    </w:pPr>
  </w:style>
  <w:style w:type="paragraph" w:customStyle="1" w:styleId="491">
    <w:name w:val="xl20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Ansi="宋体" w:cs="宋体"/>
      <w:sz w:val="24"/>
    </w:rPr>
  </w:style>
  <w:style w:type="paragraph" w:customStyle="1" w:styleId="492">
    <w:name w:val="默认段落字体 Para Char Char Char Char Char Char Char Char Char1 Char Char Char Char"/>
    <w:basedOn w:val="1"/>
    <w:qFormat/>
    <w:uiPriority w:val="0"/>
    <w:rPr>
      <w:rFonts w:ascii="Tahoma" w:hAnsi="Tahoma"/>
      <w:sz w:val="24"/>
    </w:rPr>
  </w:style>
  <w:style w:type="paragraph" w:customStyle="1" w:styleId="493">
    <w:name w:val="xl18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Ansi="宋体" w:cs="宋体"/>
      <w:sz w:val="20"/>
    </w:rPr>
  </w:style>
  <w:style w:type="paragraph" w:customStyle="1" w:styleId="494">
    <w:name w:val="纯文本2"/>
    <w:basedOn w:val="1"/>
    <w:qFormat/>
    <w:uiPriority w:val="0"/>
    <w:pPr>
      <w:adjustRightInd w:val="0"/>
      <w:textAlignment w:val="baseline"/>
    </w:pPr>
    <w:rPr>
      <w:rFonts w:hAnsi="Courier New"/>
    </w:rPr>
  </w:style>
  <w:style w:type="paragraph" w:customStyle="1" w:styleId="495">
    <w:name w:val="列出段落2"/>
    <w:basedOn w:val="1"/>
    <w:qFormat/>
    <w:uiPriority w:val="0"/>
    <w:pPr>
      <w:ind w:firstLine="420" w:firstLineChars="200"/>
    </w:pPr>
    <w:rPr>
      <w:rFonts w:ascii="Calibri" w:cs="Calibri"/>
      <w:szCs w:val="21"/>
    </w:rPr>
  </w:style>
  <w:style w:type="paragraph" w:customStyle="1" w:styleId="496">
    <w:name w:val="样式 首行缩进:  2 字符"/>
    <w:basedOn w:val="1"/>
    <w:qFormat/>
    <w:uiPriority w:val="0"/>
    <w:pPr>
      <w:spacing w:line="400" w:lineRule="exact"/>
      <w:ind w:firstLine="200" w:firstLineChars="200"/>
    </w:pPr>
    <w:rPr>
      <w:rFonts w:cs="宋体"/>
      <w:sz w:val="24"/>
    </w:rPr>
  </w:style>
  <w:style w:type="character" w:customStyle="1" w:styleId="497">
    <w:name w:val="Char Char3"/>
    <w:qFormat/>
    <w:uiPriority w:val="0"/>
    <w:rPr>
      <w:rFonts w:ascii="Arial" w:hAnsi="Arial" w:eastAsia="黑体"/>
      <w:b/>
      <w:kern w:val="2"/>
      <w:sz w:val="32"/>
      <w:lang w:val="en-US" w:eastAsia="zh-CN"/>
    </w:rPr>
  </w:style>
  <w:style w:type="paragraph" w:customStyle="1" w:styleId="498">
    <w:name w:val="正文缩近"/>
    <w:basedOn w:val="1"/>
    <w:qFormat/>
    <w:uiPriority w:val="0"/>
    <w:pPr>
      <w:spacing w:line="360" w:lineRule="auto"/>
      <w:ind w:firstLine="200" w:firstLineChars="200"/>
    </w:pPr>
    <w:rPr>
      <w:rFonts w:ascii="Times New Roman" w:hAnsi="Times New Roman"/>
      <w:kern w:val="2"/>
      <w:sz w:val="24"/>
      <w:szCs w:val="24"/>
    </w:rPr>
  </w:style>
  <w:style w:type="paragraph" w:customStyle="1" w:styleId="499">
    <w:name w:val="_Style 2"/>
    <w:basedOn w:val="1"/>
    <w:qFormat/>
    <w:uiPriority w:val="0"/>
    <w:pPr>
      <w:spacing w:after="160" w:line="259" w:lineRule="auto"/>
      <w:ind w:firstLine="420" w:firstLineChars="200"/>
    </w:pPr>
    <w:rPr>
      <w:rFonts w:ascii="Calibri"/>
      <w:kern w:val="2"/>
      <w:sz w:val="18"/>
      <w:szCs w:val="18"/>
    </w:rPr>
  </w:style>
  <w:style w:type="paragraph" w:customStyle="1" w:styleId="500">
    <w:name w:val="正文 A"/>
    <w:next w:val="2"/>
    <w:qFormat/>
    <w:uiPriority w:val="0"/>
    <w:pPr>
      <w:widowControl w:val="0"/>
      <w:spacing w:line="312" w:lineRule="atLeast"/>
      <w:jc w:val="both"/>
    </w:pPr>
    <w:rPr>
      <w:rFonts w:ascii="Times New Roman" w:hAnsi="Times New Roman" w:eastAsia="Calibri" w:cs="Calibri"/>
      <w:color w:val="000000"/>
      <w:kern w:val="2"/>
      <w:sz w:val="21"/>
      <w:szCs w:val="21"/>
      <w:lang w:val="en-US" w:eastAsia="zh-CN" w:bidi="ar-SA"/>
    </w:rPr>
  </w:style>
  <w:style w:type="character" w:customStyle="1" w:styleId="501">
    <w:name w:val="layui-this"/>
    <w:basedOn w:val="49"/>
    <w:qFormat/>
    <w:uiPriority w:val="0"/>
    <w:rPr>
      <w:bdr w:val="single" w:color="EEEEEE" w:sz="6" w:space="0"/>
      <w:shd w:val="clear" w:color="auto" w:fill="FFFFFF"/>
    </w:rPr>
  </w:style>
  <w:style w:type="character" w:customStyle="1" w:styleId="502">
    <w:name w:val="first-child"/>
    <w:basedOn w:val="49"/>
    <w:qFormat/>
    <w:uiPriority w:val="0"/>
  </w:style>
  <w:style w:type="paragraph" w:customStyle="1" w:styleId="503">
    <w:name w:val="正文3"/>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504">
    <w:name w:val="Body text|1"/>
    <w:basedOn w:val="1"/>
    <w:qFormat/>
    <w:uiPriority w:val="0"/>
    <w:pPr>
      <w:spacing w:line="410" w:lineRule="auto"/>
      <w:ind w:firstLine="400"/>
    </w:pPr>
    <w:rPr>
      <w:rFonts w:hAnsi="宋体" w:cs="宋体"/>
      <w:sz w:val="28"/>
      <w:szCs w:val="28"/>
      <w:lang w:val="zh-TW" w:eastAsia="zh-TW" w:bidi="zh-TW"/>
    </w:rPr>
  </w:style>
  <w:style w:type="paragraph" w:customStyle="1" w:styleId="505">
    <w:name w:val="列出段落11"/>
    <w:basedOn w:val="1"/>
    <w:qFormat/>
    <w:uiPriority w:val="0"/>
    <w:pPr>
      <w:ind w:firstLine="420" w:firstLineChars="200"/>
    </w:pPr>
    <w:rPr>
      <w:sz w:val="18"/>
      <w:szCs w:val="18"/>
    </w:rPr>
  </w:style>
  <w:style w:type="character" w:customStyle="1" w:styleId="506">
    <w:name w:val="ca-01"/>
    <w:qFormat/>
    <w:uiPriority w:val="0"/>
    <w:rPr>
      <w:rFonts w:hint="eastAsia" w:ascii="宋体" w:hAnsi="宋体" w:eastAsia="宋体"/>
      <w:sz w:val="21"/>
      <w:szCs w:val="21"/>
    </w:rPr>
  </w:style>
  <w:style w:type="paragraph" w:customStyle="1" w:styleId="507">
    <w:name w:val="表注1"/>
    <w:basedOn w:val="203"/>
    <w:qFormat/>
    <w:uiPriority w:val="0"/>
    <w:rPr>
      <w:rFonts w:ascii="Times New Roman" w:hAnsi="Times New Roman"/>
      <w:sz w:val="18"/>
      <w:szCs w:val="24"/>
    </w:rPr>
  </w:style>
  <w:style w:type="table" w:customStyle="1" w:styleId="508">
    <w:name w:val="Table Normal"/>
    <w:unhideWhenUsed/>
    <w:qFormat/>
    <w:uiPriority w:val="0"/>
    <w:tblPr>
      <w:tblCellMar>
        <w:top w:w="0" w:type="dxa"/>
        <w:left w:w="0" w:type="dxa"/>
        <w:bottom w:w="0" w:type="dxa"/>
        <w:right w:w="0" w:type="dxa"/>
      </w:tblCellMar>
    </w:tblPr>
  </w:style>
  <w:style w:type="character" w:customStyle="1" w:styleId="509">
    <w:name w:val="索引 1 Char"/>
    <w:link w:val="42"/>
    <w:qFormat/>
    <w:uiPriority w:val="0"/>
    <w:rPr>
      <w:rFonts w:ascii="仿宋_GB2312" w:hAnsi="宋体" w:eastAsia="仿宋_GB2312"/>
      <w:b/>
      <w:bCs/>
      <w:sz w:val="30"/>
    </w:rPr>
  </w:style>
  <w:style w:type="paragraph" w:customStyle="1" w:styleId="510">
    <w:name w:val="HtmlNormal"/>
    <w:basedOn w:val="1"/>
    <w:qFormat/>
    <w:uiPriority w:val="0"/>
    <w:pPr>
      <w:widowControl/>
      <w:spacing w:before="100" w:beforeAutospacing="1" w:after="100" w:afterAutospacing="1"/>
      <w:jc w:val="left"/>
      <w:textAlignment w:val="baseline"/>
    </w:pPr>
    <w:rPr>
      <w:rFonts w:ascii="宋体" w:hAnsi="宋体"/>
      <w:kern w:val="0"/>
      <w:sz w:val="18"/>
      <w:szCs w:val="18"/>
      <w:lang w:val="en-US" w:eastAsia="zh-CN" w:bidi="ar-SA"/>
    </w:rPr>
  </w:style>
  <w:style w:type="character" w:customStyle="1" w:styleId="511">
    <w:name w:val="NormalCharacter"/>
    <w:qFormat/>
    <w:uiPriority w:val="0"/>
  </w:style>
  <w:style w:type="paragraph" w:customStyle="1" w:styleId="512">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694C88-92C1-406C-A685-1340CB6922F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101</Pages>
  <Words>37649</Words>
  <Characters>39075</Characters>
  <Lines>1</Lines>
  <Paragraphs>1</Paragraphs>
  <TotalTime>56</TotalTime>
  <ScaleCrop>false</ScaleCrop>
  <LinksUpToDate>false</LinksUpToDate>
  <CharactersWithSpaces>40122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2018-12-25T03:10:00Z</dcterms:created>
  <dc:creator>xb21cn</dc:creator>
  <cp:lastModifiedBy>Administrator</cp:lastModifiedBy>
  <cp:lastPrinted>2021-10-12T01:32:00Z</cp:lastPrinted>
  <dcterms:modified xsi:type="dcterms:W3CDTF">2021-10-15T10:50:04Z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BFD74BC590E544909D51B4D184B9A8AD</vt:lpwstr>
  </property>
</Properties>
</file>