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jc w:val="center"/>
        <w:rPr>
          <w:rFonts w:ascii="华文新魏" w:eastAsia="华文新魏"/>
          <w:b/>
          <w:bCs/>
          <w:spacing w:val="80"/>
          <w:sz w:val="48"/>
          <w:szCs w:val="48"/>
        </w:rPr>
      </w:pPr>
      <w:r>
        <w:rPr>
          <w:rFonts w:hint="eastAsia" w:ascii="华文新魏" w:eastAsia="华文新魏"/>
          <w:b/>
          <w:bCs/>
          <w:spacing w:val="80"/>
          <w:sz w:val="48"/>
          <w:szCs w:val="48"/>
        </w:rPr>
        <w:t xml:space="preserve"> </w:t>
      </w:r>
    </w:p>
    <w:p>
      <w:pPr>
        <w:spacing w:line="600" w:lineRule="exact"/>
        <w:jc w:val="center"/>
        <w:rPr>
          <w:rFonts w:ascii="黑体" w:hAnsi="黑体" w:eastAsia="黑体"/>
          <w:sz w:val="52"/>
          <w:szCs w:val="52"/>
        </w:rPr>
      </w:pPr>
      <w:r>
        <w:rPr>
          <w:rFonts w:hint="eastAsia" w:ascii="华文中宋" w:hAnsi="华文中宋" w:eastAsia="华文中宋" w:cs="华文中宋"/>
          <w:b/>
          <w:bCs/>
          <w:spacing w:val="80"/>
          <w:sz w:val="52"/>
          <w:szCs w:val="52"/>
        </w:rPr>
        <w:t>广西万盯卯招标咨询有限公司</w:t>
      </w:r>
      <w:r>
        <w:rPr>
          <w:rFonts w:hint="eastAsia" w:ascii="华文中宋" w:hAnsi="华文中宋" w:eastAsia="华文中宋" w:cs="华文中宋"/>
          <w:b/>
          <w:bCs/>
          <w:spacing w:val="80"/>
          <w:sz w:val="56"/>
          <w:szCs w:val="56"/>
        </w:rPr>
        <w:cr/>
      </w:r>
    </w:p>
    <w:p>
      <w:pPr>
        <w:spacing w:line="720" w:lineRule="exact"/>
        <w:ind w:firstLine="1040"/>
        <w:rPr>
          <w:rFonts w:ascii="宋体" w:hAnsi="宋体"/>
          <w:sz w:val="52"/>
        </w:rPr>
      </w:pPr>
    </w:p>
    <w:p>
      <w:pPr>
        <w:rPr>
          <w:rFonts w:ascii="宋体" w:hAnsi="宋体"/>
          <w:b/>
          <w:sz w:val="84"/>
          <w:szCs w:val="84"/>
        </w:rPr>
      </w:pPr>
    </w:p>
    <w:p>
      <w:pPr>
        <w:jc w:val="center"/>
        <w:rPr>
          <w:rFonts w:ascii="宋体" w:hAnsi="宋体"/>
          <w:b/>
          <w:sz w:val="84"/>
          <w:szCs w:val="84"/>
        </w:rPr>
      </w:pPr>
      <w:r>
        <w:rPr>
          <w:rFonts w:hint="eastAsia" w:ascii="宋体" w:hAnsi="宋体"/>
          <w:bCs/>
          <w:sz w:val="144"/>
        </w:rPr>
        <w:t>招标文件</w:t>
      </w:r>
      <w:r>
        <w:rPr>
          <w:rFonts w:hint="eastAsia" w:ascii="宋体" w:hAnsi="宋体"/>
          <w:b/>
          <w:sz w:val="84"/>
          <w:szCs w:val="84"/>
        </w:rPr>
        <w:cr/>
      </w:r>
    </w:p>
    <w:p>
      <w:pPr>
        <w:spacing w:line="1000" w:lineRule="exact"/>
        <w:jc w:val="center"/>
        <w:rPr>
          <w:rFonts w:ascii="宋体" w:hAnsi="宋体"/>
          <w:b/>
          <w:sz w:val="84"/>
          <w:szCs w:val="84"/>
        </w:rPr>
      </w:pPr>
      <w:r>
        <w:rPr>
          <w:rFonts w:hint="eastAsia" w:ascii="宋体" w:hAnsi="宋体"/>
          <w:b/>
          <w:sz w:val="84"/>
          <w:szCs w:val="84"/>
        </w:rPr>
        <w:cr/>
      </w:r>
    </w:p>
    <w:p>
      <w:pPr>
        <w:tabs>
          <w:tab w:val="left" w:pos="2940"/>
        </w:tabs>
        <w:spacing w:line="480" w:lineRule="auto"/>
        <w:ind w:left="2692" w:leftChars="568" w:right="1085" w:rightChars="517" w:hanging="1500" w:hangingChars="500"/>
        <w:jc w:val="left"/>
        <w:rPr>
          <w:rFonts w:hint="default" w:ascii="宋体" w:hAnsi="宋体"/>
          <w:b/>
          <w:bCs/>
          <w:sz w:val="30"/>
          <w:szCs w:val="30"/>
          <w:highlight w:val="none"/>
          <w:lang w:val="en-US"/>
        </w:rPr>
      </w:pPr>
      <w:r>
        <w:rPr>
          <w:rFonts w:hint="eastAsia" w:ascii="宋体" w:hAnsi="宋体"/>
          <w:b/>
          <w:bCs/>
          <w:sz w:val="30"/>
          <w:szCs w:val="30"/>
        </w:rPr>
        <w:t>项目名称：</w:t>
      </w:r>
      <w:bookmarkStart w:id="0" w:name="OLE_LINK1"/>
      <w:r>
        <w:rPr>
          <w:rFonts w:hint="eastAsia" w:ascii="宋体" w:hAnsi="宋体"/>
          <w:b/>
          <w:bCs/>
          <w:sz w:val="30"/>
          <w:szCs w:val="30"/>
          <w:highlight w:val="none"/>
          <w:lang w:val="en-US" w:eastAsia="zh-CN"/>
        </w:rPr>
        <w:t>兴安县人民医院医疗设备采购项目（三）</w:t>
      </w:r>
    </w:p>
    <w:bookmarkEnd w:id="0"/>
    <w:p>
      <w:pPr>
        <w:spacing w:line="480" w:lineRule="auto"/>
        <w:ind w:firstLine="1200" w:firstLineChars="400"/>
        <w:jc w:val="left"/>
        <w:rPr>
          <w:rFonts w:hint="eastAsia" w:ascii="宋体" w:hAnsi="宋体"/>
          <w:b/>
          <w:bCs/>
          <w:sz w:val="30"/>
          <w:szCs w:val="30"/>
          <w:highlight w:val="none"/>
        </w:rPr>
      </w:pPr>
      <w:r>
        <w:rPr>
          <w:rFonts w:hint="eastAsia" w:ascii="宋体" w:hAnsi="宋体"/>
          <w:b/>
          <w:bCs/>
          <w:sz w:val="30"/>
          <w:szCs w:val="30"/>
        </w:rPr>
        <w:t>项目编号：</w:t>
      </w:r>
      <w:r>
        <w:rPr>
          <w:rFonts w:hint="eastAsia" w:ascii="宋体" w:hAnsi="宋体"/>
          <w:b/>
          <w:bCs/>
          <w:sz w:val="30"/>
          <w:szCs w:val="30"/>
          <w:highlight w:val="none"/>
        </w:rPr>
        <w:t>GLZC2022-G1-250091-WDMZ</w:t>
      </w:r>
    </w:p>
    <w:p>
      <w:pPr>
        <w:ind w:firstLine="420"/>
        <w:jc w:val="left"/>
        <w:rPr>
          <w:rFonts w:ascii="宋体" w:hAnsi="宋体"/>
          <w:highlight w:val="yellow"/>
        </w:rPr>
      </w:pPr>
    </w:p>
    <w:p>
      <w:pPr>
        <w:ind w:firstLine="1280" w:firstLineChars="400"/>
        <w:jc w:val="left"/>
        <w:rPr>
          <w:rFonts w:ascii="宋体" w:hAnsi="宋体"/>
          <w:b/>
          <w:bCs/>
          <w:sz w:val="32"/>
        </w:rPr>
      </w:pPr>
      <w:r>
        <w:rPr>
          <w:rFonts w:hint="eastAsia" w:ascii="宋体" w:hAnsi="宋体"/>
          <w:b/>
          <w:bCs/>
          <w:sz w:val="32"/>
        </w:rPr>
        <w:t>采购代理机构：广西万盯卯招标咨询有限公司</w:t>
      </w:r>
      <w:r>
        <w:rPr>
          <w:rFonts w:hint="eastAsia" w:ascii="宋体" w:hAnsi="宋体"/>
          <w:b/>
          <w:bCs/>
          <w:sz w:val="32"/>
        </w:rPr>
        <w:cr/>
      </w:r>
    </w:p>
    <w:p>
      <w:pPr>
        <w:ind w:left="3196" w:leftChars="760" w:hanging="1600" w:hangingChars="500"/>
        <w:rPr>
          <w:rFonts w:ascii="宋体" w:hAnsi="宋体"/>
          <w:b/>
          <w:bCs/>
          <w:sz w:val="32"/>
        </w:rPr>
      </w:pPr>
    </w:p>
    <w:p>
      <w:pPr>
        <w:ind w:left="3192" w:leftChars="1520" w:firstLine="320" w:firstLineChars="100"/>
        <w:rPr>
          <w:rFonts w:ascii="宋体" w:hAnsi="宋体"/>
          <w:sz w:val="32"/>
          <w:highlight w:val="none"/>
        </w:rPr>
      </w:pPr>
      <w:r>
        <w:rPr>
          <w:rFonts w:hint="eastAsia" w:ascii="宋体" w:hAnsi="宋体"/>
          <w:b/>
          <w:bCs/>
          <w:sz w:val="32"/>
          <w:highlight w:val="none"/>
        </w:rPr>
        <w:t>2022年</w:t>
      </w:r>
      <w:r>
        <w:rPr>
          <w:rFonts w:hint="eastAsia" w:ascii="宋体" w:hAnsi="宋体"/>
          <w:b/>
          <w:bCs/>
          <w:sz w:val="32"/>
          <w:highlight w:val="none"/>
          <w:lang w:val="en-US" w:eastAsia="zh-CN"/>
        </w:rPr>
        <w:t>12</w:t>
      </w:r>
      <w:r>
        <w:rPr>
          <w:rFonts w:hint="eastAsia" w:ascii="宋体" w:hAnsi="宋体"/>
          <w:b/>
          <w:bCs/>
          <w:sz w:val="32"/>
          <w:highlight w:val="none"/>
        </w:rPr>
        <w:t>月</w:t>
      </w:r>
    </w:p>
    <w:p>
      <w:pPr>
        <w:pStyle w:val="27"/>
        <w:spacing w:line="360" w:lineRule="exact"/>
        <w:jc w:val="center"/>
        <w:rPr>
          <w:rFonts w:hAnsi="宋体" w:cs="宋体"/>
          <w:sz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849" w:bottom="1134" w:left="1134" w:header="720" w:footer="720" w:gutter="0"/>
          <w:pgNumType w:start="1"/>
          <w:cols w:space="720" w:num="1"/>
          <w:titlePg/>
          <w:docGrid w:type="linesAndChars" w:linePitch="331" w:charSpace="0"/>
        </w:sectPr>
      </w:pPr>
    </w:p>
    <w:p>
      <w:pPr>
        <w:pStyle w:val="27"/>
        <w:spacing w:line="440" w:lineRule="exact"/>
        <w:jc w:val="center"/>
        <w:rPr>
          <w:rFonts w:hAnsi="宋体" w:cs="宋体"/>
          <w:sz w:val="44"/>
        </w:rPr>
      </w:pPr>
      <w:r>
        <w:rPr>
          <w:rFonts w:hint="eastAsia" w:hAnsi="宋体" w:cs="宋体"/>
          <w:sz w:val="44"/>
        </w:rPr>
        <w:t>目     录</w:t>
      </w:r>
    </w:p>
    <w:p>
      <w:pPr>
        <w:pStyle w:val="16"/>
      </w:pPr>
    </w:p>
    <w:p>
      <w:pPr>
        <w:pStyle w:val="27"/>
        <w:jc w:val="center"/>
        <w:rPr>
          <w:rFonts w:ascii="隶书" w:eastAsia="隶书"/>
        </w:rPr>
      </w:pPr>
    </w:p>
    <w:p>
      <w:pPr>
        <w:pStyle w:val="34"/>
        <w:tabs>
          <w:tab w:val="right" w:leader="dot" w:pos="9638"/>
        </w:tabs>
        <w:ind w:firstLine="56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"_Toc32427" </w:instrText>
      </w:r>
      <w:r>
        <w:fldChar w:fldCharType="separate"/>
      </w:r>
      <w:r>
        <w:rPr>
          <w:rFonts w:hint="eastAsia" w:ascii="宋体" w:hAnsi="宋体" w:cs="宋体"/>
          <w:bCs/>
          <w:sz w:val="28"/>
          <w:szCs w:val="28"/>
        </w:rPr>
        <w:t>第一章  公开招标公告</w:t>
      </w:r>
      <w:r>
        <w:rPr>
          <w:rFonts w:hint="eastAsia" w:ascii="宋体" w:hAnsi="宋体" w:cs="宋体"/>
          <w:sz w:val="28"/>
          <w:szCs w:val="28"/>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_Toc32427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w:t>
      </w:r>
      <w:r>
        <w:rPr>
          <w:rFonts w:hint="eastAsia" w:ascii="宋体" w:hAnsi="宋体" w:cs="宋体"/>
          <w:sz w:val="28"/>
          <w:szCs w:val="28"/>
          <w:highlight w:val="none"/>
        </w:rPr>
        <w:fldChar w:fldCharType="end"/>
      </w:r>
      <w:r>
        <w:rPr>
          <w:rFonts w:hint="eastAsia" w:ascii="宋体" w:hAnsi="宋体" w:cs="宋体"/>
          <w:sz w:val="28"/>
          <w:szCs w:val="28"/>
        </w:rPr>
        <w:fldChar w:fldCharType="end"/>
      </w:r>
    </w:p>
    <w:p>
      <w:pPr>
        <w:pStyle w:val="34"/>
        <w:tabs>
          <w:tab w:val="right" w:leader="dot" w:pos="9638"/>
        </w:tabs>
        <w:ind w:firstLine="560"/>
        <w:rPr>
          <w:rFonts w:ascii="宋体" w:hAnsi="宋体" w:cs="宋体"/>
          <w:sz w:val="28"/>
          <w:szCs w:val="28"/>
        </w:rPr>
      </w:pPr>
      <w:r>
        <w:fldChar w:fldCharType="begin"/>
      </w:r>
      <w:r>
        <w:instrText xml:space="preserve"> HYPERLINK \l "_Toc5551" </w:instrText>
      </w:r>
      <w:r>
        <w:fldChar w:fldCharType="separate"/>
      </w:r>
      <w:r>
        <w:rPr>
          <w:rFonts w:hint="eastAsia" w:ascii="宋体" w:hAnsi="宋体" w:cs="宋体"/>
          <w:sz w:val="28"/>
          <w:szCs w:val="28"/>
        </w:rPr>
        <w:t>第二章  投标人须知</w:t>
      </w:r>
      <w:r>
        <w:rPr>
          <w:rFonts w:hint="eastAsia" w:ascii="宋体" w:hAnsi="宋体" w:cs="宋体"/>
          <w:sz w:val="28"/>
          <w:szCs w:val="28"/>
        </w:rPr>
        <w:tab/>
      </w:r>
      <w:r>
        <w:rPr>
          <w:rFonts w:hint="eastAsia" w:ascii="宋体" w:hAnsi="宋体" w:cs="宋体"/>
          <w:sz w:val="28"/>
          <w:szCs w:val="28"/>
          <w:lang w:val="en-US" w:eastAsia="zh-CN"/>
        </w:rPr>
        <w:t>5</w:t>
      </w:r>
      <w:r>
        <w:rPr>
          <w:rFonts w:hint="eastAsia" w:ascii="宋体" w:hAnsi="宋体" w:cs="宋体"/>
          <w:sz w:val="28"/>
          <w:szCs w:val="28"/>
        </w:rPr>
        <w:fldChar w:fldCharType="end"/>
      </w:r>
    </w:p>
    <w:p>
      <w:pPr>
        <w:pStyle w:val="34"/>
        <w:tabs>
          <w:tab w:val="right" w:leader="dot" w:pos="9638"/>
        </w:tabs>
        <w:ind w:firstLine="560"/>
        <w:rPr>
          <w:rFonts w:hint="eastAsia" w:ascii="宋体" w:hAnsi="宋体" w:eastAsia="宋体" w:cs="宋体"/>
          <w:sz w:val="28"/>
          <w:szCs w:val="28"/>
          <w:lang w:eastAsia="zh-CN"/>
        </w:rPr>
      </w:pPr>
      <w:r>
        <w:fldChar w:fldCharType="begin"/>
      </w:r>
      <w:r>
        <w:instrText xml:space="preserve"> HYPERLINK \l "_Toc24064" </w:instrText>
      </w:r>
      <w:r>
        <w:fldChar w:fldCharType="separate"/>
      </w:r>
      <w:r>
        <w:rPr>
          <w:rFonts w:hint="eastAsia" w:ascii="宋体" w:hAnsi="宋体" w:cs="宋体"/>
          <w:sz w:val="28"/>
          <w:szCs w:val="28"/>
        </w:rPr>
        <w:t>第三章　货物采购需求</w:t>
      </w:r>
      <w:r>
        <w:rPr>
          <w:rFonts w:hint="eastAsia" w:ascii="宋体" w:hAnsi="宋体" w:cs="宋体"/>
          <w:sz w:val="28"/>
          <w:szCs w:val="28"/>
        </w:rPr>
        <w:tab/>
      </w:r>
      <w:r>
        <w:rPr>
          <w:rFonts w:hint="eastAsia" w:ascii="宋体" w:hAnsi="宋体" w:cs="宋体"/>
          <w:sz w:val="28"/>
          <w:szCs w:val="28"/>
        </w:rPr>
        <w:t>...</w:t>
      </w:r>
      <w:r>
        <w:rPr>
          <w:rFonts w:hint="eastAsia" w:ascii="宋体" w:hAnsi="宋体" w:cs="宋体"/>
          <w:sz w:val="28"/>
          <w:szCs w:val="28"/>
          <w:lang w:val="en-US" w:eastAsia="zh-CN"/>
        </w:rPr>
        <w:t>2</w:t>
      </w:r>
      <w:r>
        <w:rPr>
          <w:rFonts w:hint="eastAsia" w:ascii="宋体" w:hAnsi="宋体" w:cs="宋体"/>
          <w:sz w:val="28"/>
          <w:szCs w:val="28"/>
        </w:rPr>
        <w:fldChar w:fldCharType="end"/>
      </w:r>
      <w:r>
        <w:rPr>
          <w:rFonts w:hint="eastAsia" w:ascii="宋体" w:hAnsi="宋体" w:cs="宋体"/>
          <w:sz w:val="28"/>
          <w:szCs w:val="28"/>
          <w:lang w:val="en-US" w:eastAsia="zh-CN"/>
        </w:rPr>
        <w:t>9</w:t>
      </w:r>
    </w:p>
    <w:p>
      <w:pPr>
        <w:pStyle w:val="34"/>
        <w:tabs>
          <w:tab w:val="right" w:leader="dot" w:pos="9638"/>
        </w:tabs>
        <w:ind w:firstLine="560"/>
        <w:rPr>
          <w:rFonts w:hint="eastAsia" w:ascii="宋体" w:hAnsi="宋体" w:eastAsia="宋体" w:cs="宋体"/>
          <w:sz w:val="28"/>
          <w:szCs w:val="28"/>
          <w:lang w:eastAsia="zh-CN"/>
        </w:rPr>
      </w:pPr>
      <w:r>
        <w:fldChar w:fldCharType="begin"/>
      </w:r>
      <w:r>
        <w:instrText xml:space="preserve"> HYPERLINK \l "_Toc13030" </w:instrText>
      </w:r>
      <w:r>
        <w:fldChar w:fldCharType="separate"/>
      </w:r>
      <w:r>
        <w:rPr>
          <w:rFonts w:hint="eastAsia" w:ascii="宋体" w:hAnsi="宋体" w:cs="宋体"/>
          <w:sz w:val="28"/>
          <w:szCs w:val="28"/>
        </w:rPr>
        <w:t>第四章  评标办法</w:t>
      </w:r>
      <w:r>
        <w:rPr>
          <w:rFonts w:hint="eastAsia" w:ascii="宋体" w:hAnsi="宋体" w:cs="宋体"/>
          <w:sz w:val="28"/>
          <w:szCs w:val="28"/>
        </w:rPr>
        <w:tab/>
      </w:r>
      <w:r>
        <w:rPr>
          <w:rFonts w:hint="eastAsia" w:ascii="宋体" w:hAnsi="宋体" w:cs="宋体"/>
          <w:sz w:val="28"/>
          <w:szCs w:val="28"/>
          <w:lang w:val="en-US" w:eastAsia="zh-CN"/>
        </w:rPr>
        <w:t>4</w:t>
      </w:r>
      <w:r>
        <w:rPr>
          <w:rFonts w:hint="eastAsia" w:ascii="宋体" w:hAnsi="宋体" w:cs="宋体"/>
          <w:sz w:val="28"/>
          <w:szCs w:val="28"/>
        </w:rPr>
        <w:fldChar w:fldCharType="end"/>
      </w:r>
      <w:r>
        <w:rPr>
          <w:rFonts w:hint="eastAsia" w:ascii="宋体" w:hAnsi="宋体" w:cs="宋体"/>
          <w:sz w:val="28"/>
          <w:szCs w:val="28"/>
          <w:lang w:val="en-US" w:eastAsia="zh-CN"/>
        </w:rPr>
        <w:t>7</w:t>
      </w:r>
    </w:p>
    <w:p>
      <w:pPr>
        <w:pStyle w:val="34"/>
        <w:tabs>
          <w:tab w:val="right" w:leader="dot" w:pos="9638"/>
        </w:tabs>
        <w:ind w:firstLine="560"/>
        <w:rPr>
          <w:rFonts w:hint="eastAsia" w:ascii="宋体" w:hAnsi="宋体" w:eastAsia="宋体" w:cs="宋体"/>
          <w:sz w:val="28"/>
          <w:szCs w:val="28"/>
          <w:lang w:val="en-US" w:eastAsia="zh-CN"/>
        </w:rPr>
      </w:pPr>
      <w:r>
        <w:fldChar w:fldCharType="begin"/>
      </w:r>
      <w:r>
        <w:instrText xml:space="preserve"> HYPERLINK \l "_Toc26838" </w:instrText>
      </w:r>
      <w:r>
        <w:fldChar w:fldCharType="separate"/>
      </w:r>
      <w:r>
        <w:rPr>
          <w:rFonts w:hint="eastAsia" w:ascii="宋体" w:hAnsi="宋体" w:cs="宋体"/>
          <w:bCs/>
          <w:sz w:val="28"/>
          <w:szCs w:val="28"/>
        </w:rPr>
        <w:t>第五章  采购合同（合同主要条款及格式）</w:t>
      </w:r>
      <w:r>
        <w:rPr>
          <w:rFonts w:hint="eastAsia" w:ascii="宋体" w:hAnsi="宋体" w:cs="宋体"/>
          <w:sz w:val="28"/>
          <w:szCs w:val="28"/>
        </w:rPr>
        <w:tab/>
      </w:r>
      <w:r>
        <w:rPr>
          <w:rFonts w:hint="eastAsia" w:ascii="宋体" w:hAnsi="宋体" w:cs="宋体"/>
          <w:sz w:val="28"/>
          <w:szCs w:val="28"/>
          <w:lang w:val="en-US" w:eastAsia="zh-CN"/>
        </w:rPr>
        <w:t>5</w:t>
      </w:r>
      <w:r>
        <w:rPr>
          <w:rFonts w:hint="eastAsia" w:ascii="宋体" w:hAnsi="宋体" w:cs="宋体"/>
          <w:sz w:val="28"/>
          <w:szCs w:val="28"/>
        </w:rPr>
        <w:fldChar w:fldCharType="end"/>
      </w:r>
      <w:r>
        <w:rPr>
          <w:rFonts w:hint="eastAsia" w:ascii="宋体" w:hAnsi="宋体" w:cs="宋体"/>
          <w:sz w:val="28"/>
          <w:szCs w:val="28"/>
          <w:lang w:val="en-US" w:eastAsia="zh-CN"/>
        </w:rPr>
        <w:t>3</w:t>
      </w:r>
    </w:p>
    <w:p>
      <w:pPr>
        <w:pStyle w:val="34"/>
        <w:tabs>
          <w:tab w:val="right" w:leader="dot" w:pos="9638"/>
        </w:tabs>
        <w:ind w:firstLine="560"/>
        <w:rPr>
          <w:rFonts w:hint="eastAsia" w:ascii="宋体" w:hAnsi="宋体" w:eastAsia="宋体" w:cs="宋体"/>
          <w:sz w:val="28"/>
          <w:szCs w:val="28"/>
          <w:lang w:eastAsia="zh-CN"/>
        </w:rPr>
      </w:pPr>
      <w:r>
        <w:fldChar w:fldCharType="begin"/>
      </w:r>
      <w:r>
        <w:instrText xml:space="preserve"> HYPERLINK \l "_Toc11918" </w:instrText>
      </w:r>
      <w:r>
        <w:fldChar w:fldCharType="separate"/>
      </w:r>
      <w:r>
        <w:rPr>
          <w:rFonts w:hint="eastAsia" w:ascii="宋体" w:hAnsi="宋体" w:cs="宋体"/>
          <w:sz w:val="28"/>
          <w:szCs w:val="28"/>
        </w:rPr>
        <w:t>第六章  投标文件格式</w:t>
      </w:r>
      <w:r>
        <w:rPr>
          <w:rFonts w:hint="eastAsia" w:ascii="宋体" w:hAnsi="宋体" w:cs="宋体"/>
          <w:sz w:val="28"/>
          <w:szCs w:val="28"/>
        </w:rPr>
        <w:tab/>
      </w:r>
      <w:r>
        <w:rPr>
          <w:rFonts w:hint="eastAsia" w:ascii="宋体" w:hAnsi="宋体" w:cs="宋体"/>
          <w:sz w:val="28"/>
          <w:szCs w:val="28"/>
          <w:lang w:val="en-US" w:eastAsia="zh-CN"/>
        </w:rPr>
        <w:t>5</w:t>
      </w:r>
      <w:r>
        <w:rPr>
          <w:rFonts w:hint="eastAsia" w:ascii="宋体" w:hAnsi="宋体" w:cs="宋体"/>
          <w:sz w:val="28"/>
          <w:szCs w:val="28"/>
        </w:rPr>
        <w:fldChar w:fldCharType="end"/>
      </w:r>
      <w:r>
        <w:rPr>
          <w:rFonts w:hint="eastAsia" w:ascii="宋体" w:hAnsi="宋体" w:cs="宋体"/>
          <w:sz w:val="28"/>
          <w:szCs w:val="28"/>
          <w:lang w:val="en-US" w:eastAsia="zh-CN"/>
        </w:rPr>
        <w:t>7</w:t>
      </w:r>
    </w:p>
    <w:p>
      <w:pPr>
        <w:pStyle w:val="34"/>
        <w:tabs>
          <w:tab w:val="right" w:leader="dot" w:pos="9638"/>
        </w:tabs>
        <w:ind w:firstLine="560"/>
        <w:rPr>
          <w:rFonts w:ascii="宋体" w:hAnsi="宋体" w:cs="宋体"/>
          <w:sz w:val="28"/>
          <w:szCs w:val="28"/>
        </w:rPr>
      </w:pPr>
    </w:p>
    <w:p>
      <w:pPr>
        <w:pStyle w:val="27"/>
        <w:jc w:val="center"/>
        <w:rPr>
          <w:rFonts w:ascii="隶书" w:eastAsia="隶书"/>
        </w:rPr>
      </w:pPr>
      <w:r>
        <w:rPr>
          <w:rFonts w:hint="eastAsia" w:hAnsi="宋体" w:cs="宋体"/>
          <w:sz w:val="28"/>
          <w:szCs w:val="28"/>
        </w:rPr>
        <w:fldChar w:fldCharType="end"/>
      </w:r>
    </w:p>
    <w:p>
      <w:pPr>
        <w:ind w:firstLine="3640" w:firstLineChars="1300"/>
        <w:rPr>
          <w:rFonts w:ascii="宋体" w:hAnsi="宋体"/>
          <w:sz w:val="28"/>
          <w:szCs w:val="28"/>
        </w:rPr>
      </w:pPr>
    </w:p>
    <w:p>
      <w:pPr>
        <w:ind w:firstLine="2730" w:firstLineChars="1300"/>
        <w:rPr>
          <w:szCs w:val="21"/>
        </w:rPr>
      </w:pPr>
    </w:p>
    <w:p>
      <w:pPr>
        <w:ind w:firstLine="2730" w:firstLineChars="1300"/>
        <w:rPr>
          <w:szCs w:val="21"/>
        </w:rPr>
      </w:pPr>
    </w:p>
    <w:p>
      <w:pPr>
        <w:tabs>
          <w:tab w:val="left" w:pos="3844"/>
        </w:tabs>
        <w:ind w:firstLine="2730" w:firstLineChars="1300"/>
        <w:rPr>
          <w:szCs w:val="21"/>
        </w:rPr>
      </w:pPr>
      <w:r>
        <w:rPr>
          <w:rFonts w:hint="eastAsia"/>
          <w:szCs w:val="21"/>
        </w:rPr>
        <w:tab/>
      </w:r>
    </w:p>
    <w:p>
      <w:pPr>
        <w:ind w:firstLine="2730" w:firstLineChars="1300"/>
        <w:rPr>
          <w:szCs w:val="21"/>
        </w:rPr>
      </w:pPr>
    </w:p>
    <w:p>
      <w:pPr>
        <w:ind w:firstLine="2730" w:firstLineChars="1300"/>
        <w:rPr>
          <w:szCs w:val="21"/>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rPr>
          <w:rFonts w:ascii="宋体" w:hAnsi="宋体"/>
          <w:b/>
          <w:sz w:val="32"/>
          <w:szCs w:val="32"/>
        </w:rPr>
      </w:pPr>
    </w:p>
    <w:p>
      <w:pPr>
        <w:pStyle w:val="6"/>
        <w:spacing w:beforeAutospacing="0" w:afterAutospacing="0" w:line="560" w:lineRule="exact"/>
        <w:rPr>
          <w:bCs/>
          <w:szCs w:val="32"/>
        </w:rPr>
        <w:sectPr>
          <w:footerReference r:id="rId9" w:type="default"/>
          <w:pgSz w:w="11906" w:h="16838"/>
          <w:pgMar w:top="1134" w:right="1134" w:bottom="1134" w:left="1134" w:header="851" w:footer="992" w:gutter="0"/>
          <w:pgNumType w:start="1"/>
          <w:cols w:space="720" w:num="1"/>
          <w:docGrid w:type="lines" w:linePitch="312" w:charSpace="0"/>
        </w:sectPr>
      </w:pPr>
      <w:bookmarkStart w:id="1" w:name="_Toc32427"/>
    </w:p>
    <w:bookmarkEnd w:id="1"/>
    <w:p>
      <w:pPr>
        <w:pStyle w:val="6"/>
        <w:spacing w:beforeAutospacing="0" w:afterAutospacing="0"/>
        <w:rPr>
          <w:b w:val="0"/>
          <w:szCs w:val="32"/>
        </w:rPr>
      </w:pPr>
      <w:r>
        <w:rPr>
          <w:rFonts w:hint="eastAsia"/>
        </w:rPr>
        <w:t>第一章  公开招标公告</w:t>
      </w:r>
    </w:p>
    <w:p>
      <w:pPr>
        <w:pBdr>
          <w:top w:val="single" w:color="auto" w:sz="4" w:space="1"/>
          <w:left w:val="single" w:color="auto" w:sz="4" w:space="4"/>
          <w:bottom w:val="single" w:color="auto" w:sz="4" w:space="1"/>
          <w:right w:val="single" w:color="auto" w:sz="4" w:space="4"/>
        </w:pBdr>
        <w:spacing w:line="360" w:lineRule="auto"/>
        <w:rPr>
          <w:rFonts w:ascii="宋体" w:hAnsi="宋体" w:cs="宋体"/>
          <w:color w:val="000000"/>
          <w:sz w:val="22"/>
          <w:szCs w:val="22"/>
        </w:rPr>
      </w:pPr>
      <w:r>
        <w:rPr>
          <w:rFonts w:hint="eastAsia" w:ascii="宋体" w:hAnsi="宋体" w:cs="宋体"/>
          <w:color w:val="000000"/>
          <w:sz w:val="22"/>
          <w:szCs w:val="22"/>
        </w:rPr>
        <w:t>项目概况</w:t>
      </w:r>
    </w:p>
    <w:p>
      <w:pPr>
        <w:pBdr>
          <w:top w:val="single" w:color="auto" w:sz="4" w:space="1"/>
          <w:left w:val="single" w:color="auto" w:sz="4" w:space="4"/>
          <w:bottom w:val="single" w:color="auto" w:sz="4" w:space="1"/>
          <w:right w:val="single" w:color="auto" w:sz="4" w:space="4"/>
        </w:pBdr>
        <w:wordWrap w:val="0"/>
        <w:spacing w:line="360" w:lineRule="auto"/>
        <w:ind w:firstLine="440" w:firstLineChars="200"/>
        <w:jc w:val="left"/>
        <w:rPr>
          <w:rFonts w:ascii="宋体" w:hAnsi="宋体" w:cs="宋体"/>
          <w:color w:val="000000"/>
          <w:sz w:val="22"/>
          <w:szCs w:val="22"/>
        </w:rPr>
      </w:pPr>
      <w:r>
        <w:rPr>
          <w:rFonts w:hint="eastAsia" w:ascii="宋体" w:hAnsi="宋体" w:cs="宋体"/>
          <w:color w:val="000000"/>
          <w:sz w:val="22"/>
          <w:szCs w:val="22"/>
          <w:highlight w:val="none"/>
          <w:u w:val="single"/>
          <w:lang w:val="en-US" w:eastAsia="zh-CN"/>
        </w:rPr>
        <w:t>兴安县人民医院医疗设备采购项目（三）</w:t>
      </w:r>
      <w:r>
        <w:rPr>
          <w:rFonts w:hint="eastAsia" w:ascii="宋体" w:hAnsi="宋体" w:cs="宋体"/>
          <w:color w:val="000000"/>
          <w:sz w:val="22"/>
          <w:szCs w:val="22"/>
        </w:rPr>
        <w:t>招标项目的潜在投标人应在“政采云”平台（https://www.zcygov.cn/）免费下载获取招标文件</w:t>
      </w:r>
      <w:r>
        <w:rPr>
          <w:rFonts w:hint="eastAsia" w:ascii="宋体" w:hAnsi="宋体" w:cs="宋体"/>
          <w:color w:val="000000" w:themeColor="text1"/>
          <w:sz w:val="22"/>
          <w:szCs w:val="22"/>
          <w14:textFill>
            <w14:solidFill>
              <w14:schemeClr w14:val="tx1"/>
            </w14:solidFill>
          </w14:textFill>
        </w:rPr>
        <w:t>，并于</w:t>
      </w:r>
      <w:r>
        <w:rPr>
          <w:rFonts w:hint="eastAsia" w:ascii="宋体" w:hAnsi="宋体" w:cs="宋体"/>
          <w:color w:val="000000" w:themeColor="text1"/>
          <w:sz w:val="22"/>
          <w:szCs w:val="22"/>
          <w:highlight w:val="none"/>
          <w:u w:val="single"/>
          <w14:textFill>
            <w14:solidFill>
              <w14:schemeClr w14:val="tx1"/>
            </w14:solidFill>
          </w14:textFill>
        </w:rPr>
        <w:t>202</w:t>
      </w:r>
      <w:r>
        <w:rPr>
          <w:rFonts w:hint="eastAsia" w:ascii="宋体" w:hAnsi="宋体" w:cs="宋体"/>
          <w:color w:val="000000" w:themeColor="text1"/>
          <w:sz w:val="22"/>
          <w:szCs w:val="22"/>
          <w:highlight w:val="none"/>
          <w:u w:val="single"/>
          <w:lang w:val="en-US" w:eastAsia="zh-CN"/>
          <w14:textFill>
            <w14:solidFill>
              <w14:schemeClr w14:val="tx1"/>
            </w14:solidFill>
          </w14:textFill>
        </w:rPr>
        <w:t>3</w:t>
      </w:r>
      <w:r>
        <w:rPr>
          <w:rFonts w:hint="eastAsia" w:ascii="宋体" w:hAnsi="宋体" w:cs="宋体"/>
          <w:color w:val="000000" w:themeColor="text1"/>
          <w:sz w:val="22"/>
          <w:szCs w:val="22"/>
          <w:highlight w:val="none"/>
          <w:u w:val="single"/>
          <w14:textFill>
            <w14:solidFill>
              <w14:schemeClr w14:val="tx1"/>
            </w14:solidFill>
          </w14:textFill>
        </w:rPr>
        <w:t>年</w:t>
      </w:r>
      <w:r>
        <w:rPr>
          <w:rFonts w:hint="eastAsia" w:ascii="宋体" w:hAnsi="宋体" w:cs="宋体"/>
          <w:color w:val="000000" w:themeColor="text1"/>
          <w:sz w:val="22"/>
          <w:szCs w:val="22"/>
          <w:highlight w:val="none"/>
          <w:u w:val="single"/>
          <w:lang w:val="en-US" w:eastAsia="zh-CN"/>
          <w14:textFill>
            <w14:solidFill>
              <w14:schemeClr w14:val="tx1"/>
            </w14:solidFill>
          </w14:textFill>
        </w:rPr>
        <w:t>1</w:t>
      </w:r>
      <w:r>
        <w:rPr>
          <w:rFonts w:hint="eastAsia" w:ascii="宋体" w:hAnsi="宋体" w:cs="宋体"/>
          <w:color w:val="000000" w:themeColor="text1"/>
          <w:sz w:val="22"/>
          <w:szCs w:val="22"/>
          <w:highlight w:val="none"/>
          <w:u w:val="single"/>
          <w14:textFill>
            <w14:solidFill>
              <w14:schemeClr w14:val="tx1"/>
            </w14:solidFill>
          </w14:textFill>
        </w:rPr>
        <w:t>月</w:t>
      </w:r>
      <w:r>
        <w:rPr>
          <w:rFonts w:hint="eastAsia" w:ascii="宋体" w:hAnsi="宋体" w:cs="宋体"/>
          <w:color w:val="000000" w:themeColor="text1"/>
          <w:sz w:val="22"/>
          <w:szCs w:val="22"/>
          <w:highlight w:val="none"/>
          <w:u w:val="single"/>
          <w:lang w:val="en-US" w:eastAsia="zh-CN"/>
          <w14:textFill>
            <w14:solidFill>
              <w14:schemeClr w14:val="tx1"/>
            </w14:solidFill>
          </w14:textFill>
        </w:rPr>
        <w:t>17</w:t>
      </w:r>
      <w:r>
        <w:rPr>
          <w:rFonts w:hint="eastAsia" w:ascii="宋体" w:hAnsi="宋体" w:cs="宋体"/>
          <w:color w:val="000000" w:themeColor="text1"/>
          <w:sz w:val="22"/>
          <w:szCs w:val="22"/>
          <w:highlight w:val="none"/>
          <w:u w:val="single"/>
          <w14:textFill>
            <w14:solidFill>
              <w14:schemeClr w14:val="tx1"/>
            </w14:solidFill>
          </w14:textFill>
        </w:rPr>
        <w:t>日</w:t>
      </w:r>
      <w:r>
        <w:rPr>
          <w:rFonts w:hint="eastAsia" w:ascii="宋体" w:hAnsi="宋体" w:cs="宋体"/>
          <w:color w:val="000000" w:themeColor="text1"/>
          <w:sz w:val="22"/>
          <w:szCs w:val="22"/>
          <w:highlight w:val="none"/>
          <w:u w:val="single"/>
          <w:lang w:val="en-US" w:eastAsia="zh-CN"/>
          <w14:textFill>
            <w14:solidFill>
              <w14:schemeClr w14:val="tx1"/>
            </w14:solidFill>
          </w14:textFill>
        </w:rPr>
        <w:t>0</w:t>
      </w:r>
      <w:r>
        <w:rPr>
          <w:rFonts w:hint="eastAsia" w:ascii="宋体" w:hAnsi="宋体" w:cs="宋体"/>
          <w:color w:val="000000" w:themeColor="text1"/>
          <w:sz w:val="22"/>
          <w:szCs w:val="22"/>
          <w:highlight w:val="none"/>
          <w:u w:val="single"/>
          <w14:textFill>
            <w14:solidFill>
              <w14:schemeClr w14:val="tx1"/>
            </w14:solidFill>
          </w14:textFill>
        </w:rPr>
        <w:t>9</w:t>
      </w:r>
      <w:r>
        <w:rPr>
          <w:rFonts w:hint="eastAsia" w:ascii="宋体" w:hAnsi="宋体" w:cs="宋体"/>
          <w:bCs/>
          <w:color w:val="000000" w:themeColor="text1"/>
          <w:sz w:val="22"/>
          <w:szCs w:val="22"/>
          <w:highlight w:val="none"/>
          <w:u w:val="single"/>
          <w14:textFill>
            <w14:solidFill>
              <w14:schemeClr w14:val="tx1"/>
            </w14:solidFill>
          </w14:textFill>
        </w:rPr>
        <w:t>时30分</w:t>
      </w:r>
      <w:r>
        <w:rPr>
          <w:rFonts w:hint="eastAsia" w:ascii="宋体" w:hAnsi="宋体" w:cs="宋体"/>
          <w:bCs/>
          <w:color w:val="000000" w:themeColor="text1"/>
          <w:sz w:val="22"/>
          <w:szCs w:val="22"/>
          <w:highlight w:val="none"/>
          <w14:textFill>
            <w14:solidFill>
              <w14:schemeClr w14:val="tx1"/>
            </w14:solidFill>
          </w14:textFill>
        </w:rPr>
        <w:t>（北</w:t>
      </w:r>
      <w:r>
        <w:rPr>
          <w:rFonts w:hint="eastAsia" w:ascii="宋体" w:hAnsi="宋体" w:cs="宋体"/>
          <w:bCs/>
          <w:color w:val="000000" w:themeColor="text1"/>
          <w:sz w:val="22"/>
          <w:szCs w:val="22"/>
          <w14:textFill>
            <w14:solidFill>
              <w14:schemeClr w14:val="tx1"/>
            </w14:solidFill>
          </w14:textFill>
        </w:rPr>
        <w:t>京时间）</w:t>
      </w:r>
      <w:r>
        <w:rPr>
          <w:rFonts w:hint="eastAsia" w:ascii="宋体" w:hAnsi="宋体" w:cs="宋体"/>
          <w:bCs/>
          <w:color w:val="000000"/>
          <w:sz w:val="22"/>
          <w:szCs w:val="22"/>
        </w:rPr>
        <w:t>前递交投标文件</w:t>
      </w:r>
      <w:r>
        <w:rPr>
          <w:rFonts w:hint="eastAsia" w:ascii="宋体" w:hAnsi="宋体" w:cs="宋体"/>
          <w:color w:val="000000"/>
          <w:sz w:val="22"/>
          <w:szCs w:val="22"/>
        </w:rPr>
        <w:t>。</w:t>
      </w:r>
    </w:p>
    <w:p>
      <w:pPr>
        <w:spacing w:line="300" w:lineRule="exact"/>
        <w:rPr>
          <w:rFonts w:ascii="宋体" w:hAnsi="宋体" w:cs="宋体"/>
          <w:b/>
          <w:bCs/>
          <w:sz w:val="22"/>
          <w:szCs w:val="22"/>
        </w:rPr>
      </w:pPr>
    </w:p>
    <w:p>
      <w:pPr>
        <w:spacing w:line="300" w:lineRule="exact"/>
        <w:rPr>
          <w:rFonts w:ascii="宋体" w:hAnsi="宋体" w:cs="宋体"/>
          <w:b/>
          <w:bCs/>
          <w:szCs w:val="21"/>
        </w:rPr>
      </w:pPr>
      <w:r>
        <w:rPr>
          <w:rFonts w:hint="eastAsia" w:ascii="宋体" w:hAnsi="宋体" w:cs="宋体"/>
          <w:b/>
          <w:bCs/>
          <w:szCs w:val="21"/>
        </w:rPr>
        <w:t>一、项目基本情况</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rPr>
        <w:t>项目名称：</w:t>
      </w:r>
      <w:r>
        <w:rPr>
          <w:rFonts w:hint="eastAsia" w:ascii="宋体" w:hAnsi="宋体" w:cs="宋体"/>
          <w:szCs w:val="21"/>
          <w:highlight w:val="none"/>
          <w:lang w:val="en-US" w:eastAsia="zh-CN"/>
        </w:rPr>
        <w:t>兴安县人民医院医疗设备采购项目（三）</w:t>
      </w:r>
    </w:p>
    <w:p>
      <w:pPr>
        <w:spacing w:line="360" w:lineRule="auto"/>
        <w:ind w:firstLine="420" w:firstLineChars="200"/>
        <w:rPr>
          <w:rFonts w:hint="eastAsia" w:ascii="宋体" w:hAnsi="宋体" w:cs="宋体"/>
          <w:szCs w:val="21"/>
          <w:highlight w:val="none"/>
        </w:rPr>
      </w:pPr>
      <w:r>
        <w:rPr>
          <w:rFonts w:hint="eastAsia" w:ascii="宋体" w:hAnsi="宋体" w:cs="宋体"/>
          <w:szCs w:val="21"/>
        </w:rPr>
        <w:t>项目编号：</w:t>
      </w:r>
      <w:r>
        <w:rPr>
          <w:rFonts w:hint="eastAsia" w:ascii="宋体" w:hAnsi="宋体" w:cs="宋体"/>
          <w:szCs w:val="21"/>
          <w:highlight w:val="none"/>
        </w:rPr>
        <w:t>GLZC2022-G1-250091-WDMZ</w:t>
      </w:r>
    </w:p>
    <w:p>
      <w:pPr>
        <w:spacing w:line="360" w:lineRule="auto"/>
        <w:ind w:firstLine="420" w:firstLineChars="200"/>
        <w:rPr>
          <w:rFonts w:hint="default" w:ascii="宋体" w:hAnsi="宋体" w:cs="宋体"/>
          <w:szCs w:val="21"/>
          <w:highlight w:val="none"/>
          <w:lang w:val="en-US"/>
        </w:rPr>
      </w:pPr>
      <w:r>
        <w:rPr>
          <w:rFonts w:hint="eastAsia" w:ascii="宋体" w:hAnsi="宋体" w:cs="宋体"/>
          <w:szCs w:val="21"/>
        </w:rPr>
        <w:t>预算金额：</w:t>
      </w:r>
      <w:r>
        <w:rPr>
          <w:rFonts w:hint="eastAsia" w:ascii="宋体" w:hAnsi="宋体" w:cs="宋体"/>
          <w:szCs w:val="21"/>
          <w:highlight w:val="none"/>
          <w:lang w:val="en-US" w:eastAsia="zh-CN"/>
        </w:rPr>
        <w:t>陆佰陆拾伍万贰仟</w:t>
      </w:r>
      <w:r>
        <w:rPr>
          <w:rFonts w:hint="eastAsia" w:ascii="宋体" w:hAnsi="宋体" w:cs="宋体"/>
          <w:szCs w:val="21"/>
          <w:highlight w:val="none"/>
        </w:rPr>
        <w:t>元整（¥</w:t>
      </w:r>
      <w:r>
        <w:rPr>
          <w:rFonts w:hint="eastAsia" w:ascii="宋体" w:hAnsi="宋体" w:cs="宋体"/>
          <w:szCs w:val="21"/>
          <w:highlight w:val="none"/>
          <w:lang w:val="en-US" w:eastAsia="zh-CN"/>
        </w:rPr>
        <w:t>6652000</w:t>
      </w:r>
      <w:r>
        <w:rPr>
          <w:rFonts w:hint="eastAsia" w:ascii="宋体" w:hAnsi="宋体" w:cs="宋体"/>
          <w:szCs w:val="21"/>
          <w:highlight w:val="none"/>
        </w:rPr>
        <w:t>元）</w:t>
      </w:r>
      <w:r>
        <w:rPr>
          <w:rFonts w:hint="eastAsia" w:ascii="宋体" w:hAnsi="宋体" w:cs="宋体"/>
          <w:szCs w:val="21"/>
          <w:highlight w:val="none"/>
          <w:lang w:eastAsia="zh-CN"/>
        </w:rPr>
        <w:t>，</w:t>
      </w:r>
      <w:r>
        <w:rPr>
          <w:rFonts w:hint="eastAsia" w:ascii="宋体" w:hAnsi="宋体" w:cs="宋体"/>
          <w:szCs w:val="21"/>
          <w:highlight w:val="none"/>
          <w:lang w:val="en-US" w:eastAsia="zh-CN"/>
        </w:rPr>
        <w:t>其中A分标预算金额为4400000元；B分标预算金额为980000元；C分标预算金额为1272000元。</w:t>
      </w:r>
    </w:p>
    <w:p>
      <w:pPr>
        <w:spacing w:line="360" w:lineRule="auto"/>
        <w:ind w:firstLine="420" w:firstLineChars="200"/>
        <w:rPr>
          <w:rFonts w:hint="eastAsia" w:ascii="宋体" w:hAnsi="宋体" w:cs="宋体"/>
          <w:szCs w:val="21"/>
        </w:rPr>
      </w:pPr>
      <w:r>
        <w:rPr>
          <w:rFonts w:hint="eastAsia" w:ascii="宋体" w:hAnsi="宋体" w:cs="宋体"/>
          <w:szCs w:val="21"/>
        </w:rPr>
        <w:t>采购需求：</w:t>
      </w:r>
    </w:p>
    <w:p>
      <w:pPr>
        <w:pStyle w:val="2"/>
        <w:spacing w:line="360" w:lineRule="auto"/>
        <w:ind w:left="0" w:leftChars="0"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A分标</w:t>
      </w:r>
    </w:p>
    <w:tbl>
      <w:tblPr>
        <w:tblStyle w:val="43"/>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466"/>
        <w:gridCol w:w="668"/>
        <w:gridCol w:w="1020"/>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48" w:type="dxa"/>
            <w:vAlign w:val="center"/>
          </w:tcPr>
          <w:p>
            <w:pPr>
              <w:spacing w:line="360" w:lineRule="auto"/>
              <w:jc w:val="center"/>
              <w:rPr>
                <w:rFonts w:ascii="宋体" w:hAnsi="宋体" w:cs="宋体"/>
                <w:szCs w:val="21"/>
              </w:rPr>
            </w:pPr>
            <w:r>
              <w:rPr>
                <w:rFonts w:hint="eastAsia" w:ascii="宋体" w:hAnsi="宋体" w:cs="宋体"/>
                <w:szCs w:val="21"/>
              </w:rPr>
              <w:t>项号</w:t>
            </w:r>
          </w:p>
        </w:tc>
        <w:tc>
          <w:tcPr>
            <w:tcW w:w="3466" w:type="dxa"/>
            <w:vAlign w:val="center"/>
          </w:tcPr>
          <w:p>
            <w:pPr>
              <w:spacing w:line="360" w:lineRule="auto"/>
              <w:jc w:val="center"/>
              <w:rPr>
                <w:rFonts w:ascii="宋体" w:hAnsi="宋体" w:cs="宋体"/>
                <w:szCs w:val="21"/>
              </w:rPr>
            </w:pPr>
            <w:r>
              <w:rPr>
                <w:rFonts w:hint="eastAsia" w:ascii="宋体" w:hAnsi="宋体" w:cs="宋体"/>
                <w:szCs w:val="21"/>
              </w:rPr>
              <w:t>货物名称</w:t>
            </w:r>
          </w:p>
        </w:tc>
        <w:tc>
          <w:tcPr>
            <w:tcW w:w="668" w:type="dxa"/>
            <w:vAlign w:val="center"/>
          </w:tcPr>
          <w:p>
            <w:pPr>
              <w:spacing w:line="360" w:lineRule="auto"/>
              <w:jc w:val="center"/>
              <w:rPr>
                <w:rFonts w:ascii="宋体" w:hAnsi="宋体" w:cs="宋体"/>
                <w:szCs w:val="21"/>
              </w:rPr>
            </w:pPr>
            <w:r>
              <w:rPr>
                <w:rFonts w:hint="eastAsia" w:ascii="宋体" w:hAnsi="宋体" w:cs="宋体"/>
                <w:szCs w:val="21"/>
              </w:rPr>
              <w:t>数量</w:t>
            </w:r>
          </w:p>
        </w:tc>
        <w:tc>
          <w:tcPr>
            <w:tcW w:w="1020" w:type="dxa"/>
            <w:vAlign w:val="center"/>
          </w:tcPr>
          <w:p>
            <w:pPr>
              <w:spacing w:line="360" w:lineRule="auto"/>
              <w:jc w:val="center"/>
              <w:rPr>
                <w:rFonts w:ascii="宋体" w:hAnsi="宋体" w:cs="宋体"/>
                <w:szCs w:val="21"/>
              </w:rPr>
            </w:pPr>
            <w:r>
              <w:rPr>
                <w:rFonts w:hint="eastAsia" w:ascii="宋体" w:hAnsi="宋体" w:cs="宋体"/>
                <w:szCs w:val="21"/>
              </w:rPr>
              <w:t>单位</w:t>
            </w:r>
          </w:p>
        </w:tc>
        <w:tc>
          <w:tcPr>
            <w:tcW w:w="3048" w:type="dxa"/>
            <w:vAlign w:val="center"/>
          </w:tcPr>
          <w:p>
            <w:pPr>
              <w:spacing w:line="360" w:lineRule="auto"/>
              <w:jc w:val="center"/>
              <w:rPr>
                <w:rFonts w:ascii="宋体" w:hAnsi="宋体" w:cs="宋体"/>
                <w:szCs w:val="21"/>
              </w:rPr>
            </w:pPr>
            <w:r>
              <w:rPr>
                <w:rFonts w:hint="eastAsia" w:ascii="宋体" w:hAnsi="宋体" w:cs="宋体"/>
                <w:szCs w:val="21"/>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8" w:type="dxa"/>
            <w:vAlign w:val="center"/>
          </w:tcPr>
          <w:p>
            <w:pPr>
              <w:widowControl/>
              <w:spacing w:line="360" w:lineRule="auto"/>
              <w:jc w:val="center"/>
              <w:textAlignment w:val="center"/>
              <w:rPr>
                <w:rFonts w:ascii="宋体" w:hAnsi="宋体" w:cs="宋体"/>
                <w:bCs/>
                <w:szCs w:val="21"/>
                <w:highlight w:val="none"/>
              </w:rPr>
            </w:pPr>
            <w:r>
              <w:rPr>
                <w:rFonts w:hint="eastAsia" w:ascii="宋体" w:hAnsi="宋体" w:cs="宋体"/>
                <w:bCs/>
                <w:color w:val="000000"/>
                <w:kern w:val="0"/>
                <w:szCs w:val="21"/>
                <w:highlight w:val="none"/>
                <w:lang w:bidi="ar"/>
              </w:rPr>
              <w:t>1</w:t>
            </w:r>
          </w:p>
        </w:tc>
        <w:tc>
          <w:tcPr>
            <w:tcW w:w="3466" w:type="dxa"/>
            <w:vAlign w:val="center"/>
          </w:tcPr>
          <w:p>
            <w:pPr>
              <w:widowControl/>
              <w:spacing w:line="360" w:lineRule="auto"/>
              <w:jc w:val="center"/>
              <w:textAlignment w:val="center"/>
              <w:rPr>
                <w:rFonts w:ascii="宋体" w:hAnsi="宋体" w:cs="宋体"/>
                <w:bCs/>
                <w:szCs w:val="21"/>
                <w:highlight w:val="none"/>
              </w:rPr>
            </w:pPr>
            <w:r>
              <w:rPr>
                <w:rFonts w:hint="eastAsia" w:ascii="宋体" w:hAnsi="宋体" w:cs="宋体"/>
                <w:bCs/>
                <w:szCs w:val="21"/>
                <w:highlight w:val="none"/>
              </w:rPr>
              <w:t>高清电子胃肠镜系统</w:t>
            </w:r>
          </w:p>
        </w:tc>
        <w:tc>
          <w:tcPr>
            <w:tcW w:w="668" w:type="dxa"/>
            <w:vAlign w:val="center"/>
          </w:tcPr>
          <w:p>
            <w:pPr>
              <w:spacing w:line="360" w:lineRule="auto"/>
              <w:ind w:firstLine="105" w:firstLineChars="50"/>
              <w:jc w:val="center"/>
              <w:rPr>
                <w:rFonts w:ascii="宋体" w:hAnsi="宋体" w:cs="宋体"/>
                <w:bCs/>
                <w:szCs w:val="21"/>
                <w:highlight w:val="none"/>
              </w:rPr>
            </w:pPr>
            <w:r>
              <w:rPr>
                <w:rFonts w:hint="eastAsia" w:ascii="宋体" w:hAnsi="宋体" w:cs="宋体"/>
                <w:bCs/>
                <w:szCs w:val="21"/>
                <w:highlight w:val="none"/>
              </w:rPr>
              <w:t>1</w:t>
            </w:r>
          </w:p>
        </w:tc>
        <w:tc>
          <w:tcPr>
            <w:tcW w:w="102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套</w:t>
            </w:r>
          </w:p>
        </w:tc>
        <w:tc>
          <w:tcPr>
            <w:tcW w:w="3048" w:type="dxa"/>
            <w:vAlign w:val="center"/>
          </w:tcPr>
          <w:p>
            <w:pPr>
              <w:spacing w:line="360" w:lineRule="auto"/>
              <w:ind w:firstLine="840" w:firstLineChars="400"/>
              <w:rPr>
                <w:rFonts w:ascii="宋体" w:hAnsi="宋体" w:cs="宋体"/>
                <w:bCs/>
                <w:szCs w:val="21"/>
                <w:highlight w:val="none"/>
              </w:rPr>
            </w:pPr>
            <w:r>
              <w:rPr>
                <w:rFonts w:hint="eastAsia" w:ascii="宋体" w:hAnsi="宋体" w:cs="宋体"/>
                <w:bCs/>
                <w:szCs w:val="21"/>
                <w:highlight w:val="none"/>
              </w:rPr>
              <w:t>详见采购需求</w:t>
            </w:r>
          </w:p>
        </w:tc>
      </w:tr>
    </w:tbl>
    <w:p>
      <w:pPr>
        <w:pStyle w:val="60"/>
        <w:spacing w:line="360" w:lineRule="auto"/>
        <w:ind w:firstLine="462" w:firstLineChars="200"/>
        <w:rPr>
          <w:rFonts w:hint="default" w:ascii="宋体" w:hAnsi="宋体" w:eastAsia="宋体" w:cs="宋体"/>
          <w:b/>
          <w:bCs w:val="0"/>
          <w:sz w:val="21"/>
          <w:szCs w:val="21"/>
          <w:highlight w:val="none"/>
          <w:lang w:val="en-US" w:eastAsia="zh-CN"/>
        </w:rPr>
      </w:pPr>
      <w:r>
        <w:rPr>
          <w:rFonts w:hint="eastAsia" w:ascii="宋体" w:hAnsi="宋体" w:cs="宋体"/>
          <w:b/>
          <w:bCs w:val="0"/>
          <w:sz w:val="21"/>
          <w:szCs w:val="21"/>
          <w:highlight w:val="none"/>
          <w:lang w:val="en-US" w:eastAsia="zh-CN"/>
        </w:rPr>
        <w:t>B分标</w:t>
      </w:r>
    </w:p>
    <w:tbl>
      <w:tblPr>
        <w:tblStyle w:val="43"/>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466"/>
        <w:gridCol w:w="668"/>
        <w:gridCol w:w="1020"/>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48"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项号</w:t>
            </w:r>
          </w:p>
        </w:tc>
        <w:tc>
          <w:tcPr>
            <w:tcW w:w="3466"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货物名称</w:t>
            </w:r>
          </w:p>
        </w:tc>
        <w:tc>
          <w:tcPr>
            <w:tcW w:w="668"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数量</w:t>
            </w:r>
          </w:p>
        </w:tc>
        <w:tc>
          <w:tcPr>
            <w:tcW w:w="1020"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单位</w:t>
            </w:r>
          </w:p>
        </w:tc>
        <w:tc>
          <w:tcPr>
            <w:tcW w:w="3048"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8" w:type="dxa"/>
            <w:vAlign w:val="center"/>
          </w:tcPr>
          <w:p>
            <w:pPr>
              <w:widowControl/>
              <w:spacing w:line="360" w:lineRule="auto"/>
              <w:jc w:val="center"/>
              <w:textAlignment w:val="center"/>
              <w:rPr>
                <w:rFonts w:ascii="宋体" w:hAnsi="宋体" w:cs="宋体"/>
                <w:bCs/>
                <w:szCs w:val="21"/>
                <w:highlight w:val="none"/>
              </w:rPr>
            </w:pPr>
            <w:r>
              <w:rPr>
                <w:rFonts w:hint="eastAsia" w:ascii="宋体" w:hAnsi="宋体" w:cs="宋体"/>
                <w:bCs/>
                <w:color w:val="000000"/>
                <w:kern w:val="0"/>
                <w:szCs w:val="21"/>
                <w:highlight w:val="none"/>
                <w:lang w:bidi="ar"/>
              </w:rPr>
              <w:t>1</w:t>
            </w:r>
          </w:p>
        </w:tc>
        <w:tc>
          <w:tcPr>
            <w:tcW w:w="3466" w:type="dxa"/>
            <w:vAlign w:val="center"/>
          </w:tcPr>
          <w:p>
            <w:pPr>
              <w:widowControl/>
              <w:spacing w:line="360" w:lineRule="auto"/>
              <w:jc w:val="center"/>
              <w:textAlignment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电子十二指肠内窥镜</w:t>
            </w:r>
          </w:p>
        </w:tc>
        <w:tc>
          <w:tcPr>
            <w:tcW w:w="668" w:type="dxa"/>
            <w:vAlign w:val="center"/>
          </w:tcPr>
          <w:p>
            <w:pPr>
              <w:spacing w:line="360" w:lineRule="auto"/>
              <w:ind w:firstLine="105" w:firstLineChars="50"/>
              <w:jc w:val="center"/>
              <w:rPr>
                <w:rFonts w:ascii="宋体" w:hAnsi="宋体" w:cs="宋体"/>
                <w:bCs/>
                <w:szCs w:val="21"/>
                <w:highlight w:val="none"/>
              </w:rPr>
            </w:pPr>
            <w:r>
              <w:rPr>
                <w:rFonts w:hint="eastAsia" w:ascii="宋体" w:hAnsi="宋体" w:cs="宋体"/>
                <w:bCs/>
                <w:szCs w:val="21"/>
                <w:highlight w:val="none"/>
              </w:rPr>
              <w:t>1</w:t>
            </w:r>
          </w:p>
        </w:tc>
        <w:tc>
          <w:tcPr>
            <w:tcW w:w="102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套</w:t>
            </w:r>
          </w:p>
        </w:tc>
        <w:tc>
          <w:tcPr>
            <w:tcW w:w="3048" w:type="dxa"/>
            <w:vAlign w:val="center"/>
          </w:tcPr>
          <w:p>
            <w:pPr>
              <w:spacing w:line="360" w:lineRule="auto"/>
              <w:ind w:firstLine="840" w:firstLineChars="400"/>
              <w:rPr>
                <w:rFonts w:ascii="宋体" w:hAnsi="宋体" w:cs="宋体"/>
                <w:bCs/>
                <w:szCs w:val="21"/>
                <w:highlight w:val="none"/>
              </w:rPr>
            </w:pPr>
            <w:r>
              <w:rPr>
                <w:rFonts w:hint="eastAsia" w:ascii="宋体" w:hAnsi="宋体" w:cs="宋体"/>
                <w:bCs/>
                <w:szCs w:val="21"/>
                <w:highlight w:val="none"/>
              </w:rPr>
              <w:t>详见采购需求</w:t>
            </w:r>
          </w:p>
        </w:tc>
      </w:tr>
    </w:tbl>
    <w:p>
      <w:pPr>
        <w:pStyle w:val="2"/>
        <w:spacing w:line="360" w:lineRule="auto"/>
        <w:ind w:left="0" w:leftChars="0" w:firstLine="482" w:firstLineChars="200"/>
        <w:rPr>
          <w:rFonts w:hint="eastAsia"/>
          <w:b/>
          <w:bCs/>
          <w:lang w:val="en-US" w:eastAsia="zh-CN"/>
        </w:rPr>
      </w:pPr>
      <w:r>
        <w:rPr>
          <w:rFonts w:hint="eastAsia"/>
          <w:b/>
          <w:bCs/>
          <w:lang w:val="en-US" w:eastAsia="zh-CN"/>
        </w:rPr>
        <w:t>C分标</w:t>
      </w:r>
    </w:p>
    <w:tbl>
      <w:tblPr>
        <w:tblStyle w:val="43"/>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466"/>
        <w:gridCol w:w="668"/>
        <w:gridCol w:w="1020"/>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48"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项号</w:t>
            </w:r>
          </w:p>
        </w:tc>
        <w:tc>
          <w:tcPr>
            <w:tcW w:w="3466"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货物名称</w:t>
            </w:r>
          </w:p>
        </w:tc>
        <w:tc>
          <w:tcPr>
            <w:tcW w:w="668"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数量</w:t>
            </w:r>
          </w:p>
        </w:tc>
        <w:tc>
          <w:tcPr>
            <w:tcW w:w="1020"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单位</w:t>
            </w:r>
          </w:p>
        </w:tc>
        <w:tc>
          <w:tcPr>
            <w:tcW w:w="3048"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8" w:type="dxa"/>
            <w:vAlign w:val="center"/>
          </w:tcPr>
          <w:p>
            <w:pPr>
              <w:widowControl/>
              <w:spacing w:line="360" w:lineRule="auto"/>
              <w:jc w:val="center"/>
              <w:textAlignment w:val="center"/>
              <w:rPr>
                <w:rFonts w:ascii="宋体" w:hAnsi="宋体" w:cs="宋体"/>
                <w:bCs/>
                <w:szCs w:val="21"/>
                <w:highlight w:val="none"/>
              </w:rPr>
            </w:pPr>
            <w:r>
              <w:rPr>
                <w:rFonts w:hint="eastAsia" w:ascii="宋体" w:hAnsi="宋体" w:cs="宋体"/>
                <w:bCs/>
                <w:color w:val="000000"/>
                <w:kern w:val="0"/>
                <w:szCs w:val="21"/>
                <w:highlight w:val="none"/>
                <w:lang w:bidi="ar"/>
              </w:rPr>
              <w:t>1</w:t>
            </w:r>
          </w:p>
        </w:tc>
        <w:tc>
          <w:tcPr>
            <w:tcW w:w="3466" w:type="dxa"/>
            <w:vAlign w:val="center"/>
          </w:tcPr>
          <w:p>
            <w:pPr>
              <w:widowControl/>
              <w:spacing w:line="360" w:lineRule="auto"/>
              <w:jc w:val="center"/>
              <w:textAlignment w:val="center"/>
              <w:rPr>
                <w:rFonts w:hint="default" w:ascii="宋体" w:hAnsi="宋体" w:eastAsia="宋体" w:cs="宋体"/>
                <w:bCs/>
                <w:szCs w:val="21"/>
                <w:highlight w:val="none"/>
                <w:lang w:val="en-US" w:eastAsia="zh-CN"/>
              </w:rPr>
            </w:pPr>
            <w:r>
              <w:rPr>
                <w:rFonts w:hint="default" w:ascii="宋体" w:hAnsi="宋体" w:eastAsia="宋体" w:cs="宋体"/>
                <w:bCs/>
                <w:szCs w:val="21"/>
                <w:highlight w:val="none"/>
                <w:lang w:val="en-US" w:eastAsia="zh-CN"/>
              </w:rPr>
              <w:t>反搏泵</w:t>
            </w:r>
          </w:p>
        </w:tc>
        <w:tc>
          <w:tcPr>
            <w:tcW w:w="668" w:type="dxa"/>
            <w:vAlign w:val="center"/>
          </w:tcPr>
          <w:p>
            <w:pPr>
              <w:spacing w:line="360" w:lineRule="auto"/>
              <w:ind w:firstLine="105" w:firstLineChars="50"/>
              <w:jc w:val="center"/>
              <w:rPr>
                <w:rFonts w:ascii="宋体" w:hAnsi="宋体" w:cs="宋体"/>
                <w:bCs/>
                <w:szCs w:val="21"/>
                <w:highlight w:val="none"/>
              </w:rPr>
            </w:pPr>
            <w:r>
              <w:rPr>
                <w:rFonts w:hint="eastAsia" w:ascii="宋体" w:hAnsi="宋体" w:cs="宋体"/>
                <w:bCs/>
                <w:szCs w:val="21"/>
                <w:highlight w:val="none"/>
              </w:rPr>
              <w:t>1</w:t>
            </w:r>
          </w:p>
        </w:tc>
        <w:tc>
          <w:tcPr>
            <w:tcW w:w="102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套</w:t>
            </w:r>
          </w:p>
        </w:tc>
        <w:tc>
          <w:tcPr>
            <w:tcW w:w="3048" w:type="dxa"/>
            <w:vAlign w:val="center"/>
          </w:tcPr>
          <w:p>
            <w:pPr>
              <w:spacing w:line="360" w:lineRule="auto"/>
              <w:ind w:firstLine="840" w:firstLineChars="400"/>
              <w:rPr>
                <w:rFonts w:ascii="宋体" w:hAnsi="宋体" w:cs="宋体"/>
                <w:bCs/>
                <w:szCs w:val="21"/>
                <w:highlight w:val="none"/>
              </w:rPr>
            </w:pPr>
            <w:r>
              <w:rPr>
                <w:rFonts w:hint="eastAsia" w:ascii="宋体" w:hAnsi="宋体" w:cs="宋体"/>
                <w:bCs/>
                <w:szCs w:val="21"/>
                <w:highlight w:val="none"/>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8" w:type="dxa"/>
            <w:vAlign w:val="center"/>
          </w:tcPr>
          <w:p>
            <w:pPr>
              <w:widowControl/>
              <w:spacing w:line="360" w:lineRule="auto"/>
              <w:jc w:val="center"/>
              <w:textAlignment w:val="center"/>
              <w:rPr>
                <w:rFonts w:hint="eastAsia" w:ascii="宋体" w:hAnsi="宋体" w:eastAsia="宋体" w:cs="宋体"/>
                <w:bCs/>
                <w:color w:val="000000"/>
                <w:kern w:val="0"/>
                <w:szCs w:val="21"/>
                <w:highlight w:val="none"/>
                <w:lang w:val="en-US" w:eastAsia="zh-CN" w:bidi="ar"/>
              </w:rPr>
            </w:pPr>
            <w:r>
              <w:rPr>
                <w:rFonts w:hint="eastAsia" w:ascii="宋体" w:hAnsi="宋体" w:cs="宋体"/>
                <w:bCs/>
                <w:color w:val="000000"/>
                <w:kern w:val="0"/>
                <w:szCs w:val="21"/>
                <w:highlight w:val="none"/>
                <w:lang w:val="en-US" w:eastAsia="zh-CN" w:bidi="ar"/>
              </w:rPr>
              <w:t>2</w:t>
            </w:r>
          </w:p>
        </w:tc>
        <w:tc>
          <w:tcPr>
            <w:tcW w:w="3466" w:type="dxa"/>
            <w:vAlign w:val="center"/>
          </w:tcPr>
          <w:p>
            <w:pPr>
              <w:widowControl/>
              <w:spacing w:line="360" w:lineRule="auto"/>
              <w:jc w:val="center"/>
              <w:textAlignment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角膜地形图测试仪</w:t>
            </w:r>
          </w:p>
        </w:tc>
        <w:tc>
          <w:tcPr>
            <w:tcW w:w="668" w:type="dxa"/>
            <w:vAlign w:val="center"/>
          </w:tcPr>
          <w:p>
            <w:pPr>
              <w:spacing w:line="360" w:lineRule="auto"/>
              <w:ind w:firstLine="105" w:firstLineChars="50"/>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1</w:t>
            </w:r>
          </w:p>
        </w:tc>
        <w:tc>
          <w:tcPr>
            <w:tcW w:w="1020" w:type="dxa"/>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套</w:t>
            </w:r>
          </w:p>
        </w:tc>
        <w:tc>
          <w:tcPr>
            <w:tcW w:w="3048" w:type="dxa"/>
            <w:vAlign w:val="center"/>
          </w:tcPr>
          <w:p>
            <w:pPr>
              <w:spacing w:line="360" w:lineRule="auto"/>
              <w:ind w:firstLine="840" w:firstLineChars="400"/>
              <w:rPr>
                <w:rFonts w:hint="eastAsia" w:ascii="宋体" w:hAnsi="宋体" w:cs="宋体"/>
                <w:bCs/>
                <w:szCs w:val="21"/>
                <w:highlight w:val="none"/>
              </w:rPr>
            </w:pPr>
            <w:r>
              <w:rPr>
                <w:rFonts w:hint="eastAsia" w:ascii="宋体" w:hAnsi="宋体" w:cs="宋体"/>
                <w:bCs/>
                <w:szCs w:val="21"/>
                <w:highlight w:val="none"/>
              </w:rPr>
              <w:t>详见采购需求</w:t>
            </w:r>
          </w:p>
        </w:tc>
      </w:tr>
    </w:tbl>
    <w:p>
      <w:pPr>
        <w:pStyle w:val="5"/>
        <w:spacing w:line="240" w:lineRule="auto"/>
        <w:rPr>
          <w:rFonts w:hint="default"/>
          <w:highlight w:val="none"/>
          <w:lang w:val="en-US" w:eastAsia="zh-CN"/>
        </w:rPr>
      </w:pPr>
    </w:p>
    <w:p>
      <w:pPr>
        <w:spacing w:line="360" w:lineRule="auto"/>
        <w:ind w:firstLine="315" w:firstLineChars="150"/>
        <w:rPr>
          <w:rFonts w:ascii="宋体" w:hAnsi="宋体" w:cs="宋体"/>
          <w:szCs w:val="21"/>
        </w:rPr>
      </w:pPr>
      <w:r>
        <w:rPr>
          <w:rFonts w:hint="eastAsia" w:ascii="宋体" w:hAnsi="宋体" w:cs="宋体"/>
          <w:szCs w:val="21"/>
        </w:rPr>
        <w:t>如需进一步了解详细内容，详见招标文件。</w:t>
      </w:r>
    </w:p>
    <w:p>
      <w:pPr>
        <w:spacing w:line="360" w:lineRule="auto"/>
        <w:ind w:firstLine="315" w:firstLineChars="150"/>
        <w:rPr>
          <w:rFonts w:hint="eastAsia" w:ascii="宋体" w:hAnsi="宋体"/>
          <w:sz w:val="21"/>
          <w:szCs w:val="21"/>
          <w:highlight w:val="none"/>
        </w:rPr>
      </w:pPr>
      <w:r>
        <w:rPr>
          <w:rFonts w:hint="eastAsia" w:ascii="宋体" w:hAnsi="宋体"/>
          <w:sz w:val="21"/>
          <w:szCs w:val="21"/>
          <w:highlight w:val="none"/>
          <w:lang w:val="en-US" w:eastAsia="zh-CN"/>
        </w:rPr>
        <w:t>A、B、C分标</w:t>
      </w:r>
      <w:r>
        <w:rPr>
          <w:rFonts w:hint="eastAsia" w:ascii="宋体" w:hAnsi="宋体"/>
          <w:sz w:val="21"/>
          <w:szCs w:val="21"/>
          <w:highlight w:val="none"/>
        </w:rPr>
        <w:t>合同履行期限：自签订合同之日起</w:t>
      </w:r>
      <w:r>
        <w:rPr>
          <w:rFonts w:hint="eastAsia" w:ascii="宋体" w:hAnsi="宋体"/>
          <w:sz w:val="21"/>
          <w:szCs w:val="21"/>
          <w:highlight w:val="none"/>
          <w:lang w:val="en-US" w:eastAsia="zh-CN"/>
        </w:rPr>
        <w:t>90</w:t>
      </w:r>
      <w:r>
        <w:rPr>
          <w:rFonts w:hint="eastAsia" w:ascii="宋体" w:hAnsi="宋体"/>
          <w:sz w:val="21"/>
          <w:szCs w:val="21"/>
          <w:highlight w:val="none"/>
        </w:rPr>
        <w:t>日内交货并安装调试合格交付使用。</w:t>
      </w:r>
    </w:p>
    <w:p>
      <w:pPr>
        <w:pStyle w:val="2"/>
        <w:spacing w:line="360" w:lineRule="auto"/>
        <w:ind w:left="0" w:leftChars="0" w:firstLine="0" w:firstLineChars="0"/>
        <w:rPr>
          <w:rFonts w:hint="default" w:eastAsia="宋体"/>
          <w:sz w:val="21"/>
          <w:szCs w:val="21"/>
          <w:lang w:val="en-US" w:eastAsia="zh-CN"/>
        </w:rPr>
      </w:pPr>
      <w:r>
        <w:rPr>
          <w:rFonts w:hint="eastAsia" w:ascii="宋体" w:hAnsi="宋体"/>
          <w:sz w:val="21"/>
          <w:szCs w:val="21"/>
          <w:highlight w:val="none"/>
          <w:lang w:val="en-US" w:eastAsia="zh-CN"/>
        </w:rPr>
        <w:t xml:space="preserve">   </w:t>
      </w:r>
      <w:r>
        <w:rPr>
          <w:rFonts w:hint="eastAsia" w:ascii="宋体" w:hAnsi="宋体" w:cs="宋体"/>
          <w:kern w:val="0"/>
          <w:sz w:val="21"/>
          <w:szCs w:val="21"/>
        </w:rPr>
        <w:t>本项目</w:t>
      </w:r>
      <w:r>
        <w:rPr>
          <w:rFonts w:hint="eastAsia" w:ascii="宋体" w:hAnsi="宋体" w:cs="宋体"/>
          <w:b/>
          <w:bCs/>
          <w:kern w:val="0"/>
          <w:sz w:val="21"/>
          <w:szCs w:val="21"/>
          <w:u w:val="single"/>
        </w:rPr>
        <w:t>不接受</w:t>
      </w:r>
      <w:r>
        <w:rPr>
          <w:rFonts w:hint="eastAsia" w:ascii="宋体" w:hAnsi="宋体" w:cs="宋体"/>
          <w:kern w:val="0"/>
          <w:sz w:val="21"/>
          <w:szCs w:val="21"/>
        </w:rPr>
        <w:t>联合体投标。</w:t>
      </w:r>
    </w:p>
    <w:p>
      <w:pPr>
        <w:spacing w:line="360" w:lineRule="auto"/>
        <w:rPr>
          <w:rFonts w:ascii="宋体" w:hAnsi="宋体" w:cs="宋体"/>
          <w:b/>
          <w:bCs/>
          <w:szCs w:val="21"/>
        </w:rPr>
      </w:pPr>
      <w:r>
        <w:rPr>
          <w:rFonts w:hint="eastAsia" w:ascii="宋体" w:hAnsi="宋体" w:cs="宋体"/>
          <w:b/>
          <w:bCs/>
          <w:szCs w:val="21"/>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1.</w:t>
      </w:r>
      <w:r>
        <w:rPr>
          <w:rFonts w:hint="eastAsia" w:ascii="宋体" w:hAnsi="宋体"/>
          <w:color w:val="000000"/>
          <w:szCs w:val="21"/>
        </w:rPr>
        <w:t>满足《中华人民共和国政府采购法》第二十二条规定</w:t>
      </w:r>
      <w:r>
        <w:rPr>
          <w:rFonts w:hint="eastAsia" w:ascii="宋体" w:hAnsi="宋体" w:cs="宋体"/>
          <w:color w:val="000000"/>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
          <w:bCs/>
          <w:szCs w:val="21"/>
          <w:highlight w:val="none"/>
          <w:lang w:eastAsia="zh-CN"/>
        </w:rPr>
      </w:pPr>
      <w:r>
        <w:rPr>
          <w:rFonts w:hint="eastAsia" w:ascii="宋体" w:hAnsi="宋体"/>
          <w:szCs w:val="21"/>
        </w:rPr>
        <w:t>2</w:t>
      </w:r>
      <w:r>
        <w:rPr>
          <w:rFonts w:hint="eastAsia" w:ascii="宋体" w:hAnsi="宋体"/>
          <w:b/>
          <w:bCs/>
          <w:szCs w:val="21"/>
        </w:rPr>
        <w:t>.</w:t>
      </w:r>
      <w:r>
        <w:rPr>
          <w:rFonts w:hint="eastAsia" w:ascii="宋体" w:hAnsi="宋体"/>
          <w:b w:val="0"/>
          <w:bCs w:val="0"/>
          <w:szCs w:val="21"/>
          <w:highlight w:val="none"/>
        </w:rPr>
        <w:t>落实政府采购政策需满足的资格要求：无</w:t>
      </w:r>
      <w:r>
        <w:rPr>
          <w:rFonts w:hint="eastAsia" w:ascii="宋体" w:hAnsi="宋体"/>
          <w:b w:val="0"/>
          <w:bCs w:val="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szCs w:val="21"/>
          <w:lang w:val="en-US" w:eastAsia="zh-CN"/>
        </w:rPr>
        <w:t>3.</w:t>
      </w:r>
      <w:r>
        <w:rPr>
          <w:rFonts w:hint="eastAsia" w:ascii="宋体" w:hAnsi="宋体"/>
          <w:szCs w:val="21"/>
          <w:highlight w:val="none"/>
          <w:lang w:val="en-US" w:eastAsia="zh-CN"/>
        </w:rPr>
        <w:t>本项目的特定资格要求：</w:t>
      </w:r>
      <w:r>
        <w:rPr>
          <w:rFonts w:hint="eastAsia" w:ascii="宋体" w:hAnsi="宋体"/>
          <w:szCs w:val="21"/>
          <w:lang w:val="en-US" w:eastAsia="zh-CN"/>
        </w:rPr>
        <w:t>投标人</w:t>
      </w:r>
      <w:r>
        <w:rPr>
          <w:rFonts w:hint="eastAsia" w:ascii="宋体" w:hAnsi="宋体"/>
          <w:szCs w:val="21"/>
        </w:rPr>
        <w:t>按《医疗器械监督管理条例》（国务院令第 739 号）医疗器械分类管理要求具备有效的医疗器械经营备案凭证或者</w:t>
      </w:r>
      <w:r>
        <w:rPr>
          <w:rFonts w:hint="eastAsia" w:ascii="宋体" w:hAnsi="宋体"/>
          <w:szCs w:val="21"/>
          <w:lang w:val="en-US" w:eastAsia="zh-CN"/>
        </w:rPr>
        <w:t>医疗器械</w:t>
      </w:r>
      <w:r>
        <w:rPr>
          <w:rFonts w:hint="eastAsia" w:ascii="宋体" w:hAnsi="宋体"/>
          <w:szCs w:val="21"/>
        </w:rPr>
        <w:t>经营许可证，且经营范围必须包含采购的医疗器械标的[符合《医疗器械监督管理条例》第四十一条第二款规定的除外]；或者</w:t>
      </w:r>
      <w:r>
        <w:rPr>
          <w:rFonts w:hint="eastAsia" w:ascii="宋体" w:hAnsi="宋体"/>
          <w:szCs w:val="21"/>
          <w:lang w:val="en-US" w:eastAsia="zh-CN"/>
        </w:rPr>
        <w:t>投标人</w:t>
      </w:r>
      <w:r>
        <w:rPr>
          <w:rFonts w:hint="eastAsia" w:ascii="宋体" w:hAnsi="宋体"/>
          <w:szCs w:val="21"/>
        </w:rPr>
        <w:t>具有《医疗器械监督管理条例》第四十三条规定的注册人凭证；</w:t>
      </w:r>
      <w:r>
        <w:rPr>
          <w:rFonts w:hint="eastAsia" w:ascii="宋体" w:hAnsi="宋体"/>
          <w:szCs w:val="21"/>
          <w:lang w:val="en-US" w:eastAsia="zh-CN"/>
        </w:rPr>
        <w:t xml:space="preserve"> </w:t>
      </w:r>
    </w:p>
    <w:p>
      <w:pPr>
        <w:spacing w:line="360" w:lineRule="auto"/>
        <w:rPr>
          <w:rFonts w:ascii="宋体" w:hAnsi="宋体" w:cs="宋体"/>
          <w:b/>
          <w:bCs/>
          <w:szCs w:val="21"/>
        </w:rPr>
      </w:pPr>
      <w:r>
        <w:rPr>
          <w:rFonts w:hint="eastAsia" w:ascii="宋体" w:hAnsi="宋体" w:cs="宋体"/>
          <w:b/>
          <w:bCs/>
          <w:szCs w:val="21"/>
        </w:rPr>
        <w:t>三、获取招标文件</w:t>
      </w:r>
    </w:p>
    <w:p>
      <w:pPr>
        <w:spacing w:line="360" w:lineRule="auto"/>
        <w:ind w:firstLine="420" w:firstLineChars="200"/>
        <w:rPr>
          <w:rFonts w:ascii="宋体" w:hAnsi="宋体" w:cs="宋体"/>
          <w:szCs w:val="21"/>
          <w:highlight w:val="none"/>
        </w:rPr>
      </w:pPr>
      <w:r>
        <w:rPr>
          <w:rFonts w:hint="eastAsia" w:ascii="宋体" w:hAnsi="宋体" w:cs="宋体"/>
          <w:szCs w:val="21"/>
        </w:rPr>
        <w:t>时间</w:t>
      </w:r>
      <w:r>
        <w:rPr>
          <w:rFonts w:hint="eastAsia" w:ascii="宋体" w:hAnsi="宋体" w:cs="宋体"/>
          <w:szCs w:val="21"/>
          <w:highlight w:val="none"/>
        </w:rPr>
        <w:t>：自本招标公告发布之日起至202</w:t>
      </w:r>
      <w:r>
        <w:rPr>
          <w:rFonts w:hint="eastAsia" w:ascii="宋体" w:hAnsi="宋体" w:cs="宋体"/>
          <w:szCs w:val="21"/>
          <w:highlight w:val="none"/>
          <w:lang w:val="en-US" w:eastAsia="zh-CN"/>
        </w:rPr>
        <w:t>3</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4</w:t>
      </w:r>
      <w:r>
        <w:rPr>
          <w:rFonts w:hint="eastAsia" w:ascii="宋体" w:hAnsi="宋体" w:cs="宋体"/>
          <w:szCs w:val="21"/>
          <w:highlight w:val="none"/>
        </w:rPr>
        <w:t>日下午 17:30（北京时间）止。</w:t>
      </w:r>
    </w:p>
    <w:p>
      <w:pPr>
        <w:spacing w:line="360" w:lineRule="auto"/>
        <w:ind w:firstLine="420" w:firstLineChars="200"/>
        <w:rPr>
          <w:rFonts w:ascii="宋体" w:hAnsi="宋体" w:cs="宋体"/>
          <w:szCs w:val="21"/>
        </w:rPr>
      </w:pPr>
      <w:r>
        <w:rPr>
          <w:rFonts w:hint="eastAsia" w:ascii="宋体" w:hAnsi="宋体" w:cs="宋体"/>
          <w:szCs w:val="21"/>
        </w:rPr>
        <w:t>地点及方式：潜在供应商登陆“政采云”平台（https://www.zcygov.cn/），免费从网上下载招标文件电子版。</w:t>
      </w:r>
    </w:p>
    <w:p>
      <w:pPr>
        <w:spacing w:line="360" w:lineRule="auto"/>
        <w:rPr>
          <w:rFonts w:ascii="宋体" w:hAnsi="宋体" w:cs="宋体"/>
          <w:b/>
          <w:bCs/>
          <w:color w:val="000000"/>
          <w:szCs w:val="21"/>
        </w:rPr>
      </w:pPr>
      <w:r>
        <w:rPr>
          <w:rFonts w:hint="eastAsia" w:ascii="宋体" w:hAnsi="宋体" w:cs="宋体"/>
          <w:b/>
          <w:bCs/>
          <w:color w:val="000000"/>
          <w:szCs w:val="21"/>
        </w:rPr>
        <w:t>四、</w:t>
      </w:r>
      <w:bookmarkStart w:id="2" w:name="_Toc28359082"/>
      <w:bookmarkStart w:id="3" w:name="_Toc28359005"/>
      <w:bookmarkStart w:id="4" w:name="_Toc35393793"/>
      <w:bookmarkStart w:id="5" w:name="_Toc35393624"/>
      <w:r>
        <w:rPr>
          <w:rFonts w:hint="eastAsia" w:ascii="宋体" w:hAnsi="宋体" w:cs="宋体"/>
          <w:b/>
          <w:bCs/>
          <w:color w:val="000000"/>
          <w:szCs w:val="21"/>
        </w:rPr>
        <w:t>提交投标文件</w:t>
      </w:r>
      <w:bookmarkEnd w:id="2"/>
      <w:bookmarkEnd w:id="3"/>
      <w:r>
        <w:rPr>
          <w:rFonts w:hint="eastAsia" w:ascii="宋体" w:hAnsi="宋体" w:cs="宋体"/>
          <w:b/>
          <w:bCs/>
          <w:color w:val="000000"/>
          <w:szCs w:val="21"/>
        </w:rPr>
        <w:t>截止时间、开标时间和地点</w:t>
      </w:r>
      <w:bookmarkEnd w:id="4"/>
      <w:bookmarkEnd w:id="5"/>
    </w:p>
    <w:p>
      <w:pPr>
        <w:spacing w:line="360" w:lineRule="auto"/>
        <w:ind w:firstLine="420" w:firstLineChars="200"/>
        <w:rPr>
          <w:rFonts w:ascii="宋体" w:hAnsi="宋体"/>
          <w:bCs/>
        </w:rPr>
      </w:pPr>
      <w:r>
        <w:rPr>
          <w:rFonts w:hint="eastAsia" w:ascii="宋体" w:hAnsi="宋体"/>
          <w:bCs/>
        </w:rPr>
        <w:t>提交投标文件截止时间</w:t>
      </w:r>
      <w:r>
        <w:rPr>
          <w:rFonts w:hint="eastAsia" w:ascii="宋体" w:hAnsi="宋体"/>
          <w:bCs/>
          <w:highlight w:val="none"/>
        </w:rPr>
        <w:t>：</w:t>
      </w:r>
      <w:r>
        <w:rPr>
          <w:rFonts w:ascii="宋体" w:hAnsi="宋体"/>
          <w:szCs w:val="21"/>
          <w:highlight w:val="none"/>
        </w:rPr>
        <w:t>202</w:t>
      </w:r>
      <w:r>
        <w:rPr>
          <w:rFonts w:hint="eastAsia" w:ascii="宋体" w:hAnsi="宋体"/>
          <w:szCs w:val="21"/>
          <w:highlight w:val="none"/>
          <w:lang w:val="en-US" w:eastAsia="zh-CN"/>
        </w:rPr>
        <w:t>3</w:t>
      </w:r>
      <w:r>
        <w:rPr>
          <w:rFonts w:ascii="宋体" w:hAnsi="宋体"/>
          <w:szCs w:val="21"/>
          <w:highlight w:val="none"/>
        </w:rPr>
        <w:t>年</w:t>
      </w:r>
      <w:r>
        <w:rPr>
          <w:rFonts w:hint="eastAsia" w:ascii="宋体" w:hAnsi="宋体"/>
          <w:szCs w:val="21"/>
          <w:highlight w:val="none"/>
          <w:lang w:val="en-US" w:eastAsia="zh-CN"/>
        </w:rPr>
        <w:t>1</w:t>
      </w:r>
      <w:r>
        <w:rPr>
          <w:rFonts w:ascii="宋体" w:hAnsi="宋体"/>
          <w:szCs w:val="21"/>
          <w:highlight w:val="none"/>
        </w:rPr>
        <w:t>月</w:t>
      </w:r>
      <w:r>
        <w:rPr>
          <w:rFonts w:hint="eastAsia" w:ascii="宋体" w:hAnsi="宋体"/>
          <w:szCs w:val="21"/>
          <w:highlight w:val="none"/>
          <w:lang w:val="en-US" w:eastAsia="zh-CN"/>
        </w:rPr>
        <w:t>17</w:t>
      </w:r>
      <w:r>
        <w:rPr>
          <w:rFonts w:ascii="宋体" w:hAnsi="宋体"/>
          <w:szCs w:val="21"/>
          <w:highlight w:val="none"/>
        </w:rPr>
        <w:t>日</w:t>
      </w:r>
      <w:r>
        <w:rPr>
          <w:rFonts w:hint="eastAsia" w:ascii="宋体" w:hAnsi="宋体"/>
          <w:bCs/>
          <w:highlight w:val="none"/>
        </w:rPr>
        <w:t>上午 09:30（北京</w:t>
      </w:r>
      <w:r>
        <w:rPr>
          <w:rFonts w:hint="eastAsia" w:ascii="宋体" w:hAnsi="宋体"/>
          <w:bCs/>
        </w:rPr>
        <w:t>时间）</w:t>
      </w:r>
    </w:p>
    <w:p>
      <w:pPr>
        <w:spacing w:line="360" w:lineRule="auto"/>
        <w:ind w:firstLine="420" w:firstLineChars="200"/>
        <w:rPr>
          <w:rFonts w:ascii="宋体" w:hAnsi="宋体"/>
          <w:bCs/>
        </w:rPr>
      </w:pPr>
      <w:r>
        <w:rPr>
          <w:rFonts w:hint="eastAsia" w:ascii="宋体" w:hAnsi="宋体"/>
          <w:bCs/>
        </w:rPr>
        <w:t>投标地点：通过“政采云”平台在线投标</w:t>
      </w:r>
    </w:p>
    <w:p>
      <w:pPr>
        <w:spacing w:line="360" w:lineRule="auto"/>
        <w:ind w:firstLine="420" w:firstLineChars="200"/>
        <w:rPr>
          <w:rFonts w:ascii="宋体" w:hAnsi="宋体"/>
          <w:bCs/>
          <w:highlight w:val="none"/>
        </w:rPr>
      </w:pPr>
      <w:r>
        <w:rPr>
          <w:rFonts w:hint="eastAsia" w:ascii="宋体" w:hAnsi="宋体"/>
          <w:bCs/>
        </w:rPr>
        <w:t>开标时间</w:t>
      </w:r>
      <w:r>
        <w:rPr>
          <w:rFonts w:hint="eastAsia" w:ascii="宋体" w:hAnsi="宋体"/>
          <w:bCs/>
          <w:highlight w:val="none"/>
        </w:rPr>
        <w:t>：</w:t>
      </w:r>
      <w:r>
        <w:rPr>
          <w:rFonts w:ascii="宋体" w:hAnsi="宋体"/>
          <w:szCs w:val="21"/>
          <w:highlight w:val="none"/>
        </w:rPr>
        <w:t>202</w:t>
      </w:r>
      <w:r>
        <w:rPr>
          <w:rFonts w:hint="eastAsia" w:ascii="宋体" w:hAnsi="宋体"/>
          <w:szCs w:val="21"/>
          <w:highlight w:val="none"/>
          <w:lang w:val="en-US" w:eastAsia="zh-CN"/>
        </w:rPr>
        <w:t>3</w:t>
      </w:r>
      <w:r>
        <w:rPr>
          <w:rFonts w:ascii="宋体" w:hAnsi="宋体"/>
          <w:szCs w:val="21"/>
          <w:highlight w:val="none"/>
        </w:rPr>
        <w:t>年</w:t>
      </w:r>
      <w:r>
        <w:rPr>
          <w:rFonts w:hint="eastAsia" w:ascii="宋体" w:hAnsi="宋体"/>
          <w:szCs w:val="21"/>
          <w:highlight w:val="none"/>
          <w:lang w:val="en-US" w:eastAsia="zh-CN"/>
        </w:rPr>
        <w:t>1</w:t>
      </w:r>
      <w:r>
        <w:rPr>
          <w:rFonts w:ascii="宋体" w:hAnsi="宋体"/>
          <w:szCs w:val="21"/>
          <w:highlight w:val="none"/>
        </w:rPr>
        <w:t>月</w:t>
      </w:r>
      <w:r>
        <w:rPr>
          <w:rFonts w:hint="eastAsia" w:ascii="宋体" w:hAnsi="宋体"/>
          <w:szCs w:val="21"/>
          <w:highlight w:val="none"/>
          <w:lang w:val="en-US" w:eastAsia="zh-CN"/>
        </w:rPr>
        <w:t>17</w:t>
      </w:r>
      <w:r>
        <w:rPr>
          <w:rFonts w:ascii="宋体" w:hAnsi="宋体"/>
          <w:szCs w:val="21"/>
          <w:highlight w:val="none"/>
        </w:rPr>
        <w:t>日</w:t>
      </w:r>
      <w:r>
        <w:rPr>
          <w:rFonts w:hint="eastAsia" w:ascii="宋体" w:hAnsi="宋体"/>
          <w:bCs/>
          <w:highlight w:val="none"/>
        </w:rPr>
        <w:t>上午 09:30（北京时间）</w:t>
      </w:r>
    </w:p>
    <w:p>
      <w:pPr>
        <w:spacing w:line="360" w:lineRule="auto"/>
        <w:ind w:firstLine="420" w:firstLineChars="200"/>
        <w:rPr>
          <w:rFonts w:ascii="宋体" w:hAnsi="宋体"/>
          <w:bCs/>
        </w:rPr>
      </w:pPr>
      <w:r>
        <w:rPr>
          <w:rFonts w:hint="eastAsia" w:ascii="宋体" w:hAnsi="宋体"/>
          <w:bCs/>
        </w:rPr>
        <w:t>开标地点：通过“政采云”平台在线解密开启</w:t>
      </w:r>
    </w:p>
    <w:p>
      <w:pPr>
        <w:spacing w:line="360" w:lineRule="auto"/>
        <w:rPr>
          <w:rFonts w:ascii="宋体" w:hAnsi="宋体" w:cs="宋体"/>
          <w:b/>
          <w:bCs/>
          <w:color w:val="000000"/>
          <w:szCs w:val="21"/>
        </w:rPr>
      </w:pPr>
      <w:r>
        <w:rPr>
          <w:rFonts w:hint="eastAsia" w:ascii="宋体" w:hAnsi="宋体" w:cs="宋体"/>
          <w:b/>
          <w:bCs/>
          <w:color w:val="000000"/>
          <w:szCs w:val="21"/>
        </w:rPr>
        <w:t>五、公告期限</w:t>
      </w:r>
    </w:p>
    <w:p>
      <w:pPr>
        <w:spacing w:line="360" w:lineRule="auto"/>
        <w:ind w:firstLine="540"/>
        <w:rPr>
          <w:rFonts w:ascii="宋体" w:hAnsi="宋体" w:cs="宋体"/>
          <w:color w:val="000000"/>
          <w:kern w:val="0"/>
          <w:szCs w:val="21"/>
        </w:rPr>
      </w:pPr>
      <w:r>
        <w:rPr>
          <w:rFonts w:hint="eastAsia" w:ascii="宋体" w:hAnsi="宋体" w:cs="宋体"/>
          <w:color w:val="000000"/>
          <w:kern w:val="0"/>
          <w:szCs w:val="21"/>
        </w:rPr>
        <w:t>自本公告发布之日起5个工作日。</w:t>
      </w:r>
    </w:p>
    <w:p>
      <w:pPr>
        <w:numPr>
          <w:ilvl w:val="0"/>
          <w:numId w:val="1"/>
        </w:numPr>
        <w:spacing w:line="360" w:lineRule="auto"/>
        <w:rPr>
          <w:rFonts w:hint="eastAsia" w:ascii="宋体" w:hAnsi="宋体" w:cs="宋体"/>
          <w:b/>
          <w:bCs/>
          <w:color w:val="000000"/>
          <w:szCs w:val="21"/>
        </w:rPr>
      </w:pPr>
      <w:bookmarkStart w:id="6" w:name="_Toc35393626"/>
      <w:bookmarkStart w:id="7" w:name="_Toc35393795"/>
      <w:r>
        <w:rPr>
          <w:rFonts w:hint="eastAsia" w:ascii="宋体" w:hAnsi="宋体" w:cs="宋体"/>
          <w:b/>
          <w:bCs/>
          <w:color w:val="000000"/>
          <w:szCs w:val="21"/>
        </w:rPr>
        <w:t>其他补充事宜</w:t>
      </w:r>
      <w:bookmarkEnd w:id="6"/>
      <w:bookmarkEnd w:id="7"/>
    </w:p>
    <w:p>
      <w:pPr>
        <w:pStyle w:val="60"/>
        <w:numPr>
          <w:ilvl w:val="0"/>
          <w:numId w:val="0"/>
        </w:numPr>
        <w:spacing w:line="360" w:lineRule="auto"/>
        <w:ind w:leftChars="0" w:firstLine="460" w:firstLineChars="200"/>
      </w:pPr>
      <w:r>
        <w:rPr>
          <w:rFonts w:hint="eastAsia" w:ascii="宋体" w:hAnsi="宋体" w:cs="宋体"/>
          <w:bCs/>
          <w:sz w:val="21"/>
          <w:szCs w:val="21"/>
        </w:rPr>
        <w:t>1.信息公告发布媒体：中国政府采购网（www.ccgp.gov.cn）、广西壮族自治区政府采购网（zfcg.gxzf.gov.cn）、桂林市政府采购网（</w:t>
      </w:r>
      <w:r>
        <w:rPr>
          <w:rFonts w:hint="eastAsia" w:ascii="宋体" w:hAnsi="宋体" w:cs="宋体"/>
          <w:sz w:val="21"/>
          <w:szCs w:val="24"/>
        </w:rPr>
        <w:t>gl.zfcg.zcygov.cn</w:t>
      </w:r>
      <w:r>
        <w:rPr>
          <w:rFonts w:hint="eastAsia" w:ascii="宋体" w:hAnsi="宋体" w:cs="宋体"/>
          <w:bCs/>
          <w:sz w:val="21"/>
          <w:szCs w:val="21"/>
        </w:rPr>
        <w:t>）、桂林市公共资源交易中心网（www.glggzy.org.cn）</w:t>
      </w:r>
      <w:r>
        <w:rPr>
          <w:rFonts w:hint="eastAsia" w:ascii="宋体" w:hAnsi="宋体" w:cs="宋体"/>
          <w:bCs/>
          <w:sz w:val="21"/>
          <w:szCs w:val="21"/>
          <w:lang w:eastAsia="zh-CN"/>
        </w:rPr>
        <w:t>。</w:t>
      </w:r>
    </w:p>
    <w:p>
      <w:pPr>
        <w:spacing w:line="360" w:lineRule="auto"/>
        <w:ind w:firstLine="540"/>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.本项目需要落实的政府采购政策：</w:t>
      </w:r>
    </w:p>
    <w:p>
      <w:pPr>
        <w:spacing w:line="360" w:lineRule="auto"/>
        <w:ind w:firstLine="540"/>
        <w:rPr>
          <w:rFonts w:hint="eastAsia" w:ascii="宋体" w:hAnsi="宋体" w:eastAsia="宋体" w:cs="宋体"/>
          <w:color w:val="000000"/>
          <w:szCs w:val="21"/>
          <w:lang w:eastAsia="zh-CN"/>
        </w:rPr>
      </w:pPr>
      <w:r>
        <w:rPr>
          <w:rFonts w:hint="eastAsia" w:ascii="宋体" w:hAnsi="宋体" w:cs="宋体"/>
          <w:color w:val="000000"/>
          <w:szCs w:val="21"/>
          <w:lang w:val="en-US" w:eastAsia="zh-CN"/>
        </w:rPr>
        <w:t>2</w:t>
      </w:r>
      <w:r>
        <w:rPr>
          <w:rFonts w:hint="eastAsia" w:ascii="宋体" w:hAnsi="宋体" w:cs="宋体"/>
          <w:color w:val="000000"/>
          <w:szCs w:val="21"/>
        </w:rPr>
        <w:t>.1《政府采购促进中小企业发展管理办法》（财库[2020]46号）</w:t>
      </w:r>
      <w:r>
        <w:rPr>
          <w:rFonts w:hint="eastAsia" w:ascii="宋体" w:hAnsi="宋体" w:cs="宋体"/>
          <w:color w:val="000000"/>
          <w:szCs w:val="21"/>
          <w:lang w:eastAsia="zh-CN"/>
        </w:rPr>
        <w:t>；</w:t>
      </w:r>
    </w:p>
    <w:p>
      <w:pPr>
        <w:pStyle w:val="2"/>
        <w:spacing w:line="360" w:lineRule="auto"/>
        <w:rPr>
          <w:rFonts w:hint="eastAsia" w:eastAsia="宋体"/>
          <w:lang w:eastAsia="zh-CN"/>
        </w:rPr>
      </w:pPr>
      <w:r>
        <w:rPr>
          <w:rFonts w:hint="eastAsia" w:ascii="宋体" w:hAnsi="宋体" w:eastAsia="宋体" w:cs="宋体"/>
          <w:sz w:val="21"/>
          <w:szCs w:val="21"/>
        </w:rPr>
        <w:t>《关于进一步加大政府采购支持中小企业力度的通知》（财库〔2022〕19号）</w:t>
      </w:r>
      <w:r>
        <w:rPr>
          <w:rFonts w:hint="eastAsia" w:ascii="宋体" w:hAnsi="宋体" w:eastAsia="宋体" w:cs="宋体"/>
          <w:sz w:val="21"/>
          <w:szCs w:val="21"/>
          <w:lang w:eastAsia="zh-CN"/>
        </w:rPr>
        <w:t>。</w:t>
      </w:r>
    </w:p>
    <w:p>
      <w:pPr>
        <w:spacing w:line="360" w:lineRule="auto"/>
        <w:ind w:firstLine="540"/>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 xml:space="preserve">.2《关于政府采购支持监狱企业发展有关问题的通知》（财库[2014]68号）。 </w:t>
      </w:r>
    </w:p>
    <w:p>
      <w:pPr>
        <w:spacing w:line="360" w:lineRule="auto"/>
        <w:ind w:firstLine="540"/>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.3《关于促进残疾人就业政府采购政策的通知》（财库[2017]141号）。</w:t>
      </w:r>
    </w:p>
    <w:p>
      <w:pPr>
        <w:spacing w:line="360" w:lineRule="auto"/>
        <w:ind w:firstLine="540"/>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.4强制、优先采购环境标志产品、节能产品</w:t>
      </w:r>
    </w:p>
    <w:p>
      <w:pPr>
        <w:numPr>
          <w:ilvl w:val="0"/>
          <w:numId w:val="2"/>
        </w:numPr>
        <w:spacing w:line="360" w:lineRule="auto"/>
        <w:ind w:firstLine="540"/>
        <w:rPr>
          <w:rFonts w:hint="eastAsia" w:ascii="宋体" w:hAnsi="宋体" w:cs="宋体"/>
          <w:b/>
          <w:bCs/>
          <w:color w:val="000000"/>
          <w:szCs w:val="21"/>
          <w:highlight w:val="none"/>
        </w:rPr>
      </w:pPr>
      <w:r>
        <w:rPr>
          <w:rFonts w:hint="eastAsia" w:ascii="宋体" w:hAnsi="宋体" w:cs="宋体"/>
          <w:b/>
          <w:bCs/>
          <w:color w:val="000000"/>
          <w:szCs w:val="21"/>
          <w:highlight w:val="none"/>
        </w:rPr>
        <w:t>本项目非专门面向中小微企业采购。</w:t>
      </w:r>
    </w:p>
    <w:p>
      <w:pPr>
        <w:pStyle w:val="2"/>
        <w:numPr>
          <w:ilvl w:val="0"/>
          <w:numId w:val="0"/>
        </w:numPr>
        <w:spacing w:line="360" w:lineRule="auto"/>
        <w:ind w:firstLine="480" w:firstLineChars="200"/>
        <w:rPr>
          <w:rFonts w:hint="eastAsia" w:ascii="宋体" w:hAnsi="宋体" w:eastAsia="宋体" w:cs="宋体"/>
          <w:b/>
          <w:bCs/>
          <w:sz w:val="21"/>
          <w:szCs w:val="21"/>
        </w:rPr>
      </w:pPr>
      <w:r>
        <w:rPr>
          <w:rFonts w:hint="eastAsia"/>
          <w:lang w:val="en-US" w:eastAsia="zh-CN"/>
        </w:rPr>
        <w:t xml:space="preserve"> </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资格条件特别说明：</w:t>
      </w:r>
    </w:p>
    <w:p>
      <w:pPr>
        <w:pStyle w:val="2"/>
        <w:numPr>
          <w:ilvl w:val="0"/>
          <w:numId w:val="0"/>
        </w:numPr>
        <w:spacing w:line="360" w:lineRule="auto"/>
        <w:ind w:leftChars="200"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4.1</w:t>
      </w:r>
      <w:r>
        <w:rPr>
          <w:rFonts w:hint="eastAsia" w:ascii="宋体" w:hAnsi="宋体" w:eastAsia="宋体" w:cs="宋体"/>
          <w:sz w:val="21"/>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2"/>
        <w:numPr>
          <w:ilvl w:val="0"/>
          <w:numId w:val="0"/>
        </w:numPr>
        <w:spacing w:line="360" w:lineRule="auto"/>
        <w:ind w:leftChars="200" w:firstLine="210" w:firstLineChars="100"/>
        <w:rPr>
          <w:rFonts w:hint="default" w:eastAsia="宋体"/>
          <w:lang w:val="en-US" w:eastAsia="zh-CN"/>
        </w:rPr>
      </w:pPr>
      <w:r>
        <w:rPr>
          <w:rFonts w:hint="eastAsia" w:ascii="宋体" w:hAnsi="宋体" w:eastAsia="宋体" w:cs="宋体"/>
          <w:sz w:val="21"/>
          <w:szCs w:val="21"/>
          <w:lang w:val="en-US" w:eastAsia="zh-CN"/>
        </w:rPr>
        <w:t>4.2</w:t>
      </w:r>
      <w:r>
        <w:rPr>
          <w:rFonts w:hint="eastAsia" w:ascii="宋体" w:hAnsi="宋体" w:eastAsia="宋体" w:cs="宋体"/>
          <w:sz w:val="21"/>
          <w:szCs w:val="21"/>
        </w:rPr>
        <w:t>对在“信用中国”网站(http://www.creditchina.gov.cn) 、中国政府采购网（http://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22" w:firstLineChars="200"/>
        <w:rPr>
          <w:rFonts w:ascii="宋体" w:hAnsi="宋体"/>
          <w:b/>
          <w:szCs w:val="21"/>
        </w:rPr>
      </w:pPr>
      <w:bookmarkStart w:id="8" w:name="_Toc28359085"/>
      <w:bookmarkStart w:id="9" w:name="_Toc28359008"/>
      <w:bookmarkStart w:id="10" w:name="_Toc35393627"/>
      <w:bookmarkStart w:id="11" w:name="_Toc35393796"/>
      <w:r>
        <w:rPr>
          <w:rFonts w:hint="eastAsia" w:ascii="宋体" w:hAnsi="宋体"/>
          <w:b/>
          <w:szCs w:val="21"/>
          <w:lang w:val="en-US" w:eastAsia="zh-CN"/>
        </w:rPr>
        <w:t>5.</w:t>
      </w:r>
      <w:r>
        <w:rPr>
          <w:rFonts w:hint="eastAsia" w:ascii="宋体" w:hAnsi="宋体"/>
          <w:b/>
          <w:szCs w:val="21"/>
        </w:rPr>
        <w:t>“</w:t>
      </w:r>
      <w:r>
        <w:rPr>
          <w:rFonts w:ascii="宋体" w:hAnsi="宋体"/>
          <w:b/>
          <w:szCs w:val="21"/>
        </w:rPr>
        <w:t>政采云</w:t>
      </w:r>
      <w:r>
        <w:rPr>
          <w:rFonts w:hint="eastAsia" w:ascii="宋体" w:hAnsi="宋体"/>
          <w:b/>
          <w:szCs w:val="21"/>
        </w:rPr>
        <w:t>”</w:t>
      </w:r>
      <w:r>
        <w:rPr>
          <w:rFonts w:ascii="宋体" w:hAnsi="宋体"/>
          <w:b/>
          <w:szCs w:val="21"/>
        </w:rPr>
        <w:t>平台电子</w:t>
      </w:r>
      <w:r>
        <w:rPr>
          <w:rFonts w:hint="eastAsia" w:ascii="宋体" w:hAnsi="宋体"/>
          <w:b/>
          <w:szCs w:val="21"/>
        </w:rPr>
        <w:t>投标</w:t>
      </w:r>
      <w:r>
        <w:rPr>
          <w:rFonts w:ascii="宋体" w:hAnsi="宋体"/>
          <w:b/>
          <w:szCs w:val="21"/>
        </w:rPr>
        <w:t>相关</w:t>
      </w:r>
      <w:r>
        <w:rPr>
          <w:rFonts w:hint="eastAsia" w:ascii="宋体" w:hAnsi="宋体"/>
          <w:b/>
          <w:szCs w:val="21"/>
        </w:rPr>
        <w:t>事宜说明</w:t>
      </w:r>
      <w:r>
        <w:rPr>
          <w:rFonts w:ascii="宋体" w:hAnsi="宋体"/>
          <w:b/>
          <w:szCs w:val="21"/>
        </w:rPr>
        <w:t>：</w:t>
      </w:r>
    </w:p>
    <w:p>
      <w:pPr>
        <w:spacing w:line="360" w:lineRule="auto"/>
        <w:ind w:firstLine="420" w:firstLineChars="200"/>
        <w:rPr>
          <w:rFonts w:ascii="宋体" w:hAnsi="宋体"/>
          <w:bCs/>
        </w:rPr>
      </w:pPr>
      <w:r>
        <w:rPr>
          <w:rFonts w:hint="eastAsia" w:ascii="宋体" w:hAnsi="宋体"/>
          <w:bCs/>
        </w:rPr>
        <w:t>（1）本项目实行全流程电子化采购，投标人通过“政采云”平台参与电子投标，并应做好以下相关准备工作：①在“政采云”平台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政采云电子投标客户端”）并安装成功，投标人应当在提交投标文件截止时间前在“政采云”平台完成的身份认证，确保能够对相关数据电文进行加密和使用电子签章；④自备计算机和网络设备并确保能接入互联网（费用由投标人自行承担，设备确保可进行视频通话和读取政采云CA证书）。因投标人未做好相关准备工作等自身原因导致无法参加本项目电子投标或投标失败的，造成的一切后果，由投标人自行承担。</w:t>
      </w:r>
    </w:p>
    <w:p>
      <w:pPr>
        <w:spacing w:line="360" w:lineRule="auto"/>
        <w:ind w:firstLine="420" w:firstLineChars="200"/>
        <w:rPr>
          <w:rFonts w:ascii="宋体" w:hAnsi="宋体"/>
          <w:bCs/>
        </w:rPr>
      </w:pPr>
      <w:r>
        <w:rPr>
          <w:rFonts w:hint="eastAsia" w:ascii="宋体" w:hAnsi="宋体"/>
          <w:bCs/>
        </w:rPr>
        <w:t>（2）电子投标具体操作流程参考《政府采购项目电子交易管理操作指南-供应商》（详见桂林市政府采购网—采购资讯—重要通知）；如遇平台技术问题详询400-881-7190。</w:t>
      </w:r>
    </w:p>
    <w:p>
      <w:pPr>
        <w:spacing w:line="360" w:lineRule="auto"/>
        <w:ind w:firstLine="420" w:firstLineChars="200"/>
        <w:rPr>
          <w:rFonts w:ascii="宋体" w:hAnsi="宋体" w:cs="宋体"/>
          <w:color w:val="000000"/>
          <w:szCs w:val="21"/>
        </w:rPr>
      </w:pPr>
      <w:r>
        <w:rPr>
          <w:rFonts w:hint="eastAsia" w:ascii="宋体" w:hAnsi="宋体"/>
          <w:bCs/>
        </w:rPr>
        <w:t>（3）电子投标文件的制作、加密、提交、解密等相关事宜详见第二章 “投标人须知”。</w:t>
      </w:r>
    </w:p>
    <w:p>
      <w:pPr>
        <w:spacing w:line="360" w:lineRule="auto"/>
        <w:rPr>
          <w:rFonts w:ascii="宋体" w:hAnsi="宋体" w:cs="宋体"/>
          <w:b/>
          <w:bCs/>
          <w:color w:val="000000"/>
          <w:szCs w:val="21"/>
        </w:rPr>
      </w:pPr>
      <w:r>
        <w:rPr>
          <w:rFonts w:hint="eastAsia" w:ascii="宋体" w:hAnsi="宋体" w:cs="宋体"/>
          <w:b/>
          <w:bCs/>
          <w:color w:val="000000"/>
          <w:szCs w:val="21"/>
        </w:rPr>
        <w:t>七、对本次招标提出询问，请按以下方式联系</w:t>
      </w:r>
      <w:bookmarkEnd w:id="8"/>
      <w:bookmarkEnd w:id="9"/>
      <w:bookmarkEnd w:id="10"/>
      <w:bookmarkEnd w:id="11"/>
    </w:p>
    <w:p>
      <w:pPr>
        <w:widowControl/>
        <w:spacing w:line="360" w:lineRule="auto"/>
        <w:ind w:firstLine="540"/>
        <w:jc w:val="left"/>
        <w:rPr>
          <w:rFonts w:ascii="宋体" w:hAnsi="宋体" w:cs="宋体"/>
          <w:color w:val="000000"/>
          <w:szCs w:val="21"/>
        </w:rPr>
      </w:pPr>
      <w:r>
        <w:rPr>
          <w:rFonts w:hint="eastAsia" w:ascii="宋体" w:hAnsi="宋体" w:cs="宋体"/>
          <w:color w:val="000000"/>
          <w:szCs w:val="21"/>
        </w:rPr>
        <w:t>1.采购人信息</w:t>
      </w:r>
    </w:p>
    <w:p>
      <w:pPr>
        <w:spacing w:line="360" w:lineRule="auto"/>
        <w:ind w:firstLine="540"/>
        <w:jc w:val="left"/>
        <w:rPr>
          <w:rFonts w:hint="eastAsia" w:ascii="宋体" w:hAnsi="宋体" w:cs="宋体"/>
          <w:color w:val="000000"/>
          <w:szCs w:val="21"/>
          <w:lang w:val="en-US" w:eastAsia="zh-CN"/>
        </w:rPr>
      </w:pPr>
      <w:bookmarkStart w:id="12" w:name="_Toc28359086"/>
      <w:bookmarkStart w:id="13" w:name="_Toc28359009"/>
      <w:r>
        <w:rPr>
          <w:rFonts w:hint="eastAsia" w:ascii="宋体" w:hAnsi="宋体" w:cs="宋体"/>
          <w:color w:val="000000"/>
          <w:szCs w:val="21"/>
        </w:rPr>
        <w:t>采购人名称：</w:t>
      </w:r>
      <w:r>
        <w:rPr>
          <w:rFonts w:hint="eastAsia" w:ascii="宋体" w:hAnsi="宋体" w:cs="宋体"/>
          <w:color w:val="000000"/>
          <w:szCs w:val="21"/>
          <w:lang w:val="en-US" w:eastAsia="zh-CN"/>
        </w:rPr>
        <w:t>兴安县人民医院</w:t>
      </w:r>
    </w:p>
    <w:p>
      <w:pPr>
        <w:spacing w:line="360" w:lineRule="auto"/>
        <w:ind w:firstLine="54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r>
        <w:rPr>
          <w:rFonts w:hint="eastAsia" w:ascii="宋体" w:hAnsi="宋体" w:cs="宋体"/>
          <w:color w:val="000000" w:themeColor="text1"/>
          <w:szCs w:val="21"/>
          <w:highlight w:val="none"/>
          <w14:textFill>
            <w14:solidFill>
              <w14:schemeClr w14:val="tx1"/>
            </w14:solidFill>
          </w14:textFill>
        </w:rPr>
        <w:t xml:space="preserve">桂林市兴安县兴安镇康宁街78号 </w:t>
      </w:r>
    </w:p>
    <w:p>
      <w:pPr>
        <w:spacing w:line="360" w:lineRule="auto"/>
        <w:ind w:firstLine="540"/>
        <w:jc w:val="left"/>
        <w:rPr>
          <w:rFonts w:hint="eastAsia" w:ascii="宋体" w:hAnsi="宋体"/>
          <w:color w:val="333333"/>
          <w:szCs w:val="21"/>
          <w:highlight w:val="none"/>
          <w:lang w:val="en-US" w:eastAsia="zh-CN"/>
        </w:rPr>
      </w:pPr>
      <w:r>
        <w:rPr>
          <w:rFonts w:hint="eastAsia" w:ascii="宋体" w:hAnsi="宋体" w:cs="宋体"/>
          <w:color w:val="333333"/>
          <w:szCs w:val="21"/>
          <w:highlight w:val="none"/>
        </w:rPr>
        <w:t>联系人</w:t>
      </w:r>
      <w:r>
        <w:rPr>
          <w:rFonts w:hint="eastAsia" w:ascii="宋体" w:hAnsi="宋体"/>
          <w:color w:val="333333"/>
          <w:szCs w:val="21"/>
          <w:highlight w:val="none"/>
        </w:rPr>
        <w:t>: 陈广林        联系电话：</w:t>
      </w:r>
      <w:r>
        <w:rPr>
          <w:rFonts w:hint="eastAsia" w:ascii="宋体" w:hAnsi="宋体"/>
          <w:color w:val="333333"/>
          <w:szCs w:val="21"/>
          <w:highlight w:val="none"/>
          <w:lang w:val="en-US" w:eastAsia="zh-CN"/>
        </w:rPr>
        <w:t>0773-6226895</w:t>
      </w:r>
    </w:p>
    <w:p>
      <w:pPr>
        <w:spacing w:line="360" w:lineRule="auto"/>
        <w:ind w:firstLine="540"/>
        <w:jc w:val="left"/>
        <w:rPr>
          <w:rFonts w:ascii="宋体" w:hAnsi="宋体" w:cs="宋体"/>
          <w:color w:val="000000"/>
          <w:szCs w:val="21"/>
        </w:rPr>
      </w:pPr>
      <w:r>
        <w:rPr>
          <w:rFonts w:hint="eastAsia" w:ascii="宋体" w:hAnsi="宋体" w:cs="宋体"/>
          <w:color w:val="000000"/>
          <w:szCs w:val="21"/>
        </w:rPr>
        <w:t>2.采购代理机构信息</w:t>
      </w:r>
      <w:bookmarkEnd w:id="12"/>
      <w:bookmarkEnd w:id="13"/>
    </w:p>
    <w:p>
      <w:pPr>
        <w:spacing w:line="360" w:lineRule="auto"/>
        <w:ind w:firstLine="540"/>
        <w:rPr>
          <w:rFonts w:ascii="宋体" w:hAnsi="宋体" w:cs="宋体"/>
          <w:color w:val="000000"/>
          <w:szCs w:val="21"/>
        </w:rPr>
      </w:pPr>
      <w:r>
        <w:rPr>
          <w:rFonts w:hint="eastAsia" w:ascii="宋体" w:hAnsi="宋体" w:cs="宋体"/>
          <w:color w:val="000000"/>
          <w:szCs w:val="21"/>
        </w:rPr>
        <w:t>名称：广西万盯卯招标咨询有限公司</w:t>
      </w:r>
    </w:p>
    <w:p>
      <w:pPr>
        <w:spacing w:line="360" w:lineRule="auto"/>
        <w:ind w:firstLine="540"/>
        <w:rPr>
          <w:rFonts w:ascii="宋体" w:hAnsi="宋体" w:cs="宋体"/>
          <w:color w:val="000000"/>
          <w:szCs w:val="21"/>
        </w:rPr>
      </w:pPr>
      <w:r>
        <w:rPr>
          <w:rFonts w:hint="eastAsia" w:ascii="宋体" w:hAnsi="宋体" w:cs="宋体"/>
          <w:color w:val="000000"/>
          <w:szCs w:val="21"/>
        </w:rPr>
        <w:t>地址：</w:t>
      </w:r>
      <w:bookmarkStart w:id="14" w:name="_Toc28359010"/>
      <w:bookmarkStart w:id="15" w:name="_Toc28359087"/>
      <w:r>
        <w:rPr>
          <w:rFonts w:hint="eastAsia" w:ascii="宋体" w:hAnsi="宋体" w:cs="宋体"/>
          <w:color w:val="000000"/>
          <w:szCs w:val="21"/>
        </w:rPr>
        <w:t xml:space="preserve">广西桂林市临桂区临桂镇临桂大道与平桂西路交汇处汇荣桂林尚玺66号商铺 </w:t>
      </w:r>
    </w:p>
    <w:p>
      <w:pPr>
        <w:spacing w:line="360" w:lineRule="auto"/>
        <w:ind w:firstLine="540"/>
        <w:rPr>
          <w:rFonts w:ascii="宋体" w:hAnsi="宋体" w:cs="宋体"/>
          <w:color w:val="000000"/>
          <w:szCs w:val="21"/>
        </w:rPr>
      </w:pPr>
      <w:r>
        <w:rPr>
          <w:rFonts w:hint="eastAsia" w:ascii="宋体" w:hAnsi="宋体" w:cs="宋体"/>
          <w:color w:val="000000"/>
          <w:szCs w:val="21"/>
        </w:rPr>
        <w:t>3.项目联系方式</w:t>
      </w:r>
      <w:bookmarkEnd w:id="14"/>
      <w:bookmarkEnd w:id="15"/>
    </w:p>
    <w:p>
      <w:pPr>
        <w:spacing w:line="360" w:lineRule="auto"/>
        <w:ind w:firstLine="540"/>
        <w:rPr>
          <w:rFonts w:ascii="宋体" w:hAnsi="宋体" w:cs="宋体"/>
          <w:color w:val="000000"/>
          <w:szCs w:val="21"/>
        </w:rPr>
      </w:pPr>
      <w:r>
        <w:rPr>
          <w:rFonts w:hint="eastAsia" w:ascii="宋体" w:hAnsi="宋体" w:cs="宋体"/>
          <w:color w:val="000000"/>
          <w:szCs w:val="21"/>
        </w:rPr>
        <w:t>项目联系人：翟工</w:t>
      </w:r>
    </w:p>
    <w:p>
      <w:pPr>
        <w:spacing w:line="360" w:lineRule="auto"/>
        <w:ind w:firstLine="540"/>
        <w:rPr>
          <w:rFonts w:ascii="宋体" w:hAnsi="宋体" w:cs="宋体"/>
          <w:color w:val="000000"/>
          <w:szCs w:val="21"/>
        </w:rPr>
      </w:pPr>
      <w:r>
        <w:rPr>
          <w:rFonts w:hint="eastAsia" w:ascii="宋体" w:hAnsi="宋体" w:cs="宋体"/>
          <w:color w:val="000000"/>
          <w:szCs w:val="21"/>
        </w:rPr>
        <w:t xml:space="preserve">电　话： </w:t>
      </w:r>
      <w:r>
        <w:rPr>
          <w:rFonts w:hint="eastAsia" w:ascii="宋体" w:hAnsi="宋体"/>
          <w:color w:val="333333"/>
          <w:szCs w:val="21"/>
          <w:highlight w:val="none"/>
        </w:rPr>
        <w:t xml:space="preserve">0773-5582538 </w:t>
      </w:r>
    </w:p>
    <w:p>
      <w:pPr>
        <w:spacing w:line="360" w:lineRule="auto"/>
        <w:ind w:firstLine="630" w:firstLineChars="300"/>
        <w:rPr>
          <w:rFonts w:ascii="宋体" w:hAnsi="宋体" w:cs="宋体"/>
          <w:szCs w:val="21"/>
        </w:rPr>
      </w:pPr>
      <w:r>
        <w:rPr>
          <w:rFonts w:hint="eastAsia" w:ascii="宋体" w:hAnsi="宋体" w:cs="宋体"/>
          <w:szCs w:val="21"/>
        </w:rPr>
        <w:t>4.监督管理部门：</w:t>
      </w:r>
      <w:r>
        <w:rPr>
          <w:rFonts w:hint="eastAsia" w:ascii="宋体" w:hAnsi="宋体" w:cs="宋体"/>
          <w:szCs w:val="21"/>
          <w:lang w:val="en-US" w:eastAsia="zh-CN"/>
        </w:rPr>
        <w:t xml:space="preserve">兴安县人民政府采购管理办公室    </w:t>
      </w:r>
      <w:r>
        <w:rPr>
          <w:rFonts w:hint="eastAsia" w:ascii="宋体" w:hAnsi="宋体" w:cs="宋体"/>
          <w:szCs w:val="21"/>
        </w:rPr>
        <w:t xml:space="preserve">   </w:t>
      </w:r>
    </w:p>
    <w:p>
      <w:pPr>
        <w:spacing w:line="360" w:lineRule="auto"/>
        <w:ind w:firstLine="630" w:firstLineChars="300"/>
        <w:rPr>
          <w:rFonts w:hint="eastAsia" w:ascii="宋体" w:hAnsi="宋体"/>
          <w:color w:val="333333"/>
          <w:szCs w:val="21"/>
          <w:highlight w:val="none"/>
        </w:rPr>
      </w:pPr>
      <w:r>
        <w:rPr>
          <w:rFonts w:hint="eastAsia" w:ascii="宋体" w:hAnsi="宋体" w:cs="宋体"/>
          <w:szCs w:val="21"/>
        </w:rPr>
        <w:t>联系电话：</w:t>
      </w:r>
      <w:r>
        <w:rPr>
          <w:rFonts w:hint="eastAsia" w:ascii="宋体" w:hAnsi="宋体"/>
          <w:color w:val="333333"/>
          <w:szCs w:val="21"/>
          <w:highlight w:val="none"/>
        </w:rPr>
        <w:t>0773-6220651</w:t>
      </w:r>
    </w:p>
    <w:p>
      <w:pPr>
        <w:pStyle w:val="60"/>
        <w:spacing w:line="360" w:lineRule="auto"/>
        <w:rPr>
          <w:sz w:val="21"/>
          <w:szCs w:val="21"/>
        </w:rPr>
      </w:pPr>
    </w:p>
    <w:p>
      <w:pPr>
        <w:spacing w:line="360" w:lineRule="auto"/>
        <w:ind w:firstLine="2730" w:firstLineChars="1300"/>
        <w:jc w:val="center"/>
        <w:rPr>
          <w:rFonts w:ascii="宋体" w:hAnsi="宋体" w:cs="宋体"/>
          <w:color w:val="000000"/>
          <w:szCs w:val="21"/>
        </w:rPr>
      </w:pPr>
      <w:r>
        <w:rPr>
          <w:rFonts w:hint="eastAsia" w:ascii="宋体" w:hAnsi="宋体" w:cs="宋体"/>
          <w:color w:val="000000"/>
          <w:szCs w:val="21"/>
        </w:rPr>
        <w:t xml:space="preserve">    广西万盯卯招标咨询有限公司</w:t>
      </w:r>
    </w:p>
    <w:p>
      <w:pPr>
        <w:spacing w:line="360" w:lineRule="auto"/>
        <w:jc w:val="center"/>
        <w:rPr>
          <w:rFonts w:ascii="宋体" w:hAnsi="宋体"/>
          <w:b/>
          <w:sz w:val="32"/>
          <w:szCs w:val="32"/>
        </w:rPr>
      </w:pPr>
      <w:r>
        <w:rPr>
          <w:rFonts w:hint="eastAsia" w:ascii="宋体" w:hAnsi="宋体" w:cs="宋体"/>
          <w:color w:val="000000"/>
          <w:szCs w:val="21"/>
        </w:rPr>
        <w:t xml:space="preserve">                        </w:t>
      </w:r>
      <w:r>
        <w:rPr>
          <w:rFonts w:hint="eastAsia" w:ascii="宋体" w:hAnsi="宋体" w:cs="宋体"/>
          <w:szCs w:val="21"/>
        </w:rPr>
        <w:t xml:space="preserve"> </w:t>
      </w:r>
      <w:r>
        <w:rPr>
          <w:rFonts w:hint="eastAsia" w:ascii="宋体" w:hAnsi="宋体" w:cs="宋体"/>
          <w:szCs w:val="21"/>
          <w:highlight w:val="none"/>
        </w:rPr>
        <w:t xml:space="preserve">  2022年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val="en-US" w:eastAsia="zh-CN"/>
        </w:rPr>
        <w:t>27</w:t>
      </w:r>
      <w:r>
        <w:rPr>
          <w:rFonts w:hint="eastAsia" w:ascii="宋体" w:hAnsi="宋体" w:cs="宋体"/>
          <w:szCs w:val="21"/>
          <w:highlight w:val="none"/>
        </w:rPr>
        <w:t>日</w:t>
      </w:r>
      <w:r>
        <w:rPr>
          <w:rFonts w:hint="eastAsia" w:ascii="宋体" w:hAnsi="宋体" w:cs="宋体"/>
          <w:b/>
          <w:szCs w:val="21"/>
          <w:highlight w:val="none"/>
        </w:rPr>
        <w:br w:type="page"/>
      </w:r>
      <w:bookmarkStart w:id="16" w:name="_Toc5551"/>
      <w:r>
        <w:rPr>
          <w:rStyle w:val="67"/>
          <w:rFonts w:hint="eastAsia"/>
        </w:rPr>
        <w:t>第二章  投标人须知</w:t>
      </w:r>
      <w:bookmarkEnd w:id="16"/>
    </w:p>
    <w:p>
      <w:pPr>
        <w:tabs>
          <w:tab w:val="left" w:pos="1065"/>
          <w:tab w:val="center" w:pos="4411"/>
        </w:tabs>
        <w:spacing w:line="440" w:lineRule="atLeast"/>
        <w:jc w:val="center"/>
        <w:rPr>
          <w:rFonts w:ascii="宋体" w:hAnsi="宋体"/>
          <w:b/>
          <w:sz w:val="24"/>
        </w:rPr>
      </w:pPr>
      <w:r>
        <w:rPr>
          <w:rFonts w:hint="eastAsia" w:ascii="宋体" w:hAnsi="宋体"/>
          <w:b/>
          <w:sz w:val="24"/>
        </w:rPr>
        <w:t>投 标 人 须 知 前 附 表</w:t>
      </w:r>
    </w:p>
    <w:tbl>
      <w:tblPr>
        <w:tblStyle w:val="43"/>
        <w:tblW w:w="921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159"/>
        <w:gridCol w:w="6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90" w:type="dxa"/>
            <w:vAlign w:val="center"/>
          </w:tcPr>
          <w:p>
            <w:pPr>
              <w:spacing w:line="360" w:lineRule="auto"/>
              <w:jc w:val="center"/>
              <w:rPr>
                <w:rFonts w:ascii="宋体" w:hAnsi="宋体"/>
                <w:b/>
                <w:bCs/>
                <w:szCs w:val="21"/>
              </w:rPr>
            </w:pPr>
            <w:r>
              <w:rPr>
                <w:rFonts w:hint="eastAsia" w:ascii="宋体" w:hAnsi="宋体"/>
                <w:b/>
                <w:bCs/>
                <w:szCs w:val="21"/>
              </w:rPr>
              <w:t>序号</w:t>
            </w:r>
          </w:p>
        </w:tc>
        <w:tc>
          <w:tcPr>
            <w:tcW w:w="2159" w:type="dxa"/>
            <w:vAlign w:val="center"/>
          </w:tcPr>
          <w:p>
            <w:pPr>
              <w:spacing w:line="320" w:lineRule="exact"/>
              <w:jc w:val="center"/>
              <w:rPr>
                <w:rFonts w:ascii="宋体" w:hAnsi="宋体"/>
                <w:b/>
                <w:bCs/>
                <w:szCs w:val="21"/>
              </w:rPr>
            </w:pPr>
            <w:r>
              <w:rPr>
                <w:rFonts w:hint="eastAsia" w:ascii="宋体" w:hAnsi="宋体"/>
                <w:b/>
                <w:bCs/>
                <w:szCs w:val="21"/>
              </w:rPr>
              <w:t>条款名称</w:t>
            </w:r>
          </w:p>
        </w:tc>
        <w:tc>
          <w:tcPr>
            <w:tcW w:w="6365" w:type="dxa"/>
            <w:vAlign w:val="center"/>
          </w:tcPr>
          <w:p>
            <w:pPr>
              <w:spacing w:line="320" w:lineRule="exact"/>
              <w:jc w:val="center"/>
              <w:rPr>
                <w:rFonts w:ascii="宋体" w:hAnsi="宋体"/>
                <w:b/>
                <w:bCs/>
                <w:szCs w:val="21"/>
              </w:rPr>
            </w:pPr>
            <w:r>
              <w:rPr>
                <w:rFonts w:hint="eastAsia" w:ascii="宋体" w:hAnsi="宋体"/>
                <w:b/>
                <w:bCs/>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90" w:type="dxa"/>
            <w:vAlign w:val="center"/>
          </w:tcPr>
          <w:p>
            <w:pPr>
              <w:spacing w:line="340" w:lineRule="exact"/>
              <w:jc w:val="center"/>
              <w:rPr>
                <w:rFonts w:ascii="宋体" w:hAnsi="宋体"/>
                <w:szCs w:val="21"/>
              </w:rPr>
            </w:pPr>
            <w:r>
              <w:rPr>
                <w:rFonts w:hint="eastAsia" w:ascii="宋体" w:hAnsi="宋体"/>
                <w:szCs w:val="21"/>
              </w:rPr>
              <w:t>1</w:t>
            </w:r>
          </w:p>
        </w:tc>
        <w:tc>
          <w:tcPr>
            <w:tcW w:w="2159" w:type="dxa"/>
            <w:vAlign w:val="center"/>
          </w:tcPr>
          <w:p>
            <w:pPr>
              <w:spacing w:line="320" w:lineRule="exact"/>
              <w:jc w:val="center"/>
              <w:rPr>
                <w:rFonts w:ascii="宋体" w:hAnsi="宋体"/>
                <w:szCs w:val="21"/>
              </w:rPr>
            </w:pPr>
            <w:r>
              <w:rPr>
                <w:rFonts w:hint="eastAsia" w:ascii="宋体" w:hAnsi="宋体"/>
                <w:szCs w:val="21"/>
              </w:rPr>
              <w:t>项目名称及项目编号</w:t>
            </w:r>
          </w:p>
        </w:tc>
        <w:tc>
          <w:tcPr>
            <w:tcW w:w="6365" w:type="dxa"/>
            <w:vAlign w:val="center"/>
          </w:tcPr>
          <w:p>
            <w:pPr>
              <w:spacing w:line="360" w:lineRule="auto"/>
              <w:rPr>
                <w:rFonts w:hint="eastAsia" w:ascii="宋体" w:hAnsi="宋体"/>
                <w:szCs w:val="21"/>
                <w:highlight w:val="none"/>
                <w:lang w:val="en-US" w:eastAsia="zh-CN"/>
              </w:rPr>
            </w:pPr>
            <w:r>
              <w:rPr>
                <w:rFonts w:hint="eastAsia" w:ascii="宋体" w:hAnsi="宋体"/>
                <w:szCs w:val="21"/>
              </w:rPr>
              <w:t>项目名称</w:t>
            </w:r>
            <w:r>
              <w:rPr>
                <w:rFonts w:hint="eastAsia" w:ascii="宋体" w:hAnsi="宋体"/>
                <w:szCs w:val="21"/>
                <w:highlight w:val="none"/>
              </w:rPr>
              <w:t>：</w:t>
            </w:r>
            <w:r>
              <w:rPr>
                <w:rFonts w:hint="eastAsia" w:ascii="宋体" w:hAnsi="宋体"/>
                <w:szCs w:val="21"/>
                <w:highlight w:val="none"/>
                <w:lang w:val="en-US" w:eastAsia="zh-CN"/>
              </w:rPr>
              <w:t>兴安县人民医院医疗设备采购项目（三）</w:t>
            </w:r>
          </w:p>
          <w:p>
            <w:pPr>
              <w:spacing w:line="360" w:lineRule="auto"/>
              <w:rPr>
                <w:rFonts w:ascii="宋体" w:hAnsi="宋体"/>
                <w:szCs w:val="21"/>
              </w:rPr>
            </w:pPr>
            <w:r>
              <w:rPr>
                <w:rFonts w:hint="eastAsia" w:ascii="宋体" w:hAnsi="宋体"/>
                <w:szCs w:val="21"/>
              </w:rPr>
              <w:t>项目编号：</w:t>
            </w:r>
            <w:r>
              <w:rPr>
                <w:rFonts w:hint="eastAsia" w:ascii="宋体" w:hAnsi="宋体"/>
                <w:szCs w:val="21"/>
                <w:highlight w:val="none"/>
              </w:rPr>
              <w:t>GLZC2022-G1-250091-WDMZ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vAlign w:val="center"/>
          </w:tcPr>
          <w:p>
            <w:pPr>
              <w:spacing w:line="340" w:lineRule="exact"/>
              <w:ind w:firstLine="210" w:firstLineChars="100"/>
              <w:rPr>
                <w:rFonts w:ascii="宋体" w:hAnsi="宋体"/>
                <w:szCs w:val="21"/>
              </w:rPr>
            </w:pPr>
            <w:r>
              <w:rPr>
                <w:rFonts w:hint="eastAsia" w:ascii="宋体" w:hAnsi="宋体"/>
                <w:szCs w:val="21"/>
              </w:rPr>
              <w:t>2</w:t>
            </w:r>
          </w:p>
        </w:tc>
        <w:tc>
          <w:tcPr>
            <w:tcW w:w="2159" w:type="dxa"/>
            <w:vAlign w:val="center"/>
          </w:tcPr>
          <w:p>
            <w:pPr>
              <w:spacing w:line="320" w:lineRule="exact"/>
              <w:jc w:val="center"/>
              <w:rPr>
                <w:rFonts w:ascii="宋体" w:hAnsi="宋体"/>
                <w:szCs w:val="21"/>
              </w:rPr>
            </w:pPr>
            <w:r>
              <w:rPr>
                <w:rFonts w:hint="eastAsia" w:ascii="宋体" w:hAnsi="宋体"/>
                <w:szCs w:val="21"/>
              </w:rPr>
              <w:t>投标人资格</w:t>
            </w:r>
          </w:p>
        </w:tc>
        <w:tc>
          <w:tcPr>
            <w:tcW w:w="6365" w:type="dxa"/>
            <w:vAlign w:val="center"/>
          </w:tcPr>
          <w:p>
            <w:pPr>
              <w:spacing w:line="360" w:lineRule="auto"/>
              <w:rPr>
                <w:rFonts w:hint="eastAsia" w:ascii="宋体" w:hAnsi="宋体" w:cs="宋体"/>
                <w:szCs w:val="21"/>
              </w:rPr>
            </w:pPr>
            <w:r>
              <w:rPr>
                <w:rFonts w:hint="eastAsia" w:ascii="宋体" w:hAnsi="宋体" w:cs="宋体"/>
                <w:szCs w:val="21"/>
                <w:lang w:val="en-US" w:eastAsia="zh-CN"/>
              </w:rPr>
              <w:t>5.1</w:t>
            </w:r>
            <w:r>
              <w:rPr>
                <w:rFonts w:hint="eastAsia" w:ascii="宋体" w:hAnsi="宋体" w:cs="宋体"/>
                <w:szCs w:val="21"/>
              </w:rPr>
              <w:t>满足《中华人民共和国政府采购法》第二十二条规定；</w:t>
            </w:r>
          </w:p>
          <w:p>
            <w:pPr>
              <w:spacing w:line="360" w:lineRule="auto"/>
              <w:rPr>
                <w:rFonts w:hint="eastAsia" w:ascii="宋体" w:hAnsi="宋体" w:cs="宋体"/>
                <w:szCs w:val="21"/>
              </w:rPr>
            </w:pPr>
            <w:r>
              <w:rPr>
                <w:rFonts w:hint="eastAsia" w:ascii="宋体" w:hAnsi="宋体" w:cs="宋体"/>
                <w:szCs w:val="21"/>
                <w:lang w:val="en-US" w:eastAsia="zh-CN"/>
              </w:rPr>
              <w:t>5.2</w:t>
            </w:r>
            <w:r>
              <w:rPr>
                <w:rFonts w:hint="eastAsia" w:ascii="宋体" w:hAnsi="宋体" w:cs="宋体"/>
                <w:szCs w:val="21"/>
              </w:rPr>
              <w:t>落实政府采购政策需满足的资格要求：无；</w:t>
            </w:r>
          </w:p>
          <w:p>
            <w:pPr>
              <w:spacing w:line="360" w:lineRule="auto"/>
              <w:rPr>
                <w:rFonts w:hint="eastAsia" w:ascii="宋体" w:hAnsi="宋体" w:cs="宋体"/>
                <w:szCs w:val="21"/>
              </w:rPr>
            </w:pPr>
            <w:r>
              <w:rPr>
                <w:rFonts w:hint="eastAsia" w:ascii="宋体" w:hAnsi="宋体" w:cs="宋体"/>
                <w:szCs w:val="21"/>
                <w:lang w:val="en-US" w:eastAsia="zh-CN"/>
              </w:rPr>
              <w:t>5.3</w:t>
            </w:r>
            <w:r>
              <w:rPr>
                <w:rFonts w:hint="eastAsia" w:ascii="宋体" w:hAnsi="宋体"/>
                <w:szCs w:val="21"/>
                <w:highlight w:val="none"/>
                <w:lang w:val="en-US" w:eastAsia="zh-CN"/>
              </w:rPr>
              <w:t>本项目的特定资格要求：</w:t>
            </w:r>
            <w:r>
              <w:rPr>
                <w:rFonts w:hint="eastAsia" w:ascii="宋体" w:hAnsi="宋体"/>
                <w:szCs w:val="21"/>
                <w:lang w:val="en-US" w:eastAsia="zh-CN"/>
              </w:rPr>
              <w:t>投标人</w:t>
            </w:r>
            <w:r>
              <w:rPr>
                <w:rFonts w:hint="eastAsia" w:ascii="宋体" w:hAnsi="宋体"/>
                <w:szCs w:val="21"/>
              </w:rPr>
              <w:t>按《医疗器械监督管理条例》</w:t>
            </w:r>
            <w:r>
              <w:rPr>
                <w:rFonts w:hint="eastAsia" w:ascii="宋体" w:hAnsi="宋体"/>
                <w:szCs w:val="21"/>
                <w:lang w:val="en-US" w:eastAsia="zh-CN"/>
              </w:rPr>
              <w:t xml:space="preserve"> </w:t>
            </w:r>
            <w:r>
              <w:rPr>
                <w:rFonts w:hint="eastAsia" w:ascii="宋体" w:hAnsi="宋体"/>
                <w:szCs w:val="21"/>
              </w:rPr>
              <w:t>（国务院令第 739 号）医疗器械分类管理要求具备有效的医疗器械经营备案凭证或者</w:t>
            </w:r>
            <w:r>
              <w:rPr>
                <w:rFonts w:hint="eastAsia" w:ascii="宋体" w:hAnsi="宋体"/>
                <w:szCs w:val="21"/>
                <w:lang w:val="en-US" w:eastAsia="zh-CN"/>
              </w:rPr>
              <w:t>医疗器械</w:t>
            </w:r>
            <w:r>
              <w:rPr>
                <w:rFonts w:hint="eastAsia" w:ascii="宋体" w:hAnsi="宋体"/>
                <w:szCs w:val="21"/>
              </w:rPr>
              <w:t>经营许可证，且经营范围必须包含采购的医疗器械标的[符合《医疗器械监督管理条例》第四十一条第二款规定的除外]；或者</w:t>
            </w:r>
            <w:r>
              <w:rPr>
                <w:rFonts w:hint="eastAsia" w:ascii="宋体" w:hAnsi="宋体"/>
                <w:szCs w:val="21"/>
                <w:lang w:val="en-US" w:eastAsia="zh-CN"/>
              </w:rPr>
              <w:t>投标人</w:t>
            </w:r>
            <w:r>
              <w:rPr>
                <w:rFonts w:hint="eastAsia" w:ascii="宋体" w:hAnsi="宋体"/>
                <w:szCs w:val="21"/>
              </w:rPr>
              <w:t>具有《医疗器械监督管理条例》第四十三条规定的注册人凭证；</w:t>
            </w:r>
            <w:r>
              <w:rPr>
                <w:rFonts w:hint="eastAsia" w:ascii="宋体" w:hAnsi="宋体"/>
                <w:szCs w:val="21"/>
                <w:lang w:val="en-US" w:eastAsia="zh-CN"/>
              </w:rPr>
              <w:t xml:space="preserve"> </w:t>
            </w:r>
          </w:p>
          <w:p>
            <w:pPr>
              <w:spacing w:line="360" w:lineRule="auto"/>
              <w:rPr>
                <w:rFonts w:hint="eastAsia" w:ascii="宋体" w:hAnsi="宋体" w:cs="宋体"/>
                <w:szCs w:val="21"/>
                <w:lang w:val="en-US" w:eastAsia="zh-CN"/>
              </w:rPr>
            </w:pPr>
            <w:r>
              <w:rPr>
                <w:rFonts w:hint="eastAsia" w:ascii="宋体" w:hAnsi="宋体" w:cs="宋体"/>
                <w:szCs w:val="21"/>
                <w:lang w:val="en-US" w:eastAsia="zh-CN"/>
              </w:rPr>
              <w:t>5.4资格条件特别说明：</w:t>
            </w:r>
          </w:p>
          <w:p>
            <w:pPr>
              <w:spacing w:line="360" w:lineRule="auto"/>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rPr>
                <w:rFonts w:hint="eastAsia" w:ascii="宋体" w:hAnsi="宋体" w:eastAsia="宋体" w:cs="Arial"/>
                <w:szCs w:val="21"/>
                <w:lang w:eastAsia="zh-CN"/>
              </w:rPr>
            </w:pPr>
            <w:r>
              <w:rPr>
                <w:rFonts w:hint="eastAsia" w:ascii="宋体" w:hAnsi="宋体" w:cs="宋体"/>
                <w:szCs w:val="21"/>
                <w:lang w:val="en-US" w:eastAsia="zh-CN"/>
              </w:rPr>
              <w:t>（2）</w:t>
            </w:r>
            <w:r>
              <w:rPr>
                <w:rFonts w:hint="eastAsia" w:ascii="宋体" w:hAnsi="宋体" w:cs="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90" w:type="dxa"/>
            <w:vAlign w:val="center"/>
          </w:tcPr>
          <w:p>
            <w:pPr>
              <w:spacing w:line="340" w:lineRule="exact"/>
              <w:jc w:val="center"/>
              <w:rPr>
                <w:rFonts w:ascii="宋体" w:hAnsi="宋体"/>
                <w:szCs w:val="21"/>
              </w:rPr>
            </w:pPr>
            <w:r>
              <w:rPr>
                <w:rFonts w:hint="eastAsia" w:ascii="宋体" w:hAnsi="宋体"/>
                <w:szCs w:val="21"/>
              </w:rPr>
              <w:t>3</w:t>
            </w:r>
          </w:p>
        </w:tc>
        <w:tc>
          <w:tcPr>
            <w:tcW w:w="2159" w:type="dxa"/>
            <w:vAlign w:val="center"/>
          </w:tcPr>
          <w:p>
            <w:pPr>
              <w:spacing w:line="320" w:lineRule="exact"/>
              <w:jc w:val="center"/>
              <w:rPr>
                <w:rFonts w:ascii="宋体" w:hAnsi="宋体"/>
                <w:position w:val="-2"/>
                <w:szCs w:val="21"/>
              </w:rPr>
            </w:pPr>
            <w:r>
              <w:rPr>
                <w:rFonts w:hint="eastAsia" w:ascii="宋体" w:hAnsi="宋体" w:cs="宋体"/>
                <w:kern w:val="0"/>
                <w:szCs w:val="21"/>
              </w:rPr>
              <w:t>参与电子投标的准备工作</w:t>
            </w:r>
          </w:p>
        </w:tc>
        <w:tc>
          <w:tcPr>
            <w:tcW w:w="6365" w:type="dxa"/>
            <w:vAlign w:val="center"/>
          </w:tcPr>
          <w:p>
            <w:pPr>
              <w:spacing w:line="360" w:lineRule="auto"/>
              <w:rPr>
                <w:rFonts w:ascii="宋体" w:hAnsi="宋体" w:cs="宋体"/>
                <w:kern w:val="0"/>
                <w:szCs w:val="21"/>
              </w:rPr>
            </w:pPr>
            <w:r>
              <w:rPr>
                <w:rFonts w:hint="eastAsia" w:ascii="宋体" w:hAnsi="宋体" w:cs="宋体"/>
                <w:kern w:val="0"/>
                <w:szCs w:val="21"/>
              </w:rPr>
              <w:t>5.6（1）</w:t>
            </w:r>
            <w:r>
              <w:rPr>
                <w:rFonts w:hint="eastAsia" w:ascii="宋体" w:hAnsi="宋体"/>
                <w:bCs/>
              </w:rPr>
              <w:t>本项目实行全流程电子化采购，投标人通过“政采云”平台参与电子投标，并应做好以下相关准备工作：①在“政采云”平台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政采云电子投标客户端”）并安装成功，投标人应当在提交投标文件截止时间前在“政采云”平台完成的身份认证，确保能够对相关数据电文进行加密和使用电子签章；④自备计算机和网络设备并确保能接入互联网（费用由投标人自行承担，设备确保可进行视频通话和读取政采云CA证书）。因投标人未做好相关准备工作等自身原因导致无法参加本项目电子投标或投标失败的，造成的一切后果，由投标人自行承担</w:t>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（2）电子投标具体操作流程参考《政府采购项目电子交易管理操作指南-供应商》（详见桂林市政府采购网—采购资讯—重要通知）；如遇平台技术问题详询400-881-7190。</w:t>
            </w:r>
          </w:p>
          <w:p>
            <w:pPr>
              <w:spacing w:line="360" w:lineRule="auto"/>
              <w:rPr>
                <w:rFonts w:ascii="宋体" w:hAnsi="宋体"/>
                <w:szCs w:val="21"/>
              </w:rPr>
            </w:pPr>
            <w:r>
              <w:rPr>
                <w:rFonts w:hint="eastAsia" w:ascii="宋体" w:hAnsi="宋体" w:cs="宋体"/>
                <w:kern w:val="0"/>
                <w:szCs w:val="21"/>
              </w:rPr>
              <w:t>（3）不论投标结果如何，投标人均应自行承担所有与投标有关的全部费用。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90" w:type="dxa"/>
            <w:vAlign w:val="center"/>
          </w:tcPr>
          <w:p>
            <w:pPr>
              <w:spacing w:line="340" w:lineRule="exact"/>
              <w:jc w:val="center"/>
              <w:rPr>
                <w:rFonts w:ascii="宋体" w:hAnsi="宋体"/>
                <w:szCs w:val="21"/>
              </w:rPr>
            </w:pPr>
            <w:r>
              <w:rPr>
                <w:rFonts w:hint="eastAsia" w:ascii="宋体" w:hAnsi="宋体"/>
                <w:szCs w:val="21"/>
              </w:rPr>
              <w:t>4</w:t>
            </w:r>
          </w:p>
        </w:tc>
        <w:tc>
          <w:tcPr>
            <w:tcW w:w="2159" w:type="dxa"/>
            <w:vAlign w:val="center"/>
          </w:tcPr>
          <w:p>
            <w:pPr>
              <w:spacing w:line="320" w:lineRule="exact"/>
              <w:jc w:val="center"/>
              <w:rPr>
                <w:rFonts w:ascii="宋体" w:hAnsi="宋体"/>
                <w:szCs w:val="21"/>
              </w:rPr>
            </w:pPr>
            <w:r>
              <w:rPr>
                <w:rFonts w:hint="eastAsia" w:ascii="宋体" w:hAnsi="宋体"/>
                <w:szCs w:val="21"/>
              </w:rPr>
              <w:t>投标报价</w:t>
            </w:r>
          </w:p>
        </w:tc>
        <w:tc>
          <w:tcPr>
            <w:tcW w:w="6365" w:type="dxa"/>
            <w:vAlign w:val="center"/>
          </w:tcPr>
          <w:p>
            <w:pPr>
              <w:tabs>
                <w:tab w:val="left" w:pos="1305"/>
              </w:tabs>
              <w:spacing w:line="360" w:lineRule="auto"/>
              <w:rPr>
                <w:rFonts w:ascii="宋体" w:hAnsi="宋体" w:cs="宋体"/>
                <w:bCs/>
                <w:szCs w:val="21"/>
              </w:rPr>
            </w:pPr>
            <w:r>
              <w:rPr>
                <w:rFonts w:hint="eastAsia" w:ascii="宋体" w:hAnsi="宋体" w:cs="宋体"/>
                <w:bCs/>
                <w:szCs w:val="21"/>
              </w:rPr>
              <w:t>15.1 投标报价应按招标文件中第六章“投标文件（格式）”填写，投标报价超过采购预算金额的，投标文件按无效处理。。</w:t>
            </w:r>
          </w:p>
          <w:p>
            <w:pPr>
              <w:tabs>
                <w:tab w:val="left" w:pos="1305"/>
              </w:tabs>
              <w:spacing w:line="360" w:lineRule="auto"/>
              <w:rPr>
                <w:rFonts w:ascii="宋体" w:hAnsi="宋体" w:cs="宋体"/>
                <w:bCs/>
                <w:szCs w:val="21"/>
              </w:rPr>
            </w:pPr>
            <w:r>
              <w:rPr>
                <w:rFonts w:hint="eastAsia" w:ascii="宋体" w:hAnsi="宋体" w:cs="宋体"/>
                <w:bCs/>
                <w:szCs w:val="21"/>
              </w:rPr>
              <w:t>15.2 投标人必须就“货物采购需求”中所有内容作完整唯一报价，否则，其投标将被拒绝；投标文件只允许有一个报价，有选择的或有条件的报价将不予接受。</w:t>
            </w:r>
          </w:p>
          <w:p>
            <w:pPr>
              <w:tabs>
                <w:tab w:val="left" w:pos="1305"/>
              </w:tabs>
              <w:spacing w:line="360" w:lineRule="auto"/>
              <w:rPr>
                <w:rFonts w:ascii="宋体" w:hAnsi="宋体"/>
                <w:szCs w:val="21"/>
              </w:rPr>
            </w:pPr>
            <w:r>
              <w:rPr>
                <w:rFonts w:hint="eastAsia" w:ascii="宋体" w:hAnsi="宋体" w:cs="宋体"/>
                <w:bCs/>
                <w:szCs w:val="21"/>
              </w:rPr>
              <w:t>15.3投标报价应包括本次招标采购范围内货物价款、货物随配标准附件、包装、运输、装卸、保险、 税金、货到位以及安装、安装所需辅材、调试、检验、售后服务、培训、保修及其他所有成本费用的总和；投标人综合考虑在报价中。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0" w:type="dxa"/>
            <w:vAlign w:val="center"/>
          </w:tcPr>
          <w:p>
            <w:pPr>
              <w:spacing w:line="340" w:lineRule="exact"/>
              <w:jc w:val="center"/>
              <w:rPr>
                <w:rFonts w:ascii="宋体" w:hAnsi="宋体"/>
                <w:szCs w:val="21"/>
              </w:rPr>
            </w:pPr>
            <w:r>
              <w:rPr>
                <w:rFonts w:hint="eastAsia" w:ascii="宋体" w:hAnsi="宋体"/>
                <w:szCs w:val="21"/>
              </w:rPr>
              <w:t>5</w:t>
            </w:r>
          </w:p>
        </w:tc>
        <w:tc>
          <w:tcPr>
            <w:tcW w:w="2159" w:type="dxa"/>
            <w:vAlign w:val="center"/>
          </w:tcPr>
          <w:p>
            <w:pPr>
              <w:spacing w:line="320" w:lineRule="exact"/>
              <w:jc w:val="center"/>
              <w:rPr>
                <w:rFonts w:ascii="宋体" w:hAnsi="宋体"/>
                <w:szCs w:val="21"/>
              </w:rPr>
            </w:pPr>
            <w:r>
              <w:rPr>
                <w:rFonts w:hint="eastAsia" w:ascii="宋体" w:hAnsi="宋体"/>
                <w:szCs w:val="21"/>
              </w:rPr>
              <w:t>投标有效期</w:t>
            </w:r>
          </w:p>
        </w:tc>
        <w:tc>
          <w:tcPr>
            <w:tcW w:w="6365" w:type="dxa"/>
            <w:vAlign w:val="center"/>
          </w:tcPr>
          <w:p>
            <w:pPr>
              <w:tabs>
                <w:tab w:val="left" w:pos="1305"/>
              </w:tabs>
              <w:spacing w:line="360" w:lineRule="auto"/>
              <w:rPr>
                <w:rFonts w:ascii="宋体" w:hAnsi="宋体"/>
                <w:szCs w:val="21"/>
              </w:rPr>
            </w:pPr>
            <w:r>
              <w:rPr>
                <w:rFonts w:hint="eastAsia" w:ascii="宋体" w:hAnsi="宋体" w:cs="宋体"/>
                <w:szCs w:val="21"/>
              </w:rPr>
              <w:t>16.1投标有效期：投标截止时间之日起90天。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0" w:type="dxa"/>
            <w:vAlign w:val="center"/>
          </w:tcPr>
          <w:p>
            <w:pPr>
              <w:spacing w:line="340" w:lineRule="exact"/>
              <w:jc w:val="center"/>
              <w:rPr>
                <w:rFonts w:ascii="宋体" w:hAnsi="宋体"/>
                <w:szCs w:val="21"/>
              </w:rPr>
            </w:pPr>
            <w:r>
              <w:rPr>
                <w:rFonts w:hint="eastAsia" w:ascii="宋体" w:hAnsi="宋体"/>
                <w:szCs w:val="21"/>
              </w:rPr>
              <w:t>6</w:t>
            </w:r>
          </w:p>
        </w:tc>
        <w:tc>
          <w:tcPr>
            <w:tcW w:w="2159" w:type="dxa"/>
            <w:vAlign w:val="center"/>
          </w:tcPr>
          <w:p>
            <w:pPr>
              <w:spacing w:line="320" w:lineRule="exact"/>
              <w:jc w:val="center"/>
              <w:rPr>
                <w:rFonts w:ascii="宋体" w:hAnsi="宋体"/>
                <w:szCs w:val="21"/>
              </w:rPr>
            </w:pPr>
            <w:r>
              <w:rPr>
                <w:rFonts w:hint="eastAsia" w:ascii="宋体" w:hAnsi="宋体" w:cs="宋体"/>
                <w:szCs w:val="21"/>
              </w:rPr>
              <w:t>电子投标文件的制作、加密</w:t>
            </w:r>
          </w:p>
        </w:tc>
        <w:tc>
          <w:tcPr>
            <w:tcW w:w="6365" w:type="dxa"/>
            <w:vAlign w:val="center"/>
          </w:tcPr>
          <w:p>
            <w:pPr>
              <w:snapToGrid w:val="0"/>
              <w:spacing w:line="360" w:lineRule="auto"/>
              <w:rPr>
                <w:rFonts w:ascii="宋体" w:hAnsi="宋体" w:cs="宋体"/>
                <w:bCs/>
                <w:szCs w:val="21"/>
              </w:rPr>
            </w:pPr>
            <w:r>
              <w:rPr>
                <w:rFonts w:hint="eastAsia" w:ascii="宋体" w:hAnsi="宋体" w:cs="宋体"/>
                <w:kern w:val="0"/>
                <w:szCs w:val="21"/>
              </w:rPr>
              <w:t>17.1.1</w:t>
            </w:r>
            <w:r>
              <w:rPr>
                <w:rFonts w:hint="eastAsia" w:ascii="宋体" w:hAnsi="宋体" w:cs="宋体"/>
                <w:bCs/>
                <w:szCs w:val="21"/>
              </w:rPr>
              <w:t>投标人制作电子投标文件前，必须登陆“政采云”平台进行招标文件的获取操作。</w:t>
            </w:r>
          </w:p>
          <w:p>
            <w:pPr>
              <w:snapToGrid w:val="0"/>
              <w:spacing w:line="360" w:lineRule="auto"/>
              <w:rPr>
                <w:rFonts w:ascii="宋体" w:hAnsi="宋体" w:cs="宋体"/>
                <w:bCs/>
                <w:szCs w:val="21"/>
              </w:rPr>
            </w:pPr>
            <w:r>
              <w:rPr>
                <w:rFonts w:hint="eastAsia" w:ascii="宋体" w:hAnsi="宋体" w:cs="宋体"/>
                <w:bCs/>
                <w:szCs w:val="21"/>
              </w:rPr>
              <w:t>17.</w:t>
            </w:r>
            <w:r>
              <w:rPr>
                <w:rFonts w:hint="eastAsia" w:ascii="宋体" w:hAnsi="宋体" w:cs="宋体"/>
                <w:kern w:val="0"/>
                <w:szCs w:val="21"/>
              </w:rPr>
              <w:t>1.</w:t>
            </w:r>
            <w:r>
              <w:rPr>
                <w:rFonts w:hint="eastAsia" w:ascii="宋体" w:hAnsi="宋体" w:cs="宋体"/>
                <w:bCs/>
                <w:szCs w:val="21"/>
              </w:rPr>
              <w:t>2投标人下载或获取招标文件后，登录“政采云电子投标客户端”，按照本招标文件</w:t>
            </w:r>
            <w:r>
              <w:rPr>
                <w:rFonts w:hint="eastAsia" w:ascii="宋体" w:hAnsi="宋体" w:cs="宋体"/>
                <w:szCs w:val="21"/>
              </w:rPr>
              <w:t>规定的投标文件格式、顺序</w:t>
            </w:r>
            <w:r>
              <w:rPr>
                <w:rFonts w:hint="eastAsia" w:ascii="宋体" w:hAnsi="宋体" w:cs="宋体"/>
                <w:bCs/>
                <w:szCs w:val="21"/>
              </w:rPr>
              <w:t>以及“政采云”平台的要求，通过“政采云电子投标客户端”编制电子投标文件。</w:t>
            </w:r>
          </w:p>
          <w:p>
            <w:pPr>
              <w:snapToGrid w:val="0"/>
              <w:spacing w:line="360" w:lineRule="auto"/>
              <w:rPr>
                <w:rFonts w:ascii="宋体" w:hAnsi="宋体" w:cs="宋体"/>
                <w:szCs w:val="21"/>
              </w:rPr>
            </w:pPr>
            <w:r>
              <w:rPr>
                <w:rFonts w:hint="eastAsia" w:ascii="宋体" w:hAnsi="宋体" w:cs="宋体"/>
                <w:szCs w:val="21"/>
              </w:rPr>
              <w:t>17.</w:t>
            </w:r>
            <w:r>
              <w:rPr>
                <w:rFonts w:hint="eastAsia" w:ascii="宋体" w:hAnsi="宋体" w:cs="宋体"/>
                <w:kern w:val="0"/>
                <w:szCs w:val="21"/>
              </w:rPr>
              <w:t>1.</w:t>
            </w:r>
            <w:r>
              <w:rPr>
                <w:rFonts w:hint="eastAsia" w:ascii="宋体" w:hAnsi="宋体" w:cs="宋体"/>
                <w:szCs w:val="21"/>
              </w:rPr>
              <w:t>3投标人应按“政采云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p>
          <w:p>
            <w:pPr>
              <w:snapToGrid w:val="0"/>
              <w:spacing w:line="360" w:lineRule="auto"/>
              <w:rPr>
                <w:rFonts w:ascii="宋体" w:hAnsi="宋体" w:cs="宋体"/>
                <w:szCs w:val="21"/>
              </w:rPr>
            </w:pPr>
            <w:r>
              <w:rPr>
                <w:rFonts w:hint="eastAsia" w:ascii="宋体" w:hAnsi="宋体" w:cs="宋体"/>
                <w:szCs w:val="21"/>
              </w:rPr>
              <w:t>17.</w:t>
            </w:r>
            <w:r>
              <w:rPr>
                <w:rFonts w:hint="eastAsia" w:ascii="宋体" w:hAnsi="宋体" w:cs="宋体"/>
                <w:kern w:val="0"/>
                <w:szCs w:val="21"/>
              </w:rPr>
              <w:t>1.</w:t>
            </w:r>
            <w:r>
              <w:rPr>
                <w:rFonts w:hint="eastAsia" w:ascii="宋体" w:hAnsi="宋体" w:cs="宋体"/>
                <w:szCs w:val="21"/>
              </w:rPr>
              <w:t>4电子投标文件不得涂改，若有修改错漏处，须由法定代表人（负责人、自然人）或授权委托代理人通过“政采云电子投标客户端”采用政采云个人CA证书签章，没有办理政采云个人CA证书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的格式上传。因投标文件字迹潦草、表达不清、内容不完整、编排混乱导致投标文件被误读、漏读，或者在按招标文件规定的部位查找不到相关内容的，其不利后果由供应商自行承担。</w:t>
            </w:r>
          </w:p>
          <w:p>
            <w:pPr>
              <w:tabs>
                <w:tab w:val="left" w:pos="1305"/>
              </w:tabs>
              <w:spacing w:line="360" w:lineRule="auto"/>
              <w:rPr>
                <w:rFonts w:ascii="宋体" w:hAnsi="宋体"/>
                <w:szCs w:val="21"/>
              </w:rPr>
            </w:pPr>
            <w:r>
              <w:rPr>
                <w:rFonts w:hint="eastAsia" w:ascii="宋体" w:hAnsi="宋体" w:cs="宋体"/>
                <w:szCs w:val="21"/>
              </w:rPr>
              <w:t>17.</w:t>
            </w:r>
            <w:r>
              <w:rPr>
                <w:rFonts w:hint="eastAsia" w:ascii="宋体" w:hAnsi="宋体" w:cs="宋体"/>
                <w:kern w:val="0"/>
                <w:szCs w:val="21"/>
              </w:rPr>
              <w:t>1.</w:t>
            </w:r>
            <w:r>
              <w:rPr>
                <w:rFonts w:hint="eastAsia" w:ascii="宋体" w:hAnsi="宋体" w:cs="宋体"/>
                <w:szCs w:val="21"/>
              </w:rPr>
              <w:t>5投标人编制、生成电子投标文件后应当</w:t>
            </w:r>
            <w:r>
              <w:rPr>
                <w:rFonts w:hint="eastAsia" w:ascii="宋体" w:hAnsi="宋体" w:cs="宋体"/>
                <w:bCs/>
                <w:szCs w:val="21"/>
              </w:rPr>
              <w:t>加密投标文件。</w:t>
            </w:r>
            <w:r>
              <w:rPr>
                <w:rFonts w:hint="eastAsia" w:ascii="宋体" w:hAnsi="宋体" w:cs="宋体"/>
                <w:szCs w:val="21"/>
              </w:rPr>
              <w:t>投标人</w:t>
            </w:r>
            <w:r>
              <w:rPr>
                <w:rFonts w:hint="eastAsia" w:ascii="宋体" w:hAnsi="宋体" w:cs="宋体"/>
                <w:bCs/>
                <w:szCs w:val="21"/>
              </w:rPr>
              <w:t>未按规定编制并加密的投标文件，“政采云”平台将予以拒收。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90" w:type="dxa"/>
            <w:vAlign w:val="center"/>
          </w:tcPr>
          <w:p>
            <w:pPr>
              <w:spacing w:line="340" w:lineRule="exact"/>
              <w:jc w:val="center"/>
              <w:rPr>
                <w:rFonts w:ascii="宋体" w:hAnsi="宋体"/>
                <w:szCs w:val="21"/>
              </w:rPr>
            </w:pPr>
            <w:r>
              <w:rPr>
                <w:rFonts w:hint="eastAsia" w:ascii="宋体" w:hAnsi="宋体"/>
                <w:szCs w:val="21"/>
              </w:rPr>
              <w:t>7</w:t>
            </w:r>
          </w:p>
        </w:tc>
        <w:tc>
          <w:tcPr>
            <w:tcW w:w="2159" w:type="dxa"/>
            <w:vAlign w:val="center"/>
          </w:tcPr>
          <w:p>
            <w:pPr>
              <w:spacing w:line="320" w:lineRule="exact"/>
              <w:jc w:val="center"/>
              <w:rPr>
                <w:rFonts w:ascii="宋体" w:hAnsi="宋体"/>
                <w:position w:val="10"/>
                <w:szCs w:val="21"/>
              </w:rPr>
            </w:pPr>
            <w:r>
              <w:rPr>
                <w:rFonts w:hint="eastAsia" w:ascii="宋体" w:hAnsi="宋体" w:cs="宋体"/>
                <w:kern w:val="0"/>
                <w:szCs w:val="21"/>
              </w:rPr>
              <w:t>投标人公章及签字</w:t>
            </w:r>
          </w:p>
        </w:tc>
        <w:tc>
          <w:tcPr>
            <w:tcW w:w="6365" w:type="dxa"/>
            <w:vAlign w:val="center"/>
          </w:tcPr>
          <w:p>
            <w:pPr>
              <w:snapToGrid w:val="0"/>
              <w:spacing w:line="360" w:lineRule="auto"/>
              <w:jc w:val="left"/>
              <w:rPr>
                <w:rFonts w:ascii="宋体" w:hAnsi="宋体" w:cs="宋体"/>
              </w:rPr>
            </w:pPr>
            <w:r>
              <w:rPr>
                <w:rFonts w:hint="eastAsia" w:ascii="宋体" w:hAnsi="宋体" w:cs="宋体"/>
              </w:rPr>
              <w:t>17.2.1本招标文件中描述投标人的“公章”是指投标人通过指定电子化政府采购平台办理数字证书（CA认证证书）获得的以法定主体行为名称制作的电子印章。</w:t>
            </w:r>
          </w:p>
          <w:p>
            <w:pPr>
              <w:snapToGrid w:val="0"/>
              <w:spacing w:line="360" w:lineRule="auto"/>
              <w:jc w:val="left"/>
              <w:rPr>
                <w:rFonts w:ascii="宋体" w:hAnsi="宋体" w:cs="宋体"/>
              </w:rPr>
            </w:pPr>
            <w:r>
              <w:rPr>
                <w:rFonts w:hint="eastAsia" w:ascii="宋体" w:hAnsi="宋体" w:cs="宋体"/>
              </w:rPr>
              <w:t>17.2.2本招标文件中要求投标人对其电子投标文件的相关内容加盖公章的，均指采用CA证书签章。</w:t>
            </w:r>
          </w:p>
          <w:p>
            <w:pPr>
              <w:spacing w:line="360" w:lineRule="auto"/>
              <w:rPr>
                <w:rFonts w:ascii="宋体" w:hAnsi="宋体"/>
                <w:szCs w:val="21"/>
              </w:rPr>
            </w:pPr>
            <w:r>
              <w:rPr>
                <w:rFonts w:hint="eastAsia" w:ascii="宋体" w:hAnsi="宋体" w:cs="宋体"/>
              </w:rPr>
              <w:t>17.2.3本招标文件中描述投标人的“签字”是指投标人通过指定电子化政府采购平台办理数字证书（CA认证证书）获得的以投标人法定代表人（负责人、自然人）或者委托代理人姓名制作的个人电子印章或手写签字。没有办理个人CA证书的，可以为手写签字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90" w:type="dxa"/>
            <w:vAlign w:val="center"/>
          </w:tcPr>
          <w:p>
            <w:pPr>
              <w:spacing w:line="340" w:lineRule="exact"/>
              <w:jc w:val="center"/>
              <w:rPr>
                <w:rFonts w:ascii="宋体" w:hAnsi="宋体"/>
                <w:szCs w:val="21"/>
              </w:rPr>
            </w:pPr>
            <w:r>
              <w:rPr>
                <w:rFonts w:hint="eastAsia" w:ascii="宋体" w:hAnsi="宋体"/>
                <w:szCs w:val="21"/>
              </w:rPr>
              <w:t>8</w:t>
            </w:r>
          </w:p>
        </w:tc>
        <w:tc>
          <w:tcPr>
            <w:tcW w:w="2159" w:type="dxa"/>
            <w:vAlign w:val="center"/>
          </w:tcPr>
          <w:p>
            <w:pPr>
              <w:spacing w:line="320" w:lineRule="exact"/>
              <w:jc w:val="center"/>
              <w:rPr>
                <w:rFonts w:ascii="宋体" w:hAnsi="宋体"/>
                <w:szCs w:val="21"/>
              </w:rPr>
            </w:pPr>
            <w:r>
              <w:rPr>
                <w:rFonts w:hint="eastAsia" w:ascii="宋体" w:hAnsi="宋体" w:cs="宋体"/>
                <w:szCs w:val="21"/>
              </w:rPr>
              <w:t>投标文件的补充、修改和撤回</w:t>
            </w:r>
          </w:p>
        </w:tc>
        <w:tc>
          <w:tcPr>
            <w:tcW w:w="6365" w:type="dxa"/>
            <w:vAlign w:val="center"/>
          </w:tcPr>
          <w:p>
            <w:pPr>
              <w:adjustRightInd w:val="0"/>
              <w:snapToGrid w:val="0"/>
              <w:spacing w:line="360" w:lineRule="auto"/>
              <w:rPr>
                <w:rFonts w:ascii="宋体" w:hAnsi="宋体" w:cs="宋体"/>
                <w:bCs/>
                <w:szCs w:val="21"/>
              </w:rPr>
            </w:pPr>
            <w:r>
              <w:rPr>
                <w:rFonts w:hint="eastAsia" w:ascii="宋体" w:hAnsi="宋体" w:cs="宋体"/>
                <w:bCs/>
                <w:szCs w:val="21"/>
              </w:rPr>
              <w:t>18.1投标人应当在</w:t>
            </w:r>
            <w:r>
              <w:rPr>
                <w:rFonts w:hint="eastAsia" w:ascii="宋体" w:hAnsi="宋体"/>
                <w:bCs/>
              </w:rPr>
              <w:t>提交投标文件截止时间</w:t>
            </w:r>
            <w:r>
              <w:rPr>
                <w:rFonts w:hint="eastAsia" w:ascii="宋体" w:hAnsi="宋体" w:cs="宋体"/>
                <w:bCs/>
                <w:szCs w:val="21"/>
              </w:rPr>
              <w:t>前，将生成的电子投标文件上传提交至“政采云”平台。投标文件提交截止时间前可以补充、修改或撤回电子投标文件，补充、修改电子投标文件的，应当先行撤回原文件，补充、修改后重新传输提交。</w:t>
            </w:r>
            <w:r>
              <w:rPr>
                <w:rFonts w:hint="eastAsia" w:ascii="宋体" w:hAnsi="宋体" w:cs="宋体"/>
                <w:kern w:val="0"/>
                <w:szCs w:val="21"/>
              </w:rPr>
              <w:t>在投标文件提交截止时间后的投标文件有效期内，投标人不得撤回其投标文件。</w:t>
            </w:r>
            <w:r>
              <w:rPr>
                <w:rFonts w:hint="eastAsia" w:ascii="宋体" w:hAnsi="宋体"/>
                <w:bCs/>
              </w:rPr>
              <w:t>提交投标文件截止时间</w:t>
            </w:r>
            <w:r>
              <w:rPr>
                <w:rFonts w:hint="eastAsia" w:ascii="宋体" w:hAnsi="宋体" w:cs="宋体"/>
                <w:bCs/>
                <w:szCs w:val="21"/>
              </w:rPr>
              <w:t>前未成功将电子投标文件上传“政采云”平台的，视为未提交投标文件。</w:t>
            </w:r>
          </w:p>
          <w:p>
            <w:pPr>
              <w:spacing w:line="360" w:lineRule="auto"/>
              <w:rPr>
                <w:rFonts w:ascii="宋体" w:hAnsi="宋体"/>
                <w:szCs w:val="21"/>
              </w:rPr>
            </w:pPr>
            <w:r>
              <w:rPr>
                <w:rFonts w:hint="eastAsia" w:ascii="宋体" w:hAnsi="宋体" w:cs="宋体"/>
                <w:bCs/>
                <w:szCs w:val="21"/>
              </w:rPr>
              <w:t>18.2</w:t>
            </w:r>
            <w:r>
              <w:rPr>
                <w:rFonts w:hint="eastAsia" w:ascii="宋体" w:hAnsi="宋体"/>
                <w:szCs w:val="21"/>
              </w:rPr>
              <w:t>在投标文件递交截止时间后的投标文件有效期内，投标人不得撤回其投标文件。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90" w:type="dxa"/>
            <w:vAlign w:val="center"/>
          </w:tcPr>
          <w:p>
            <w:pPr>
              <w:spacing w:line="340" w:lineRule="exact"/>
              <w:jc w:val="center"/>
              <w:rPr>
                <w:rFonts w:ascii="宋体" w:hAnsi="宋体"/>
                <w:szCs w:val="21"/>
              </w:rPr>
            </w:pPr>
            <w:r>
              <w:rPr>
                <w:rFonts w:hint="eastAsia" w:ascii="宋体" w:hAnsi="宋体"/>
                <w:szCs w:val="21"/>
              </w:rPr>
              <w:t>9</w:t>
            </w:r>
          </w:p>
        </w:tc>
        <w:tc>
          <w:tcPr>
            <w:tcW w:w="2159" w:type="dxa"/>
            <w:vAlign w:val="center"/>
          </w:tcPr>
          <w:p>
            <w:pPr>
              <w:spacing w:line="320" w:lineRule="exact"/>
              <w:jc w:val="center"/>
              <w:rPr>
                <w:rFonts w:ascii="宋体" w:hAnsi="宋体"/>
                <w:szCs w:val="21"/>
              </w:rPr>
            </w:pPr>
            <w:r>
              <w:rPr>
                <w:rFonts w:hint="eastAsia" w:ascii="宋体" w:hAnsi="宋体"/>
                <w:bCs/>
              </w:rPr>
              <w:t>提交投标文件截止时间、地点</w:t>
            </w:r>
            <w:r>
              <w:rPr>
                <w:rFonts w:hint="eastAsia" w:ascii="宋体" w:hAnsi="宋体"/>
                <w:szCs w:val="21"/>
              </w:rPr>
              <w:t xml:space="preserve">                  </w:t>
            </w:r>
          </w:p>
        </w:tc>
        <w:tc>
          <w:tcPr>
            <w:tcW w:w="6365" w:type="dxa"/>
            <w:vAlign w:val="center"/>
          </w:tcPr>
          <w:p>
            <w:pPr>
              <w:spacing w:line="360" w:lineRule="auto"/>
              <w:rPr>
                <w:rFonts w:hint="eastAsia" w:ascii="宋体" w:hAnsi="宋体" w:eastAsia="宋体" w:cs="宋体"/>
              </w:rPr>
            </w:pPr>
            <w:r>
              <w:rPr>
                <w:rFonts w:hint="eastAsia" w:ascii="宋体" w:hAnsi="宋体" w:eastAsia="宋体" w:cs="宋体"/>
              </w:rPr>
              <w:t>19.1.1投标人于</w:t>
            </w:r>
            <w:r>
              <w:rPr>
                <w:rFonts w:hint="eastAsia" w:ascii="宋体" w:hAnsi="宋体" w:eastAsia="宋体" w:cs="宋体"/>
                <w:highlight w:val="none"/>
              </w:rPr>
              <w:t>202</w:t>
            </w:r>
            <w:r>
              <w:rPr>
                <w:rFonts w:hint="eastAsia" w:ascii="宋体" w:hAnsi="宋体" w:cs="宋体"/>
                <w:highlight w:val="none"/>
                <w:lang w:val="en-US" w:eastAsia="zh-CN"/>
              </w:rPr>
              <w:t>3</w:t>
            </w:r>
            <w:r>
              <w:rPr>
                <w:rFonts w:hint="eastAsia" w:ascii="宋体" w:hAnsi="宋体" w:eastAsia="宋体" w:cs="宋体"/>
                <w:highlight w:val="none"/>
              </w:rPr>
              <w:t>年</w:t>
            </w:r>
            <w:r>
              <w:rPr>
                <w:rFonts w:hint="eastAsia" w:ascii="宋体" w:hAnsi="宋体" w:cs="宋体"/>
                <w:highlight w:val="none"/>
                <w:lang w:val="en-US" w:eastAsia="zh-CN"/>
              </w:rPr>
              <w:t>1</w:t>
            </w:r>
            <w:r>
              <w:rPr>
                <w:rFonts w:hint="eastAsia" w:ascii="宋体" w:hAnsi="宋体" w:eastAsia="宋体" w:cs="宋体"/>
                <w:highlight w:val="none"/>
              </w:rPr>
              <w:t>月</w:t>
            </w:r>
            <w:r>
              <w:rPr>
                <w:rFonts w:hint="eastAsia" w:ascii="宋体" w:hAnsi="宋体" w:cs="宋体"/>
                <w:highlight w:val="none"/>
                <w:lang w:val="en-US" w:eastAsia="zh-CN"/>
              </w:rPr>
              <w:t>17</w:t>
            </w:r>
            <w:r>
              <w:rPr>
                <w:rFonts w:hint="eastAsia" w:ascii="宋体" w:hAnsi="宋体" w:eastAsia="宋体" w:cs="宋体"/>
                <w:highlight w:val="none"/>
              </w:rPr>
              <w:t>日上午</w:t>
            </w:r>
            <w:r>
              <w:rPr>
                <w:rFonts w:hint="eastAsia" w:ascii="宋体" w:hAnsi="宋体" w:cs="宋体"/>
                <w:highlight w:val="none"/>
                <w:lang w:val="en-US" w:eastAsia="zh-CN"/>
              </w:rPr>
              <w:t>0</w:t>
            </w:r>
            <w:r>
              <w:rPr>
                <w:rFonts w:hint="eastAsia" w:ascii="宋体" w:hAnsi="宋体" w:eastAsia="宋体" w:cs="宋体"/>
                <w:highlight w:val="none"/>
              </w:rPr>
              <w:t>9时30分之</w:t>
            </w:r>
            <w:r>
              <w:rPr>
                <w:rFonts w:hint="eastAsia" w:ascii="宋体" w:hAnsi="宋体" w:eastAsia="宋体" w:cs="宋体"/>
              </w:rPr>
              <w:t>前将电子投标文件上传到政采云平台。</w:t>
            </w:r>
          </w:p>
          <w:p>
            <w:pPr>
              <w:spacing w:line="360" w:lineRule="auto"/>
              <w:rPr>
                <w:rFonts w:hint="eastAsia"/>
                <w:lang w:eastAsia="zh-CN"/>
              </w:rPr>
            </w:pPr>
            <w:r>
              <w:rPr>
                <w:rFonts w:hint="eastAsia" w:ascii="宋体" w:hAnsi="宋体" w:eastAsia="宋体" w:cs="宋体"/>
              </w:rPr>
              <w:t>19.1.2地</w:t>
            </w:r>
            <w:r>
              <w:rPr>
                <w:rFonts w:hint="eastAsia"/>
              </w:rPr>
              <w:t>点：通过“政采云”平台在线提交</w:t>
            </w:r>
            <w:r>
              <w:rPr>
                <w:rFonts w:hint="eastAsia"/>
                <w:lang w:eastAsia="zh-CN"/>
              </w:rPr>
              <w:t>，逾期递交的投标文件将予以拒收。投标文件递交成功后，投标人在必须在“政采云”平台自行下载投标回执。</w:t>
            </w:r>
          </w:p>
          <w:p>
            <w:pPr>
              <w:tabs>
                <w:tab w:val="left" w:pos="1305"/>
              </w:tabs>
              <w:spacing w:line="360" w:lineRule="auto"/>
              <w:rPr>
                <w:rFonts w:hint="eastAsia"/>
                <w:lang w:eastAsia="zh-CN"/>
              </w:rPr>
            </w:pPr>
            <w:r>
              <w:rPr>
                <w:rFonts w:hint="eastAsia" w:ascii="宋体" w:hAnsi="宋体"/>
                <w:szCs w:val="21"/>
              </w:rPr>
              <w:t>19.</w:t>
            </w:r>
            <w:r>
              <w:rPr>
                <w:rFonts w:hint="eastAsia" w:ascii="宋体" w:hAnsi="宋体" w:cs="宋体"/>
                <w:szCs w:val="21"/>
              </w:rPr>
              <w:t>1.</w:t>
            </w:r>
            <w:r>
              <w:rPr>
                <w:rFonts w:hint="eastAsia" w:ascii="宋体" w:hAnsi="宋体"/>
                <w:szCs w:val="21"/>
              </w:rPr>
              <w:t>3除招标文件另有规定外，投标人所递交的电子投标文件不予退还。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90" w:type="dxa"/>
            <w:vAlign w:val="center"/>
          </w:tcPr>
          <w:p>
            <w:pPr>
              <w:spacing w:line="340" w:lineRule="exact"/>
              <w:jc w:val="center"/>
              <w:rPr>
                <w:rFonts w:ascii="宋体" w:hAnsi="宋体"/>
                <w:szCs w:val="21"/>
              </w:rPr>
            </w:pPr>
            <w:r>
              <w:rPr>
                <w:rFonts w:hint="eastAsia" w:ascii="宋体" w:hAnsi="宋体"/>
                <w:szCs w:val="21"/>
              </w:rPr>
              <w:t>10</w:t>
            </w:r>
          </w:p>
        </w:tc>
        <w:tc>
          <w:tcPr>
            <w:tcW w:w="2159" w:type="dxa"/>
            <w:vAlign w:val="center"/>
          </w:tcPr>
          <w:p>
            <w:pPr>
              <w:spacing w:line="320" w:lineRule="exact"/>
              <w:ind w:firstLine="210" w:firstLineChars="100"/>
              <w:rPr>
                <w:rFonts w:ascii="宋体" w:hAnsi="宋体"/>
                <w:szCs w:val="21"/>
              </w:rPr>
            </w:pPr>
            <w:r>
              <w:rPr>
                <w:rFonts w:hint="eastAsia" w:ascii="宋体" w:hAnsi="宋体" w:cs="宋体"/>
                <w:szCs w:val="21"/>
              </w:rPr>
              <w:t>投标文件解密</w:t>
            </w:r>
          </w:p>
        </w:tc>
        <w:tc>
          <w:tcPr>
            <w:tcW w:w="6365" w:type="dxa"/>
            <w:vAlign w:val="center"/>
          </w:tcPr>
          <w:p>
            <w:pPr>
              <w:spacing w:line="360" w:lineRule="auto"/>
              <w:rPr>
                <w:rFonts w:ascii="宋体" w:hAnsi="宋体"/>
                <w:szCs w:val="21"/>
              </w:rPr>
            </w:pPr>
            <w:r>
              <w:rPr>
                <w:rFonts w:hint="eastAsia" w:ascii="宋体" w:hAnsi="宋体"/>
                <w:bCs/>
              </w:rPr>
              <w:t>19.2提交投标文件截止时间</w:t>
            </w:r>
            <w:r>
              <w:rPr>
                <w:rFonts w:hint="eastAsia" w:ascii="宋体" w:hAnsi="宋体" w:cs="宋体"/>
                <w:bCs/>
                <w:szCs w:val="21"/>
              </w:rPr>
              <w:t>后30分钟内</w:t>
            </w:r>
            <w:r>
              <w:rPr>
                <w:rFonts w:hint="eastAsia" w:ascii="宋体" w:hAnsi="宋体" w:cs="宋体"/>
                <w:bCs/>
                <w:szCs w:val="21"/>
                <w:highlight w:val="none"/>
              </w:rPr>
              <w:t>（</w:t>
            </w:r>
            <w:r>
              <w:rPr>
                <w:rFonts w:ascii="宋体" w:hAnsi="宋体"/>
                <w:szCs w:val="21"/>
                <w:highlight w:val="none"/>
              </w:rPr>
              <w:t>202</w:t>
            </w:r>
            <w:r>
              <w:rPr>
                <w:rFonts w:hint="eastAsia" w:ascii="宋体" w:hAnsi="宋体"/>
                <w:szCs w:val="21"/>
                <w:highlight w:val="none"/>
                <w:lang w:val="en-US" w:eastAsia="zh-CN"/>
              </w:rPr>
              <w:t>3</w:t>
            </w:r>
            <w:r>
              <w:rPr>
                <w:rFonts w:ascii="宋体" w:hAnsi="宋体"/>
                <w:szCs w:val="21"/>
                <w:highlight w:val="none"/>
              </w:rPr>
              <w:t>年</w:t>
            </w:r>
            <w:r>
              <w:rPr>
                <w:rFonts w:hint="eastAsia" w:ascii="宋体" w:hAnsi="宋体"/>
                <w:szCs w:val="21"/>
                <w:highlight w:val="none"/>
                <w:lang w:val="en-US" w:eastAsia="zh-CN"/>
              </w:rPr>
              <w:t>1</w:t>
            </w:r>
            <w:r>
              <w:rPr>
                <w:rFonts w:ascii="宋体" w:hAnsi="宋体"/>
                <w:szCs w:val="21"/>
                <w:highlight w:val="none"/>
              </w:rPr>
              <w:t>月</w:t>
            </w:r>
            <w:r>
              <w:rPr>
                <w:rFonts w:hint="eastAsia" w:ascii="宋体" w:hAnsi="宋体"/>
                <w:szCs w:val="21"/>
                <w:highlight w:val="none"/>
                <w:lang w:val="en-US" w:eastAsia="zh-CN"/>
              </w:rPr>
              <w:t>17</w:t>
            </w:r>
            <w:r>
              <w:rPr>
                <w:rFonts w:ascii="宋体" w:hAnsi="宋体"/>
                <w:szCs w:val="21"/>
                <w:highlight w:val="none"/>
              </w:rPr>
              <w:t>日</w:t>
            </w:r>
            <w:r>
              <w:rPr>
                <w:rFonts w:hint="eastAsia" w:ascii="宋体" w:hAnsi="宋体" w:cs="宋体"/>
                <w:bCs/>
                <w:szCs w:val="21"/>
                <w:highlight w:val="none"/>
              </w:rPr>
              <w:t>上午9时30至10时00分)，投标人</w:t>
            </w:r>
            <w:r>
              <w:rPr>
                <w:rFonts w:hint="eastAsia" w:ascii="宋体" w:hAnsi="宋体" w:cs="宋体"/>
                <w:bCs/>
                <w:szCs w:val="21"/>
              </w:rPr>
              <w:t>登录“政采云”平台，通过“项目采购-开标评标”功能解密电子投标文件。若投标人在上述规定时间内无法解密或解密失败，可以提交电子备份投标文件作为评审依据，在接到无法解密或解密失败的系统通知后，投标人可根据自身实际情况按系统通知要求的时间到达桂林市公共资源交易</w:t>
            </w:r>
            <w:r>
              <w:rPr>
                <w:rFonts w:hint="eastAsia" w:ascii="宋体" w:hAnsi="宋体" w:cs="宋体"/>
                <w:bCs/>
                <w:szCs w:val="21"/>
                <w:highlight w:val="none"/>
              </w:rPr>
              <w:t>中心</w:t>
            </w:r>
            <w:r>
              <w:rPr>
                <w:rFonts w:hint="eastAsia" w:ascii="宋体" w:hAnsi="宋体" w:cs="宋体"/>
                <w:b/>
                <w:bCs w:val="0"/>
                <w:szCs w:val="21"/>
                <w:highlight w:val="none"/>
                <w:u w:val="single"/>
                <w:lang w:val="en-US" w:eastAsia="zh-CN"/>
              </w:rPr>
              <w:t>10</w:t>
            </w:r>
            <w:r>
              <w:rPr>
                <w:rFonts w:hint="eastAsia" w:ascii="宋体" w:hAnsi="宋体" w:cs="宋体"/>
                <w:bCs/>
                <w:szCs w:val="21"/>
                <w:highlight w:val="none"/>
              </w:rPr>
              <w:t>号开标</w:t>
            </w:r>
            <w:r>
              <w:rPr>
                <w:rFonts w:hint="eastAsia" w:ascii="宋体" w:hAnsi="宋体" w:cs="宋体"/>
                <w:bCs/>
                <w:szCs w:val="21"/>
              </w:rPr>
              <w:t>室</w:t>
            </w:r>
            <w:r>
              <w:rPr>
                <w:rFonts w:hint="eastAsia" w:ascii="宋体" w:hAnsi="宋体"/>
                <w:szCs w:val="21"/>
              </w:rPr>
              <w:t>（广西桂林市临桂区西城中路69号创业大厦西辅楼4楼北区）</w:t>
            </w:r>
            <w:r>
              <w:rPr>
                <w:rFonts w:hint="eastAsia" w:ascii="宋体" w:hAnsi="宋体" w:cs="宋体"/>
                <w:bCs/>
                <w:szCs w:val="21"/>
              </w:rPr>
              <w:t>现场提交电子备份投标文件或以电子邮件（</w:t>
            </w:r>
            <w:r>
              <w:rPr>
                <w:rFonts w:hint="eastAsia" w:ascii="宋体" w:hAnsi="宋体" w:cs="宋体"/>
                <w:bCs/>
                <w:szCs w:val="21"/>
                <w:highlight w:val="none"/>
              </w:rPr>
              <w:t>以通知时所告知的电子邮箱地址为准）</w:t>
            </w:r>
            <w:r>
              <w:rPr>
                <w:rFonts w:hint="eastAsia" w:ascii="宋体" w:hAnsi="宋体" w:cs="宋体"/>
                <w:bCs/>
                <w:szCs w:val="21"/>
              </w:rPr>
              <w:t>的形式提交电子备份投标文件。若投标人在规定时间内无法解密或解密失败且未提供电子备份投标文件的(包含提供的电子备份文件无效或无法解密的情况)，投标文件按无效处理。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90" w:type="dxa"/>
            <w:vAlign w:val="center"/>
          </w:tcPr>
          <w:p>
            <w:pPr>
              <w:spacing w:line="340" w:lineRule="exact"/>
              <w:jc w:val="center"/>
              <w:rPr>
                <w:rFonts w:ascii="宋体" w:hAnsi="宋体"/>
                <w:szCs w:val="21"/>
              </w:rPr>
            </w:pPr>
            <w:r>
              <w:rPr>
                <w:rFonts w:hint="eastAsia" w:ascii="宋体" w:hAnsi="宋体"/>
                <w:szCs w:val="21"/>
              </w:rPr>
              <w:t>11</w:t>
            </w:r>
          </w:p>
        </w:tc>
        <w:tc>
          <w:tcPr>
            <w:tcW w:w="2159" w:type="dxa"/>
            <w:vAlign w:val="center"/>
          </w:tcPr>
          <w:p>
            <w:pPr>
              <w:spacing w:line="320" w:lineRule="exact"/>
              <w:jc w:val="center"/>
              <w:rPr>
                <w:rFonts w:ascii="宋体" w:hAnsi="宋体"/>
                <w:position w:val="-2"/>
                <w:szCs w:val="21"/>
              </w:rPr>
            </w:pPr>
            <w:r>
              <w:rPr>
                <w:rFonts w:hint="eastAsia" w:ascii="宋体" w:hAnsi="宋体" w:cs="宋体"/>
                <w:szCs w:val="21"/>
              </w:rPr>
              <w:t>开标时间及地点</w:t>
            </w:r>
          </w:p>
        </w:tc>
        <w:tc>
          <w:tcPr>
            <w:tcW w:w="6365" w:type="dxa"/>
            <w:vAlign w:val="center"/>
          </w:tcPr>
          <w:p>
            <w:pPr>
              <w:spacing w:line="360" w:lineRule="auto"/>
              <w:rPr>
                <w:rFonts w:ascii="宋体" w:hAnsi="宋体"/>
                <w:szCs w:val="21"/>
              </w:rPr>
            </w:pPr>
            <w:r>
              <w:rPr>
                <w:rFonts w:hint="eastAsia" w:ascii="宋体" w:hAnsi="宋体"/>
                <w:szCs w:val="21"/>
              </w:rPr>
              <w:t>开标时间</w:t>
            </w:r>
            <w:r>
              <w:rPr>
                <w:rFonts w:hint="eastAsia" w:ascii="宋体" w:hAnsi="宋体"/>
                <w:szCs w:val="21"/>
                <w:highlight w:val="none"/>
              </w:rPr>
              <w:t>：</w:t>
            </w:r>
            <w:r>
              <w:rPr>
                <w:rFonts w:ascii="宋体" w:hAnsi="宋体"/>
                <w:szCs w:val="21"/>
                <w:highlight w:val="none"/>
              </w:rPr>
              <w:t>202</w:t>
            </w:r>
            <w:r>
              <w:rPr>
                <w:rFonts w:hint="eastAsia" w:ascii="宋体" w:hAnsi="宋体"/>
                <w:szCs w:val="21"/>
                <w:highlight w:val="none"/>
                <w:lang w:val="en-US" w:eastAsia="zh-CN"/>
              </w:rPr>
              <w:t>3</w:t>
            </w:r>
            <w:r>
              <w:rPr>
                <w:rFonts w:ascii="宋体" w:hAnsi="宋体"/>
                <w:szCs w:val="21"/>
                <w:highlight w:val="none"/>
              </w:rPr>
              <w:t>年</w:t>
            </w:r>
            <w:r>
              <w:rPr>
                <w:rFonts w:hint="eastAsia" w:ascii="宋体" w:hAnsi="宋体"/>
                <w:szCs w:val="21"/>
                <w:highlight w:val="none"/>
                <w:lang w:val="en-US" w:eastAsia="zh-CN"/>
              </w:rPr>
              <w:t>1</w:t>
            </w:r>
            <w:r>
              <w:rPr>
                <w:rFonts w:ascii="宋体" w:hAnsi="宋体"/>
                <w:szCs w:val="21"/>
                <w:highlight w:val="none"/>
              </w:rPr>
              <w:t>月</w:t>
            </w:r>
            <w:r>
              <w:rPr>
                <w:rFonts w:hint="eastAsia" w:ascii="宋体" w:hAnsi="宋体"/>
                <w:szCs w:val="21"/>
                <w:highlight w:val="none"/>
                <w:lang w:val="en-US" w:eastAsia="zh-CN"/>
              </w:rPr>
              <w:t>17</w:t>
            </w:r>
            <w:r>
              <w:rPr>
                <w:rFonts w:ascii="宋体" w:hAnsi="宋体"/>
                <w:szCs w:val="21"/>
                <w:highlight w:val="none"/>
              </w:rPr>
              <w:t>日</w:t>
            </w:r>
            <w:r>
              <w:rPr>
                <w:rFonts w:hint="eastAsia" w:ascii="宋体" w:hAnsi="宋体"/>
                <w:szCs w:val="21"/>
                <w:highlight w:val="none"/>
                <w:lang w:val="en-US" w:eastAsia="zh-CN"/>
              </w:rPr>
              <w:t>0</w:t>
            </w:r>
            <w:r>
              <w:rPr>
                <w:rFonts w:hint="eastAsia" w:ascii="宋体" w:hAnsi="宋体"/>
                <w:szCs w:val="21"/>
                <w:highlight w:val="none"/>
              </w:rPr>
              <w:t>9点30分（北京</w:t>
            </w:r>
            <w:r>
              <w:rPr>
                <w:rFonts w:hint="eastAsia" w:ascii="宋体" w:hAnsi="宋体"/>
                <w:szCs w:val="21"/>
              </w:rPr>
              <w:t>时间）。</w:t>
            </w:r>
          </w:p>
          <w:p>
            <w:pPr>
              <w:spacing w:line="360" w:lineRule="auto"/>
              <w:rPr>
                <w:szCs w:val="21"/>
              </w:rPr>
            </w:pPr>
            <w:r>
              <w:rPr>
                <w:rFonts w:hint="eastAsia" w:ascii="宋体" w:hAnsi="宋体"/>
                <w:szCs w:val="21"/>
              </w:rPr>
              <w:t>开标地点：</w:t>
            </w:r>
            <w:r>
              <w:rPr>
                <w:rFonts w:hint="eastAsia" w:ascii="宋体" w:hAnsi="宋体"/>
                <w:bCs/>
              </w:rPr>
              <w:t>通过“政采云”平台在线解密开启</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90" w:type="dxa"/>
            <w:vAlign w:val="center"/>
          </w:tcPr>
          <w:p>
            <w:pPr>
              <w:spacing w:line="340" w:lineRule="exact"/>
              <w:jc w:val="center"/>
              <w:rPr>
                <w:rFonts w:ascii="宋体" w:hAnsi="宋体"/>
                <w:szCs w:val="21"/>
              </w:rPr>
            </w:pPr>
            <w:r>
              <w:rPr>
                <w:rFonts w:hint="eastAsia" w:ascii="宋体" w:hAnsi="宋体"/>
                <w:szCs w:val="21"/>
              </w:rPr>
              <w:t>13</w:t>
            </w:r>
          </w:p>
        </w:tc>
        <w:tc>
          <w:tcPr>
            <w:tcW w:w="2159" w:type="dxa"/>
            <w:vAlign w:val="center"/>
          </w:tcPr>
          <w:p>
            <w:pPr>
              <w:pStyle w:val="27"/>
              <w:spacing w:line="320" w:lineRule="exact"/>
              <w:ind w:firstLine="315" w:firstLineChars="150"/>
              <w:rPr>
                <w:rFonts w:hAnsi="宋体" w:cs="Arial"/>
                <w:sz w:val="21"/>
                <w:szCs w:val="21"/>
              </w:rPr>
            </w:pPr>
            <w:r>
              <w:rPr>
                <w:rFonts w:hint="eastAsia" w:hAnsi="宋体" w:cs="Arial"/>
                <w:sz w:val="21"/>
                <w:szCs w:val="21"/>
              </w:rPr>
              <w:t>评标委员会组成</w:t>
            </w:r>
          </w:p>
        </w:tc>
        <w:tc>
          <w:tcPr>
            <w:tcW w:w="6365" w:type="dxa"/>
            <w:vAlign w:val="center"/>
          </w:tcPr>
          <w:p>
            <w:pPr>
              <w:spacing w:line="360" w:lineRule="auto"/>
              <w:rPr>
                <w:rFonts w:ascii="宋体" w:hAnsi="宋体"/>
                <w:szCs w:val="21"/>
              </w:rPr>
            </w:pPr>
            <w:r>
              <w:rPr>
                <w:rFonts w:hint="eastAsia" w:ascii="宋体" w:hAnsi="宋体"/>
                <w:szCs w:val="21"/>
              </w:rPr>
              <w:t>评标委员会由采购人代表和有关技术、经济等方面的5人专家组成，其中采购人代表</w:t>
            </w:r>
            <w:r>
              <w:rPr>
                <w:rFonts w:hint="eastAsia" w:ascii="宋体" w:hAnsi="宋体"/>
                <w:szCs w:val="21"/>
                <w:u w:val="single"/>
              </w:rPr>
              <w:t xml:space="preserve"> 1</w:t>
            </w:r>
            <w:r>
              <w:rPr>
                <w:rFonts w:ascii="宋体" w:hAnsi="宋体"/>
                <w:szCs w:val="21"/>
                <w:u w:val="single"/>
              </w:rPr>
              <w:t xml:space="preserve"> </w:t>
            </w:r>
            <w:r>
              <w:rPr>
                <w:rFonts w:hint="eastAsia" w:ascii="宋体" w:hAnsi="宋体"/>
                <w:szCs w:val="21"/>
              </w:rPr>
              <w:t>人，技术专家</w:t>
            </w:r>
            <w:r>
              <w:rPr>
                <w:rFonts w:hint="eastAsia" w:ascii="宋体" w:hAnsi="宋体"/>
                <w:szCs w:val="21"/>
                <w:u w:val="single"/>
              </w:rPr>
              <w:t xml:space="preserve"> 3</w:t>
            </w:r>
            <w:r>
              <w:rPr>
                <w:rFonts w:hint="eastAsia" w:ascii="宋体" w:hAnsi="宋体"/>
                <w:szCs w:val="21"/>
              </w:rPr>
              <w:t>人，经济专家</w:t>
            </w:r>
            <w:r>
              <w:rPr>
                <w:rFonts w:ascii="宋体" w:hAnsi="宋体"/>
                <w:szCs w:val="21"/>
                <w:u w:val="single"/>
              </w:rPr>
              <w:t xml:space="preserve"> </w:t>
            </w:r>
            <w:r>
              <w:rPr>
                <w:rFonts w:hint="eastAsia" w:ascii="宋体" w:hAnsi="宋体"/>
                <w:szCs w:val="21"/>
                <w:u w:val="single"/>
              </w:rPr>
              <w:t>1</w:t>
            </w:r>
            <w:r>
              <w:rPr>
                <w:rFonts w:hint="eastAsia" w:ascii="宋体" w:hAnsi="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0" w:type="dxa"/>
            <w:vAlign w:val="center"/>
          </w:tcPr>
          <w:p>
            <w:pPr>
              <w:spacing w:line="340" w:lineRule="exact"/>
              <w:jc w:val="center"/>
              <w:rPr>
                <w:rFonts w:ascii="宋体" w:hAnsi="宋体"/>
                <w:szCs w:val="21"/>
              </w:rPr>
            </w:pPr>
            <w:r>
              <w:rPr>
                <w:rFonts w:hint="eastAsia" w:ascii="宋体" w:hAnsi="宋体"/>
                <w:szCs w:val="21"/>
              </w:rPr>
              <w:t>14</w:t>
            </w:r>
          </w:p>
        </w:tc>
        <w:tc>
          <w:tcPr>
            <w:tcW w:w="2159" w:type="dxa"/>
            <w:vAlign w:val="center"/>
          </w:tcPr>
          <w:p>
            <w:pPr>
              <w:spacing w:line="320" w:lineRule="exact"/>
              <w:jc w:val="center"/>
              <w:rPr>
                <w:rFonts w:ascii="宋体" w:hAnsi="宋体"/>
                <w:szCs w:val="21"/>
              </w:rPr>
            </w:pPr>
            <w:r>
              <w:rPr>
                <w:rFonts w:hint="eastAsia" w:ascii="宋体" w:hAnsi="宋体"/>
                <w:szCs w:val="21"/>
              </w:rPr>
              <w:t>评标办法</w:t>
            </w:r>
          </w:p>
        </w:tc>
        <w:tc>
          <w:tcPr>
            <w:tcW w:w="6365" w:type="dxa"/>
            <w:vAlign w:val="center"/>
          </w:tcPr>
          <w:p>
            <w:pPr>
              <w:spacing w:line="360" w:lineRule="auto"/>
              <w:rPr>
                <w:rFonts w:ascii="宋体" w:hAnsi="宋体"/>
                <w:szCs w:val="21"/>
              </w:rPr>
            </w:pPr>
            <w:r>
              <w:rPr>
                <w:rFonts w:hint="eastAsia"/>
                <w:szCs w:val="21"/>
              </w:rPr>
              <w:t>综合评分法</w:t>
            </w:r>
            <w:r>
              <w:rPr>
                <w:rFonts w:hint="eastAsia" w:ascii="宋体" w:hAnsi="宋体"/>
                <w:szCs w:val="21"/>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90" w:type="dxa"/>
            <w:vAlign w:val="center"/>
          </w:tcPr>
          <w:p>
            <w:pPr>
              <w:spacing w:line="340" w:lineRule="exact"/>
              <w:jc w:val="center"/>
              <w:rPr>
                <w:rFonts w:ascii="宋体" w:hAnsi="宋体"/>
                <w:szCs w:val="21"/>
              </w:rPr>
            </w:pPr>
            <w:r>
              <w:rPr>
                <w:rFonts w:hint="eastAsia" w:ascii="宋体" w:hAnsi="宋体"/>
                <w:szCs w:val="21"/>
              </w:rPr>
              <w:t>15</w:t>
            </w:r>
          </w:p>
        </w:tc>
        <w:tc>
          <w:tcPr>
            <w:tcW w:w="2159" w:type="dxa"/>
            <w:vAlign w:val="center"/>
          </w:tcPr>
          <w:p>
            <w:pPr>
              <w:spacing w:line="320" w:lineRule="exact"/>
              <w:jc w:val="center"/>
              <w:rPr>
                <w:rFonts w:ascii="宋体" w:hAnsi="宋体"/>
                <w:szCs w:val="21"/>
              </w:rPr>
            </w:pPr>
            <w:r>
              <w:rPr>
                <w:rFonts w:hint="eastAsia" w:ascii="宋体" w:hAnsi="宋体"/>
                <w:szCs w:val="21"/>
              </w:rPr>
              <w:t>信用查询</w:t>
            </w:r>
          </w:p>
        </w:tc>
        <w:tc>
          <w:tcPr>
            <w:tcW w:w="6365" w:type="dxa"/>
          </w:tcPr>
          <w:p>
            <w:pPr>
              <w:autoSpaceDE w:val="0"/>
              <w:autoSpaceDN w:val="0"/>
              <w:snapToGrid w:val="0"/>
              <w:spacing w:line="360" w:lineRule="auto"/>
              <w:textAlignment w:val="bottom"/>
              <w:rPr>
                <w:rFonts w:ascii="宋体" w:hAnsi="宋体"/>
                <w:szCs w:val="21"/>
              </w:rPr>
            </w:pPr>
            <w:r>
              <w:rPr>
                <w:rFonts w:hint="eastAsia" w:ascii="宋体" w:hAnsi="宋体"/>
                <w:szCs w:val="21"/>
              </w:rPr>
              <w:t>根据《关于做好政府采购有关信用主体标识码登记及在政府采购活动中查询使用信用记录有关问题的通知》桂财采〔2016〕37号的通知，由采购代理机构对第一中标候选人进行信用查询：</w:t>
            </w:r>
          </w:p>
          <w:p>
            <w:pPr>
              <w:autoSpaceDE w:val="0"/>
              <w:autoSpaceDN w:val="0"/>
              <w:snapToGrid w:val="0"/>
              <w:spacing w:line="360" w:lineRule="auto"/>
              <w:textAlignment w:val="bottom"/>
              <w:rPr>
                <w:rFonts w:ascii="宋体" w:hAnsi="宋体"/>
                <w:szCs w:val="21"/>
              </w:rPr>
            </w:pPr>
            <w:r>
              <w:rPr>
                <w:rFonts w:hint="eastAsia" w:ascii="宋体" w:hAnsi="宋体"/>
                <w:szCs w:val="21"/>
              </w:rPr>
              <w:t>⑴查询渠道：“信用中国”网站(www.creditchina.gov.cn)、中国政府采购网(www.ccgp.gov.cn)等；</w:t>
            </w:r>
          </w:p>
          <w:p>
            <w:pPr>
              <w:autoSpaceDE w:val="0"/>
              <w:autoSpaceDN w:val="0"/>
              <w:snapToGrid w:val="0"/>
              <w:spacing w:line="360" w:lineRule="auto"/>
              <w:textAlignment w:val="bottom"/>
              <w:rPr>
                <w:rFonts w:ascii="宋体" w:hAnsi="宋体"/>
                <w:szCs w:val="21"/>
              </w:rPr>
            </w:pPr>
            <w:r>
              <w:rPr>
                <w:rFonts w:hint="eastAsia" w:ascii="宋体" w:hAnsi="宋体"/>
                <w:szCs w:val="21"/>
              </w:rPr>
              <w:t>⑵查询截止时点：中标通知书发出前；</w:t>
            </w:r>
          </w:p>
          <w:p>
            <w:pPr>
              <w:autoSpaceDE w:val="0"/>
              <w:autoSpaceDN w:val="0"/>
              <w:snapToGrid w:val="0"/>
              <w:spacing w:line="360" w:lineRule="auto"/>
              <w:textAlignment w:val="bottom"/>
              <w:rPr>
                <w:rFonts w:ascii="宋体" w:hAnsi="宋体"/>
                <w:szCs w:val="21"/>
              </w:rPr>
            </w:pPr>
            <w:r>
              <w:rPr>
                <w:rFonts w:hint="eastAsia" w:ascii="宋体" w:hAnsi="宋体"/>
                <w:szCs w:val="21"/>
              </w:rPr>
              <w:t>⑶信用信息查询记录和证据留存方式：在查询网站中直接打印查询记录，打印材料作为采购活动资料保存。</w:t>
            </w:r>
          </w:p>
          <w:p>
            <w:pPr>
              <w:pStyle w:val="149"/>
              <w:spacing w:line="360" w:lineRule="auto"/>
              <w:rPr>
                <w:rFonts w:hAnsi="宋体"/>
                <w:szCs w:val="21"/>
              </w:rPr>
            </w:pPr>
            <w:r>
              <w:rPr>
                <w:rFonts w:hint="eastAsia" w:hAnsi="宋体"/>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1" w:hRule="atLeast"/>
        </w:trPr>
        <w:tc>
          <w:tcPr>
            <w:tcW w:w="690" w:type="dxa"/>
            <w:vAlign w:val="center"/>
          </w:tcPr>
          <w:p>
            <w:pPr>
              <w:spacing w:line="340" w:lineRule="exact"/>
              <w:jc w:val="center"/>
              <w:rPr>
                <w:rFonts w:ascii="宋体" w:hAnsi="宋体"/>
                <w:szCs w:val="21"/>
              </w:rPr>
            </w:pPr>
            <w:r>
              <w:rPr>
                <w:rFonts w:hint="eastAsia" w:ascii="宋体" w:hAnsi="宋体"/>
                <w:szCs w:val="21"/>
              </w:rPr>
              <w:t>16</w:t>
            </w:r>
          </w:p>
        </w:tc>
        <w:tc>
          <w:tcPr>
            <w:tcW w:w="2159" w:type="dxa"/>
            <w:vAlign w:val="center"/>
          </w:tcPr>
          <w:p>
            <w:pPr>
              <w:spacing w:line="320" w:lineRule="exact"/>
              <w:jc w:val="center"/>
              <w:rPr>
                <w:rFonts w:ascii="宋体" w:hAnsi="宋体"/>
                <w:szCs w:val="21"/>
              </w:rPr>
            </w:pPr>
            <w:r>
              <w:rPr>
                <w:rFonts w:hint="eastAsia" w:ascii="宋体" w:hAnsi="宋体"/>
                <w:szCs w:val="21"/>
              </w:rPr>
              <w:t>中标公告及中标通知书</w:t>
            </w:r>
          </w:p>
        </w:tc>
        <w:tc>
          <w:tcPr>
            <w:tcW w:w="6365" w:type="dxa"/>
          </w:tcPr>
          <w:p>
            <w:pPr>
              <w:spacing w:line="360" w:lineRule="auto"/>
              <w:rPr>
                <w:rFonts w:ascii="宋体" w:hAnsi="宋体"/>
                <w:szCs w:val="21"/>
              </w:rPr>
            </w:pPr>
            <w:r>
              <w:rPr>
                <w:rFonts w:hint="eastAsia" w:ascii="宋体" w:hAnsi="宋体"/>
                <w:szCs w:val="21"/>
              </w:rPr>
              <w:t xml:space="preserve">1.采购代理机构于评标结束后两个工作日内将评审报告送交采购人，采购人应当自收到评审报告五个工作日内在评审报告推荐的中标候选供应商中按顺序确定中标供应商，采购代理机构在中标供应商确定之日起两个工作日内发出中标通知书，并在指定媒体上公告中标信息，中标公告期限为 1 个工作日。 </w:t>
            </w:r>
          </w:p>
          <w:p>
            <w:pPr>
              <w:spacing w:line="360" w:lineRule="auto"/>
              <w:rPr>
                <w:rFonts w:hAnsi="宋体"/>
                <w:szCs w:val="21"/>
              </w:rPr>
            </w:pPr>
            <w:r>
              <w:rPr>
                <w:rFonts w:hint="eastAsia" w:ascii="宋体" w:hAnsi="宋体"/>
                <w:szCs w:val="21"/>
              </w:rPr>
              <w:t>2.中标供应商应自接到通知之日起七个工作日内，办理中标通知书领取手续，（逾期不办的，采购人有权取消其中标资格。）或如不按期办理领取手续，视为自动放弃中标资格。并从评标委员会推荐的中标候选供应商中按顺序重新确定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0" w:type="dxa"/>
            <w:vAlign w:val="center"/>
          </w:tcPr>
          <w:p>
            <w:pPr>
              <w:spacing w:line="340" w:lineRule="exact"/>
              <w:jc w:val="center"/>
              <w:rPr>
                <w:rFonts w:ascii="宋体" w:hAnsi="宋体"/>
                <w:szCs w:val="21"/>
              </w:rPr>
            </w:pPr>
            <w:r>
              <w:rPr>
                <w:rFonts w:hint="eastAsia" w:ascii="宋体" w:hAnsi="宋体"/>
                <w:szCs w:val="21"/>
              </w:rPr>
              <w:t>17</w:t>
            </w:r>
          </w:p>
        </w:tc>
        <w:tc>
          <w:tcPr>
            <w:tcW w:w="2159" w:type="dxa"/>
            <w:vAlign w:val="center"/>
          </w:tcPr>
          <w:p>
            <w:pPr>
              <w:spacing w:line="320" w:lineRule="exact"/>
              <w:jc w:val="center"/>
              <w:rPr>
                <w:rFonts w:ascii="宋体" w:hAnsi="宋体"/>
                <w:szCs w:val="21"/>
              </w:rPr>
            </w:pPr>
            <w:r>
              <w:rPr>
                <w:rFonts w:hint="eastAsia" w:ascii="宋体" w:hAnsi="宋体"/>
                <w:szCs w:val="21"/>
              </w:rPr>
              <w:t>履约保证金</w:t>
            </w:r>
          </w:p>
        </w:tc>
        <w:tc>
          <w:tcPr>
            <w:tcW w:w="6365" w:type="dxa"/>
            <w:vAlign w:val="center"/>
          </w:tcPr>
          <w:p>
            <w:pPr>
              <w:spacing w:line="360" w:lineRule="auto"/>
              <w:rPr>
                <w:rFonts w:ascii="宋体" w:hAnsi="宋体"/>
                <w:szCs w:val="21"/>
              </w:rPr>
            </w:pPr>
            <w:r>
              <w:rPr>
                <w:rFonts w:hint="eastAsia"/>
                <w:szCs w:val="21"/>
              </w:rPr>
              <w:t>履约保证金金额按</w:t>
            </w:r>
            <w:r>
              <w:rPr>
                <w:rFonts w:hint="eastAsia"/>
                <w:szCs w:val="21"/>
                <w:lang w:val="en-US" w:eastAsia="zh-CN"/>
              </w:rPr>
              <w:t>中标</w:t>
            </w:r>
            <w:r>
              <w:rPr>
                <w:rFonts w:hint="eastAsia"/>
                <w:szCs w:val="21"/>
              </w:rPr>
              <w:t>价的5%（人民币，四舍五入到元）提供【</w:t>
            </w:r>
            <w:r>
              <w:rPr>
                <w:rFonts w:hint="eastAsia"/>
                <w:b/>
                <w:bCs/>
                <w:szCs w:val="21"/>
              </w:rPr>
              <w:t>如</w:t>
            </w:r>
            <w:r>
              <w:rPr>
                <w:rFonts w:hint="eastAsia"/>
                <w:b/>
                <w:bCs/>
                <w:szCs w:val="21"/>
                <w:lang w:val="en-US" w:eastAsia="zh-CN"/>
              </w:rPr>
              <w:t>中标</w:t>
            </w:r>
            <w:r>
              <w:rPr>
                <w:rFonts w:hint="eastAsia"/>
                <w:b/>
                <w:bCs/>
                <w:szCs w:val="21"/>
              </w:rPr>
              <w:t>供应商为小微企业的，则免除收取履约保证金</w:t>
            </w:r>
            <w:r>
              <w:rPr>
                <w:rFonts w:hint="eastAsia"/>
                <w:szCs w:val="21"/>
              </w:rPr>
              <w:t>】，由</w:t>
            </w:r>
            <w:r>
              <w:rPr>
                <w:rFonts w:hint="eastAsia"/>
                <w:szCs w:val="21"/>
                <w:lang w:val="en-US" w:eastAsia="zh-CN"/>
              </w:rPr>
              <w:t>中标</w:t>
            </w:r>
            <w:r>
              <w:rPr>
                <w:rFonts w:hint="eastAsia"/>
                <w:szCs w:val="21"/>
              </w:rPr>
              <w:t>供应商在领取</w:t>
            </w:r>
            <w:r>
              <w:rPr>
                <w:rFonts w:hint="eastAsia"/>
                <w:szCs w:val="21"/>
                <w:lang w:val="en-US" w:eastAsia="zh-CN"/>
              </w:rPr>
              <w:t>中标</w:t>
            </w:r>
            <w:r>
              <w:rPr>
                <w:rFonts w:hint="eastAsia"/>
                <w:szCs w:val="21"/>
              </w:rPr>
              <w:t>通知书前将履约保证金以电汇、转账、支票、汇票、本票、保函等形式缴纳方式转入采购人履约保证金专户。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90" w:type="dxa"/>
            <w:vAlign w:val="center"/>
          </w:tcPr>
          <w:p>
            <w:pPr>
              <w:spacing w:line="340" w:lineRule="exact"/>
              <w:jc w:val="center"/>
              <w:rPr>
                <w:rFonts w:ascii="宋体" w:hAnsi="宋体"/>
                <w:szCs w:val="21"/>
              </w:rPr>
            </w:pPr>
            <w:r>
              <w:rPr>
                <w:rFonts w:hint="eastAsia" w:ascii="宋体" w:hAnsi="宋体"/>
                <w:szCs w:val="21"/>
              </w:rPr>
              <w:t>18</w:t>
            </w:r>
          </w:p>
        </w:tc>
        <w:tc>
          <w:tcPr>
            <w:tcW w:w="2159" w:type="dxa"/>
            <w:vAlign w:val="center"/>
          </w:tcPr>
          <w:p>
            <w:pPr>
              <w:spacing w:line="320" w:lineRule="exact"/>
              <w:jc w:val="center"/>
              <w:rPr>
                <w:rFonts w:ascii="宋体" w:hAnsi="宋体"/>
                <w:szCs w:val="21"/>
              </w:rPr>
            </w:pPr>
            <w:r>
              <w:rPr>
                <w:rFonts w:hint="eastAsia" w:ascii="宋体" w:hAnsi="宋体"/>
                <w:szCs w:val="21"/>
              </w:rPr>
              <w:t>签订合同时间</w:t>
            </w:r>
          </w:p>
        </w:tc>
        <w:tc>
          <w:tcPr>
            <w:tcW w:w="6365" w:type="dxa"/>
            <w:vAlign w:val="center"/>
          </w:tcPr>
          <w:p>
            <w:pPr>
              <w:spacing w:line="360" w:lineRule="auto"/>
              <w:rPr>
                <w:rFonts w:ascii="宋体" w:hAnsi="宋体"/>
                <w:szCs w:val="21"/>
              </w:rPr>
            </w:pPr>
            <w:r>
              <w:rPr>
                <w:rFonts w:hint="eastAsia" w:ascii="宋体" w:hAnsi="宋体" w:cs="宋体"/>
                <w:szCs w:val="21"/>
              </w:rPr>
              <w:t>34.1</w:t>
            </w:r>
            <w:r>
              <w:rPr>
                <w:rFonts w:hint="eastAsia"/>
                <w:szCs w:val="21"/>
              </w:rPr>
              <w:t>签订合同时间：中标通知书发出之日起</w:t>
            </w:r>
            <w:r>
              <w:rPr>
                <w:rFonts w:hint="eastAsia"/>
                <w:szCs w:val="21"/>
                <w:lang w:val="en-US" w:eastAsia="zh-CN"/>
              </w:rPr>
              <w:t>二十五日</w:t>
            </w:r>
            <w:r>
              <w:rPr>
                <w:rFonts w:hint="eastAsia"/>
                <w:szCs w:val="21"/>
              </w:rPr>
              <w:t>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90" w:type="dxa"/>
            <w:vAlign w:val="center"/>
          </w:tcPr>
          <w:p>
            <w:pPr>
              <w:spacing w:line="340" w:lineRule="exact"/>
              <w:jc w:val="center"/>
              <w:rPr>
                <w:rFonts w:ascii="宋体" w:hAnsi="宋体"/>
                <w:szCs w:val="21"/>
              </w:rPr>
            </w:pPr>
            <w:r>
              <w:rPr>
                <w:rFonts w:hint="eastAsia" w:ascii="宋体" w:hAnsi="宋体"/>
                <w:szCs w:val="21"/>
              </w:rPr>
              <w:t>19</w:t>
            </w:r>
          </w:p>
        </w:tc>
        <w:tc>
          <w:tcPr>
            <w:tcW w:w="2159" w:type="dxa"/>
            <w:vAlign w:val="center"/>
          </w:tcPr>
          <w:p>
            <w:pPr>
              <w:spacing w:line="320" w:lineRule="exact"/>
              <w:jc w:val="center"/>
              <w:rPr>
                <w:rFonts w:ascii="宋体" w:hAnsi="宋体"/>
                <w:szCs w:val="21"/>
              </w:rPr>
            </w:pPr>
            <w:r>
              <w:rPr>
                <w:rFonts w:hint="eastAsia" w:ascii="宋体" w:hAnsi="宋体"/>
                <w:szCs w:val="21"/>
              </w:rPr>
              <w:t>合同备案存档</w:t>
            </w:r>
          </w:p>
        </w:tc>
        <w:tc>
          <w:tcPr>
            <w:tcW w:w="6365" w:type="dxa"/>
            <w:vAlign w:val="center"/>
          </w:tcPr>
          <w:p>
            <w:pPr>
              <w:spacing w:line="360" w:lineRule="auto"/>
              <w:rPr>
                <w:rFonts w:ascii="宋体" w:hAnsi="宋体"/>
                <w:szCs w:val="21"/>
              </w:rPr>
            </w:pPr>
            <w:r>
              <w:rPr>
                <w:rFonts w:hint="eastAsia" w:ascii="宋体" w:hAnsi="宋体"/>
                <w:szCs w:val="21"/>
              </w:rPr>
              <w:t>政府采购合同双方自签订之日起1个工作日内将合同原件1份交采购代理机构，采购代理机构收到政府采购合同原件后在省级以上人民政府财政部门指定媒体上公告并存档。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90" w:type="dxa"/>
            <w:vAlign w:val="center"/>
          </w:tcPr>
          <w:p>
            <w:pPr>
              <w:spacing w:line="340" w:lineRule="exact"/>
              <w:jc w:val="center"/>
              <w:rPr>
                <w:rFonts w:ascii="宋体" w:hAnsi="宋体"/>
                <w:szCs w:val="21"/>
              </w:rPr>
            </w:pPr>
            <w:r>
              <w:rPr>
                <w:rFonts w:hint="eastAsia" w:ascii="宋体" w:hAnsi="宋体"/>
                <w:szCs w:val="21"/>
              </w:rPr>
              <w:t>20</w:t>
            </w:r>
          </w:p>
        </w:tc>
        <w:tc>
          <w:tcPr>
            <w:tcW w:w="2159" w:type="dxa"/>
            <w:vAlign w:val="center"/>
          </w:tcPr>
          <w:p>
            <w:pPr>
              <w:spacing w:line="320" w:lineRule="exact"/>
              <w:jc w:val="center"/>
              <w:rPr>
                <w:rFonts w:ascii="宋体" w:hAnsi="宋体"/>
                <w:szCs w:val="21"/>
              </w:rPr>
            </w:pPr>
            <w:r>
              <w:rPr>
                <w:rFonts w:hint="eastAsia" w:ascii="宋体" w:hAnsi="宋体"/>
                <w:szCs w:val="21"/>
              </w:rPr>
              <w:t>招标代理服务费</w:t>
            </w:r>
          </w:p>
        </w:tc>
        <w:tc>
          <w:tcPr>
            <w:tcW w:w="6365" w:type="dxa"/>
            <w:vAlign w:val="center"/>
          </w:tcPr>
          <w:p>
            <w:pPr>
              <w:spacing w:line="360" w:lineRule="auto"/>
              <w:rPr>
                <w:rFonts w:ascii="宋体" w:hAnsi="宋体"/>
                <w:szCs w:val="21"/>
              </w:rPr>
            </w:pPr>
            <w:r>
              <w:rPr>
                <w:rFonts w:hint="eastAsia" w:ascii="宋体" w:hAnsi="宋体" w:cs="宋体"/>
                <w:szCs w:val="21"/>
              </w:rPr>
              <w:t>本项目的采购代理服务收费标准参照计价格[2002]1980号《招标代理服务收费管理暂行办法》货物类收费标准收取</w:t>
            </w:r>
            <w:r>
              <w:rPr>
                <w:rFonts w:hint="eastAsia" w:ascii="宋体" w:hAnsi="宋体" w:cs="宋体"/>
                <w:szCs w:val="21"/>
                <w:lang w:eastAsia="zh-CN"/>
              </w:rPr>
              <w:t>，</w:t>
            </w:r>
            <w:r>
              <w:rPr>
                <w:rFonts w:hint="eastAsia" w:ascii="宋体" w:hAnsi="宋体" w:cs="宋体"/>
                <w:szCs w:val="21"/>
                <w:lang w:val="en-US" w:eastAsia="zh-CN"/>
              </w:rPr>
              <w:t>由</w:t>
            </w:r>
            <w:r>
              <w:rPr>
                <w:rFonts w:hint="eastAsia" w:ascii="宋体" w:hAnsi="宋体" w:cs="宋体"/>
                <w:szCs w:val="21"/>
              </w:rPr>
              <w:t>中标供应商领取</w:t>
            </w:r>
            <w:r>
              <w:rPr>
                <w:rFonts w:hint="eastAsia" w:ascii="宋体" w:hAnsi="宋体" w:cs="宋体"/>
                <w:szCs w:val="21"/>
                <w:lang w:val="en-US" w:eastAsia="zh-CN"/>
              </w:rPr>
              <w:t>中标</w:t>
            </w:r>
            <w:r>
              <w:rPr>
                <w:rFonts w:hint="eastAsia" w:ascii="宋体" w:hAnsi="宋体" w:cs="宋体"/>
                <w:szCs w:val="21"/>
              </w:rPr>
              <w:t>通知书</w:t>
            </w:r>
            <w:r>
              <w:rPr>
                <w:rFonts w:hint="eastAsia" w:ascii="宋体" w:hAnsi="宋体" w:cs="宋体"/>
                <w:szCs w:val="21"/>
                <w:lang w:val="en-US" w:eastAsia="zh-CN"/>
              </w:rPr>
              <w:t>之</w:t>
            </w:r>
            <w:r>
              <w:rPr>
                <w:rFonts w:hint="eastAsia" w:ascii="宋体" w:hAnsi="宋体" w:cs="宋体"/>
                <w:szCs w:val="21"/>
              </w:rPr>
              <w:t>前，向广西万盯卯招标咨询有限公司桂林分公司一次性付清采购代理服务费（不足人民币5000元的，按5000元支付）。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690" w:type="dxa"/>
            <w:vAlign w:val="center"/>
          </w:tcPr>
          <w:p>
            <w:pPr>
              <w:spacing w:line="340" w:lineRule="exact"/>
              <w:jc w:val="center"/>
              <w:rPr>
                <w:rFonts w:ascii="宋体" w:hAnsi="宋体"/>
                <w:szCs w:val="21"/>
              </w:rPr>
            </w:pPr>
            <w:r>
              <w:rPr>
                <w:rFonts w:hint="eastAsia" w:ascii="宋体" w:hAnsi="宋体"/>
                <w:szCs w:val="21"/>
              </w:rPr>
              <w:t>21</w:t>
            </w:r>
          </w:p>
        </w:tc>
        <w:tc>
          <w:tcPr>
            <w:tcW w:w="2159" w:type="dxa"/>
            <w:vAlign w:val="center"/>
          </w:tcPr>
          <w:p>
            <w:pPr>
              <w:spacing w:line="320" w:lineRule="exact"/>
              <w:jc w:val="center"/>
              <w:rPr>
                <w:rFonts w:ascii="宋体" w:hAnsi="宋体"/>
                <w:szCs w:val="21"/>
              </w:rPr>
            </w:pPr>
            <w:r>
              <w:rPr>
                <w:rFonts w:hint="eastAsia" w:ascii="宋体" w:hAnsi="宋体"/>
                <w:szCs w:val="21"/>
              </w:rPr>
              <w:t>解释权</w:t>
            </w:r>
          </w:p>
        </w:tc>
        <w:tc>
          <w:tcPr>
            <w:tcW w:w="6365" w:type="dxa"/>
            <w:vAlign w:val="center"/>
          </w:tcPr>
          <w:p>
            <w:pPr>
              <w:spacing w:line="360" w:lineRule="auto"/>
              <w:rPr>
                <w:rFonts w:ascii="宋体" w:hAnsi="宋体"/>
                <w:szCs w:val="21"/>
              </w:rPr>
            </w:pPr>
            <w:r>
              <w:rPr>
                <w:rFonts w:hint="eastAsia" w:ascii="宋体" w:hAnsi="宋体"/>
                <w:szCs w:val="21"/>
              </w:rPr>
              <w:t>本招标文件是根据《中华人民共和国政府采购法》、《中华人民共和国政府采购法实施条例》、</w:t>
            </w:r>
            <w:r>
              <w:rPr>
                <w:rStyle w:val="46"/>
                <w:rFonts w:ascii="Arial" w:hAnsi="Arial" w:cs="Arial"/>
                <w:b w:val="0"/>
                <w:szCs w:val="21"/>
              </w:rPr>
              <w:t>财政部令</w:t>
            </w:r>
            <w:r>
              <w:rPr>
                <w:rStyle w:val="46"/>
                <w:rFonts w:hint="eastAsia" w:ascii="宋体" w:hAnsi="宋体" w:cs="宋体"/>
                <w:b w:val="0"/>
                <w:szCs w:val="21"/>
              </w:rPr>
              <w:t>第87号</w:t>
            </w:r>
            <w:r>
              <w:rPr>
                <w:rFonts w:hint="eastAsia" w:ascii="宋体" w:hAnsi="宋体" w:cs="宋体"/>
                <w:szCs w:val="21"/>
              </w:rPr>
              <w:t>《</w:t>
            </w:r>
            <w:r>
              <w:rPr>
                <w:rFonts w:ascii="Arial" w:hAnsi="Arial" w:cs="Arial"/>
                <w:szCs w:val="21"/>
              </w:rPr>
              <w:t>政府采购货物和服务招标投标管理办法》</w:t>
            </w:r>
            <w:r>
              <w:rPr>
                <w:rFonts w:hint="eastAsia" w:ascii="宋体" w:hAnsi="宋体"/>
                <w:szCs w:val="21"/>
              </w:rPr>
              <w:t>和政府采购管理有关规定编制，本招标文件的解释权属于采购代理机构。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vAlign w:val="center"/>
          </w:tcPr>
          <w:p>
            <w:pPr>
              <w:spacing w:line="340" w:lineRule="exact"/>
              <w:jc w:val="center"/>
              <w:rPr>
                <w:rFonts w:ascii="宋体" w:hAnsi="宋体"/>
                <w:szCs w:val="21"/>
              </w:rPr>
            </w:pPr>
            <w:r>
              <w:rPr>
                <w:rFonts w:hint="eastAsia" w:ascii="宋体" w:hAnsi="宋体"/>
                <w:szCs w:val="21"/>
              </w:rPr>
              <w:t>22</w:t>
            </w:r>
          </w:p>
        </w:tc>
        <w:tc>
          <w:tcPr>
            <w:tcW w:w="2159" w:type="dxa"/>
            <w:vAlign w:val="center"/>
          </w:tcPr>
          <w:p>
            <w:pPr>
              <w:spacing w:line="320" w:lineRule="exact"/>
              <w:jc w:val="center"/>
              <w:rPr>
                <w:rFonts w:ascii="宋体" w:hAnsi="宋体"/>
                <w:position w:val="10"/>
                <w:szCs w:val="21"/>
              </w:rPr>
            </w:pPr>
            <w:r>
              <w:rPr>
                <w:rFonts w:hint="eastAsia" w:ascii="宋体" w:hAnsi="宋体"/>
                <w:szCs w:val="21"/>
              </w:rPr>
              <w:t>监督管理部门</w:t>
            </w:r>
          </w:p>
        </w:tc>
        <w:tc>
          <w:tcPr>
            <w:tcW w:w="6365" w:type="dxa"/>
            <w:vAlign w:val="center"/>
          </w:tcPr>
          <w:p>
            <w:pPr>
              <w:spacing w:line="360" w:lineRule="auto"/>
              <w:rPr>
                <w:rFonts w:ascii="宋体" w:hAnsi="宋体"/>
                <w:szCs w:val="21"/>
              </w:rPr>
            </w:pPr>
            <w:r>
              <w:rPr>
                <w:rFonts w:hint="eastAsia" w:ascii="宋体" w:hAnsi="宋体"/>
                <w:szCs w:val="21"/>
                <w:lang w:val="en-US" w:eastAsia="zh-CN"/>
              </w:rPr>
              <w:t>兴安县人民政府采购管理办公室 ，电话：0773-6220651</w:t>
            </w:r>
            <w:r>
              <w:rPr>
                <w:rFonts w:hint="eastAsia" w:ascii="宋体" w:hAnsi="宋体"/>
                <w:szCs w:val="21"/>
              </w:rPr>
              <w:t xml:space="preserve"> </w:t>
            </w:r>
          </w:p>
        </w:tc>
      </w:tr>
    </w:tbl>
    <w:p>
      <w:pPr>
        <w:pStyle w:val="5"/>
        <w:ind w:left="0" w:leftChars="0" w:firstLine="0" w:firstLineChars="0"/>
      </w:pPr>
    </w:p>
    <w:p>
      <w:pPr>
        <w:spacing w:line="360" w:lineRule="auto"/>
        <w:jc w:val="center"/>
        <w:rPr>
          <w:rFonts w:ascii="宋体" w:hAnsi="宋体"/>
          <w:b/>
          <w:szCs w:val="21"/>
        </w:rPr>
      </w:pPr>
      <w:r>
        <w:rPr>
          <w:rFonts w:hint="eastAsia" w:ascii="宋体" w:hAnsi="宋体"/>
          <w:b/>
          <w:szCs w:val="21"/>
        </w:rPr>
        <w:t>一、总则</w:t>
      </w:r>
    </w:p>
    <w:p>
      <w:pPr>
        <w:spacing w:line="360" w:lineRule="auto"/>
        <w:ind w:firstLine="413" w:firstLineChars="196"/>
        <w:rPr>
          <w:rFonts w:ascii="宋体" w:hAnsi="宋体"/>
          <w:b/>
          <w:szCs w:val="21"/>
        </w:rPr>
      </w:pPr>
      <w:r>
        <w:rPr>
          <w:rFonts w:hint="eastAsia" w:ascii="宋体" w:hAnsi="宋体"/>
          <w:b/>
          <w:szCs w:val="21"/>
        </w:rPr>
        <w:t>1. 项目名称及项目编号</w:t>
      </w:r>
    </w:p>
    <w:p>
      <w:pPr>
        <w:spacing w:line="360" w:lineRule="auto"/>
        <w:ind w:firstLine="617" w:firstLineChars="294"/>
        <w:rPr>
          <w:rFonts w:hint="eastAsia" w:ascii="宋体" w:hAnsi="宋体"/>
          <w:szCs w:val="21"/>
          <w:highlight w:val="none"/>
          <w:lang w:val="en-US" w:eastAsia="zh-CN"/>
        </w:rPr>
      </w:pPr>
      <w:r>
        <w:rPr>
          <w:rFonts w:hint="eastAsia" w:ascii="宋体" w:hAnsi="宋体"/>
          <w:szCs w:val="21"/>
        </w:rPr>
        <w:t>项目名称：</w:t>
      </w:r>
      <w:r>
        <w:rPr>
          <w:rFonts w:hint="eastAsia" w:ascii="宋体" w:hAnsi="宋体"/>
          <w:szCs w:val="21"/>
          <w:highlight w:val="none"/>
          <w:lang w:val="en-US" w:eastAsia="zh-CN"/>
        </w:rPr>
        <w:t>兴安县人民医院医疗设备采购项目（三）</w:t>
      </w:r>
    </w:p>
    <w:p>
      <w:pPr>
        <w:spacing w:line="360" w:lineRule="auto"/>
        <w:ind w:firstLine="617" w:firstLineChars="294"/>
        <w:rPr>
          <w:rFonts w:hint="eastAsia" w:ascii="宋体" w:hAnsi="宋体"/>
          <w:b/>
          <w:szCs w:val="21"/>
          <w:highlight w:val="none"/>
        </w:rPr>
      </w:pPr>
      <w:r>
        <w:rPr>
          <w:rFonts w:hint="eastAsia" w:ascii="宋体" w:hAnsi="宋体"/>
          <w:szCs w:val="21"/>
        </w:rPr>
        <w:t>项目编号：</w:t>
      </w:r>
      <w:r>
        <w:rPr>
          <w:rFonts w:hint="eastAsia" w:ascii="宋体" w:hAnsi="宋体"/>
          <w:szCs w:val="21"/>
          <w:highlight w:val="none"/>
        </w:rPr>
        <w:t>GLZC2022-G1-250091-WDMZ</w:t>
      </w:r>
    </w:p>
    <w:p>
      <w:pPr>
        <w:spacing w:line="360" w:lineRule="auto"/>
        <w:ind w:firstLine="413" w:firstLineChars="196"/>
        <w:rPr>
          <w:rFonts w:ascii="宋体" w:hAnsi="宋体"/>
          <w:b/>
          <w:szCs w:val="21"/>
        </w:rPr>
      </w:pPr>
      <w:r>
        <w:rPr>
          <w:rFonts w:hint="eastAsia" w:ascii="宋体" w:hAnsi="宋体"/>
          <w:b/>
          <w:szCs w:val="21"/>
        </w:rPr>
        <w:t>2. 适应范围</w:t>
      </w:r>
    </w:p>
    <w:p>
      <w:pPr>
        <w:spacing w:line="360" w:lineRule="auto"/>
        <w:ind w:firstLine="435"/>
        <w:rPr>
          <w:rFonts w:ascii="宋体" w:hAnsi="宋体"/>
          <w:szCs w:val="21"/>
        </w:rPr>
      </w:pPr>
      <w:r>
        <w:rPr>
          <w:rFonts w:hint="eastAsia" w:ascii="宋体" w:hAnsi="宋体"/>
          <w:szCs w:val="21"/>
        </w:rPr>
        <w:t>本招标文件适用本招标采购项目的招标、投标、评标、合同履约、验收、付款等行为（法律、法规另有规定的，从其规定）。</w:t>
      </w:r>
    </w:p>
    <w:p>
      <w:pPr>
        <w:spacing w:line="360" w:lineRule="auto"/>
        <w:ind w:firstLine="435"/>
        <w:rPr>
          <w:rFonts w:ascii="宋体" w:hAnsi="宋体"/>
          <w:b/>
          <w:szCs w:val="21"/>
        </w:rPr>
      </w:pPr>
      <w:r>
        <w:rPr>
          <w:rFonts w:hint="eastAsia" w:ascii="宋体" w:hAnsi="宋体"/>
          <w:b/>
          <w:szCs w:val="21"/>
        </w:rPr>
        <w:t>3. 定义</w:t>
      </w:r>
    </w:p>
    <w:p>
      <w:pPr>
        <w:spacing w:line="360" w:lineRule="auto"/>
        <w:ind w:firstLine="435"/>
        <w:rPr>
          <w:rFonts w:ascii="宋体" w:hAnsi="宋体"/>
          <w:szCs w:val="21"/>
        </w:rPr>
      </w:pPr>
      <w:r>
        <w:rPr>
          <w:rFonts w:hint="eastAsia" w:ascii="宋体" w:hAnsi="宋体"/>
          <w:szCs w:val="21"/>
        </w:rPr>
        <w:t>3.1“招标采购单位”是指组织本次招标的采购人和采购代理机构。</w:t>
      </w:r>
    </w:p>
    <w:p>
      <w:pPr>
        <w:spacing w:line="360" w:lineRule="auto"/>
        <w:ind w:firstLine="435"/>
        <w:rPr>
          <w:rFonts w:ascii="宋体" w:hAnsi="宋体"/>
          <w:szCs w:val="21"/>
        </w:rPr>
      </w:pPr>
      <w:r>
        <w:rPr>
          <w:rFonts w:hint="eastAsia" w:ascii="宋体" w:hAnsi="宋体"/>
          <w:szCs w:val="21"/>
        </w:rPr>
        <w:t>3.2“投标人”是指向招标方提交投标文件的供应商。</w:t>
      </w:r>
    </w:p>
    <w:p>
      <w:pPr>
        <w:spacing w:line="360" w:lineRule="auto"/>
        <w:ind w:firstLine="435"/>
        <w:rPr>
          <w:rFonts w:ascii="宋体" w:hAnsi="宋体"/>
          <w:szCs w:val="21"/>
        </w:rPr>
      </w:pPr>
      <w:r>
        <w:rPr>
          <w:rFonts w:hint="eastAsia" w:ascii="宋体" w:hAnsi="宋体"/>
          <w:szCs w:val="21"/>
        </w:rPr>
        <w:t>3.3“货物”系指按招标文件规定，投标人须向采购人提供的一切设备、保险、税金、备品备件、工具、手册及其它有关技术资料和材料。</w:t>
      </w:r>
    </w:p>
    <w:p>
      <w:pPr>
        <w:spacing w:line="360" w:lineRule="auto"/>
        <w:ind w:firstLine="435"/>
        <w:rPr>
          <w:rFonts w:ascii="宋体" w:hAnsi="宋体"/>
          <w:szCs w:val="21"/>
        </w:rPr>
      </w:pPr>
      <w:r>
        <w:rPr>
          <w:rFonts w:hint="eastAsia" w:ascii="宋体" w:hAnsi="宋体"/>
          <w:szCs w:val="21"/>
        </w:rPr>
        <w:t>3.4“服务”系指招标文件规定，投标人须承担的安装、调试、技术协助、校准、培训、技术指导以及其他类似的义务。</w:t>
      </w:r>
    </w:p>
    <w:p>
      <w:pPr>
        <w:spacing w:line="360" w:lineRule="auto"/>
        <w:ind w:firstLine="435"/>
        <w:rPr>
          <w:rFonts w:ascii="宋体" w:hAnsi="宋体"/>
          <w:szCs w:val="21"/>
        </w:rPr>
      </w:pPr>
      <w:r>
        <w:rPr>
          <w:rFonts w:hint="eastAsia" w:ascii="宋体" w:hAnsi="宋体"/>
          <w:szCs w:val="21"/>
        </w:rPr>
        <w:t>3.5“项目”系指投标人按招标文件规定向采购人提供的货物和服务。</w:t>
      </w:r>
    </w:p>
    <w:p>
      <w:pPr>
        <w:spacing w:line="360" w:lineRule="auto"/>
        <w:ind w:firstLine="435"/>
        <w:rPr>
          <w:rFonts w:hint="default" w:ascii="宋体" w:hAnsi="宋体" w:eastAsia="宋体"/>
          <w:szCs w:val="21"/>
          <w:lang w:val="en-US" w:eastAsia="zh-CN"/>
        </w:rPr>
      </w:pPr>
      <w:r>
        <w:rPr>
          <w:rFonts w:hint="eastAsia" w:ascii="宋体" w:hAnsi="宋体"/>
          <w:szCs w:val="21"/>
        </w:rPr>
        <w:t>3.6“书面形式”包括信函、传真、电报。</w:t>
      </w:r>
      <w:r>
        <w:rPr>
          <w:rFonts w:hint="eastAsia" w:ascii="宋体" w:hAnsi="宋体"/>
          <w:szCs w:val="21"/>
          <w:lang w:val="en-US" w:eastAsia="zh-CN"/>
        </w:rPr>
        <w:t xml:space="preserve">  </w:t>
      </w:r>
    </w:p>
    <w:p>
      <w:pPr>
        <w:spacing w:line="360" w:lineRule="auto"/>
        <w:ind w:firstLine="435"/>
        <w:rPr>
          <w:rFonts w:ascii="宋体" w:hAnsi="宋体"/>
          <w:b/>
          <w:szCs w:val="21"/>
        </w:rPr>
      </w:pPr>
      <w:r>
        <w:rPr>
          <w:rFonts w:hint="eastAsia" w:ascii="宋体" w:hAnsi="宋体"/>
          <w:b/>
          <w:szCs w:val="21"/>
        </w:rPr>
        <w:t>4. 招标方式、评分办法</w:t>
      </w:r>
    </w:p>
    <w:p>
      <w:pPr>
        <w:spacing w:line="360" w:lineRule="auto"/>
        <w:ind w:firstLine="435"/>
        <w:rPr>
          <w:rFonts w:ascii="宋体" w:hAnsi="宋体" w:cs="宋体"/>
          <w:spacing w:val="-2"/>
          <w:szCs w:val="21"/>
        </w:rPr>
      </w:pPr>
      <w:r>
        <w:rPr>
          <w:rFonts w:hint="eastAsia" w:ascii="宋体" w:hAnsi="宋体" w:cs="宋体"/>
          <w:szCs w:val="21"/>
        </w:rPr>
        <w:t>公开招标、</w:t>
      </w:r>
      <w:r>
        <w:rPr>
          <w:rFonts w:hint="eastAsia" w:ascii="宋体" w:hAnsi="宋体" w:cs="宋体"/>
          <w:spacing w:val="-2"/>
          <w:szCs w:val="21"/>
        </w:rPr>
        <w:t>综合评分法</w:t>
      </w:r>
    </w:p>
    <w:p>
      <w:pPr>
        <w:spacing w:line="360" w:lineRule="auto"/>
        <w:ind w:firstLine="435"/>
        <w:rPr>
          <w:rFonts w:ascii="宋体" w:hAnsi="宋体"/>
          <w:b/>
          <w:szCs w:val="21"/>
        </w:rPr>
      </w:pPr>
      <w:r>
        <w:rPr>
          <w:rFonts w:hint="eastAsia" w:ascii="宋体" w:hAnsi="宋体"/>
          <w:b/>
          <w:szCs w:val="21"/>
        </w:rPr>
        <w:t>5. 投标人资格</w:t>
      </w:r>
    </w:p>
    <w:p>
      <w:pPr>
        <w:spacing w:line="360" w:lineRule="auto"/>
        <w:ind w:firstLine="420" w:firstLineChars="200"/>
        <w:rPr>
          <w:rFonts w:hint="eastAsia" w:ascii="宋体" w:hAnsi="宋体" w:cs="宋体"/>
          <w:szCs w:val="21"/>
        </w:rPr>
      </w:pPr>
      <w:r>
        <w:rPr>
          <w:rFonts w:hint="eastAsia" w:ascii="宋体" w:hAnsi="宋体" w:cs="宋体"/>
          <w:szCs w:val="21"/>
        </w:rPr>
        <w:t>5.1满足《中华人民共和国政府采购法》第二十二条规定；</w:t>
      </w:r>
    </w:p>
    <w:p>
      <w:pPr>
        <w:spacing w:line="360" w:lineRule="auto"/>
        <w:ind w:firstLine="420" w:firstLineChars="200"/>
        <w:rPr>
          <w:rFonts w:hint="eastAsia" w:ascii="宋体" w:hAnsi="宋体" w:cs="宋体"/>
          <w:szCs w:val="21"/>
        </w:rPr>
      </w:pPr>
      <w:r>
        <w:rPr>
          <w:rFonts w:hint="eastAsia" w:ascii="宋体" w:hAnsi="宋体" w:cs="宋体"/>
          <w:szCs w:val="21"/>
        </w:rPr>
        <w:t>5.2落实政府采购政策需满足的资格要求：无；</w:t>
      </w:r>
    </w:p>
    <w:p>
      <w:pPr>
        <w:spacing w:line="360" w:lineRule="auto"/>
        <w:ind w:firstLine="420" w:firstLineChars="200"/>
        <w:rPr>
          <w:rFonts w:hint="eastAsia" w:ascii="宋体" w:hAnsi="宋体" w:cs="宋体"/>
          <w:szCs w:val="21"/>
        </w:rPr>
      </w:pPr>
      <w:r>
        <w:rPr>
          <w:rFonts w:hint="eastAsia" w:ascii="宋体" w:hAnsi="宋体" w:cs="宋体"/>
          <w:szCs w:val="21"/>
        </w:rPr>
        <w:t>5.3本项目的特定资格要求：投标人按《医疗器械监督管理条例》 （国务院令第 739 号）医疗器械分类管理要求具备有效的医疗器械经营备案凭证或者</w:t>
      </w:r>
      <w:r>
        <w:rPr>
          <w:rFonts w:hint="eastAsia" w:ascii="宋体" w:hAnsi="宋体" w:cs="宋体"/>
          <w:szCs w:val="21"/>
          <w:lang w:val="en-US" w:eastAsia="zh-CN"/>
        </w:rPr>
        <w:t>医疗器械</w:t>
      </w:r>
      <w:r>
        <w:rPr>
          <w:rFonts w:hint="eastAsia" w:ascii="宋体" w:hAnsi="宋体" w:cs="宋体"/>
          <w:szCs w:val="21"/>
        </w:rPr>
        <w:t xml:space="preserve">经营许可证，且经营范围必须包含采购的医疗器械标的[符合《医疗器械监督管理条例》第四十一条第二款规定的除外]；或者投标人具有《医疗器械监督管理条例》第四十三条规定的注册人凭证； </w:t>
      </w:r>
    </w:p>
    <w:p>
      <w:pPr>
        <w:spacing w:line="360" w:lineRule="auto"/>
        <w:ind w:firstLine="420" w:firstLineChars="200"/>
        <w:rPr>
          <w:rFonts w:hint="eastAsia" w:ascii="宋体" w:hAnsi="宋体" w:cs="宋体"/>
          <w:szCs w:val="21"/>
        </w:rPr>
      </w:pPr>
      <w:r>
        <w:rPr>
          <w:rFonts w:hint="eastAsia" w:ascii="宋体" w:hAnsi="宋体" w:cs="宋体"/>
          <w:szCs w:val="21"/>
        </w:rPr>
        <w:t>5.4资格条件特别说明：</w:t>
      </w:r>
    </w:p>
    <w:p>
      <w:pPr>
        <w:spacing w:line="360" w:lineRule="auto"/>
        <w:ind w:firstLine="420" w:firstLineChars="200"/>
        <w:rPr>
          <w:rFonts w:hint="eastAsia" w:ascii="宋体" w:hAnsi="宋体" w:cs="宋体"/>
          <w:szCs w:val="21"/>
        </w:rPr>
      </w:pPr>
      <w:r>
        <w:rPr>
          <w:rFonts w:hint="eastAsia" w:ascii="宋体" w:hAnsi="宋体" w:cs="宋体"/>
          <w:szCs w:val="21"/>
        </w:rPr>
        <w:t>（1）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numPr>
          <w:ilvl w:val="0"/>
          <w:numId w:val="3"/>
        </w:numPr>
        <w:spacing w:line="360" w:lineRule="auto"/>
        <w:ind w:firstLine="420" w:firstLineChars="200"/>
        <w:rPr>
          <w:rFonts w:hint="eastAsia" w:ascii="宋体" w:hAnsi="宋体" w:cs="宋体"/>
          <w:szCs w:val="21"/>
        </w:rPr>
      </w:pPr>
      <w:r>
        <w:rPr>
          <w:rFonts w:hint="eastAsia" w:ascii="宋体" w:hAnsi="宋体" w:cs="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numPr>
          <w:ilvl w:val="0"/>
          <w:numId w:val="0"/>
        </w:numPr>
        <w:spacing w:line="360" w:lineRule="auto"/>
        <w:ind w:firstLine="420" w:firstLineChars="200"/>
        <w:rPr>
          <w:rFonts w:ascii="宋体" w:hAnsi="宋体"/>
          <w:b/>
          <w:szCs w:val="21"/>
        </w:rPr>
      </w:pPr>
      <w:r>
        <w:rPr>
          <w:rFonts w:hint="eastAsia" w:ascii="宋体" w:hAnsi="宋体" w:cs="宋体"/>
          <w:szCs w:val="21"/>
        </w:rPr>
        <w:t>5.6</w:t>
      </w:r>
      <w:r>
        <w:rPr>
          <w:rFonts w:hint="eastAsia" w:ascii="宋体" w:hAnsi="宋体"/>
          <w:b/>
          <w:szCs w:val="21"/>
        </w:rPr>
        <w:t>“</w:t>
      </w:r>
      <w:r>
        <w:rPr>
          <w:rFonts w:ascii="宋体" w:hAnsi="宋体"/>
          <w:b/>
          <w:szCs w:val="21"/>
        </w:rPr>
        <w:t>政采云</w:t>
      </w:r>
      <w:r>
        <w:rPr>
          <w:rFonts w:hint="eastAsia" w:ascii="宋体" w:hAnsi="宋体"/>
          <w:b/>
          <w:szCs w:val="21"/>
        </w:rPr>
        <w:t>”</w:t>
      </w:r>
      <w:r>
        <w:rPr>
          <w:rFonts w:ascii="宋体" w:hAnsi="宋体"/>
          <w:b/>
          <w:szCs w:val="21"/>
        </w:rPr>
        <w:t>平台电子</w:t>
      </w:r>
      <w:r>
        <w:rPr>
          <w:rFonts w:hint="eastAsia" w:ascii="宋体" w:hAnsi="宋体"/>
          <w:b/>
          <w:szCs w:val="21"/>
        </w:rPr>
        <w:t>投标</w:t>
      </w:r>
      <w:r>
        <w:rPr>
          <w:rFonts w:ascii="宋体" w:hAnsi="宋体"/>
          <w:b/>
          <w:szCs w:val="21"/>
        </w:rPr>
        <w:t>相关</w:t>
      </w:r>
      <w:r>
        <w:rPr>
          <w:rFonts w:hint="eastAsia" w:ascii="宋体" w:hAnsi="宋体"/>
          <w:b/>
          <w:szCs w:val="21"/>
        </w:rPr>
        <w:t>事宜说明</w:t>
      </w:r>
      <w:r>
        <w:rPr>
          <w:rFonts w:ascii="宋体" w:hAnsi="宋体"/>
          <w:b/>
          <w:szCs w:val="21"/>
        </w:rPr>
        <w:t>：</w:t>
      </w:r>
    </w:p>
    <w:p>
      <w:pPr>
        <w:spacing w:line="360" w:lineRule="auto"/>
        <w:ind w:firstLine="420" w:firstLineChars="200"/>
        <w:rPr>
          <w:rFonts w:ascii="宋体" w:hAnsi="宋体"/>
          <w:bCs/>
        </w:rPr>
      </w:pPr>
      <w:r>
        <w:rPr>
          <w:rFonts w:hint="eastAsia" w:ascii="宋体" w:hAnsi="宋体"/>
          <w:bCs/>
        </w:rPr>
        <w:t>（1）本项目实行全流程电子化采购，投标人通过“政采云”平台参与电子投标，并应做好以下相关准备工作：①在“政采云”平台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政采云电子投标客户端”）并安装成功，投标人应当在提交投标文件截止时间前在“政采云”平台完成的身份认证，确保能够对相关数据电文进行加密和使用电子签章；④自备计算机和网络设备并确保能接入互联网（费用由投标人自行承担，设备确保可进行视频通话和读取政采云CA证书）。因投标人未做好相关准备工作等自身原因导致无法参加本项目电子投标或投标失败的，造成的一切后果，由投标人自行承担。</w:t>
      </w:r>
    </w:p>
    <w:p>
      <w:pPr>
        <w:spacing w:line="360" w:lineRule="auto"/>
        <w:ind w:firstLine="420" w:firstLineChars="200"/>
        <w:rPr>
          <w:rFonts w:ascii="宋体" w:hAnsi="宋体"/>
          <w:bCs/>
        </w:rPr>
      </w:pPr>
      <w:r>
        <w:rPr>
          <w:rFonts w:hint="eastAsia" w:ascii="宋体" w:hAnsi="宋体"/>
          <w:bCs/>
        </w:rPr>
        <w:t>（2）电子投标具体操作流程参考《政府采购项目电子交易管理操作指南-供应商》（详见桂林市政府采购网—采购资讯—重要通知）；如遇平台技术问题详询400-881-7190。</w:t>
      </w:r>
    </w:p>
    <w:p>
      <w:pPr>
        <w:spacing w:line="360" w:lineRule="auto"/>
        <w:ind w:firstLine="420" w:firstLineChars="200"/>
        <w:rPr>
          <w:rFonts w:ascii="宋体" w:hAnsi="宋体"/>
          <w:bCs/>
        </w:rPr>
      </w:pPr>
      <w:r>
        <w:rPr>
          <w:rFonts w:hint="eastAsia" w:ascii="宋体" w:hAnsi="宋体"/>
          <w:bCs/>
        </w:rPr>
        <w:t>（3）电子投标文件的制作、加密、提交、解密等相关事宜详见第二章 “投标人须知”。</w:t>
      </w:r>
    </w:p>
    <w:p>
      <w:pPr>
        <w:spacing w:line="360" w:lineRule="auto"/>
        <w:ind w:firstLine="422" w:firstLineChars="200"/>
        <w:rPr>
          <w:rFonts w:ascii="宋体" w:hAnsi="宋体"/>
          <w:b/>
          <w:szCs w:val="21"/>
        </w:rPr>
      </w:pPr>
      <w:r>
        <w:rPr>
          <w:rFonts w:hint="eastAsia" w:ascii="宋体" w:hAnsi="宋体"/>
          <w:b/>
          <w:szCs w:val="21"/>
        </w:rPr>
        <w:t>6. 投标费用</w:t>
      </w:r>
    </w:p>
    <w:p>
      <w:pPr>
        <w:spacing w:line="360" w:lineRule="auto"/>
        <w:ind w:firstLine="435"/>
        <w:rPr>
          <w:rFonts w:ascii="宋体" w:hAnsi="宋体"/>
          <w:szCs w:val="21"/>
        </w:rPr>
      </w:pPr>
      <w:r>
        <w:rPr>
          <w:rFonts w:hint="eastAsia" w:ascii="宋体" w:hAnsi="宋体"/>
          <w:szCs w:val="21"/>
        </w:rPr>
        <w:t>不论投标结果如何，投标人均应自行承担所有与投标有关的全部费用。</w:t>
      </w:r>
    </w:p>
    <w:p>
      <w:pPr>
        <w:tabs>
          <w:tab w:val="left" w:pos="1635"/>
        </w:tabs>
        <w:spacing w:line="360" w:lineRule="auto"/>
        <w:ind w:firstLine="422" w:firstLineChars="200"/>
        <w:rPr>
          <w:rFonts w:ascii="宋体" w:hAnsi="宋体" w:cs="宋体"/>
          <w:b/>
          <w:szCs w:val="21"/>
        </w:rPr>
      </w:pPr>
      <w:r>
        <w:rPr>
          <w:rFonts w:hint="eastAsia" w:ascii="宋体" w:hAnsi="宋体" w:cs="宋体"/>
          <w:b/>
          <w:szCs w:val="21"/>
        </w:rPr>
        <w:t>7、联合体投标要求</w:t>
      </w:r>
    </w:p>
    <w:p>
      <w:pPr>
        <w:pStyle w:val="201"/>
        <w:spacing w:line="360" w:lineRule="auto"/>
        <w:ind w:firstLine="630" w:firstLineChars="300"/>
        <w:rPr>
          <w:rFonts w:ascii="宋体" w:hAnsi="宋体" w:cs="宋体"/>
          <w:szCs w:val="21"/>
        </w:rPr>
      </w:pPr>
      <w:r>
        <w:rPr>
          <w:rFonts w:hint="eastAsia" w:ascii="宋体" w:hAnsi="宋体" w:cs="宋体"/>
          <w:szCs w:val="21"/>
        </w:rPr>
        <w:t>本项目</w:t>
      </w:r>
      <w:r>
        <w:rPr>
          <w:rFonts w:hint="eastAsia" w:ascii="宋体" w:hAnsi="宋体" w:cs="宋体"/>
          <w:b/>
          <w:bCs/>
          <w:szCs w:val="21"/>
          <w:u w:val="single"/>
        </w:rPr>
        <w:t>不接受</w:t>
      </w:r>
      <w:r>
        <w:rPr>
          <w:rFonts w:hint="eastAsia" w:ascii="宋体" w:hAnsi="宋体" w:cs="宋体"/>
          <w:szCs w:val="21"/>
        </w:rPr>
        <w:t>联合体投标。</w:t>
      </w:r>
    </w:p>
    <w:p>
      <w:pPr>
        <w:tabs>
          <w:tab w:val="left" w:pos="1635"/>
        </w:tabs>
        <w:spacing w:line="360" w:lineRule="auto"/>
        <w:ind w:firstLine="435"/>
        <w:rPr>
          <w:rFonts w:ascii="宋体" w:hAnsi="宋体" w:cs="宋体"/>
          <w:b/>
          <w:szCs w:val="21"/>
        </w:rPr>
      </w:pPr>
      <w:r>
        <w:rPr>
          <w:rFonts w:hint="eastAsia" w:ascii="宋体" w:hAnsi="宋体" w:cs="宋体"/>
          <w:b/>
          <w:szCs w:val="21"/>
        </w:rPr>
        <w:t>8、转包与分包</w:t>
      </w:r>
    </w:p>
    <w:p>
      <w:pPr>
        <w:tabs>
          <w:tab w:val="left" w:pos="1635"/>
        </w:tabs>
        <w:spacing w:line="360" w:lineRule="auto"/>
        <w:ind w:firstLine="435"/>
        <w:rPr>
          <w:rFonts w:ascii="宋体" w:hAnsi="宋体" w:cs="宋体"/>
          <w:szCs w:val="21"/>
        </w:rPr>
      </w:pPr>
      <w:r>
        <w:rPr>
          <w:rFonts w:hint="eastAsia" w:ascii="宋体" w:hAnsi="宋体" w:cs="宋体"/>
          <w:szCs w:val="21"/>
        </w:rPr>
        <w:t>8.1本项目不允许转包。</w:t>
      </w:r>
    </w:p>
    <w:p>
      <w:pPr>
        <w:tabs>
          <w:tab w:val="left" w:pos="1635"/>
        </w:tabs>
        <w:spacing w:line="360" w:lineRule="auto"/>
        <w:ind w:firstLine="435"/>
        <w:rPr>
          <w:rFonts w:ascii="宋体" w:hAnsi="宋体" w:cs="宋体"/>
          <w:szCs w:val="21"/>
        </w:rPr>
      </w:pPr>
      <w:r>
        <w:rPr>
          <w:rFonts w:hint="eastAsia" w:ascii="宋体" w:hAnsi="宋体" w:cs="宋体"/>
          <w:szCs w:val="21"/>
        </w:rPr>
        <w:t xml:space="preserve">8.2本项目不可以分包。  </w:t>
      </w:r>
    </w:p>
    <w:p>
      <w:pPr>
        <w:tabs>
          <w:tab w:val="left" w:pos="1635"/>
        </w:tabs>
        <w:spacing w:line="360" w:lineRule="auto"/>
        <w:ind w:firstLine="435"/>
        <w:rPr>
          <w:rFonts w:ascii="宋体" w:hAnsi="宋体"/>
          <w:b/>
          <w:szCs w:val="21"/>
        </w:rPr>
      </w:pPr>
      <w:r>
        <w:rPr>
          <w:rFonts w:hint="eastAsia" w:ascii="宋体" w:hAnsi="宋体"/>
          <w:b/>
          <w:szCs w:val="21"/>
        </w:rPr>
        <w:t>9. 特别说明</w:t>
      </w:r>
    </w:p>
    <w:p>
      <w:pPr>
        <w:tabs>
          <w:tab w:val="left" w:pos="1635"/>
        </w:tabs>
        <w:spacing w:line="360" w:lineRule="auto"/>
        <w:ind w:firstLine="435"/>
        <w:rPr>
          <w:rFonts w:hint="eastAsia" w:ascii="Arial" w:hAnsi="Arial" w:cs="Arial"/>
          <w:szCs w:val="21"/>
          <w:highlight w:val="none"/>
        </w:rPr>
      </w:pPr>
      <w:r>
        <w:rPr>
          <w:rFonts w:hint="eastAsia" w:ascii="宋体" w:hAnsi="宋体"/>
          <w:szCs w:val="21"/>
        </w:rPr>
        <w:t>9.1</w:t>
      </w:r>
      <w:r>
        <w:rPr>
          <w:rFonts w:hint="eastAsia" w:ascii="Arial" w:hAnsi="Arial" w:cs="Arial"/>
          <w:szCs w:val="21"/>
          <w:highlight w:val="none"/>
        </w:rPr>
        <w:t>提供相同品牌产品且通过资格审查、符合性审查的不同投标人参加同一合同项下投标的，按一家投标人计算，评审后得分最高的同品牌投标人获得中标人推荐资格；评审得分相同的，评标价最低的同品牌投标人获得中标人推荐资格，评标价也相同的，由评标委员会以抽签方式确定中标候选人，其他同品牌投标人不作为中标候选人。</w:t>
      </w:r>
    </w:p>
    <w:p>
      <w:pPr>
        <w:tabs>
          <w:tab w:val="left" w:pos="1635"/>
        </w:tabs>
        <w:spacing w:line="360" w:lineRule="auto"/>
        <w:ind w:firstLine="435"/>
        <w:rPr>
          <w:rFonts w:hint="eastAsia" w:ascii="Arial" w:hAnsi="Arial" w:cs="Arial"/>
          <w:szCs w:val="21"/>
          <w:highlight w:val="none"/>
        </w:rPr>
      </w:pPr>
      <w:r>
        <w:rPr>
          <w:rFonts w:hint="eastAsia" w:ascii="Arial" w:hAnsi="Arial" w:cs="Arial"/>
          <w:szCs w:val="21"/>
          <w:highlight w:val="none"/>
        </w:rPr>
        <w:t>非单一产品采购项目，采购人应当根据采购项目技术构成、产品价格比重等合理确定核心产品，并在招标文件中载明。</w:t>
      </w:r>
    </w:p>
    <w:p>
      <w:pPr>
        <w:tabs>
          <w:tab w:val="left" w:pos="1635"/>
        </w:tabs>
        <w:spacing w:line="360" w:lineRule="auto"/>
        <w:ind w:firstLine="435"/>
        <w:rPr>
          <w:rFonts w:ascii="Arial" w:hAnsi="Arial" w:cs="Arial"/>
          <w:szCs w:val="21"/>
          <w:highlight w:val="none"/>
        </w:rPr>
      </w:pPr>
      <w:r>
        <w:rPr>
          <w:rFonts w:hint="eastAsia" w:ascii="Arial" w:hAnsi="Arial" w:cs="Arial"/>
          <w:szCs w:val="21"/>
          <w:highlight w:val="none"/>
        </w:rPr>
        <w:t>多家投标人提供的核心产品品牌相同的，按前两款规定处理。</w:t>
      </w:r>
    </w:p>
    <w:p>
      <w:pPr>
        <w:tabs>
          <w:tab w:val="left" w:pos="1635"/>
        </w:tabs>
        <w:spacing w:line="360" w:lineRule="auto"/>
        <w:ind w:firstLine="435"/>
        <w:rPr>
          <w:rFonts w:ascii="宋体" w:hAnsi="宋体"/>
          <w:szCs w:val="21"/>
        </w:rPr>
      </w:pPr>
      <w:r>
        <w:rPr>
          <w:rFonts w:hint="eastAsia" w:ascii="宋体" w:hAnsi="宋体"/>
          <w:szCs w:val="21"/>
        </w:rPr>
        <w:t>9.2关联供应商不得参加同一合同项下政府采购活动，否则投标文件将被视为无效：</w:t>
      </w:r>
    </w:p>
    <w:p>
      <w:pPr>
        <w:tabs>
          <w:tab w:val="left" w:pos="1635"/>
        </w:tabs>
        <w:spacing w:line="360" w:lineRule="auto"/>
        <w:ind w:firstLine="420" w:firstLineChars="200"/>
        <w:rPr>
          <w:rFonts w:ascii="宋体" w:hAnsi="宋体"/>
          <w:szCs w:val="21"/>
        </w:rPr>
      </w:pPr>
      <w:r>
        <w:rPr>
          <w:rFonts w:hint="eastAsia" w:ascii="宋体" w:hAnsi="宋体"/>
          <w:szCs w:val="21"/>
        </w:rPr>
        <w:t>（1）单位负责人为同一人或者存在直接控股、管理关系的不同供应商，不得参加同一合同项下的政府采购活动。</w:t>
      </w:r>
    </w:p>
    <w:p>
      <w:pPr>
        <w:tabs>
          <w:tab w:val="left" w:pos="1635"/>
        </w:tabs>
        <w:spacing w:line="360" w:lineRule="auto"/>
        <w:ind w:firstLine="435"/>
        <w:rPr>
          <w:rFonts w:hint="eastAsia" w:ascii="宋体" w:hAnsi="宋体" w:eastAsia="宋体" w:cs="宋体"/>
          <w:sz w:val="21"/>
          <w:szCs w:val="21"/>
          <w:highlight w:val="cyan"/>
          <w:lang w:val="en-US" w:eastAsia="zh-CN"/>
        </w:rPr>
      </w:pPr>
      <w:r>
        <w:rPr>
          <w:rFonts w:hint="eastAsia" w:ascii="宋体" w:hAnsi="宋体"/>
          <w:szCs w:val="21"/>
        </w:rPr>
        <w:t>（2）为本采购项目提供整体设计、规范编制或者项目管理、监理、检测等服务的供应商，不得再参加本次采购活动。</w:t>
      </w:r>
    </w:p>
    <w:p>
      <w:pPr>
        <w:tabs>
          <w:tab w:val="left" w:pos="1635"/>
        </w:tabs>
        <w:spacing w:line="360" w:lineRule="auto"/>
        <w:ind w:firstLine="435"/>
        <w:rPr>
          <w:rFonts w:ascii="宋体" w:hAnsi="宋体"/>
          <w:szCs w:val="21"/>
        </w:rPr>
      </w:pPr>
      <w:r>
        <w:rPr>
          <w:rFonts w:hint="eastAsia" w:ascii="宋体" w:hAnsi="宋体"/>
          <w:szCs w:val="21"/>
        </w:rPr>
        <w:t>9.3投标人应仔细阅读招标文件的所有内容，按照招标文件的要求提交投标文件，并对所提供的全部资料的真实性承担法律责任。</w:t>
      </w:r>
    </w:p>
    <w:p>
      <w:pPr>
        <w:tabs>
          <w:tab w:val="left" w:pos="1635"/>
        </w:tabs>
        <w:spacing w:line="360" w:lineRule="auto"/>
        <w:ind w:firstLine="435"/>
        <w:rPr>
          <w:rFonts w:ascii="宋体" w:hAnsi="宋体"/>
          <w:b/>
          <w:szCs w:val="21"/>
        </w:rPr>
      </w:pPr>
      <w:r>
        <w:rPr>
          <w:rFonts w:hint="eastAsia" w:ascii="宋体" w:hAnsi="宋体"/>
          <w:szCs w:val="21"/>
        </w:rPr>
        <w:t>9.4投标人在投标活动中提供任何虚假材料，其投标无效，并报监管部门查处；中标后发现的，中标人须依照《中华人民共和国消费者权益保护法》赔偿采购人，且民事赔偿并不免除违法投标人的行政与刑事责任。</w:t>
      </w:r>
    </w:p>
    <w:p>
      <w:pPr>
        <w:tabs>
          <w:tab w:val="left" w:pos="2190"/>
        </w:tabs>
        <w:spacing w:line="360" w:lineRule="auto"/>
        <w:ind w:firstLine="413" w:firstLineChars="196"/>
        <w:rPr>
          <w:rFonts w:ascii="宋体" w:hAnsi="宋体" w:cs="宋体"/>
          <w:b/>
          <w:szCs w:val="21"/>
        </w:rPr>
      </w:pPr>
      <w:r>
        <w:rPr>
          <w:rFonts w:hint="eastAsia" w:ascii="宋体" w:hAnsi="宋体" w:cs="宋体"/>
          <w:b/>
          <w:szCs w:val="21"/>
        </w:rPr>
        <w:t>10、质疑和投诉</w:t>
      </w:r>
      <w:r>
        <w:rPr>
          <w:rFonts w:hint="eastAsia" w:ascii="宋体" w:hAnsi="宋体" w:cs="宋体"/>
          <w:b/>
          <w:szCs w:val="21"/>
        </w:rPr>
        <w:tab/>
      </w:r>
    </w:p>
    <w:p>
      <w:pPr>
        <w:tabs>
          <w:tab w:val="left" w:pos="2190"/>
        </w:tabs>
        <w:spacing w:line="360" w:lineRule="auto"/>
        <w:ind w:firstLine="435"/>
        <w:jc w:val="left"/>
        <w:rPr>
          <w:rFonts w:ascii="宋体" w:hAnsi="宋体" w:cs="宋体"/>
          <w:szCs w:val="21"/>
        </w:rPr>
      </w:pPr>
      <w:r>
        <w:rPr>
          <w:rFonts w:hint="eastAsia" w:ascii="宋体" w:hAnsi="宋体" w:cs="宋体"/>
          <w:szCs w:val="21"/>
        </w:rPr>
        <w:t>10.1 供应商认为招标文件使自己的合法权益受到损害的，应当在本项目公告期限届满之日起7 个工作日内以书面形式向采购代理机构提出质疑。供应商认为招标过程或中标结果使自己的合法权益受到损害的，应当在采购程序环节结束之日或中标公告期限届满之日起7个工作日内，以书面形式向采购代理机构提出质疑（</w:t>
      </w:r>
      <w:r>
        <w:rPr>
          <w:rFonts w:hint="eastAsia" w:ascii="宋体" w:hAnsi="宋体" w:cs="宋体"/>
          <w:b/>
          <w:bCs/>
          <w:szCs w:val="21"/>
        </w:rPr>
        <w:t>“</w:t>
      </w:r>
      <w:r>
        <w:rPr>
          <w:rFonts w:hint="eastAsia" w:ascii="宋体" w:hAnsi="宋体" w:cs="宋体"/>
          <w:b/>
          <w:bCs/>
          <w:szCs w:val="21"/>
          <w:lang w:val="en-US" w:eastAsia="zh-CN"/>
        </w:rPr>
        <w:t>质</w:t>
      </w:r>
      <w:r>
        <w:rPr>
          <w:rFonts w:hint="eastAsia" w:ascii="宋体" w:hAnsi="宋体" w:cs="宋体"/>
          <w:b/>
          <w:bCs/>
          <w:szCs w:val="21"/>
        </w:rPr>
        <w:t>疑函”格式详见附表1</w:t>
      </w:r>
      <w:r>
        <w:rPr>
          <w:rFonts w:hint="eastAsia" w:ascii="宋体" w:hAnsi="宋体" w:cs="宋体"/>
          <w:szCs w:val="21"/>
        </w:rPr>
        <w:t>）。否则，采购代理机构有权拒收。</w:t>
      </w:r>
    </w:p>
    <w:p>
      <w:pPr>
        <w:tabs>
          <w:tab w:val="left" w:pos="2190"/>
        </w:tabs>
        <w:spacing w:line="360" w:lineRule="auto"/>
        <w:ind w:firstLine="435"/>
        <w:rPr>
          <w:rFonts w:ascii="宋体" w:hAnsi="宋体" w:cs="宋体"/>
          <w:szCs w:val="21"/>
        </w:rPr>
      </w:pPr>
      <w:r>
        <w:rPr>
          <w:rFonts w:hint="eastAsia" w:ascii="宋体" w:hAnsi="宋体" w:cs="宋体"/>
          <w:szCs w:val="21"/>
        </w:rPr>
        <w:t>采购代理机构应认真做好质疑处理工作，对于质疑供应商在法定质疑期内提出的质疑函，应当在收到质疑函后7个工作日内作出答复，并以书面形式通知质疑供应商和其他有关供应商。</w:t>
      </w:r>
    </w:p>
    <w:p>
      <w:pPr>
        <w:tabs>
          <w:tab w:val="left" w:pos="2190"/>
        </w:tabs>
        <w:spacing w:line="360" w:lineRule="auto"/>
        <w:ind w:firstLine="435"/>
      </w:pPr>
      <w:r>
        <w:rPr>
          <w:rFonts w:hint="eastAsia" w:ascii="宋体" w:hAnsi="宋体" w:cs="宋体"/>
          <w:szCs w:val="21"/>
        </w:rPr>
        <w:t>供应商在法定质疑期内应一次性提出与项目相关的质疑，供应商在提出与项目相关的质疑前应当做好全面且详细的工作，代理机构不再受理供应商针对同一采购程序环节的再次质疑。</w:t>
      </w:r>
    </w:p>
    <w:p>
      <w:pPr>
        <w:tabs>
          <w:tab w:val="left" w:pos="2190"/>
        </w:tabs>
        <w:spacing w:line="360" w:lineRule="auto"/>
        <w:ind w:firstLine="435"/>
        <w:jc w:val="left"/>
        <w:rPr>
          <w:rFonts w:ascii="宋体" w:hAnsi="宋体" w:cs="宋体"/>
          <w:szCs w:val="21"/>
        </w:rPr>
      </w:pPr>
      <w:r>
        <w:rPr>
          <w:rFonts w:hint="eastAsia" w:ascii="宋体" w:hAnsi="宋体" w:cs="宋体"/>
          <w:szCs w:val="21"/>
        </w:rPr>
        <w:t>10.2供应商对采购代理机构的答复不满意或者采购代理机构未在规定的时间内作出答复的，可以在答复期满后十五个工作日内向</w:t>
      </w:r>
      <w:r>
        <w:rPr>
          <w:rFonts w:hint="eastAsia" w:ascii="宋体" w:hAnsi="宋体" w:cs="宋体"/>
          <w:szCs w:val="21"/>
          <w:lang w:val="en-US" w:eastAsia="zh-CN"/>
        </w:rPr>
        <w:t>兴安</w:t>
      </w:r>
      <w:r>
        <w:rPr>
          <w:rFonts w:hint="eastAsia" w:ascii="宋体" w:hAnsi="宋体" w:cs="宋体"/>
          <w:szCs w:val="21"/>
          <w:lang w:eastAsia="zh-CN"/>
        </w:rPr>
        <w:t>县</w:t>
      </w:r>
      <w:r>
        <w:rPr>
          <w:rFonts w:hint="eastAsia" w:ascii="宋体" w:hAnsi="宋体" w:cs="宋体"/>
          <w:szCs w:val="21"/>
        </w:rPr>
        <w:t>政府采购监督管理机构投诉</w:t>
      </w:r>
      <w:r>
        <w:rPr>
          <w:rFonts w:hint="eastAsia" w:ascii="宋体" w:hAnsi="宋体" w:cs="宋体"/>
          <w:b/>
          <w:szCs w:val="21"/>
        </w:rPr>
        <w:t>（“投诉书”格式详见附表2）。</w:t>
      </w:r>
    </w:p>
    <w:p>
      <w:pPr>
        <w:tabs>
          <w:tab w:val="left" w:pos="2190"/>
        </w:tabs>
        <w:spacing w:line="360" w:lineRule="auto"/>
        <w:ind w:firstLine="435"/>
        <w:jc w:val="left"/>
        <w:rPr>
          <w:rFonts w:hint="eastAsia" w:ascii="宋体" w:hAnsi="宋体" w:cs="宋体"/>
          <w:szCs w:val="21"/>
        </w:rPr>
      </w:pPr>
      <w:r>
        <w:rPr>
          <w:rFonts w:hint="eastAsia" w:ascii="宋体" w:hAnsi="宋体" w:cs="宋体"/>
          <w:szCs w:val="21"/>
        </w:rPr>
        <w:t>10.3 质疑、投诉应当采用书面形式，质疑书、投诉书实行实名制，均应明确阐述招标文件、招标过程或中标结果中使自己合法权益受到损害的实质性内容，并提供必要的证明材料。</w:t>
      </w:r>
    </w:p>
    <w:p>
      <w:pPr>
        <w:pStyle w:val="60"/>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投标人提出质疑应当提交质疑函和必要的证明材料，针对同一采购程序环节的质疑必须在法定质疑期内一次性提出。质疑函应当包括下列内容：</w:t>
      </w:r>
    </w:p>
    <w:p>
      <w:pPr>
        <w:pStyle w:val="60"/>
        <w:spacing w:line="360" w:lineRule="auto"/>
        <w:ind w:firstLine="210" w:firstLineChars="1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（1）供应商的姓名或者名称、地址、邮编、联系人及联系电话；</w:t>
      </w:r>
    </w:p>
    <w:p>
      <w:pPr>
        <w:pStyle w:val="60"/>
        <w:spacing w:line="360" w:lineRule="auto"/>
        <w:ind w:firstLine="210" w:firstLineChars="1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（2）质疑项目的名称、编号；</w:t>
      </w:r>
    </w:p>
    <w:p>
      <w:pPr>
        <w:pStyle w:val="60"/>
        <w:spacing w:line="360" w:lineRule="auto"/>
        <w:ind w:firstLine="210" w:firstLineChars="1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（3）具体、明确的质疑事项和与质疑事项相关的请求；</w:t>
      </w:r>
    </w:p>
    <w:p>
      <w:pPr>
        <w:pStyle w:val="60"/>
        <w:spacing w:line="360" w:lineRule="auto"/>
        <w:ind w:firstLine="210" w:firstLineChars="1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（4）事实依据；</w:t>
      </w:r>
    </w:p>
    <w:p>
      <w:pPr>
        <w:pStyle w:val="60"/>
        <w:spacing w:line="360" w:lineRule="auto"/>
        <w:ind w:firstLine="210" w:firstLineChars="100"/>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（5）必要的法律依据；</w:t>
      </w:r>
      <w:r>
        <w:rPr>
          <w:rFonts w:hint="eastAsia" w:ascii="宋体" w:hAnsi="宋体" w:cs="宋体"/>
          <w:bCs w:val="0"/>
          <w:spacing w:val="0"/>
          <w:kern w:val="2"/>
          <w:sz w:val="21"/>
          <w:szCs w:val="21"/>
          <w:lang w:val="en-US" w:eastAsia="zh-CN" w:bidi="ar-SA"/>
        </w:rPr>
        <w:t xml:space="preserve"> </w:t>
      </w:r>
    </w:p>
    <w:p>
      <w:pPr>
        <w:pStyle w:val="60"/>
        <w:spacing w:line="360" w:lineRule="auto"/>
        <w:ind w:firstLine="210" w:firstLineChars="1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（6）提出质疑的日期。</w:t>
      </w:r>
    </w:p>
    <w:p>
      <w:pPr>
        <w:pStyle w:val="60"/>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供应商为自然人的，应当由本人签字；供应商为法人或者其他组织的，应当由法定代表人、主要负责人，或者其授权代表签字或者盖章，并加盖公章。</w:t>
      </w:r>
    </w:p>
    <w:p>
      <w:pPr>
        <w:pStyle w:val="60"/>
        <w:spacing w:line="360" w:lineRule="auto"/>
        <w:ind w:firstLine="420" w:firstLineChars="200"/>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接收质疑函方式：以书面形式</w:t>
      </w:r>
      <w:r>
        <w:rPr>
          <w:rFonts w:hint="eastAsia" w:ascii="宋体" w:hAnsi="宋体" w:cs="宋体"/>
          <w:bCs w:val="0"/>
          <w:spacing w:val="0"/>
          <w:kern w:val="2"/>
          <w:sz w:val="21"/>
          <w:szCs w:val="21"/>
          <w:lang w:val="en-US" w:eastAsia="zh-CN" w:bidi="ar-SA"/>
        </w:rPr>
        <w:t xml:space="preserve"> </w:t>
      </w:r>
    </w:p>
    <w:p>
      <w:pPr>
        <w:tabs>
          <w:tab w:val="left" w:pos="2190"/>
        </w:tabs>
        <w:spacing w:line="360" w:lineRule="auto"/>
        <w:ind w:firstLine="435"/>
        <w:jc w:val="left"/>
        <w:rPr>
          <w:rFonts w:ascii="宋体" w:hAnsi="宋体" w:cs="宋体"/>
          <w:szCs w:val="21"/>
        </w:rPr>
      </w:pPr>
      <w:r>
        <w:rPr>
          <w:rFonts w:hint="eastAsia" w:ascii="宋体" w:hAnsi="宋体" w:cs="宋体"/>
          <w:szCs w:val="21"/>
        </w:rPr>
        <w:t xml:space="preserve">10.4 递交质疑函的联系事项： </w:t>
      </w:r>
    </w:p>
    <w:p>
      <w:pPr>
        <w:tabs>
          <w:tab w:val="left" w:pos="2190"/>
        </w:tabs>
        <w:spacing w:line="360" w:lineRule="auto"/>
        <w:ind w:firstLine="435"/>
        <w:jc w:val="left"/>
        <w:rPr>
          <w:rFonts w:ascii="宋体" w:hAnsi="宋体" w:cs="宋体"/>
          <w:szCs w:val="21"/>
        </w:rPr>
      </w:pPr>
      <w:r>
        <w:rPr>
          <w:rFonts w:hint="eastAsia" w:ascii="宋体" w:hAnsi="宋体" w:cs="宋体"/>
          <w:szCs w:val="21"/>
          <w:lang w:val="en-US" w:eastAsia="zh-CN"/>
        </w:rPr>
        <w:t>联系部门：</w:t>
      </w:r>
      <w:r>
        <w:rPr>
          <w:rFonts w:hint="eastAsia" w:ascii="宋体" w:hAnsi="宋体" w:cs="宋体"/>
          <w:szCs w:val="21"/>
        </w:rPr>
        <w:t>广西万盯卯招标咨询有限公司</w:t>
      </w:r>
    </w:p>
    <w:p>
      <w:pPr>
        <w:tabs>
          <w:tab w:val="left" w:pos="2190"/>
        </w:tabs>
        <w:spacing w:line="360" w:lineRule="auto"/>
        <w:ind w:firstLine="435"/>
        <w:jc w:val="left"/>
        <w:rPr>
          <w:rFonts w:ascii="宋体" w:hAnsi="宋体" w:cs="宋体"/>
          <w:szCs w:val="21"/>
        </w:rPr>
      </w:pPr>
      <w:r>
        <w:rPr>
          <w:rFonts w:hint="eastAsia" w:ascii="宋体" w:hAnsi="宋体" w:cs="宋体"/>
          <w:szCs w:val="21"/>
        </w:rPr>
        <w:t>联系电话：0773-5582538</w:t>
      </w:r>
    </w:p>
    <w:p>
      <w:pPr>
        <w:tabs>
          <w:tab w:val="left" w:pos="2190"/>
        </w:tabs>
        <w:spacing w:line="360" w:lineRule="auto"/>
        <w:ind w:firstLine="435"/>
        <w:jc w:val="left"/>
        <w:rPr>
          <w:rFonts w:hint="eastAsia" w:ascii="宋体" w:hAnsi="宋体" w:cs="宋体"/>
          <w:szCs w:val="21"/>
        </w:rPr>
      </w:pPr>
      <w:r>
        <w:rPr>
          <w:rFonts w:hint="eastAsia" w:ascii="宋体" w:hAnsi="宋体" w:cs="宋体"/>
          <w:szCs w:val="21"/>
          <w:lang w:val="en-US" w:eastAsia="zh-CN"/>
        </w:rPr>
        <w:t>通讯</w:t>
      </w:r>
      <w:r>
        <w:rPr>
          <w:rFonts w:hint="eastAsia" w:ascii="宋体" w:hAnsi="宋体" w:cs="宋体"/>
          <w:szCs w:val="21"/>
        </w:rPr>
        <w:t xml:space="preserve">地址：广西桂林市临桂区临桂镇临桂大道与平桂西路交汇处汇荣桂林尚玺66号商铺 </w:t>
      </w:r>
    </w:p>
    <w:p>
      <w:pPr>
        <w:pStyle w:val="60"/>
      </w:pPr>
    </w:p>
    <w:p>
      <w:pPr>
        <w:tabs>
          <w:tab w:val="left" w:pos="2190"/>
        </w:tabs>
        <w:spacing w:line="360" w:lineRule="auto"/>
        <w:ind w:firstLine="435"/>
        <w:jc w:val="center"/>
        <w:rPr>
          <w:rFonts w:ascii="宋体" w:hAnsi="宋体"/>
          <w:b/>
          <w:szCs w:val="21"/>
        </w:rPr>
      </w:pPr>
      <w:r>
        <w:rPr>
          <w:rFonts w:hint="eastAsia" w:ascii="宋体" w:hAnsi="宋体"/>
          <w:b/>
          <w:szCs w:val="21"/>
        </w:rPr>
        <w:t>二、招标文件</w:t>
      </w:r>
    </w:p>
    <w:p>
      <w:pPr>
        <w:tabs>
          <w:tab w:val="left" w:pos="2190"/>
        </w:tabs>
        <w:spacing w:line="360" w:lineRule="auto"/>
        <w:ind w:firstLine="437"/>
        <w:rPr>
          <w:rFonts w:ascii="宋体" w:hAnsi="宋体"/>
          <w:b/>
          <w:szCs w:val="21"/>
        </w:rPr>
      </w:pPr>
      <w:r>
        <w:rPr>
          <w:rFonts w:hint="eastAsia" w:ascii="宋体" w:hAnsi="宋体"/>
          <w:b/>
          <w:szCs w:val="21"/>
        </w:rPr>
        <w:t>11. 招标文件的构成</w:t>
      </w:r>
    </w:p>
    <w:p>
      <w:pPr>
        <w:tabs>
          <w:tab w:val="left" w:pos="2190"/>
        </w:tabs>
        <w:spacing w:line="360" w:lineRule="auto"/>
        <w:ind w:firstLine="437"/>
        <w:rPr>
          <w:rFonts w:ascii="宋体" w:hAnsi="宋体"/>
          <w:szCs w:val="21"/>
        </w:rPr>
      </w:pPr>
      <w:r>
        <w:rPr>
          <w:rFonts w:hint="eastAsia" w:ascii="宋体" w:hAnsi="宋体"/>
          <w:szCs w:val="21"/>
        </w:rPr>
        <w:t>（1）招标公告；</w:t>
      </w:r>
    </w:p>
    <w:p>
      <w:pPr>
        <w:tabs>
          <w:tab w:val="left" w:pos="2190"/>
        </w:tabs>
        <w:spacing w:line="360" w:lineRule="auto"/>
        <w:ind w:firstLine="437"/>
        <w:rPr>
          <w:rFonts w:ascii="宋体" w:hAnsi="宋体"/>
          <w:szCs w:val="21"/>
        </w:rPr>
      </w:pPr>
      <w:r>
        <w:rPr>
          <w:rFonts w:hint="eastAsia" w:ascii="宋体" w:hAnsi="宋体"/>
          <w:szCs w:val="21"/>
        </w:rPr>
        <w:t>（2）投标人须知；</w:t>
      </w:r>
    </w:p>
    <w:p>
      <w:pPr>
        <w:tabs>
          <w:tab w:val="left" w:pos="2190"/>
        </w:tabs>
        <w:spacing w:line="360" w:lineRule="auto"/>
        <w:ind w:firstLine="437"/>
        <w:rPr>
          <w:rFonts w:ascii="宋体" w:hAnsi="宋体"/>
          <w:szCs w:val="21"/>
        </w:rPr>
      </w:pPr>
      <w:r>
        <w:rPr>
          <w:rFonts w:hint="eastAsia" w:ascii="宋体" w:hAnsi="宋体"/>
          <w:szCs w:val="21"/>
        </w:rPr>
        <w:t>（3）货物采购需求；</w:t>
      </w:r>
    </w:p>
    <w:p>
      <w:pPr>
        <w:tabs>
          <w:tab w:val="left" w:pos="2190"/>
        </w:tabs>
        <w:spacing w:line="360" w:lineRule="auto"/>
        <w:ind w:firstLine="437"/>
        <w:rPr>
          <w:rFonts w:ascii="宋体" w:hAnsi="宋体"/>
          <w:szCs w:val="21"/>
        </w:rPr>
      </w:pPr>
      <w:r>
        <w:rPr>
          <w:rFonts w:hint="eastAsia" w:ascii="宋体" w:hAnsi="宋体"/>
          <w:szCs w:val="21"/>
        </w:rPr>
        <w:t>（4）评标办法；</w:t>
      </w:r>
    </w:p>
    <w:p>
      <w:pPr>
        <w:tabs>
          <w:tab w:val="left" w:pos="2190"/>
        </w:tabs>
        <w:spacing w:line="360" w:lineRule="auto"/>
        <w:ind w:firstLine="437"/>
        <w:rPr>
          <w:rFonts w:ascii="宋体" w:hAnsi="宋体"/>
          <w:szCs w:val="21"/>
        </w:rPr>
      </w:pPr>
      <w:r>
        <w:rPr>
          <w:rFonts w:hint="eastAsia" w:ascii="宋体" w:hAnsi="宋体"/>
          <w:szCs w:val="21"/>
        </w:rPr>
        <w:t>（5）采购合同（合同主要条款及格式）；</w:t>
      </w:r>
    </w:p>
    <w:p>
      <w:pPr>
        <w:tabs>
          <w:tab w:val="left" w:pos="2190"/>
        </w:tabs>
        <w:spacing w:line="360" w:lineRule="auto"/>
        <w:ind w:firstLine="437"/>
        <w:rPr>
          <w:rFonts w:ascii="宋体" w:hAnsi="宋体"/>
          <w:szCs w:val="21"/>
        </w:rPr>
      </w:pPr>
      <w:r>
        <w:rPr>
          <w:rFonts w:hint="eastAsia" w:ascii="宋体" w:hAnsi="宋体"/>
          <w:szCs w:val="21"/>
        </w:rPr>
        <w:t>（6）投标文件（格式）。</w:t>
      </w:r>
    </w:p>
    <w:p>
      <w:pPr>
        <w:tabs>
          <w:tab w:val="left" w:pos="2190"/>
        </w:tabs>
        <w:spacing w:line="360" w:lineRule="auto"/>
        <w:ind w:firstLine="437"/>
        <w:rPr>
          <w:rFonts w:ascii="宋体" w:hAnsi="宋体"/>
          <w:b/>
          <w:szCs w:val="21"/>
        </w:rPr>
      </w:pPr>
      <w:r>
        <w:rPr>
          <w:rFonts w:hint="eastAsia" w:ascii="宋体" w:hAnsi="宋体"/>
          <w:b/>
          <w:szCs w:val="21"/>
        </w:rPr>
        <w:t>12. 招标文件的澄清与修改</w:t>
      </w:r>
    </w:p>
    <w:p>
      <w:pPr>
        <w:tabs>
          <w:tab w:val="left" w:pos="2190"/>
        </w:tabs>
        <w:spacing w:line="360" w:lineRule="auto"/>
        <w:ind w:firstLine="437"/>
        <w:rPr>
          <w:rFonts w:ascii="宋体" w:hAnsi="宋体"/>
          <w:szCs w:val="21"/>
        </w:rPr>
      </w:pPr>
      <w:r>
        <w:rPr>
          <w:rFonts w:hint="eastAsia" w:ascii="宋体" w:hAnsi="宋体"/>
          <w:szCs w:val="21"/>
        </w:rPr>
        <w:t>12.1投标人应认真阅读招标文件，发现其中有误或有不合理要求的，投标人在本项目公告期限届满之日起7个工作日内以书面形式要求采购代理机构澄清。</w:t>
      </w:r>
    </w:p>
    <w:p>
      <w:pPr>
        <w:tabs>
          <w:tab w:val="left" w:pos="2190"/>
        </w:tabs>
        <w:spacing w:line="360" w:lineRule="auto"/>
        <w:ind w:firstLine="437"/>
        <w:rPr>
          <w:rFonts w:ascii="宋体" w:hAnsi="宋体"/>
          <w:szCs w:val="21"/>
        </w:rPr>
      </w:pPr>
      <w:r>
        <w:rPr>
          <w:rFonts w:hint="eastAsia" w:ascii="宋体" w:hAnsi="宋体"/>
          <w:szCs w:val="21"/>
        </w:rPr>
        <w:t>12.2</w:t>
      </w:r>
      <w:r>
        <w:rPr>
          <w:rFonts w:ascii="宋体" w:hAnsi="宋体"/>
          <w:szCs w:val="21"/>
        </w:rPr>
        <w:t>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w:t>
      </w:r>
      <w:r>
        <w:rPr>
          <w:rFonts w:hint="eastAsia" w:ascii="宋体" w:hAnsi="宋体"/>
          <w:szCs w:val="21"/>
        </w:rPr>
        <w:t>在本招标项目招标公告发布的同一媒体上发布更正公告</w:t>
      </w:r>
      <w:r>
        <w:rPr>
          <w:rFonts w:ascii="宋体" w:hAnsi="宋体"/>
          <w:szCs w:val="21"/>
        </w:rPr>
        <w:t>；不足15日的，采购代理机构应当顺延提交投标文件的截止时间。</w:t>
      </w:r>
    </w:p>
    <w:p>
      <w:pPr>
        <w:tabs>
          <w:tab w:val="left" w:pos="2190"/>
        </w:tabs>
        <w:spacing w:line="360" w:lineRule="auto"/>
        <w:ind w:firstLine="420" w:firstLineChars="200"/>
        <w:rPr>
          <w:rFonts w:ascii="宋体" w:hAnsi="宋体"/>
          <w:szCs w:val="21"/>
        </w:rPr>
      </w:pPr>
      <w:r>
        <w:rPr>
          <w:rFonts w:hint="eastAsia" w:ascii="宋体" w:hAnsi="宋体"/>
          <w:szCs w:val="21"/>
        </w:rPr>
        <w:t>12.3必要的澄清、修改的内容为招标文件的组成部分。当澄清、修改通知就同一内容的表述不一致时，以最后发出的书面文件为准。</w:t>
      </w:r>
    </w:p>
    <w:p>
      <w:pPr>
        <w:tabs>
          <w:tab w:val="left" w:pos="2190"/>
        </w:tabs>
        <w:spacing w:line="360" w:lineRule="auto"/>
        <w:ind w:firstLine="420" w:firstLineChars="200"/>
        <w:rPr>
          <w:rFonts w:ascii="宋体" w:hAnsi="宋体"/>
          <w:szCs w:val="21"/>
        </w:rPr>
      </w:pPr>
      <w:r>
        <w:rPr>
          <w:rFonts w:hint="eastAsia" w:ascii="宋体" w:hAnsi="宋体"/>
          <w:szCs w:val="21"/>
        </w:rPr>
        <w:t>12.4招标文件的澄清、修改都应该通过采购代理机构以法定形式发布，采购人非通过本机构，不得擅自澄清、修改招标文件。</w:t>
      </w:r>
    </w:p>
    <w:p>
      <w:pPr>
        <w:tabs>
          <w:tab w:val="left" w:pos="2190"/>
        </w:tabs>
        <w:spacing w:line="360" w:lineRule="auto"/>
        <w:ind w:firstLine="437"/>
        <w:rPr>
          <w:rFonts w:ascii="宋体" w:hAnsi="宋体" w:cs="宋体"/>
          <w:b/>
          <w:szCs w:val="21"/>
        </w:rPr>
      </w:pPr>
      <w:r>
        <w:rPr>
          <w:rFonts w:hint="eastAsia" w:ascii="宋体" w:hAnsi="宋体" w:cs="宋体"/>
          <w:b/>
          <w:szCs w:val="21"/>
        </w:rPr>
        <w:t>12.5投标人获取招标文件后应实时关注相关网站了解澄清、修改等与项目有关的内容，如因投标人未及时登录相关网站了解澄清、修改等与项目有关的内容，从而导致投标无效的，由投标人自行承担责任。</w:t>
      </w:r>
    </w:p>
    <w:p>
      <w:pPr>
        <w:tabs>
          <w:tab w:val="left" w:pos="2190"/>
        </w:tabs>
        <w:spacing w:line="360" w:lineRule="auto"/>
        <w:rPr>
          <w:rFonts w:ascii="宋体" w:hAnsi="宋体" w:cs="宋体"/>
          <w:szCs w:val="21"/>
        </w:rPr>
      </w:pPr>
    </w:p>
    <w:p>
      <w:pPr>
        <w:tabs>
          <w:tab w:val="left" w:pos="2190"/>
        </w:tabs>
        <w:spacing w:line="360" w:lineRule="auto"/>
        <w:ind w:firstLine="435"/>
        <w:jc w:val="center"/>
        <w:rPr>
          <w:rFonts w:ascii="宋体" w:hAnsi="宋体" w:cs="宋体"/>
          <w:b/>
          <w:szCs w:val="21"/>
        </w:rPr>
      </w:pPr>
      <w:r>
        <w:rPr>
          <w:rFonts w:hint="eastAsia" w:ascii="宋体" w:hAnsi="宋体" w:cs="宋体"/>
          <w:b/>
          <w:szCs w:val="21"/>
        </w:rPr>
        <w:t>三、投标文件的编制</w:t>
      </w:r>
    </w:p>
    <w:p>
      <w:pPr>
        <w:tabs>
          <w:tab w:val="left" w:pos="1305"/>
        </w:tabs>
        <w:spacing w:line="360" w:lineRule="auto"/>
        <w:ind w:firstLine="422" w:firstLineChars="200"/>
        <w:rPr>
          <w:rFonts w:ascii="宋体" w:hAnsi="宋体" w:cs="宋体"/>
          <w:b/>
          <w:szCs w:val="21"/>
        </w:rPr>
      </w:pPr>
      <w:r>
        <w:rPr>
          <w:rFonts w:hint="eastAsia" w:ascii="宋体" w:hAnsi="宋体" w:cs="宋体"/>
          <w:b/>
          <w:szCs w:val="21"/>
        </w:rPr>
        <w:t>13、投标文件的组成及要求</w:t>
      </w:r>
    </w:p>
    <w:p>
      <w:pPr>
        <w:tabs>
          <w:tab w:val="left" w:pos="2190"/>
        </w:tabs>
        <w:spacing w:line="360" w:lineRule="auto"/>
        <w:ind w:firstLine="435"/>
        <w:rPr>
          <w:rFonts w:ascii="宋体" w:hAnsi="宋体" w:cs="宋体"/>
          <w:b/>
          <w:bCs/>
          <w:szCs w:val="21"/>
        </w:rPr>
      </w:pPr>
      <w:r>
        <w:rPr>
          <w:rFonts w:hint="eastAsia" w:ascii="宋体" w:hAnsi="宋体" w:cs="宋体"/>
          <w:b/>
          <w:bCs/>
          <w:szCs w:val="21"/>
        </w:rPr>
        <w:t>13.1</w:t>
      </w:r>
      <w:r>
        <w:rPr>
          <w:rFonts w:hint="eastAsia" w:ascii="宋体" w:hAnsi="宋体" w:cs="宋体"/>
          <w:b/>
          <w:szCs w:val="21"/>
        </w:rPr>
        <w:t>投标文件组成</w:t>
      </w:r>
      <w:r>
        <w:rPr>
          <w:rFonts w:hint="eastAsia" w:ascii="宋体" w:hAnsi="宋体" w:cs="宋体"/>
          <w:bCs/>
          <w:szCs w:val="21"/>
        </w:rPr>
        <w:t>【（</w:t>
      </w:r>
      <w:r>
        <w:rPr>
          <w:rFonts w:hint="eastAsia" w:ascii="宋体" w:hAnsi="宋体" w:cs="宋体"/>
          <w:b/>
          <w:szCs w:val="21"/>
        </w:rPr>
        <w:t>格式见第六章“投标文件（格式）”</w:t>
      </w:r>
      <w:r>
        <w:rPr>
          <w:rFonts w:hint="eastAsia" w:ascii="宋体" w:hAnsi="宋体" w:cs="宋体"/>
          <w:bCs/>
          <w:szCs w:val="21"/>
        </w:rPr>
        <w:t>】</w:t>
      </w:r>
    </w:p>
    <w:p>
      <w:pPr>
        <w:tabs>
          <w:tab w:val="left" w:pos="1305"/>
        </w:tabs>
        <w:spacing w:line="360" w:lineRule="auto"/>
        <w:ind w:firstLine="422" w:firstLineChars="200"/>
        <w:rPr>
          <w:rFonts w:ascii="宋体" w:hAnsi="宋体" w:cs="宋体"/>
          <w:b/>
          <w:bCs/>
          <w:szCs w:val="21"/>
          <w:highlight w:val="none"/>
        </w:rPr>
      </w:pPr>
      <w:r>
        <w:rPr>
          <w:rFonts w:hint="eastAsia" w:ascii="宋体" w:hAnsi="宋体" w:cs="宋体"/>
          <w:b/>
          <w:bCs/>
          <w:szCs w:val="21"/>
        </w:rPr>
        <w:t>13.1.</w:t>
      </w:r>
      <w:r>
        <w:rPr>
          <w:rFonts w:hint="eastAsia" w:ascii="宋体" w:hAnsi="宋体" w:cs="宋体"/>
          <w:b/>
          <w:bCs/>
          <w:szCs w:val="21"/>
          <w:lang w:val="en-US" w:eastAsia="zh-CN"/>
        </w:rPr>
        <w:t>1</w:t>
      </w:r>
      <w:r>
        <w:rPr>
          <w:rFonts w:hint="eastAsia" w:ascii="宋体" w:hAnsi="宋体" w:cs="宋体"/>
          <w:b/>
          <w:bCs/>
          <w:szCs w:val="21"/>
          <w:highlight w:val="none"/>
        </w:rPr>
        <w:t>资格性响应证明材料：</w:t>
      </w:r>
    </w:p>
    <w:p>
      <w:pPr>
        <w:tabs>
          <w:tab w:val="left" w:pos="1305"/>
        </w:tabs>
        <w:spacing w:line="360" w:lineRule="auto"/>
        <w:ind w:firstLine="420" w:firstLineChars="200"/>
        <w:rPr>
          <w:rFonts w:ascii="宋体" w:hAnsi="宋体" w:cs="宋体"/>
          <w:szCs w:val="21"/>
        </w:rPr>
      </w:pPr>
      <w:r>
        <w:rPr>
          <w:rFonts w:hint="eastAsia" w:ascii="宋体" w:hAnsi="宋体" w:cs="宋体"/>
          <w:szCs w:val="21"/>
        </w:rPr>
        <w:t>（1）投标人的法定代表人、负责人、自然人身份证正反两面复印件</w:t>
      </w:r>
      <w:r>
        <w:rPr>
          <w:rFonts w:hint="eastAsia" w:ascii="宋体" w:hAnsi="宋体" w:cs="宋体"/>
          <w:b/>
          <w:bCs/>
          <w:szCs w:val="21"/>
        </w:rPr>
        <w:t>（必须提供）；</w:t>
      </w:r>
    </w:p>
    <w:p>
      <w:pPr>
        <w:tabs>
          <w:tab w:val="left" w:pos="1305"/>
        </w:tabs>
        <w:spacing w:line="360" w:lineRule="auto"/>
        <w:ind w:firstLine="420" w:firstLineChars="200"/>
        <w:rPr>
          <w:rFonts w:hint="eastAsia" w:ascii="宋体" w:hAnsi="宋体" w:cs="宋体"/>
          <w:b/>
          <w:bCs/>
          <w:szCs w:val="21"/>
          <w:highlight w:val="none"/>
        </w:rPr>
      </w:pPr>
      <w:r>
        <w:rPr>
          <w:rFonts w:hint="eastAsia" w:ascii="宋体" w:hAnsi="宋体" w:cs="宋体"/>
          <w:szCs w:val="21"/>
        </w:rPr>
        <w:t>（2）投标人的授权委托书原件、委托代理人身份证正反面复印件</w:t>
      </w:r>
      <w:r>
        <w:rPr>
          <w:rFonts w:hint="eastAsia" w:ascii="宋体" w:hAnsi="宋体" w:cs="宋体"/>
          <w:szCs w:val="21"/>
          <w:highlight w:val="none"/>
        </w:rPr>
        <w:t>以及由县级以上（含县级）社会养老保险经办机构出具的投标人为委托代理人交纳的开标截止时间前半年内任意连续三个月社保证明复印件</w:t>
      </w:r>
      <w:r>
        <w:rPr>
          <w:rFonts w:hint="eastAsia" w:ascii="宋体" w:hAnsi="宋体" w:cs="宋体"/>
          <w:b/>
          <w:bCs/>
          <w:szCs w:val="21"/>
          <w:highlight w:val="none"/>
        </w:rPr>
        <w:t xml:space="preserve">（委托代理时必须提供）； </w:t>
      </w:r>
    </w:p>
    <w:p>
      <w:pPr>
        <w:pStyle w:val="16"/>
        <w:spacing w:line="360" w:lineRule="auto"/>
        <w:ind w:left="420" w:leftChars="200" w:firstLine="0" w:firstLineChars="0"/>
        <w:rPr>
          <w:rFonts w:hint="eastAsia" w:hAnsi="宋体" w:cs="宋体"/>
          <w:b w:val="0"/>
          <w:bCs/>
          <w:sz w:val="21"/>
          <w:szCs w:val="21"/>
          <w:lang w:val="en-US" w:eastAsia="zh-CN"/>
        </w:rPr>
      </w:pPr>
      <w:r>
        <w:rPr>
          <w:rFonts w:hint="eastAsia" w:hAnsi="宋体" w:cs="宋体"/>
          <w:b/>
          <w:sz w:val="21"/>
          <w:szCs w:val="21"/>
          <w:lang w:val="en-US" w:eastAsia="zh-CN"/>
        </w:rPr>
        <w:t xml:space="preserve"> 注：</w:t>
      </w:r>
      <w:r>
        <w:rPr>
          <w:rFonts w:hint="eastAsia" w:ascii="微软雅黑" w:hAnsi="微软雅黑" w:eastAsia="微软雅黑" w:cs="微软雅黑"/>
          <w:b w:val="0"/>
          <w:bCs/>
          <w:sz w:val="21"/>
          <w:szCs w:val="21"/>
          <w:lang w:val="en-US" w:eastAsia="zh-CN"/>
        </w:rPr>
        <w:t>①</w:t>
      </w:r>
      <w:r>
        <w:rPr>
          <w:rFonts w:hint="eastAsia" w:hAnsi="宋体" w:cs="宋体"/>
          <w:b w:val="0"/>
          <w:bCs/>
          <w:sz w:val="21"/>
          <w:szCs w:val="21"/>
          <w:lang w:val="en-US" w:eastAsia="zh-CN"/>
        </w:rPr>
        <w:t>如投标人为截标时间前60日以内成立的公司，可以提供投标人与委托代理人签订的劳动合同复印件代替社保证明复印件；</w:t>
      </w:r>
    </w:p>
    <w:p>
      <w:pPr>
        <w:pStyle w:val="16"/>
        <w:spacing w:line="360" w:lineRule="auto"/>
        <w:ind w:left="420" w:leftChars="200" w:firstLine="420" w:firstLineChars="200"/>
        <w:rPr>
          <w:rFonts w:hint="eastAsia" w:hAnsi="宋体" w:cs="宋体"/>
          <w:b w:val="0"/>
          <w:bCs/>
          <w:sz w:val="21"/>
          <w:szCs w:val="21"/>
          <w:lang w:val="en-US" w:eastAsia="zh-CN"/>
        </w:rPr>
      </w:pPr>
      <w:r>
        <w:rPr>
          <w:rFonts w:hint="eastAsia" w:ascii="微软雅黑" w:hAnsi="微软雅黑" w:eastAsia="微软雅黑" w:cs="微软雅黑"/>
          <w:b w:val="0"/>
          <w:bCs/>
          <w:sz w:val="21"/>
          <w:szCs w:val="21"/>
          <w:lang w:val="en-US" w:eastAsia="zh-CN"/>
        </w:rPr>
        <w:t>②</w:t>
      </w:r>
      <w:r>
        <w:rPr>
          <w:rFonts w:hint="eastAsia" w:hAnsi="宋体" w:cs="宋体"/>
          <w:b w:val="0"/>
          <w:bCs/>
          <w:sz w:val="21"/>
          <w:szCs w:val="21"/>
          <w:lang w:val="en-US" w:eastAsia="zh-CN"/>
        </w:rPr>
        <w:t>如投标人为事业单位，可以提供事业单位机构编制管理证复印件或事业单位机构为其发放工资的工资条复印件代替社保证明复印件；</w:t>
      </w:r>
    </w:p>
    <w:p>
      <w:pPr>
        <w:pStyle w:val="16"/>
        <w:spacing w:line="360" w:lineRule="auto"/>
        <w:ind w:left="420" w:leftChars="200" w:firstLine="420" w:firstLineChars="200"/>
        <w:rPr>
          <w:rFonts w:hint="eastAsia" w:hAnsi="宋体" w:cs="宋体"/>
          <w:b w:val="0"/>
          <w:bCs/>
          <w:sz w:val="21"/>
          <w:szCs w:val="21"/>
          <w:lang w:val="en-US" w:eastAsia="zh-CN"/>
        </w:rPr>
      </w:pPr>
      <w:r>
        <w:rPr>
          <w:rFonts w:hint="eastAsia" w:ascii="微软雅黑" w:hAnsi="微软雅黑" w:eastAsia="微软雅黑" w:cs="微软雅黑"/>
          <w:b w:val="0"/>
          <w:bCs/>
          <w:sz w:val="21"/>
          <w:szCs w:val="21"/>
          <w:lang w:val="en-US" w:eastAsia="zh-CN"/>
        </w:rPr>
        <w:t>③</w:t>
      </w:r>
      <w:r>
        <w:rPr>
          <w:rFonts w:hint="eastAsia" w:hAnsi="宋体" w:cs="宋体"/>
          <w:b w:val="0"/>
          <w:bCs/>
          <w:sz w:val="21"/>
          <w:szCs w:val="21"/>
          <w:lang w:val="en-US" w:eastAsia="zh-CN"/>
        </w:rPr>
        <w:t>如委托代理人为免缴纳社保人员，提供免缴纳社保的证明材料复印件及投标人与委托代理人签订的劳动合同复印件代替社保证明复印件）。</w:t>
      </w:r>
    </w:p>
    <w:p>
      <w:pPr>
        <w:pStyle w:val="16"/>
        <w:spacing w:line="360" w:lineRule="auto"/>
        <w:ind w:left="420" w:leftChars="200" w:firstLine="422" w:firstLineChars="200"/>
        <w:rPr>
          <w:b/>
          <w:bCs w:val="0"/>
        </w:rPr>
      </w:pPr>
      <w:r>
        <w:rPr>
          <w:rFonts w:hint="eastAsia" w:hAnsi="宋体" w:cs="宋体"/>
          <w:b/>
          <w:bCs w:val="0"/>
          <w:sz w:val="21"/>
          <w:szCs w:val="21"/>
          <w:lang w:val="en-US" w:eastAsia="zh-CN"/>
        </w:rPr>
        <w:t>【自然人投标的应提供由县级以上（含县级）社会养老保险经办机构出具的自然人本人及委托代理人所交纳的开标截止时间前半年内任意连续三个月社保证明复印件】。</w:t>
      </w:r>
    </w:p>
    <w:p>
      <w:pPr>
        <w:tabs>
          <w:tab w:val="left" w:pos="1305"/>
        </w:tabs>
        <w:spacing w:line="360" w:lineRule="auto"/>
        <w:ind w:firstLine="420" w:firstLineChars="200"/>
        <w:rPr>
          <w:rFonts w:ascii="宋体" w:hAnsi="宋体" w:cs="宋体"/>
          <w:szCs w:val="21"/>
        </w:rPr>
      </w:pPr>
      <w:r>
        <w:rPr>
          <w:rFonts w:hint="eastAsia" w:ascii="宋体" w:hAnsi="宋体" w:cs="宋体"/>
          <w:szCs w:val="21"/>
        </w:rPr>
        <w:t>（3）投标人参加政府采购活动前3年内在经营活动中没有重大违法记录及有关信用信息的书面声明</w:t>
      </w:r>
      <w:r>
        <w:rPr>
          <w:rFonts w:hint="eastAsia" w:ascii="宋体" w:hAnsi="宋体" w:cs="宋体"/>
          <w:b/>
          <w:bCs/>
          <w:szCs w:val="21"/>
        </w:rPr>
        <w:t>（必须提供）；</w:t>
      </w:r>
    </w:p>
    <w:p>
      <w:pPr>
        <w:tabs>
          <w:tab w:val="left" w:pos="1305"/>
        </w:tabs>
        <w:spacing w:line="360" w:lineRule="auto"/>
        <w:ind w:firstLine="420" w:firstLineChars="200"/>
        <w:rPr>
          <w:rFonts w:hint="eastAsia" w:ascii="宋体" w:hAnsi="宋体" w:cs="宋体"/>
          <w:b/>
          <w:bCs/>
          <w:szCs w:val="21"/>
        </w:rPr>
      </w:pPr>
      <w:r>
        <w:rPr>
          <w:rFonts w:hint="eastAsia" w:ascii="宋体" w:hAnsi="宋体" w:cs="宋体"/>
          <w:szCs w:val="21"/>
        </w:rPr>
        <w:t>（4）投标人的法人或者其他组织营业执照等证明文件</w:t>
      </w:r>
      <w:r>
        <w:rPr>
          <w:rFonts w:hint="eastAsia" w:ascii="宋体" w:hAnsi="宋体" w:cs="宋体"/>
          <w:b/>
          <w:bCs/>
          <w:szCs w:val="21"/>
        </w:rPr>
        <w:t>（必须提供，自然人除外）；</w:t>
      </w:r>
    </w:p>
    <w:p>
      <w:pPr>
        <w:tabs>
          <w:tab w:val="left" w:pos="1305"/>
        </w:tabs>
        <w:spacing w:line="360" w:lineRule="auto"/>
        <w:ind w:firstLine="422" w:firstLineChars="200"/>
      </w:pPr>
      <w:r>
        <w:rPr>
          <w:rFonts w:hint="eastAsia" w:ascii="宋体" w:hAnsi="宋体" w:cs="宋体"/>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r>
        <w:rPr>
          <w:rFonts w:hint="eastAsia" w:ascii="宋体" w:hAnsi="宋体" w:cs="宋体"/>
          <w:szCs w:val="21"/>
        </w:rPr>
        <w:t xml:space="preserve"> </w:t>
      </w:r>
    </w:p>
    <w:p>
      <w:pPr>
        <w:tabs>
          <w:tab w:val="left" w:pos="1305"/>
        </w:tabs>
        <w:spacing w:line="360" w:lineRule="auto"/>
        <w:ind w:firstLine="420" w:firstLineChars="200"/>
        <w:rPr>
          <w:rFonts w:ascii="宋体" w:hAnsi="宋体" w:cs="宋体"/>
          <w:szCs w:val="21"/>
          <w:highlight w:val="none"/>
        </w:rPr>
      </w:pPr>
      <w:r>
        <w:rPr>
          <w:rFonts w:hint="eastAsia" w:ascii="宋体" w:hAnsi="宋体" w:cs="宋体"/>
          <w:szCs w:val="21"/>
        </w:rPr>
        <w:t>（5）</w:t>
      </w:r>
      <w:r>
        <w:rPr>
          <w:rFonts w:hint="eastAsia" w:ascii="宋体" w:hAnsi="宋体" w:cs="宋体"/>
          <w:bCs/>
          <w:szCs w:val="21"/>
          <w:lang w:val="en-US" w:eastAsia="zh-CN"/>
        </w:rPr>
        <w:t>投标人</w:t>
      </w:r>
      <w:r>
        <w:rPr>
          <w:rFonts w:hint="eastAsia" w:ascii="宋体" w:hAnsi="宋体" w:cs="宋体"/>
          <w:szCs w:val="21"/>
        </w:rPr>
        <w:t>按《医疗器械监督管理条例》（国务院令第 739 号）医疗器械分类管理要求具备有效的医疗器械经营备案凭证或者</w:t>
      </w:r>
      <w:r>
        <w:rPr>
          <w:rFonts w:hint="eastAsia" w:ascii="宋体" w:hAnsi="宋体" w:cs="宋体"/>
          <w:szCs w:val="21"/>
          <w:lang w:val="en-US" w:eastAsia="zh-CN"/>
        </w:rPr>
        <w:t>医疗器械</w:t>
      </w:r>
      <w:r>
        <w:rPr>
          <w:rFonts w:hint="eastAsia" w:ascii="宋体" w:hAnsi="宋体" w:cs="宋体"/>
          <w:szCs w:val="21"/>
        </w:rPr>
        <w:t>经营许可证，且经营范围必须包含采购的医疗器械标的[符合《医疗器械监督管理条例》第四十一条第二款规定的除外]；或者</w:t>
      </w:r>
      <w:r>
        <w:rPr>
          <w:rFonts w:hint="eastAsia" w:ascii="宋体" w:hAnsi="宋体" w:cs="宋体"/>
          <w:szCs w:val="21"/>
          <w:lang w:val="en-US" w:eastAsia="zh-CN"/>
        </w:rPr>
        <w:t>投标人</w:t>
      </w:r>
      <w:r>
        <w:rPr>
          <w:rFonts w:hint="eastAsia" w:ascii="宋体" w:hAnsi="宋体" w:cs="宋体"/>
          <w:szCs w:val="21"/>
        </w:rPr>
        <w:t>具有《医疗器械监督管理条例》第四十三条规定的注册人凭证的相关证明文件</w:t>
      </w:r>
      <w:r>
        <w:rPr>
          <w:rFonts w:hint="eastAsia" w:ascii="宋体" w:hAnsi="宋体" w:cs="宋体"/>
          <w:b/>
          <w:bCs/>
          <w:szCs w:val="21"/>
        </w:rPr>
        <w:t>（必须提供）</w:t>
      </w:r>
      <w:r>
        <w:rPr>
          <w:rFonts w:hint="eastAsia" w:ascii="宋体" w:hAnsi="宋体" w:cs="宋体"/>
          <w:b/>
          <w:bCs/>
          <w:szCs w:val="21"/>
          <w:highlight w:val="none"/>
        </w:rPr>
        <w:t>；</w:t>
      </w:r>
    </w:p>
    <w:p>
      <w:pPr>
        <w:pStyle w:val="201"/>
        <w:spacing w:line="360" w:lineRule="auto"/>
        <w:ind w:firstLine="420" w:firstLineChars="200"/>
        <w:rPr>
          <w:szCs w:val="21"/>
        </w:rPr>
      </w:pPr>
      <w:r>
        <w:rPr>
          <w:rFonts w:hint="eastAsia" w:ascii="宋体" w:hAnsi="宋体" w:cs="宋体"/>
          <w:szCs w:val="21"/>
        </w:rPr>
        <w:t>（6）</w:t>
      </w:r>
      <w:r>
        <w:rPr>
          <w:rFonts w:hint="eastAsia" w:ascii="宋体" w:hAnsi="宋体"/>
          <w:szCs w:val="21"/>
        </w:rPr>
        <w:t>投标人</w:t>
      </w:r>
      <w:r>
        <w:rPr>
          <w:rFonts w:hint="eastAsia" w:hAnsi="宋体"/>
          <w:szCs w:val="21"/>
        </w:rPr>
        <w:t>所投产品属于医疗器械的，必须提供相应、有效、完整的医疗器械产品注册证复印件，要求清晰反映相关内容</w:t>
      </w:r>
      <w:r>
        <w:rPr>
          <w:rFonts w:hint="eastAsia" w:ascii="宋体" w:hAnsi="宋体"/>
          <w:b/>
          <w:szCs w:val="21"/>
        </w:rPr>
        <w:t>（必须提供）。</w:t>
      </w:r>
    </w:p>
    <w:p>
      <w:pPr>
        <w:pStyle w:val="201"/>
        <w:spacing w:line="360" w:lineRule="auto"/>
        <w:ind w:firstLine="422" w:firstLineChars="200"/>
        <w:rPr>
          <w:rFonts w:hint="eastAsia" w:ascii="宋体" w:hAnsi="宋体" w:cs="宋体"/>
          <w:b/>
          <w:bCs/>
          <w:szCs w:val="21"/>
        </w:rPr>
      </w:pPr>
      <w:r>
        <w:rPr>
          <w:rFonts w:hint="eastAsia" w:ascii="宋体" w:hAnsi="宋体" w:cs="宋体"/>
          <w:b/>
          <w:bCs/>
          <w:szCs w:val="21"/>
        </w:rPr>
        <w:t>13.1.</w:t>
      </w:r>
      <w:r>
        <w:rPr>
          <w:rFonts w:hint="eastAsia" w:ascii="宋体" w:hAnsi="宋体" w:cs="宋体"/>
          <w:b/>
          <w:bCs/>
          <w:szCs w:val="21"/>
          <w:lang w:val="en-US" w:eastAsia="zh-CN"/>
        </w:rPr>
        <w:t>2</w:t>
      </w:r>
      <w:r>
        <w:rPr>
          <w:rFonts w:hint="eastAsia" w:ascii="宋体" w:hAnsi="宋体" w:cs="宋体"/>
          <w:b/>
          <w:bCs/>
          <w:szCs w:val="21"/>
        </w:rPr>
        <w:t>符合性</w:t>
      </w:r>
      <w:r>
        <w:rPr>
          <w:rFonts w:hint="eastAsia" w:ascii="宋体" w:hAnsi="宋体" w:cs="宋体"/>
          <w:b/>
          <w:bCs/>
          <w:szCs w:val="21"/>
          <w:lang w:val="en-US" w:eastAsia="zh-CN"/>
        </w:rPr>
        <w:t>响应</w:t>
      </w:r>
      <w:r>
        <w:rPr>
          <w:rFonts w:hint="eastAsia" w:ascii="宋体" w:hAnsi="宋体" w:cs="宋体"/>
          <w:b/>
          <w:bCs/>
          <w:szCs w:val="21"/>
        </w:rPr>
        <w:t>证明材料：</w:t>
      </w:r>
    </w:p>
    <w:p>
      <w:pPr>
        <w:tabs>
          <w:tab w:val="left" w:pos="1305"/>
        </w:tabs>
        <w:spacing w:line="360" w:lineRule="auto"/>
        <w:ind w:firstLine="420" w:firstLineChars="200"/>
        <w:rPr>
          <w:rFonts w:ascii="宋体" w:hAnsi="宋体" w:cs="宋体"/>
          <w:szCs w:val="21"/>
        </w:rPr>
      </w:pPr>
      <w:r>
        <w:rPr>
          <w:rFonts w:hint="eastAsia" w:ascii="宋体" w:hAnsi="宋体" w:cs="宋体"/>
          <w:szCs w:val="21"/>
        </w:rPr>
        <w:t>（1）投标函</w:t>
      </w:r>
      <w:r>
        <w:rPr>
          <w:rFonts w:hint="eastAsia" w:ascii="宋体" w:hAnsi="宋体" w:cs="宋体"/>
          <w:b/>
          <w:szCs w:val="21"/>
        </w:rPr>
        <w:t>（必须提供）；</w:t>
      </w:r>
    </w:p>
    <w:p>
      <w:pPr>
        <w:tabs>
          <w:tab w:val="left" w:pos="1305"/>
        </w:tabs>
        <w:spacing w:line="360" w:lineRule="auto"/>
        <w:ind w:firstLine="420" w:firstLineChars="200"/>
        <w:rPr>
          <w:rFonts w:hint="eastAsia" w:ascii="宋体" w:hAnsi="宋体" w:eastAsia="宋体" w:cs="宋体"/>
          <w:b/>
          <w:bCs/>
          <w:szCs w:val="21"/>
          <w:lang w:eastAsia="zh-CN"/>
        </w:rPr>
      </w:pPr>
      <w:r>
        <w:rPr>
          <w:rFonts w:hint="eastAsia" w:ascii="宋体" w:hAnsi="宋体" w:cs="宋体"/>
          <w:szCs w:val="21"/>
        </w:rPr>
        <w:t>（2）投标报价明细表</w:t>
      </w:r>
      <w:r>
        <w:rPr>
          <w:rFonts w:hint="eastAsia" w:ascii="宋体" w:hAnsi="宋体" w:cs="宋体"/>
          <w:b/>
          <w:szCs w:val="21"/>
        </w:rPr>
        <w:t>（必须提供）</w:t>
      </w:r>
      <w:r>
        <w:rPr>
          <w:rFonts w:hint="eastAsia" w:ascii="宋体" w:hAnsi="宋体" w:cs="宋体"/>
          <w:b/>
          <w:szCs w:val="21"/>
          <w:lang w:eastAsia="zh-CN"/>
        </w:rPr>
        <w:t>；</w:t>
      </w:r>
    </w:p>
    <w:p>
      <w:pPr>
        <w:tabs>
          <w:tab w:val="left" w:pos="1305"/>
        </w:tabs>
        <w:spacing w:line="360" w:lineRule="auto"/>
        <w:ind w:firstLine="420" w:firstLineChars="200"/>
        <w:rPr>
          <w:rFonts w:ascii="宋体" w:hAnsi="宋体" w:cs="宋体"/>
          <w:b/>
          <w:kern w:val="0"/>
          <w:szCs w:val="21"/>
        </w:rPr>
      </w:pPr>
      <w:r>
        <w:rPr>
          <w:rFonts w:hint="eastAsia" w:ascii="宋体" w:hAnsi="宋体" w:cs="宋体"/>
          <w:kern w:val="0"/>
          <w:szCs w:val="21"/>
        </w:rPr>
        <w:t>（</w:t>
      </w:r>
      <w:r>
        <w:rPr>
          <w:rFonts w:hint="eastAsia" w:ascii="宋体" w:hAnsi="宋体" w:cs="宋体"/>
          <w:kern w:val="0"/>
          <w:szCs w:val="21"/>
          <w:lang w:val="en-US" w:eastAsia="zh-CN"/>
        </w:rPr>
        <w:t>3</w:t>
      </w:r>
      <w:r>
        <w:rPr>
          <w:rFonts w:hint="eastAsia" w:ascii="宋体" w:hAnsi="宋体" w:cs="宋体"/>
          <w:kern w:val="0"/>
          <w:szCs w:val="21"/>
        </w:rPr>
        <w:t>）</w:t>
      </w:r>
      <w:r>
        <w:rPr>
          <w:rFonts w:hint="eastAsia" w:ascii="宋体" w:hAnsi="宋体" w:cs="宋体"/>
          <w:bCs/>
          <w:szCs w:val="21"/>
        </w:rPr>
        <w:t>技术规格偏离表、服务内容及要求响应表</w:t>
      </w:r>
      <w:r>
        <w:rPr>
          <w:rFonts w:hint="eastAsia" w:ascii="宋体" w:hAnsi="宋体" w:cs="宋体"/>
          <w:b/>
          <w:kern w:val="0"/>
          <w:szCs w:val="21"/>
        </w:rPr>
        <w:t>（必须提供）；</w:t>
      </w:r>
    </w:p>
    <w:p>
      <w:pPr>
        <w:pStyle w:val="27"/>
        <w:spacing w:line="360" w:lineRule="auto"/>
        <w:ind w:firstLine="420" w:firstLineChars="200"/>
        <w:rPr>
          <w:rFonts w:hint="eastAsia" w:hAnsi="宋体" w:cs="宋体"/>
          <w:b/>
          <w:sz w:val="21"/>
          <w:szCs w:val="21"/>
        </w:rPr>
      </w:pPr>
      <w:r>
        <w:rPr>
          <w:rFonts w:hint="eastAsia" w:hAnsi="宋体" w:cs="宋体"/>
          <w:kern w:val="2"/>
          <w:sz w:val="21"/>
          <w:szCs w:val="21"/>
        </w:rPr>
        <w:t>（</w:t>
      </w:r>
      <w:r>
        <w:rPr>
          <w:rFonts w:hint="eastAsia" w:hAnsi="宋体" w:cs="宋体"/>
          <w:kern w:val="2"/>
          <w:sz w:val="21"/>
          <w:szCs w:val="21"/>
          <w:lang w:val="en-US" w:eastAsia="zh-CN"/>
        </w:rPr>
        <w:t>4</w:t>
      </w:r>
      <w:r>
        <w:rPr>
          <w:rFonts w:hint="eastAsia" w:hAnsi="宋体" w:cs="宋体"/>
          <w:kern w:val="2"/>
          <w:sz w:val="21"/>
          <w:szCs w:val="21"/>
        </w:rPr>
        <w:t>）投标人的售后服务承诺书（含交付使用期、免费保修期、技术服务、技术培训、售后服务的内容和措施等）</w:t>
      </w:r>
      <w:r>
        <w:rPr>
          <w:rFonts w:hint="eastAsia" w:hAnsi="宋体" w:cs="宋体"/>
          <w:b/>
          <w:bCs/>
          <w:kern w:val="2"/>
          <w:sz w:val="21"/>
          <w:szCs w:val="21"/>
        </w:rPr>
        <w:t>（必须提供</w:t>
      </w:r>
      <w:r>
        <w:rPr>
          <w:rFonts w:hint="eastAsia" w:hAnsi="宋体" w:cs="宋体"/>
          <w:b/>
          <w:sz w:val="21"/>
          <w:szCs w:val="21"/>
        </w:rPr>
        <w:t>）；</w:t>
      </w:r>
    </w:p>
    <w:p>
      <w:pPr>
        <w:pStyle w:val="201"/>
        <w:spacing w:line="360" w:lineRule="auto"/>
        <w:ind w:firstLine="422" w:firstLineChars="200"/>
        <w:rPr>
          <w:rFonts w:hint="eastAsia" w:ascii="宋体" w:hAnsi="宋体" w:cs="宋体"/>
          <w:b/>
          <w:bCs/>
          <w:szCs w:val="21"/>
        </w:rPr>
      </w:pPr>
      <w:r>
        <w:rPr>
          <w:rFonts w:hint="eastAsia" w:ascii="宋体" w:hAnsi="宋体" w:cs="宋体"/>
          <w:b/>
          <w:bCs/>
          <w:szCs w:val="21"/>
        </w:rPr>
        <w:t>13.1.</w:t>
      </w:r>
      <w:r>
        <w:rPr>
          <w:rFonts w:hint="eastAsia" w:ascii="宋体" w:hAnsi="宋体" w:cs="宋体"/>
          <w:b/>
          <w:bCs/>
          <w:szCs w:val="21"/>
          <w:lang w:val="en-US" w:eastAsia="zh-CN"/>
        </w:rPr>
        <w:t>3其他有效</w:t>
      </w:r>
      <w:r>
        <w:rPr>
          <w:rFonts w:hint="eastAsia" w:ascii="宋体" w:hAnsi="宋体" w:cs="宋体"/>
          <w:b/>
          <w:bCs/>
          <w:szCs w:val="21"/>
        </w:rPr>
        <w:t>证明材料：</w:t>
      </w:r>
    </w:p>
    <w:p>
      <w:pPr>
        <w:spacing w:line="360" w:lineRule="auto"/>
        <w:ind w:firstLine="420" w:firstLineChars="200"/>
        <w:rPr>
          <w:rFonts w:ascii="宋体" w:hAnsi="宋体" w:cs="宋体"/>
          <w:b/>
          <w:kern w:val="0"/>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售后服务</w:t>
      </w:r>
      <w:r>
        <w:rPr>
          <w:rFonts w:hint="eastAsia" w:ascii="宋体" w:hAnsi="宋体" w:cs="宋体"/>
          <w:szCs w:val="21"/>
          <w:highlight w:val="none"/>
        </w:rPr>
        <w:t>方案</w:t>
      </w:r>
      <w:r>
        <w:rPr>
          <w:rFonts w:hint="eastAsia" w:ascii="宋体" w:hAnsi="宋体" w:cs="宋体"/>
          <w:b/>
          <w:bCs/>
          <w:szCs w:val="21"/>
          <w:highlight w:val="none"/>
        </w:rPr>
        <w:t>（</w:t>
      </w:r>
      <w:r>
        <w:rPr>
          <w:rFonts w:hint="eastAsia" w:ascii="宋体" w:hAnsi="宋体" w:cs="宋体"/>
          <w:b/>
          <w:szCs w:val="21"/>
        </w:rPr>
        <w:t>如有，请提供</w:t>
      </w:r>
      <w:r>
        <w:rPr>
          <w:rFonts w:hint="eastAsia" w:ascii="宋体" w:hAnsi="宋体" w:cs="宋体"/>
          <w:b/>
          <w:bCs/>
          <w:szCs w:val="21"/>
          <w:highlight w:val="none"/>
        </w:rPr>
        <w:t>）；</w:t>
      </w:r>
    </w:p>
    <w:p>
      <w:pPr>
        <w:snapToGrid w:val="0"/>
        <w:spacing w:line="360" w:lineRule="auto"/>
        <w:ind w:firstLine="420" w:firstLineChars="200"/>
        <w:outlineLvl w:val="4"/>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）节能方面的证书复印件</w:t>
      </w:r>
      <w:r>
        <w:rPr>
          <w:rFonts w:hint="eastAsia" w:ascii="宋体" w:hAnsi="宋体" w:cs="宋体"/>
          <w:b/>
          <w:szCs w:val="21"/>
        </w:rPr>
        <w:t>（如有，请提供）；</w:t>
      </w:r>
    </w:p>
    <w:p>
      <w:pPr>
        <w:snapToGrid w:val="0"/>
        <w:spacing w:line="360" w:lineRule="auto"/>
        <w:ind w:firstLine="420" w:firstLineChars="200"/>
        <w:outlineLvl w:val="4"/>
        <w:rPr>
          <w:rFonts w:ascii="宋体" w:hAnsi="宋体" w:cs="宋体"/>
          <w:b/>
          <w:kern w:val="0"/>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）环保方面的证书复印件</w:t>
      </w:r>
      <w:r>
        <w:rPr>
          <w:rFonts w:hint="eastAsia" w:ascii="宋体" w:hAnsi="宋体" w:cs="宋体"/>
          <w:b/>
          <w:szCs w:val="21"/>
        </w:rPr>
        <w:t>（如有，请提供）；</w:t>
      </w:r>
    </w:p>
    <w:p>
      <w:pPr>
        <w:tabs>
          <w:tab w:val="left" w:pos="1305"/>
        </w:tabs>
        <w:spacing w:line="360"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）投标人为生产厂家的，投标人的生产制造设备清单及专业技术能力说明</w:t>
      </w:r>
      <w:r>
        <w:rPr>
          <w:rFonts w:hint="eastAsia" w:ascii="宋体" w:hAnsi="宋体" w:cs="宋体"/>
          <w:b/>
          <w:bCs/>
          <w:szCs w:val="21"/>
        </w:rPr>
        <w:t>（如有，请提供）；</w:t>
      </w:r>
    </w:p>
    <w:p>
      <w:pPr>
        <w:tabs>
          <w:tab w:val="left" w:pos="1305"/>
        </w:tabs>
        <w:spacing w:line="360" w:lineRule="auto"/>
        <w:ind w:firstLine="420" w:firstLineChars="200"/>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5</w:t>
      </w:r>
      <w:r>
        <w:rPr>
          <w:rFonts w:hint="eastAsia" w:ascii="宋体" w:hAnsi="宋体" w:cs="宋体"/>
          <w:kern w:val="0"/>
          <w:szCs w:val="21"/>
        </w:rPr>
        <w:t>）投标人</w:t>
      </w:r>
      <w:r>
        <w:rPr>
          <w:rFonts w:hint="eastAsia" w:ascii="宋体" w:hAnsi="宋体" w:cs="宋体"/>
          <w:kern w:val="0"/>
          <w:szCs w:val="21"/>
          <w:lang w:val="en-US" w:eastAsia="zh-CN"/>
        </w:rPr>
        <w:t>或其投标产品生产厂家</w:t>
      </w:r>
      <w:r>
        <w:rPr>
          <w:rFonts w:hint="eastAsia" w:ascii="宋体" w:hAnsi="宋体" w:cs="宋体"/>
          <w:kern w:val="0"/>
          <w:szCs w:val="21"/>
        </w:rPr>
        <w:t>相关获奖证书、认证证书等复印件</w:t>
      </w:r>
      <w:r>
        <w:rPr>
          <w:rFonts w:hint="eastAsia" w:ascii="宋体" w:hAnsi="宋体" w:cs="宋体"/>
          <w:b/>
          <w:kern w:val="0"/>
          <w:szCs w:val="21"/>
        </w:rPr>
        <w:t>（如有，请提供）；</w:t>
      </w:r>
    </w:p>
    <w:p>
      <w:pPr>
        <w:tabs>
          <w:tab w:val="left" w:pos="1305"/>
        </w:tabs>
        <w:spacing w:line="360"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）其他有效证明文件的复印件（如产品属于小型、微型企业的，如实提供中小企业声明函）</w:t>
      </w:r>
      <w:r>
        <w:rPr>
          <w:rFonts w:hint="eastAsia" w:ascii="宋体" w:hAnsi="宋体" w:cs="宋体"/>
          <w:b/>
          <w:bCs/>
          <w:szCs w:val="21"/>
        </w:rPr>
        <w:t>（如有，请提供）；</w:t>
      </w:r>
    </w:p>
    <w:p>
      <w:pPr>
        <w:snapToGrid w:val="0"/>
        <w:spacing w:line="360" w:lineRule="auto"/>
        <w:ind w:firstLine="420" w:firstLineChars="200"/>
        <w:outlineLvl w:val="4"/>
        <w:rPr>
          <w:rFonts w:ascii="宋体" w:hAnsi="宋体" w:cs="宋体"/>
          <w:kern w:val="0"/>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）符合条件的残疾人福利性单位在参加政府采购活动时，应当提供《残疾人福利性单位声明函》（见附件），并对声明的真实性负责</w:t>
      </w:r>
      <w:r>
        <w:rPr>
          <w:rFonts w:hint="eastAsia" w:ascii="宋体" w:hAnsi="宋体" w:cs="宋体"/>
          <w:b/>
          <w:kern w:val="0"/>
          <w:szCs w:val="21"/>
        </w:rPr>
        <w:t>（如有，请提供）；</w:t>
      </w:r>
    </w:p>
    <w:p>
      <w:pPr>
        <w:snapToGrid w:val="0"/>
        <w:spacing w:line="360" w:lineRule="auto"/>
        <w:ind w:firstLine="420" w:firstLineChars="200"/>
        <w:outlineLvl w:val="4"/>
        <w:rPr>
          <w:rFonts w:ascii="宋体" w:hAnsi="宋体" w:cs="宋体"/>
          <w:b/>
          <w:kern w:val="0"/>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w:t>
      </w:r>
      <w:r>
        <w:rPr>
          <w:rFonts w:hint="eastAsia" w:ascii="宋体" w:hAnsi="宋体"/>
          <w:szCs w:val="21"/>
        </w:rPr>
        <w:t>监狱企业的证明文件[如产品属于监狱企业的，应当提供由省级以上监狱管理局、戒毒管理局（含新疆生产建设兵团）出具的属于监狱企业的证明文件, 否则不予享受优惠政策]</w:t>
      </w:r>
      <w:r>
        <w:rPr>
          <w:rFonts w:hint="eastAsia" w:ascii="宋体" w:hAnsi="宋体" w:cs="宋体"/>
          <w:b/>
          <w:kern w:val="0"/>
          <w:szCs w:val="21"/>
        </w:rPr>
        <w:t>（如有，请提供）；</w:t>
      </w:r>
    </w:p>
    <w:p>
      <w:pPr>
        <w:snapToGrid w:val="0"/>
        <w:spacing w:line="360" w:lineRule="auto"/>
        <w:ind w:firstLine="539" w:firstLineChars="257"/>
        <w:outlineLvl w:val="4"/>
        <w:rPr>
          <w:rFonts w:ascii="宋体" w:hAnsi="宋体" w:cs="宋体"/>
          <w:b/>
          <w:kern w:val="0"/>
          <w:szCs w:val="21"/>
        </w:rPr>
      </w:pPr>
      <w:r>
        <w:rPr>
          <w:rFonts w:hint="eastAsia" w:ascii="宋体" w:hAnsi="宋体" w:cs="宋体"/>
          <w:kern w:val="0"/>
          <w:szCs w:val="21"/>
        </w:rPr>
        <w:t>(</w:t>
      </w:r>
      <w:r>
        <w:rPr>
          <w:rFonts w:hint="eastAsia" w:ascii="宋体" w:hAnsi="宋体" w:cs="宋体"/>
          <w:kern w:val="0"/>
          <w:szCs w:val="21"/>
          <w:lang w:val="en-US" w:eastAsia="zh-CN"/>
        </w:rPr>
        <w:t>9</w:t>
      </w:r>
      <w:r>
        <w:rPr>
          <w:rFonts w:hint="eastAsia" w:ascii="宋体" w:hAnsi="宋体" w:cs="宋体"/>
          <w:kern w:val="0"/>
          <w:szCs w:val="21"/>
        </w:rPr>
        <w:t>）投标人可结合本项目的评标办法视自身情况自行提交相关证明材料</w:t>
      </w:r>
      <w:r>
        <w:rPr>
          <w:rFonts w:hint="eastAsia" w:ascii="宋体" w:hAnsi="宋体" w:cs="宋体"/>
          <w:b/>
          <w:kern w:val="0"/>
          <w:szCs w:val="21"/>
        </w:rPr>
        <w:t>（如有，请提供）。</w:t>
      </w:r>
    </w:p>
    <w:p>
      <w:pPr>
        <w:spacing w:line="360" w:lineRule="auto"/>
        <w:ind w:firstLine="422" w:firstLineChars="200"/>
        <w:rPr>
          <w:szCs w:val="21"/>
        </w:rPr>
      </w:pPr>
      <w:r>
        <w:rPr>
          <w:rFonts w:hint="eastAsia" w:ascii="宋体" w:hAnsi="宋体" w:cs="宋体"/>
          <w:b/>
          <w:kern w:val="0"/>
          <w:szCs w:val="21"/>
          <w:lang w:val="en-US" w:eastAsia="zh-CN"/>
        </w:rPr>
        <w:t>注：</w:t>
      </w:r>
      <w:r>
        <w:rPr>
          <w:rFonts w:hint="eastAsia" w:ascii="宋体" w:hAnsi="宋体" w:cs="宋体"/>
          <w:b/>
          <w:kern w:val="0"/>
          <w:szCs w:val="21"/>
        </w:rPr>
        <w:t>投标人提供的以上相关证明材料必须真实有效，属于“必须提供”的文件应加盖投标人CA证书签章，否则投标无效；其中“必须提供”的文件“投标文件（格式）”中有要求法定代表人(负责人、自然人)或相应的授权委托代理人在规定位置签字的，可使用法定代表人(负责人、自然人)或相应的授权委托代理人个人CA证书签章，没有办理政采云个人CA证书签章的可在投标文件中涉及到签字的位置手写签字后扫描或者拍照做成 PDF 的格式上传，无个人CA证书签章及手写签字的，投标文件按无效处理。</w:t>
      </w:r>
    </w:p>
    <w:p>
      <w:pPr>
        <w:snapToGrid w:val="0"/>
        <w:spacing w:line="360" w:lineRule="auto"/>
        <w:ind w:firstLine="420" w:firstLineChars="200"/>
        <w:outlineLvl w:val="4"/>
        <w:rPr>
          <w:rFonts w:ascii="宋体" w:hAnsi="宋体"/>
          <w:szCs w:val="21"/>
        </w:rPr>
      </w:pPr>
      <w:r>
        <w:rPr>
          <w:rFonts w:hint="eastAsia" w:ascii="宋体" w:hAnsi="宋体"/>
          <w:szCs w:val="21"/>
        </w:rPr>
        <w:t>13.2投标人应按招标文件第六章“投标文件（格式）”编制投标文件。</w:t>
      </w:r>
    </w:p>
    <w:p>
      <w:pPr>
        <w:snapToGrid w:val="0"/>
        <w:spacing w:line="360" w:lineRule="auto"/>
        <w:ind w:firstLine="420" w:firstLineChars="200"/>
        <w:outlineLvl w:val="4"/>
        <w:rPr>
          <w:rFonts w:ascii="宋体" w:hAnsi="宋体"/>
          <w:szCs w:val="21"/>
        </w:rPr>
      </w:pPr>
      <w:r>
        <w:rPr>
          <w:rFonts w:hint="eastAsia" w:ascii="宋体" w:hAnsi="宋体"/>
          <w:szCs w:val="21"/>
        </w:rPr>
        <w:t>13.3投标文件应当对招标文件提出的要求和条件做出明确响应。</w:t>
      </w:r>
    </w:p>
    <w:p>
      <w:pPr>
        <w:tabs>
          <w:tab w:val="left" w:pos="1305"/>
        </w:tabs>
        <w:spacing w:line="360" w:lineRule="auto"/>
        <w:ind w:firstLine="422" w:firstLineChars="200"/>
        <w:rPr>
          <w:rFonts w:ascii="宋体" w:hAnsi="宋体" w:cs="宋体"/>
          <w:b/>
          <w:szCs w:val="21"/>
        </w:rPr>
      </w:pPr>
      <w:r>
        <w:rPr>
          <w:rFonts w:hint="eastAsia" w:ascii="宋体" w:hAnsi="宋体" w:cs="宋体"/>
          <w:b/>
          <w:szCs w:val="21"/>
        </w:rPr>
        <w:t>14、投标文件的语言及计量</w:t>
      </w:r>
    </w:p>
    <w:p>
      <w:pPr>
        <w:tabs>
          <w:tab w:val="left" w:pos="1305"/>
        </w:tabs>
        <w:spacing w:line="360" w:lineRule="auto"/>
        <w:ind w:firstLine="420" w:firstLineChars="200"/>
        <w:rPr>
          <w:rFonts w:ascii="宋体" w:hAnsi="宋体" w:cs="宋体"/>
          <w:szCs w:val="21"/>
        </w:rPr>
      </w:pPr>
      <w:r>
        <w:rPr>
          <w:rFonts w:hint="eastAsia" w:ascii="宋体" w:hAnsi="宋体" w:cs="宋体"/>
          <w:szCs w:val="21"/>
        </w:rPr>
        <w:t>14.1 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360" w:lineRule="auto"/>
        <w:ind w:firstLine="420" w:firstLineChars="200"/>
        <w:rPr>
          <w:rFonts w:ascii="宋体" w:hAnsi="宋体" w:cs="宋体"/>
          <w:szCs w:val="21"/>
        </w:rPr>
      </w:pPr>
      <w:r>
        <w:rPr>
          <w:rFonts w:hint="eastAsia" w:ascii="宋体" w:hAnsi="宋体" w:cs="宋体"/>
          <w:szCs w:val="21"/>
        </w:rPr>
        <w:t>14.2投标计量单位，招标文件已有明确规定的，使用招标文件规定的计量单位；招标文件没有规定的，应采用中华人民共和国法定计量单位（货币单位：元人民币），否则视同未响应。</w:t>
      </w:r>
    </w:p>
    <w:p>
      <w:pPr>
        <w:tabs>
          <w:tab w:val="left" w:pos="1305"/>
        </w:tabs>
        <w:spacing w:line="360" w:lineRule="auto"/>
        <w:ind w:firstLine="422" w:firstLineChars="200"/>
        <w:rPr>
          <w:rFonts w:ascii="宋体" w:hAnsi="宋体" w:cs="宋体"/>
          <w:b/>
          <w:szCs w:val="21"/>
        </w:rPr>
      </w:pPr>
      <w:r>
        <w:rPr>
          <w:rFonts w:hint="eastAsia" w:ascii="宋体" w:hAnsi="宋体" w:cs="宋体"/>
          <w:b/>
          <w:szCs w:val="21"/>
        </w:rPr>
        <w:t>15、投标报价</w:t>
      </w:r>
    </w:p>
    <w:p>
      <w:pPr>
        <w:tabs>
          <w:tab w:val="left" w:pos="1305"/>
        </w:tabs>
        <w:spacing w:line="360" w:lineRule="auto"/>
        <w:ind w:firstLine="420" w:firstLineChars="200"/>
        <w:rPr>
          <w:rFonts w:ascii="宋体" w:hAnsi="宋体" w:cs="宋体"/>
          <w:bCs/>
          <w:szCs w:val="21"/>
        </w:rPr>
      </w:pPr>
      <w:r>
        <w:rPr>
          <w:rFonts w:hint="eastAsia" w:ascii="宋体" w:hAnsi="宋体" w:cs="宋体"/>
          <w:bCs/>
          <w:szCs w:val="21"/>
        </w:rPr>
        <w:t>15.1 投标报价应按招标文件中第六章“投标文件（格式）”填写，投标报价超过采购预算金额的，投标文件按无效处理。</w:t>
      </w:r>
    </w:p>
    <w:p>
      <w:pPr>
        <w:tabs>
          <w:tab w:val="left" w:pos="1305"/>
        </w:tabs>
        <w:spacing w:line="360" w:lineRule="auto"/>
        <w:ind w:firstLine="420" w:firstLineChars="200"/>
        <w:rPr>
          <w:rFonts w:ascii="宋体" w:hAnsi="宋体" w:cs="宋体"/>
          <w:bCs/>
          <w:szCs w:val="21"/>
        </w:rPr>
      </w:pPr>
      <w:r>
        <w:rPr>
          <w:rFonts w:hint="eastAsia" w:ascii="宋体" w:hAnsi="宋体" w:cs="宋体"/>
          <w:bCs/>
          <w:szCs w:val="21"/>
        </w:rPr>
        <w:t>15.2 投标人必须就“货物采购需求”中所有内容作完整唯一报价，否则，其投标将被拒绝；投标文件只允许有一个报价，有选择的或有条件的报价将不予接受。</w:t>
      </w:r>
    </w:p>
    <w:p>
      <w:pPr>
        <w:tabs>
          <w:tab w:val="left" w:pos="1305"/>
        </w:tabs>
        <w:spacing w:line="360" w:lineRule="auto"/>
        <w:ind w:firstLine="420" w:firstLineChars="200"/>
        <w:rPr>
          <w:rFonts w:ascii="宋体" w:hAnsi="宋体" w:cs="宋体"/>
          <w:bCs/>
          <w:szCs w:val="21"/>
        </w:rPr>
      </w:pPr>
      <w:r>
        <w:rPr>
          <w:rFonts w:hint="eastAsia" w:ascii="宋体" w:hAnsi="宋体" w:cs="宋体"/>
          <w:bCs/>
          <w:szCs w:val="21"/>
        </w:rPr>
        <w:t>15.3投标报价应包括本次招标采购范围内货物价款、货物随配标准附件、包装、运输、装卸、保险、 税金、货到位以及安装、安装所需辅材、调试、检验、售后服务、培训、保修及其他所有成本费用的总和；投标人综合考虑在报价中。</w:t>
      </w:r>
    </w:p>
    <w:p>
      <w:pPr>
        <w:tabs>
          <w:tab w:val="left" w:pos="1305"/>
        </w:tabs>
        <w:spacing w:line="360" w:lineRule="auto"/>
        <w:ind w:firstLine="422" w:firstLineChars="200"/>
        <w:rPr>
          <w:rFonts w:ascii="宋体" w:hAnsi="宋体" w:cs="宋体"/>
          <w:b/>
          <w:szCs w:val="21"/>
        </w:rPr>
      </w:pPr>
      <w:r>
        <w:rPr>
          <w:rFonts w:hint="eastAsia" w:ascii="宋体" w:hAnsi="宋体" w:cs="宋体"/>
          <w:b/>
          <w:szCs w:val="21"/>
        </w:rPr>
        <w:t>16、投标有效期</w:t>
      </w:r>
    </w:p>
    <w:p>
      <w:pPr>
        <w:tabs>
          <w:tab w:val="left" w:pos="1305"/>
        </w:tabs>
        <w:spacing w:line="360" w:lineRule="auto"/>
        <w:ind w:firstLine="420" w:firstLineChars="200"/>
        <w:rPr>
          <w:rFonts w:ascii="宋体" w:hAnsi="宋体" w:cs="宋体"/>
          <w:szCs w:val="21"/>
        </w:rPr>
      </w:pPr>
      <w:r>
        <w:rPr>
          <w:rFonts w:hint="eastAsia" w:ascii="宋体" w:hAnsi="宋体" w:cs="宋体"/>
          <w:szCs w:val="21"/>
        </w:rPr>
        <w:t>16.1投标有效期：投标截止时间之日起90天。</w:t>
      </w:r>
    </w:p>
    <w:p>
      <w:pPr>
        <w:tabs>
          <w:tab w:val="left" w:pos="1305"/>
        </w:tabs>
        <w:spacing w:line="360" w:lineRule="auto"/>
        <w:ind w:firstLine="420" w:firstLineChars="200"/>
        <w:rPr>
          <w:rFonts w:ascii="宋体" w:hAnsi="宋体" w:cs="宋体"/>
          <w:szCs w:val="21"/>
        </w:rPr>
      </w:pPr>
      <w:r>
        <w:rPr>
          <w:rFonts w:hint="eastAsia" w:ascii="宋体" w:hAnsi="宋体" w:cs="宋体"/>
          <w:szCs w:val="21"/>
        </w:rPr>
        <w:t>16.2出现特殊情况下，需要延长投标有效期的，采购代理机构以书面形式通知所有投标人延长投标有效期。投标人同意延长的，但不能修改投标文件。投标人拒绝延长的，其投标无效。</w:t>
      </w:r>
    </w:p>
    <w:p>
      <w:pPr>
        <w:tabs>
          <w:tab w:val="left" w:pos="1305"/>
        </w:tabs>
        <w:spacing w:line="360" w:lineRule="auto"/>
        <w:ind w:firstLine="422" w:firstLineChars="200"/>
        <w:rPr>
          <w:rFonts w:ascii="宋体" w:hAnsi="宋体" w:cs="宋体"/>
          <w:b/>
          <w:szCs w:val="21"/>
        </w:rPr>
      </w:pPr>
      <w:r>
        <w:rPr>
          <w:rFonts w:hint="eastAsia" w:ascii="宋体" w:hAnsi="宋体" w:cs="宋体"/>
          <w:b/>
          <w:szCs w:val="21"/>
        </w:rPr>
        <w:t>17、电子投标文件的制作、加密、供应商公章及签字</w:t>
      </w:r>
    </w:p>
    <w:p>
      <w:pPr>
        <w:snapToGrid w:val="0"/>
        <w:spacing w:line="360" w:lineRule="auto"/>
        <w:ind w:firstLine="420" w:firstLineChars="200"/>
        <w:jc w:val="left"/>
        <w:rPr>
          <w:rFonts w:ascii="宋体" w:hAnsi="宋体" w:cs="宋体"/>
          <w:szCs w:val="21"/>
        </w:rPr>
      </w:pPr>
      <w:r>
        <w:rPr>
          <w:rFonts w:hint="eastAsia" w:ascii="宋体" w:hAnsi="宋体" w:cs="宋体"/>
          <w:szCs w:val="21"/>
        </w:rPr>
        <w:t>17.1</w:t>
      </w:r>
      <w:r>
        <w:rPr>
          <w:rFonts w:hint="eastAsia" w:ascii="宋体" w:hAnsi="宋体" w:cs="宋体"/>
          <w:b/>
          <w:bCs/>
          <w:szCs w:val="21"/>
        </w:rPr>
        <w:t>电子投标文件的制作、加密</w:t>
      </w:r>
    </w:p>
    <w:p>
      <w:pPr>
        <w:snapToGrid w:val="0"/>
        <w:spacing w:line="360" w:lineRule="auto"/>
        <w:ind w:firstLine="420" w:firstLineChars="200"/>
        <w:jc w:val="left"/>
        <w:rPr>
          <w:rFonts w:ascii="宋体" w:hAnsi="宋体" w:cs="宋体"/>
          <w:szCs w:val="21"/>
        </w:rPr>
      </w:pPr>
      <w:r>
        <w:rPr>
          <w:rFonts w:hint="eastAsia" w:ascii="宋体" w:hAnsi="宋体" w:cs="宋体"/>
          <w:szCs w:val="21"/>
        </w:rPr>
        <w:t>17.1.1投标人制作电子投标文件前，必须登陆“政采云”平台进行招标文件的获取操作。</w:t>
      </w:r>
    </w:p>
    <w:p>
      <w:pPr>
        <w:snapToGrid w:val="0"/>
        <w:spacing w:line="360" w:lineRule="auto"/>
        <w:ind w:firstLine="420" w:firstLineChars="200"/>
        <w:jc w:val="left"/>
        <w:rPr>
          <w:rFonts w:ascii="宋体" w:hAnsi="宋体" w:cs="宋体"/>
          <w:szCs w:val="21"/>
        </w:rPr>
      </w:pPr>
      <w:r>
        <w:rPr>
          <w:rFonts w:hint="eastAsia" w:ascii="宋体" w:hAnsi="宋体" w:cs="宋体"/>
          <w:szCs w:val="21"/>
        </w:rPr>
        <w:t>17.1.2投标人下载或获取招标文件后，登录“政采云电子投标客户端”，按照本招标文件规定的投标文件格式、顺序以及“政采云”平台的要求，通过“政采云电子投标客户端”编制电子投标文件。</w:t>
      </w:r>
    </w:p>
    <w:p>
      <w:pPr>
        <w:snapToGrid w:val="0"/>
        <w:spacing w:line="360" w:lineRule="auto"/>
        <w:ind w:firstLine="420" w:firstLineChars="200"/>
        <w:jc w:val="left"/>
        <w:rPr>
          <w:rFonts w:ascii="宋体" w:hAnsi="宋体" w:cs="宋体"/>
          <w:szCs w:val="21"/>
        </w:rPr>
      </w:pPr>
      <w:r>
        <w:rPr>
          <w:rFonts w:hint="eastAsia" w:ascii="宋体" w:hAnsi="宋体" w:cs="宋体"/>
          <w:szCs w:val="21"/>
        </w:rPr>
        <w:t>17.1.3投标人应按“政采云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p>
    <w:p>
      <w:pPr>
        <w:snapToGrid w:val="0"/>
        <w:spacing w:line="360" w:lineRule="auto"/>
        <w:ind w:firstLine="420" w:firstLineChars="200"/>
        <w:jc w:val="left"/>
        <w:rPr>
          <w:rFonts w:ascii="宋体" w:hAnsi="宋体" w:cs="宋体"/>
          <w:szCs w:val="21"/>
        </w:rPr>
      </w:pPr>
      <w:r>
        <w:rPr>
          <w:rFonts w:hint="eastAsia" w:ascii="宋体" w:hAnsi="宋体" w:cs="宋体"/>
          <w:szCs w:val="21"/>
        </w:rPr>
        <w:t>17.1.4电子投标文件不得涂改，若有修改错漏处，须由法定代表人（负责人、自然人）或授权委托代理人通过“政采云电子投标客户端”采用政采云个人CA证书签章，没有办理政采云个人CA证书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的格式上传。因投标文件字迹潦草、表达不清、内容不完整、编排混乱导致投标文件被误读、漏读，或者在按招标文件规定的部位查找不到相关内容的，其不利后果由供应商自行承担。</w:t>
      </w:r>
    </w:p>
    <w:p>
      <w:pPr>
        <w:snapToGrid w:val="0"/>
        <w:spacing w:line="360" w:lineRule="auto"/>
        <w:ind w:firstLine="420" w:firstLineChars="200"/>
        <w:jc w:val="left"/>
        <w:rPr>
          <w:rFonts w:ascii="宋体" w:hAnsi="宋体" w:cs="宋体"/>
          <w:szCs w:val="21"/>
        </w:rPr>
      </w:pPr>
      <w:r>
        <w:rPr>
          <w:rFonts w:hint="eastAsia" w:ascii="宋体" w:hAnsi="宋体" w:cs="宋体"/>
          <w:szCs w:val="21"/>
        </w:rPr>
        <w:t>17.1.5投标人编制、生成电子投标文件后应当加密投标文件。投标人未按规定编制并加密的投标文件，“政采云”平台将予以拒收。</w:t>
      </w:r>
    </w:p>
    <w:p>
      <w:pPr>
        <w:tabs>
          <w:tab w:val="left" w:pos="1305"/>
        </w:tabs>
        <w:spacing w:line="360" w:lineRule="auto"/>
        <w:ind w:firstLine="420" w:firstLineChars="200"/>
        <w:rPr>
          <w:rFonts w:ascii="宋体" w:hAnsi="宋体" w:cs="宋体"/>
          <w:b/>
          <w:szCs w:val="21"/>
        </w:rPr>
      </w:pPr>
      <w:r>
        <w:rPr>
          <w:rFonts w:hint="eastAsia" w:ascii="宋体" w:hAnsi="宋体" w:cs="宋体"/>
          <w:szCs w:val="21"/>
        </w:rPr>
        <w:t>17.2</w:t>
      </w:r>
      <w:r>
        <w:rPr>
          <w:rFonts w:hint="eastAsia" w:ascii="宋体" w:hAnsi="宋体" w:cs="宋体"/>
          <w:b/>
          <w:szCs w:val="21"/>
        </w:rPr>
        <w:t>投标人公章及签字</w:t>
      </w:r>
    </w:p>
    <w:p>
      <w:pPr>
        <w:tabs>
          <w:tab w:val="left" w:pos="1305"/>
        </w:tabs>
        <w:spacing w:line="360" w:lineRule="auto"/>
        <w:ind w:firstLine="420" w:firstLineChars="200"/>
        <w:rPr>
          <w:rFonts w:ascii="宋体" w:hAnsi="宋体"/>
          <w:szCs w:val="21"/>
        </w:rPr>
      </w:pPr>
      <w:r>
        <w:rPr>
          <w:rFonts w:hint="eastAsia" w:ascii="宋体" w:hAnsi="宋体"/>
          <w:szCs w:val="21"/>
        </w:rPr>
        <w:t>17.2.1本招标文件中描述投标人的“公章”是指投标人通过指定电子化政府采购平台办理数字证书（CA认证证书）获得的以法定主体行为名称制作的电子印章。</w:t>
      </w:r>
    </w:p>
    <w:p>
      <w:pPr>
        <w:tabs>
          <w:tab w:val="left" w:pos="1305"/>
        </w:tabs>
        <w:spacing w:line="360" w:lineRule="auto"/>
        <w:ind w:firstLine="420" w:firstLineChars="200"/>
        <w:rPr>
          <w:rFonts w:ascii="宋体" w:hAnsi="宋体"/>
          <w:szCs w:val="21"/>
        </w:rPr>
      </w:pPr>
      <w:r>
        <w:rPr>
          <w:rFonts w:hint="eastAsia" w:ascii="宋体" w:hAnsi="宋体"/>
          <w:szCs w:val="21"/>
        </w:rPr>
        <w:t>17.2.2本招标文件中要求投标人对其电子投标文件的相关内容加盖公章的，均指采用CA证书签章。</w:t>
      </w:r>
    </w:p>
    <w:p>
      <w:pPr>
        <w:tabs>
          <w:tab w:val="left" w:pos="1305"/>
        </w:tabs>
        <w:spacing w:line="360" w:lineRule="auto"/>
        <w:ind w:firstLine="420" w:firstLineChars="200"/>
        <w:rPr>
          <w:rFonts w:ascii="宋体" w:hAnsi="宋体"/>
          <w:szCs w:val="21"/>
        </w:rPr>
      </w:pPr>
      <w:r>
        <w:rPr>
          <w:rFonts w:hint="eastAsia" w:ascii="宋体" w:hAnsi="宋体"/>
          <w:szCs w:val="21"/>
        </w:rPr>
        <w:t>17.2.3本招标文件中描述投标人的“签字”是指投标人通过指定电子化政府采购平台办理数字证书（CA认证证书）获得的以投标人法定代表人（负责人、自然人）或者委托代理人姓名制作的个人电子印章或手写签字。没有办理个人CA证书的，可以为手写签字的形式。</w:t>
      </w:r>
    </w:p>
    <w:p>
      <w:pPr>
        <w:tabs>
          <w:tab w:val="left" w:pos="1305"/>
        </w:tabs>
        <w:spacing w:line="360" w:lineRule="auto"/>
        <w:ind w:firstLine="422" w:firstLineChars="200"/>
        <w:rPr>
          <w:rFonts w:ascii="宋体" w:hAnsi="宋体" w:cs="宋体"/>
          <w:b/>
          <w:szCs w:val="21"/>
        </w:rPr>
      </w:pPr>
      <w:r>
        <w:rPr>
          <w:rFonts w:hint="eastAsia" w:ascii="宋体" w:hAnsi="宋体" w:cs="宋体"/>
          <w:b/>
          <w:bCs/>
          <w:szCs w:val="21"/>
        </w:rPr>
        <w:t>18.</w:t>
      </w:r>
      <w:r>
        <w:rPr>
          <w:rFonts w:hint="eastAsia" w:ascii="宋体" w:hAnsi="宋体" w:cs="宋体"/>
          <w:b/>
          <w:szCs w:val="21"/>
        </w:rPr>
        <w:t>投标文件的补充、修改和撤回</w:t>
      </w:r>
    </w:p>
    <w:p>
      <w:pPr>
        <w:pStyle w:val="9"/>
        <w:spacing w:line="360" w:lineRule="auto"/>
        <w:ind w:firstLine="420" w:firstLineChars="2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rPr>
        <w:t>8</w:t>
      </w:r>
      <w:r>
        <w:rPr>
          <w:rFonts w:hint="eastAsia" w:ascii="宋体" w:hAnsi="宋体" w:cs="宋体"/>
          <w:sz w:val="21"/>
          <w:szCs w:val="21"/>
        </w:rPr>
        <w:t>.1投标人应当在提交投标文件截止时间前，将生成的电子投标文件上传提交至“政采云”平台。投标文件提交截止时间前可以补充、修改或撤回电子投标文件，补充、修改电子投标文件的，应当先行撤回原文件，补充、修改后重新传输提交。在投标文件提交截止时间后的投标文件有效期内，投标人不得撤回其投标文件。提交投标文件截止时间前未成功将电子投标文件上传“政采云”平台的，视为未提交投标文件。</w:t>
      </w:r>
    </w:p>
    <w:p>
      <w:pPr>
        <w:pStyle w:val="9"/>
        <w:spacing w:line="360" w:lineRule="auto"/>
        <w:ind w:firstLine="420" w:firstLineChars="2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rPr>
        <w:t>8</w:t>
      </w:r>
      <w:r>
        <w:rPr>
          <w:rFonts w:hint="eastAsia" w:ascii="宋体" w:hAnsi="宋体" w:cs="宋体"/>
          <w:sz w:val="21"/>
          <w:szCs w:val="21"/>
        </w:rPr>
        <w:t>.2在投标文件递交截止时间后的投标文件有效期内，投标人不得撤回其投标文件。</w:t>
      </w:r>
    </w:p>
    <w:p>
      <w:pPr>
        <w:pStyle w:val="9"/>
        <w:spacing w:line="360" w:lineRule="auto"/>
        <w:ind w:firstLine="422" w:firstLineChars="200"/>
        <w:rPr>
          <w:rFonts w:ascii="宋体" w:hAnsi="宋体"/>
          <w:b/>
          <w:sz w:val="21"/>
          <w:szCs w:val="21"/>
        </w:rPr>
      </w:pPr>
      <w:r>
        <w:rPr>
          <w:rFonts w:hint="eastAsia" w:ascii="宋体" w:hAnsi="宋体"/>
          <w:b/>
          <w:sz w:val="21"/>
          <w:szCs w:val="21"/>
          <w:lang w:val="en-US"/>
        </w:rPr>
        <w:t>19.</w:t>
      </w:r>
      <w:r>
        <w:rPr>
          <w:rFonts w:hint="eastAsia" w:ascii="宋体" w:hAnsi="宋体"/>
          <w:b/>
          <w:sz w:val="21"/>
          <w:szCs w:val="21"/>
        </w:rPr>
        <w:t>提交投标文件截止时间、地点；投标文件解密</w:t>
      </w:r>
    </w:p>
    <w:p>
      <w:pPr>
        <w:pStyle w:val="9"/>
        <w:spacing w:line="360" w:lineRule="auto"/>
        <w:ind w:firstLine="422" w:firstLineChars="200"/>
        <w:rPr>
          <w:rFonts w:ascii="宋体" w:hAnsi="宋体"/>
          <w:b/>
          <w:sz w:val="21"/>
          <w:szCs w:val="21"/>
        </w:rPr>
      </w:pPr>
      <w:r>
        <w:rPr>
          <w:rFonts w:hint="eastAsia" w:ascii="宋体" w:hAnsi="宋体"/>
          <w:b/>
          <w:sz w:val="21"/>
          <w:szCs w:val="21"/>
          <w:lang w:val="en-US"/>
        </w:rPr>
        <w:t>19.1</w:t>
      </w:r>
      <w:r>
        <w:rPr>
          <w:rFonts w:hint="eastAsia" w:ascii="宋体" w:hAnsi="宋体"/>
          <w:b/>
          <w:sz w:val="21"/>
          <w:szCs w:val="21"/>
        </w:rPr>
        <w:t>提交投标文件截止时间、地点</w:t>
      </w:r>
    </w:p>
    <w:p>
      <w:pPr>
        <w:spacing w:line="360" w:lineRule="auto"/>
        <w:ind w:firstLine="420" w:firstLineChars="200"/>
        <w:rPr>
          <w:rFonts w:ascii="宋体" w:hAnsi="宋体" w:cs="宋体"/>
          <w:szCs w:val="21"/>
        </w:rPr>
      </w:pPr>
      <w:r>
        <w:rPr>
          <w:rFonts w:hint="eastAsia" w:ascii="宋体" w:hAnsi="宋体" w:cs="宋体"/>
          <w:bCs/>
          <w:szCs w:val="21"/>
        </w:rPr>
        <w:t>19</w:t>
      </w:r>
      <w:r>
        <w:rPr>
          <w:rFonts w:hint="eastAsia" w:ascii="宋体" w:hAnsi="宋体"/>
          <w:szCs w:val="21"/>
        </w:rPr>
        <w:t>.</w:t>
      </w:r>
      <w:r>
        <w:rPr>
          <w:rFonts w:hint="eastAsia" w:ascii="宋体" w:hAnsi="宋体" w:cs="宋体"/>
          <w:szCs w:val="21"/>
        </w:rPr>
        <w:t>1.</w:t>
      </w:r>
      <w:r>
        <w:rPr>
          <w:rFonts w:hint="eastAsia" w:ascii="宋体" w:hAnsi="宋体"/>
          <w:szCs w:val="21"/>
        </w:rPr>
        <w:t>1投标人</w:t>
      </w:r>
      <w:r>
        <w:rPr>
          <w:rFonts w:hint="eastAsia" w:ascii="宋体" w:hAnsi="宋体"/>
          <w:szCs w:val="21"/>
          <w:highlight w:val="none"/>
        </w:rPr>
        <w:t>于</w:t>
      </w:r>
      <w:r>
        <w:rPr>
          <w:rFonts w:ascii="宋体" w:hAnsi="宋体"/>
          <w:szCs w:val="21"/>
          <w:highlight w:val="none"/>
        </w:rPr>
        <w:t>202</w:t>
      </w:r>
      <w:r>
        <w:rPr>
          <w:rFonts w:hint="eastAsia" w:ascii="宋体" w:hAnsi="宋体"/>
          <w:szCs w:val="21"/>
          <w:highlight w:val="none"/>
          <w:lang w:val="en-US" w:eastAsia="zh-CN"/>
        </w:rPr>
        <w:t>3</w:t>
      </w:r>
      <w:r>
        <w:rPr>
          <w:rFonts w:ascii="宋体" w:hAnsi="宋体"/>
          <w:szCs w:val="21"/>
          <w:highlight w:val="none"/>
        </w:rPr>
        <w:t>年</w:t>
      </w:r>
      <w:r>
        <w:rPr>
          <w:rFonts w:hint="eastAsia" w:ascii="宋体" w:hAnsi="宋体"/>
          <w:szCs w:val="21"/>
          <w:highlight w:val="none"/>
          <w:lang w:val="en-US" w:eastAsia="zh-CN"/>
        </w:rPr>
        <w:t>1</w:t>
      </w:r>
      <w:r>
        <w:rPr>
          <w:rFonts w:ascii="宋体" w:hAnsi="宋体"/>
          <w:szCs w:val="21"/>
          <w:highlight w:val="none"/>
        </w:rPr>
        <w:t>月</w:t>
      </w:r>
      <w:r>
        <w:rPr>
          <w:rFonts w:hint="eastAsia" w:ascii="宋体" w:hAnsi="宋体"/>
          <w:szCs w:val="21"/>
          <w:highlight w:val="none"/>
          <w:lang w:val="en-US" w:eastAsia="zh-CN"/>
        </w:rPr>
        <w:t>17</w:t>
      </w:r>
      <w:r>
        <w:rPr>
          <w:rFonts w:ascii="宋体" w:hAnsi="宋体"/>
          <w:szCs w:val="21"/>
          <w:highlight w:val="none"/>
        </w:rPr>
        <w:t>日</w:t>
      </w:r>
      <w:r>
        <w:rPr>
          <w:rFonts w:hint="eastAsia" w:ascii="宋体" w:hAnsi="宋体" w:cs="宋体"/>
          <w:szCs w:val="21"/>
          <w:highlight w:val="none"/>
        </w:rPr>
        <w:t>上午</w:t>
      </w:r>
      <w:r>
        <w:rPr>
          <w:rFonts w:hint="eastAsia" w:ascii="宋体" w:hAnsi="宋体" w:cs="宋体"/>
          <w:szCs w:val="21"/>
          <w:highlight w:val="none"/>
          <w:lang w:val="en-US" w:eastAsia="zh-CN"/>
        </w:rPr>
        <w:t>0</w:t>
      </w:r>
      <w:r>
        <w:rPr>
          <w:rFonts w:hint="eastAsia" w:ascii="宋体" w:hAnsi="宋体" w:cs="宋体"/>
          <w:szCs w:val="21"/>
          <w:highlight w:val="none"/>
        </w:rPr>
        <w:t>9时30分之</w:t>
      </w:r>
      <w:r>
        <w:rPr>
          <w:rFonts w:hint="eastAsia" w:ascii="宋体" w:hAnsi="宋体" w:cs="宋体"/>
          <w:szCs w:val="21"/>
        </w:rPr>
        <w:t>前将电子投标文件上传到政采云平台。</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19.1.2地点：通过“政采云”平台在线提交</w:t>
      </w:r>
      <w:r>
        <w:rPr>
          <w:rFonts w:hint="eastAsia" w:ascii="宋体" w:hAnsi="宋体" w:cs="宋体"/>
          <w:szCs w:val="21"/>
          <w:lang w:eastAsia="zh-CN"/>
        </w:rPr>
        <w:t>，逾期递交的投标文件将予以拒收。投标文件递交成功后，投标人在必须在“政采云”平台自行下载投标回执。</w:t>
      </w:r>
    </w:p>
    <w:p>
      <w:pPr>
        <w:tabs>
          <w:tab w:val="left" w:pos="1305"/>
        </w:tabs>
        <w:spacing w:line="360" w:lineRule="auto"/>
        <w:ind w:firstLine="420" w:firstLineChars="200"/>
        <w:rPr>
          <w:rFonts w:ascii="宋体" w:hAnsi="宋体"/>
          <w:szCs w:val="21"/>
        </w:rPr>
      </w:pPr>
      <w:r>
        <w:rPr>
          <w:rFonts w:hint="eastAsia" w:ascii="宋体" w:hAnsi="宋体"/>
          <w:szCs w:val="21"/>
        </w:rPr>
        <w:t>19.</w:t>
      </w:r>
      <w:r>
        <w:rPr>
          <w:rFonts w:hint="eastAsia" w:ascii="宋体" w:hAnsi="宋体" w:cs="宋体"/>
          <w:szCs w:val="21"/>
        </w:rPr>
        <w:t>1.</w:t>
      </w:r>
      <w:r>
        <w:rPr>
          <w:rFonts w:hint="eastAsia" w:ascii="宋体" w:hAnsi="宋体"/>
          <w:szCs w:val="21"/>
        </w:rPr>
        <w:t>3除招标文件另有规定外，投标人所递交的电子投标文件不予退还。</w:t>
      </w:r>
    </w:p>
    <w:p>
      <w:pPr>
        <w:tabs>
          <w:tab w:val="left" w:pos="1305"/>
        </w:tabs>
        <w:spacing w:line="360" w:lineRule="auto"/>
        <w:ind w:firstLine="420" w:firstLineChars="200"/>
        <w:rPr>
          <w:rFonts w:ascii="宋体" w:hAnsi="宋体"/>
          <w:szCs w:val="21"/>
        </w:rPr>
      </w:pPr>
      <w:r>
        <w:rPr>
          <w:rFonts w:hint="eastAsia" w:ascii="宋体" w:hAnsi="宋体"/>
          <w:szCs w:val="21"/>
        </w:rPr>
        <w:t>19.</w:t>
      </w:r>
      <w:r>
        <w:rPr>
          <w:rFonts w:hint="eastAsia" w:ascii="宋体" w:hAnsi="宋体" w:cs="宋体"/>
          <w:szCs w:val="21"/>
        </w:rPr>
        <w:t>1.</w:t>
      </w:r>
      <w:r>
        <w:rPr>
          <w:rFonts w:hint="eastAsia" w:ascii="宋体" w:hAnsi="宋体"/>
          <w:szCs w:val="21"/>
        </w:rPr>
        <w:t>4如有特殊情况，采购代理机构延长截止时间和开标时间，采购代理机构和投标人的权利和义务将受到新的截止时间和开标时间的约束。</w:t>
      </w:r>
    </w:p>
    <w:p>
      <w:pPr>
        <w:spacing w:line="360" w:lineRule="auto"/>
        <w:ind w:firstLine="422" w:firstLineChars="200"/>
        <w:rPr>
          <w:rFonts w:ascii="宋体" w:hAnsi="宋体"/>
          <w:b/>
          <w:szCs w:val="21"/>
        </w:rPr>
      </w:pPr>
      <w:r>
        <w:rPr>
          <w:rFonts w:hint="eastAsia" w:ascii="宋体" w:hAnsi="宋体"/>
          <w:b/>
          <w:szCs w:val="21"/>
        </w:rPr>
        <w:t>19.2投标文件解密</w:t>
      </w:r>
    </w:p>
    <w:p>
      <w:pPr>
        <w:tabs>
          <w:tab w:val="left" w:pos="1305"/>
        </w:tabs>
        <w:spacing w:line="360" w:lineRule="auto"/>
        <w:ind w:firstLine="420" w:firstLineChars="200"/>
      </w:pPr>
      <w:r>
        <w:rPr>
          <w:rFonts w:hint="eastAsia" w:ascii="宋体" w:hAnsi="宋体"/>
          <w:bCs/>
        </w:rPr>
        <w:t>提交投标文件截止时间</w:t>
      </w:r>
      <w:r>
        <w:rPr>
          <w:rFonts w:hint="eastAsia" w:ascii="宋体" w:hAnsi="宋体" w:cs="宋体"/>
          <w:bCs/>
          <w:szCs w:val="21"/>
        </w:rPr>
        <w:t>后30分钟内</w:t>
      </w:r>
      <w:r>
        <w:rPr>
          <w:rFonts w:hint="eastAsia" w:ascii="宋体" w:hAnsi="宋体" w:cs="宋体"/>
          <w:bCs/>
          <w:szCs w:val="21"/>
          <w:highlight w:val="none"/>
        </w:rPr>
        <w:t>（</w:t>
      </w:r>
      <w:r>
        <w:rPr>
          <w:rFonts w:ascii="宋体" w:hAnsi="宋体"/>
          <w:szCs w:val="21"/>
          <w:highlight w:val="none"/>
        </w:rPr>
        <w:t>202</w:t>
      </w:r>
      <w:r>
        <w:rPr>
          <w:rFonts w:hint="eastAsia" w:ascii="宋体" w:hAnsi="宋体"/>
          <w:szCs w:val="21"/>
          <w:highlight w:val="none"/>
          <w:lang w:val="en-US" w:eastAsia="zh-CN"/>
        </w:rPr>
        <w:t>3</w:t>
      </w:r>
      <w:r>
        <w:rPr>
          <w:rFonts w:ascii="宋体" w:hAnsi="宋体"/>
          <w:szCs w:val="21"/>
          <w:highlight w:val="none"/>
        </w:rPr>
        <w:t>年</w:t>
      </w:r>
      <w:r>
        <w:rPr>
          <w:rFonts w:hint="eastAsia" w:ascii="宋体" w:hAnsi="宋体"/>
          <w:szCs w:val="21"/>
          <w:highlight w:val="none"/>
          <w:lang w:val="en-US" w:eastAsia="zh-CN"/>
        </w:rPr>
        <w:t>1</w:t>
      </w:r>
      <w:r>
        <w:rPr>
          <w:rFonts w:ascii="宋体" w:hAnsi="宋体"/>
          <w:szCs w:val="21"/>
          <w:highlight w:val="none"/>
        </w:rPr>
        <w:t>月</w:t>
      </w:r>
      <w:r>
        <w:rPr>
          <w:rFonts w:hint="eastAsia" w:ascii="宋体" w:hAnsi="宋体"/>
          <w:szCs w:val="21"/>
          <w:highlight w:val="none"/>
          <w:lang w:val="en-US" w:eastAsia="zh-CN"/>
        </w:rPr>
        <w:t>17</w:t>
      </w:r>
      <w:r>
        <w:rPr>
          <w:rFonts w:ascii="宋体" w:hAnsi="宋体"/>
          <w:szCs w:val="21"/>
          <w:highlight w:val="none"/>
        </w:rPr>
        <w:t>日</w:t>
      </w:r>
      <w:r>
        <w:rPr>
          <w:rFonts w:hint="eastAsia" w:ascii="宋体" w:hAnsi="宋体" w:cs="宋体"/>
          <w:bCs/>
          <w:szCs w:val="21"/>
          <w:highlight w:val="none"/>
        </w:rPr>
        <w:t>上午</w:t>
      </w:r>
      <w:r>
        <w:rPr>
          <w:rFonts w:hint="eastAsia" w:ascii="宋体" w:hAnsi="宋体" w:cs="宋体"/>
          <w:bCs/>
          <w:szCs w:val="21"/>
          <w:highlight w:val="none"/>
          <w:lang w:val="en-US" w:eastAsia="zh-CN"/>
        </w:rPr>
        <w:t>0</w:t>
      </w:r>
      <w:r>
        <w:rPr>
          <w:rFonts w:hint="eastAsia" w:ascii="宋体" w:hAnsi="宋体" w:cs="宋体"/>
          <w:bCs/>
          <w:szCs w:val="21"/>
          <w:highlight w:val="none"/>
        </w:rPr>
        <w:t>9时30至10时</w:t>
      </w:r>
      <w:r>
        <w:rPr>
          <w:rFonts w:hint="eastAsia" w:ascii="宋体" w:hAnsi="宋体" w:cs="宋体"/>
          <w:bCs/>
          <w:szCs w:val="21"/>
        </w:rPr>
        <w:t>00分)，投标人登录“政采云”平台，通过“项目采购-开标评标”功能解密电子投标文件。若投标人在上述规定时间内无法解密或解密失败，可以提交电子备份投标文件作为评审依据，在接到无法解密或解密失败的系统通知后，投标人可根据自身实际情况按系统通知要求的时间到达桂林市公共资源</w:t>
      </w:r>
      <w:r>
        <w:rPr>
          <w:rFonts w:hint="eastAsia" w:ascii="宋体" w:hAnsi="宋体" w:cs="宋体"/>
          <w:bCs/>
          <w:szCs w:val="21"/>
          <w:highlight w:val="none"/>
        </w:rPr>
        <w:t>交易中心</w:t>
      </w:r>
      <w:r>
        <w:rPr>
          <w:rFonts w:hint="eastAsia" w:ascii="宋体" w:hAnsi="宋体" w:cs="宋体"/>
          <w:b/>
          <w:bCs w:val="0"/>
          <w:szCs w:val="21"/>
          <w:highlight w:val="none"/>
          <w:u w:val="single"/>
          <w:lang w:val="en-US" w:eastAsia="zh-CN"/>
        </w:rPr>
        <w:t xml:space="preserve"> 10</w:t>
      </w:r>
      <w:r>
        <w:rPr>
          <w:rFonts w:hint="eastAsia" w:ascii="宋体" w:hAnsi="宋体" w:cs="宋体"/>
          <w:b/>
          <w:bCs w:val="0"/>
          <w:szCs w:val="21"/>
          <w:highlight w:val="none"/>
          <w:u w:val="single"/>
        </w:rPr>
        <w:t xml:space="preserve"> </w:t>
      </w:r>
      <w:r>
        <w:rPr>
          <w:rFonts w:hint="eastAsia" w:ascii="宋体" w:hAnsi="宋体" w:cs="宋体"/>
          <w:bCs/>
          <w:szCs w:val="21"/>
          <w:highlight w:val="none"/>
        </w:rPr>
        <w:t>号开标</w:t>
      </w:r>
      <w:r>
        <w:rPr>
          <w:rFonts w:hint="eastAsia" w:ascii="宋体" w:hAnsi="宋体" w:cs="宋体"/>
          <w:bCs/>
          <w:szCs w:val="21"/>
          <w:highlight w:val="none"/>
        </w:rPr>
        <w:t>室</w:t>
      </w:r>
      <w:r>
        <w:rPr>
          <w:rFonts w:hint="eastAsia" w:ascii="宋体" w:hAnsi="宋体"/>
          <w:szCs w:val="21"/>
          <w:highlight w:val="none"/>
        </w:rPr>
        <w:t>（广西</w:t>
      </w:r>
      <w:r>
        <w:rPr>
          <w:rFonts w:hint="eastAsia" w:ascii="宋体" w:hAnsi="宋体"/>
          <w:szCs w:val="21"/>
        </w:rPr>
        <w:t>桂林市临桂区西城中路69号创业大厦西辅楼4楼北区）</w:t>
      </w:r>
      <w:r>
        <w:rPr>
          <w:rFonts w:hint="eastAsia" w:ascii="宋体" w:hAnsi="宋体" w:cs="宋体"/>
          <w:bCs/>
          <w:szCs w:val="21"/>
        </w:rPr>
        <w:t>现场提交电子备份投标文件或</w:t>
      </w:r>
      <w:bookmarkStart w:id="38" w:name="_GoBack"/>
      <w:bookmarkEnd w:id="38"/>
      <w:r>
        <w:rPr>
          <w:rFonts w:hint="eastAsia" w:ascii="宋体" w:hAnsi="宋体" w:cs="宋体"/>
          <w:bCs/>
          <w:szCs w:val="21"/>
        </w:rPr>
        <w:t>以电子邮件（以通知时所告知的电子邮箱地址为准）的形式提交电子备份投标文件。若投标人在规定时间内无法解密或解密失败且未提供电子备份投标文件的(包含提供的电子备份文件无效或无法解密的情况)，投标文件按无效处理。</w:t>
      </w:r>
    </w:p>
    <w:p>
      <w:pPr>
        <w:pStyle w:val="31"/>
        <w:spacing w:line="360" w:lineRule="auto"/>
      </w:pPr>
    </w:p>
    <w:p>
      <w:pPr>
        <w:tabs>
          <w:tab w:val="left" w:pos="1305"/>
        </w:tabs>
        <w:spacing w:line="360" w:lineRule="auto"/>
        <w:jc w:val="center"/>
        <w:rPr>
          <w:rFonts w:ascii="宋体" w:hAnsi="宋体"/>
          <w:b/>
          <w:szCs w:val="21"/>
        </w:rPr>
      </w:pPr>
      <w:r>
        <w:rPr>
          <w:rFonts w:hint="eastAsia" w:ascii="宋体" w:hAnsi="宋体"/>
          <w:b/>
          <w:szCs w:val="21"/>
        </w:rPr>
        <w:t>四、开标</w:t>
      </w:r>
    </w:p>
    <w:p>
      <w:pPr>
        <w:tabs>
          <w:tab w:val="left" w:pos="1305"/>
        </w:tabs>
        <w:spacing w:line="360" w:lineRule="auto"/>
        <w:ind w:firstLine="422" w:firstLineChars="200"/>
        <w:rPr>
          <w:rFonts w:ascii="宋体" w:hAnsi="宋体" w:cs="宋体"/>
          <w:b/>
          <w:szCs w:val="21"/>
        </w:rPr>
      </w:pPr>
      <w:r>
        <w:rPr>
          <w:rFonts w:hint="eastAsia" w:ascii="宋体" w:hAnsi="宋体" w:cs="宋体"/>
          <w:b/>
          <w:szCs w:val="21"/>
        </w:rPr>
        <w:t>20、开标的时间和地点</w:t>
      </w:r>
    </w:p>
    <w:p>
      <w:pPr>
        <w:spacing w:line="360" w:lineRule="auto"/>
        <w:ind w:firstLine="420" w:firstLineChars="200"/>
        <w:rPr>
          <w:rFonts w:ascii="宋体" w:hAnsi="宋体"/>
          <w:szCs w:val="21"/>
        </w:rPr>
      </w:pPr>
      <w:r>
        <w:rPr>
          <w:rFonts w:hint="eastAsia" w:ascii="宋体" w:hAnsi="宋体"/>
          <w:szCs w:val="21"/>
        </w:rPr>
        <w:t>20.1开标时间及地点：</w:t>
      </w:r>
    </w:p>
    <w:p>
      <w:pPr>
        <w:spacing w:line="360" w:lineRule="auto"/>
        <w:ind w:firstLine="420" w:firstLineChars="200"/>
        <w:rPr>
          <w:rFonts w:ascii="宋体" w:hAnsi="宋体"/>
          <w:szCs w:val="21"/>
          <w:u w:val="single"/>
        </w:rPr>
      </w:pPr>
      <w:r>
        <w:rPr>
          <w:rFonts w:hint="eastAsia" w:ascii="宋体" w:hAnsi="宋体"/>
          <w:szCs w:val="21"/>
        </w:rPr>
        <w:t>（1）开标时间</w:t>
      </w:r>
      <w:r>
        <w:rPr>
          <w:rFonts w:hint="eastAsia" w:ascii="宋体" w:hAnsi="宋体"/>
          <w:szCs w:val="21"/>
          <w:highlight w:val="none"/>
        </w:rPr>
        <w:t>：</w:t>
      </w:r>
      <w:r>
        <w:rPr>
          <w:rFonts w:ascii="宋体" w:hAnsi="宋体"/>
          <w:szCs w:val="21"/>
          <w:highlight w:val="none"/>
        </w:rPr>
        <w:t>202</w:t>
      </w:r>
      <w:r>
        <w:rPr>
          <w:rFonts w:hint="eastAsia" w:ascii="宋体" w:hAnsi="宋体"/>
          <w:szCs w:val="21"/>
          <w:highlight w:val="none"/>
          <w:lang w:val="en-US" w:eastAsia="zh-CN"/>
        </w:rPr>
        <w:t>3</w:t>
      </w:r>
      <w:r>
        <w:rPr>
          <w:rFonts w:ascii="宋体" w:hAnsi="宋体"/>
          <w:szCs w:val="21"/>
          <w:highlight w:val="none"/>
        </w:rPr>
        <w:t>年</w:t>
      </w:r>
      <w:r>
        <w:rPr>
          <w:rFonts w:hint="eastAsia" w:ascii="宋体" w:hAnsi="宋体"/>
          <w:szCs w:val="21"/>
          <w:highlight w:val="none"/>
          <w:lang w:val="en-US" w:eastAsia="zh-CN"/>
        </w:rPr>
        <w:t>1</w:t>
      </w:r>
      <w:r>
        <w:rPr>
          <w:rFonts w:ascii="宋体" w:hAnsi="宋体"/>
          <w:szCs w:val="21"/>
          <w:highlight w:val="none"/>
        </w:rPr>
        <w:t>月</w:t>
      </w:r>
      <w:r>
        <w:rPr>
          <w:rFonts w:hint="eastAsia" w:ascii="宋体" w:hAnsi="宋体"/>
          <w:szCs w:val="21"/>
          <w:highlight w:val="none"/>
          <w:lang w:val="en-US" w:eastAsia="zh-CN"/>
        </w:rPr>
        <w:t>17</w:t>
      </w:r>
      <w:r>
        <w:rPr>
          <w:rFonts w:ascii="宋体" w:hAnsi="宋体"/>
          <w:szCs w:val="21"/>
          <w:highlight w:val="none"/>
        </w:rPr>
        <w:t>日</w:t>
      </w:r>
      <w:r>
        <w:rPr>
          <w:rFonts w:hint="eastAsia" w:ascii="宋体" w:hAnsi="宋体"/>
          <w:szCs w:val="21"/>
          <w:highlight w:val="none"/>
        </w:rPr>
        <w:t>上午</w:t>
      </w:r>
      <w:r>
        <w:rPr>
          <w:rFonts w:hint="eastAsia" w:ascii="宋体" w:hAnsi="宋体"/>
          <w:szCs w:val="21"/>
          <w:highlight w:val="none"/>
          <w:lang w:val="en-US" w:eastAsia="zh-CN"/>
        </w:rPr>
        <w:t>0</w:t>
      </w:r>
      <w:r>
        <w:rPr>
          <w:rFonts w:hint="eastAsia" w:ascii="宋体" w:hAnsi="宋体"/>
          <w:szCs w:val="21"/>
          <w:highlight w:val="none"/>
        </w:rPr>
        <w:t>9时30分（</w:t>
      </w:r>
      <w:r>
        <w:rPr>
          <w:rFonts w:hint="eastAsia" w:ascii="宋体" w:hAnsi="宋体"/>
          <w:szCs w:val="21"/>
        </w:rPr>
        <w:t>北京时间）；</w:t>
      </w:r>
    </w:p>
    <w:p>
      <w:pPr>
        <w:spacing w:line="360" w:lineRule="auto"/>
        <w:rPr>
          <w:rFonts w:ascii="宋体" w:hAnsi="宋体"/>
          <w:szCs w:val="21"/>
        </w:rPr>
      </w:pPr>
      <w:r>
        <w:rPr>
          <w:rFonts w:hint="eastAsia" w:ascii="宋体" w:hAnsi="宋体"/>
          <w:szCs w:val="21"/>
        </w:rPr>
        <w:t xml:space="preserve">    （2）开标地点：</w:t>
      </w:r>
      <w:r>
        <w:rPr>
          <w:rFonts w:hint="eastAsia"/>
        </w:rPr>
        <w:t>通过“政采云”平台在线解密开启</w:t>
      </w:r>
      <w:r>
        <w:rPr>
          <w:rFonts w:hint="eastAsia" w:ascii="宋体" w:hAnsi="宋体"/>
          <w:szCs w:val="21"/>
        </w:rPr>
        <w:t>。</w:t>
      </w:r>
    </w:p>
    <w:p>
      <w:pPr>
        <w:tabs>
          <w:tab w:val="left" w:pos="1305"/>
        </w:tabs>
        <w:spacing w:line="360" w:lineRule="auto"/>
        <w:ind w:firstLine="420" w:firstLineChars="200"/>
        <w:rPr>
          <w:rFonts w:ascii="宋体" w:hAnsi="宋体"/>
          <w:szCs w:val="21"/>
        </w:rPr>
      </w:pPr>
      <w:r>
        <w:rPr>
          <w:rFonts w:hint="eastAsia" w:ascii="宋体" w:hAnsi="宋体"/>
          <w:szCs w:val="21"/>
        </w:rPr>
        <w:t>20.2投标人不足3家的，不得开标，采购人或者采购代理机构应当重新组织采购。</w:t>
      </w:r>
    </w:p>
    <w:p>
      <w:pPr>
        <w:tabs>
          <w:tab w:val="left" w:pos="1305"/>
        </w:tabs>
        <w:spacing w:line="360" w:lineRule="auto"/>
        <w:ind w:firstLine="422" w:firstLineChars="200"/>
        <w:rPr>
          <w:rFonts w:ascii="宋体" w:hAnsi="宋体"/>
          <w:b/>
          <w:szCs w:val="21"/>
        </w:rPr>
      </w:pPr>
      <w:r>
        <w:rPr>
          <w:rFonts w:hint="eastAsia" w:ascii="宋体" w:hAnsi="宋体"/>
          <w:b/>
          <w:szCs w:val="21"/>
        </w:rPr>
        <w:t>21. 开标准备及开标程序</w:t>
      </w:r>
    </w:p>
    <w:p>
      <w:pPr>
        <w:tabs>
          <w:tab w:val="left" w:pos="1305"/>
        </w:tabs>
        <w:spacing w:line="360" w:lineRule="auto"/>
        <w:ind w:firstLine="422" w:firstLineChars="200"/>
        <w:rPr>
          <w:rFonts w:ascii="宋体" w:hAnsi="宋体"/>
          <w:b/>
          <w:szCs w:val="21"/>
        </w:rPr>
      </w:pPr>
      <w:r>
        <w:rPr>
          <w:rFonts w:hint="eastAsia" w:ascii="宋体" w:hAnsi="宋体"/>
          <w:b/>
          <w:szCs w:val="21"/>
        </w:rPr>
        <w:t>21.1开标准备</w:t>
      </w:r>
    </w:p>
    <w:p>
      <w:pPr>
        <w:spacing w:line="360" w:lineRule="auto"/>
        <w:ind w:firstLine="420" w:firstLineChars="200"/>
        <w:rPr>
          <w:rFonts w:ascii="宋体" w:hAnsi="宋体"/>
          <w:szCs w:val="21"/>
        </w:rPr>
      </w:pPr>
      <w:r>
        <w:rPr>
          <w:rFonts w:hint="eastAsia" w:ascii="宋体" w:hAnsi="宋体"/>
          <w:szCs w:val="21"/>
        </w:rPr>
        <w:t>21.1.1开标的准备工作由采购代理机构负责落实；</w:t>
      </w:r>
    </w:p>
    <w:p>
      <w:pPr>
        <w:spacing w:line="360" w:lineRule="auto"/>
        <w:ind w:firstLine="420" w:firstLineChars="200"/>
        <w:rPr>
          <w:rFonts w:ascii="宋体" w:hAnsi="宋体"/>
          <w:szCs w:val="21"/>
        </w:rPr>
      </w:pPr>
      <w:r>
        <w:rPr>
          <w:rFonts w:hint="eastAsia" w:ascii="宋体" w:hAnsi="宋体"/>
          <w:szCs w:val="21"/>
        </w:rPr>
        <w:t>21.1.2采购代理机构将按照招标文件规定的时间通过“政府采购云平台”组织开标、开启投标文件，所有投标人均应当准时在线参加。投标人如不参加开标会的，视同认可开标结果，事后不得对采购相关人员、开标过程和开标结果提出异议，同时投标人因未在线参加开标而导致投标文件无法按时解密等一切后果由投标人自己承担。</w:t>
      </w:r>
    </w:p>
    <w:p>
      <w:pPr>
        <w:tabs>
          <w:tab w:val="left" w:pos="1305"/>
        </w:tabs>
        <w:spacing w:line="360" w:lineRule="auto"/>
        <w:ind w:firstLine="422" w:firstLineChars="200"/>
        <w:rPr>
          <w:rFonts w:ascii="宋体" w:hAnsi="宋体"/>
          <w:b/>
          <w:szCs w:val="21"/>
        </w:rPr>
      </w:pPr>
      <w:r>
        <w:rPr>
          <w:rFonts w:hint="eastAsia" w:ascii="宋体" w:hAnsi="宋体"/>
          <w:b/>
          <w:szCs w:val="21"/>
        </w:rPr>
        <w:t>21.2开标程序</w:t>
      </w:r>
    </w:p>
    <w:p>
      <w:pPr>
        <w:spacing w:line="360" w:lineRule="auto"/>
        <w:ind w:firstLine="420" w:firstLineChars="200"/>
        <w:rPr>
          <w:rFonts w:ascii="宋体" w:hAnsi="宋体"/>
          <w:szCs w:val="21"/>
        </w:rPr>
      </w:pPr>
      <w:r>
        <w:rPr>
          <w:rFonts w:hint="eastAsia" w:ascii="宋体" w:hAnsi="宋体"/>
          <w:szCs w:val="21"/>
        </w:rPr>
        <w:t>21.2.1系统向各投标人发出电子加密投标文件【开始解密】通知，由投标人按招标文件规定的时间内自行进行投标文件解密。投标人在规定的时间内无法完成已递交的“电子加密投标文件”解密，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 30 分钟。</w:t>
      </w:r>
    </w:p>
    <w:p>
      <w:pPr>
        <w:spacing w:line="360" w:lineRule="auto"/>
        <w:ind w:firstLine="420" w:firstLineChars="200"/>
        <w:rPr>
          <w:rFonts w:ascii="宋体" w:hAnsi="宋体"/>
          <w:szCs w:val="21"/>
        </w:rPr>
      </w:pPr>
      <w:r>
        <w:rPr>
          <w:rFonts w:hint="eastAsia" w:ascii="宋体" w:hAnsi="宋体"/>
          <w:szCs w:val="21"/>
        </w:rPr>
        <w:t>21.2.2投标文件解密结束后，开标活动组织人员在线开启投标文件。</w:t>
      </w:r>
    </w:p>
    <w:p>
      <w:pPr>
        <w:spacing w:line="360" w:lineRule="auto"/>
        <w:ind w:firstLine="420" w:firstLineChars="200"/>
        <w:rPr>
          <w:rFonts w:ascii="宋体" w:hAnsi="宋体"/>
          <w:szCs w:val="21"/>
        </w:rPr>
      </w:pPr>
      <w:r>
        <w:rPr>
          <w:rFonts w:hint="eastAsia" w:ascii="宋体" w:hAnsi="宋体"/>
          <w:szCs w:val="21"/>
        </w:rPr>
        <w:t>21.2.3开启投标人报价文件，电子开标大厅记录显示并记录投标人投标报价表的投标报价、折扣等。</w:t>
      </w:r>
    </w:p>
    <w:p>
      <w:pPr>
        <w:spacing w:line="360" w:lineRule="auto"/>
        <w:ind w:firstLine="420" w:firstLineChars="200"/>
        <w:rPr>
          <w:rFonts w:ascii="宋体" w:hAnsi="宋体"/>
          <w:szCs w:val="21"/>
        </w:rPr>
      </w:pPr>
      <w:r>
        <w:rPr>
          <w:rFonts w:hint="eastAsia" w:ascii="宋体" w:hAnsi="宋体"/>
          <w:szCs w:val="21"/>
        </w:rPr>
        <w:t>21.2.4开标结束后，投标人线上确认投标报价。</w:t>
      </w:r>
    </w:p>
    <w:p>
      <w:pPr>
        <w:spacing w:line="360" w:lineRule="auto"/>
        <w:ind w:firstLine="420" w:firstLineChars="200"/>
        <w:rPr>
          <w:rFonts w:ascii="宋体" w:hAnsi="宋体"/>
          <w:szCs w:val="21"/>
        </w:rPr>
      </w:pPr>
      <w:r>
        <w:rPr>
          <w:rFonts w:hint="eastAsia" w:ascii="宋体" w:hAnsi="宋体"/>
          <w:szCs w:val="21"/>
        </w:rPr>
        <w:t>21.2.5如发现开标结果与所提交的投标文件不一致的，由评标委员会根据投标文件内容进行修正。</w:t>
      </w:r>
    </w:p>
    <w:p>
      <w:pPr>
        <w:spacing w:line="360" w:lineRule="auto"/>
        <w:ind w:firstLine="420" w:firstLineChars="200"/>
        <w:rPr>
          <w:rFonts w:ascii="宋体" w:hAnsi="宋体"/>
          <w:szCs w:val="21"/>
        </w:rPr>
      </w:pPr>
      <w:r>
        <w:rPr>
          <w:rFonts w:hint="eastAsia" w:ascii="宋体" w:hAnsi="宋体"/>
          <w:szCs w:val="21"/>
        </w:rPr>
        <w:t>21.2.6</w:t>
      </w:r>
      <w:r>
        <w:rPr>
          <w:rFonts w:ascii="宋体" w:hAnsi="宋体"/>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ind w:firstLine="422" w:firstLineChars="200"/>
      </w:pPr>
      <w:r>
        <w:rPr>
          <w:rFonts w:hint="eastAsia" w:ascii="宋体" w:hAnsi="宋体"/>
          <w:b/>
          <w:szCs w:val="21"/>
        </w:rPr>
        <w:t>特别说明：如遇“政府采购云平台”电子化开标或评审程序调整的，按调整后程序执行。</w:t>
      </w:r>
    </w:p>
    <w:p>
      <w:pPr>
        <w:jc w:val="center"/>
        <w:rPr>
          <w:rFonts w:hint="eastAsia" w:ascii="宋体" w:hAnsi="宋体"/>
          <w:b/>
          <w:szCs w:val="21"/>
        </w:rPr>
      </w:pPr>
    </w:p>
    <w:p>
      <w:pPr>
        <w:jc w:val="center"/>
        <w:rPr>
          <w:rFonts w:ascii="宋体" w:hAnsi="宋体"/>
          <w:b/>
          <w:szCs w:val="21"/>
        </w:rPr>
      </w:pPr>
      <w:r>
        <w:rPr>
          <w:rFonts w:hint="eastAsia" w:ascii="宋体" w:hAnsi="宋体"/>
          <w:b/>
          <w:szCs w:val="21"/>
        </w:rPr>
        <w:t>五、资格性审查</w:t>
      </w:r>
    </w:p>
    <w:p>
      <w:pPr>
        <w:tabs>
          <w:tab w:val="center" w:pos="4411"/>
          <w:tab w:val="left" w:pos="5475"/>
        </w:tabs>
        <w:spacing w:line="360" w:lineRule="auto"/>
        <w:ind w:firstLine="422" w:firstLineChars="200"/>
        <w:jc w:val="left"/>
        <w:rPr>
          <w:rFonts w:ascii="宋体" w:hAnsi="宋体" w:cs="宋体"/>
          <w:b/>
          <w:szCs w:val="21"/>
        </w:rPr>
      </w:pPr>
      <w:r>
        <w:rPr>
          <w:rFonts w:hint="eastAsia" w:ascii="宋体" w:hAnsi="宋体" w:cs="宋体"/>
          <w:b/>
          <w:szCs w:val="21"/>
        </w:rPr>
        <w:t xml:space="preserve">22. 资格性审查 </w:t>
      </w:r>
    </w:p>
    <w:p>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 xml:space="preserve">22.1 公开招标采购项目开标结束后，采购人或者采购代理机构应当依法对投标人的资格进行审查。 </w:t>
      </w:r>
    </w:p>
    <w:p>
      <w:pPr>
        <w:widowControl/>
        <w:spacing w:line="360" w:lineRule="auto"/>
        <w:jc w:val="left"/>
        <w:rPr>
          <w:rFonts w:ascii="宋体" w:hAnsi="宋体" w:cs="宋体"/>
          <w:szCs w:val="21"/>
        </w:rPr>
      </w:pPr>
      <w:r>
        <w:rPr>
          <w:rFonts w:hint="eastAsia" w:ascii="宋体" w:hAnsi="宋体" w:cs="宋体"/>
          <w:kern w:val="0"/>
          <w:szCs w:val="21"/>
          <w:lang w:bidi="ar"/>
        </w:rPr>
        <w:t xml:space="preserve">投标人不足 3 家的，不得评标。 </w:t>
      </w:r>
    </w:p>
    <w:p>
      <w:pPr>
        <w:widowControl/>
        <w:spacing w:line="360" w:lineRule="auto"/>
        <w:ind w:firstLine="422" w:firstLineChars="200"/>
        <w:jc w:val="left"/>
        <w:rPr>
          <w:rFonts w:ascii="宋体" w:hAnsi="宋体" w:cs="宋体"/>
          <w:szCs w:val="21"/>
        </w:rPr>
      </w:pPr>
      <w:r>
        <w:rPr>
          <w:rFonts w:hint="eastAsia" w:ascii="宋体" w:hAnsi="宋体" w:cs="宋体"/>
          <w:b/>
          <w:kern w:val="0"/>
          <w:szCs w:val="21"/>
          <w:lang w:bidi="ar"/>
        </w:rPr>
        <w:t xml:space="preserve">22.2 采购人或者采购代理机构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 </w:t>
      </w:r>
    </w:p>
    <w:p>
      <w:pPr>
        <w:widowControl/>
        <w:spacing w:line="360" w:lineRule="auto"/>
        <w:jc w:val="left"/>
        <w:rPr>
          <w:rFonts w:ascii="宋体" w:hAnsi="宋体" w:cs="宋体"/>
          <w:szCs w:val="21"/>
        </w:rPr>
      </w:pPr>
      <w:r>
        <w:rPr>
          <w:rFonts w:hint="eastAsia" w:ascii="宋体" w:hAnsi="宋体" w:cs="宋体"/>
          <w:kern w:val="0"/>
          <w:szCs w:val="21"/>
          <w:lang w:bidi="ar"/>
        </w:rPr>
        <w:t xml:space="preserve">查询渠道：《国家企业信用信息公示系统》（网址：http://www.gsxt.gov.cn/index.html） </w:t>
      </w:r>
    </w:p>
    <w:p>
      <w:pPr>
        <w:widowControl/>
        <w:spacing w:line="360" w:lineRule="auto"/>
        <w:jc w:val="left"/>
        <w:rPr>
          <w:rFonts w:ascii="宋体" w:hAnsi="宋体" w:cs="宋体"/>
          <w:szCs w:val="21"/>
        </w:rPr>
      </w:pPr>
      <w:r>
        <w:rPr>
          <w:rFonts w:hint="eastAsia" w:ascii="宋体" w:hAnsi="宋体" w:cs="宋体"/>
          <w:kern w:val="0"/>
          <w:szCs w:val="21"/>
          <w:lang w:bidi="ar"/>
        </w:rPr>
        <w:t xml:space="preserve">审查流程： </w:t>
      </w:r>
    </w:p>
    <w:p>
      <w:pPr>
        <w:widowControl/>
        <w:spacing w:line="360" w:lineRule="auto"/>
        <w:jc w:val="left"/>
        <w:rPr>
          <w:rFonts w:ascii="宋体" w:hAnsi="宋体" w:cs="宋体"/>
          <w:szCs w:val="21"/>
        </w:rPr>
      </w:pPr>
      <w:r>
        <w:rPr>
          <w:rFonts w:hint="eastAsia" w:ascii="宋体" w:hAnsi="宋体" w:cs="宋体"/>
          <w:kern w:val="0"/>
          <w:szCs w:val="21"/>
          <w:lang w:bidi="ar"/>
        </w:rPr>
        <w:t xml:space="preserve">（1）进入《国家企业信用信息公示系统》（网址：http://www.gsxt.gov.cn/index.html），输入企业名称，进入企业信息主页面； </w:t>
      </w:r>
    </w:p>
    <w:p>
      <w:pPr>
        <w:widowControl/>
        <w:spacing w:line="360" w:lineRule="auto"/>
        <w:jc w:val="left"/>
        <w:rPr>
          <w:rFonts w:ascii="宋体" w:hAnsi="宋体" w:cs="宋体"/>
          <w:szCs w:val="21"/>
        </w:rPr>
      </w:pPr>
      <w:r>
        <w:rPr>
          <w:rFonts w:hint="eastAsia" w:ascii="宋体" w:hAnsi="宋体" w:cs="宋体"/>
          <w:kern w:val="0"/>
          <w:szCs w:val="21"/>
          <w:lang w:bidi="ar"/>
        </w:rPr>
        <w:t xml:space="preserve">（2）查看主页“股东及出资信息”栏，或年报中的“股东及出资信息”栏信息； </w:t>
      </w:r>
    </w:p>
    <w:p>
      <w:pPr>
        <w:widowControl/>
        <w:spacing w:line="360" w:lineRule="auto"/>
        <w:jc w:val="left"/>
        <w:rPr>
          <w:rFonts w:ascii="宋体" w:hAnsi="宋体" w:cs="宋体"/>
          <w:szCs w:val="21"/>
        </w:rPr>
      </w:pPr>
      <w:r>
        <w:rPr>
          <w:rFonts w:hint="eastAsia" w:ascii="宋体" w:hAnsi="宋体" w:cs="宋体"/>
          <w:kern w:val="0"/>
          <w:szCs w:val="21"/>
          <w:lang w:bidi="ar"/>
        </w:rPr>
        <w:t xml:space="preserve">（3）将各投标人的股东及出资信息进行比对，得出审查结论； </w:t>
      </w:r>
    </w:p>
    <w:p>
      <w:pPr>
        <w:widowControl/>
        <w:spacing w:line="360" w:lineRule="auto"/>
        <w:jc w:val="left"/>
        <w:rPr>
          <w:rFonts w:ascii="宋体" w:hAnsi="宋体" w:cs="宋体"/>
          <w:kern w:val="0"/>
          <w:szCs w:val="21"/>
          <w:lang w:bidi="ar"/>
        </w:rPr>
      </w:pPr>
      <w:r>
        <w:rPr>
          <w:rFonts w:hint="eastAsia" w:ascii="宋体" w:hAnsi="宋体" w:cs="宋体"/>
          <w:kern w:val="0"/>
          <w:szCs w:val="21"/>
          <w:lang w:bidi="ar"/>
        </w:rPr>
        <w:t xml:space="preserve">（4）将相关资料作为评审资料打印存档。 </w:t>
      </w:r>
    </w:p>
    <w:p>
      <w:pPr>
        <w:pStyle w:val="9"/>
        <w:spacing w:line="360" w:lineRule="auto"/>
        <w:rPr>
          <w:rFonts w:hint="eastAsia" w:ascii="宋体" w:hAnsi="宋体"/>
          <w:b/>
          <w:sz w:val="21"/>
          <w:szCs w:val="21"/>
        </w:rPr>
      </w:pPr>
      <w:r>
        <w:rPr>
          <w:rFonts w:hint="eastAsia" w:ascii="宋体" w:hAnsi="宋体"/>
          <w:b/>
          <w:sz w:val="21"/>
          <w:szCs w:val="21"/>
        </w:rPr>
        <w:t>注：以上审查过程中，如出现查询企业网页主页面无法显示股东及出资信息的或仅以主页面信息内容无法认定投标人之间存在单位负责人为同一人或者存在直接控股、管理关系的，当时审查程序可继续进行，待评审结束后将对以上投标人作进一步核实确认，如确认投标人之间存在有上述关联供应商情形的，关联供应商均按投标无效处理。</w:t>
      </w:r>
    </w:p>
    <w:p/>
    <w:p>
      <w:pPr>
        <w:tabs>
          <w:tab w:val="center" w:pos="4411"/>
          <w:tab w:val="left" w:pos="5475"/>
        </w:tabs>
        <w:spacing w:line="360" w:lineRule="auto"/>
        <w:jc w:val="center"/>
        <w:rPr>
          <w:rFonts w:ascii="宋体" w:hAnsi="宋体"/>
          <w:b/>
          <w:szCs w:val="21"/>
        </w:rPr>
      </w:pPr>
      <w:r>
        <w:rPr>
          <w:rFonts w:hint="eastAsia" w:ascii="宋体" w:hAnsi="宋体"/>
          <w:b/>
          <w:szCs w:val="21"/>
        </w:rPr>
        <w:t>六、评标</w:t>
      </w:r>
    </w:p>
    <w:p>
      <w:pPr>
        <w:tabs>
          <w:tab w:val="center" w:pos="4411"/>
          <w:tab w:val="left" w:pos="5475"/>
        </w:tabs>
        <w:spacing w:line="360" w:lineRule="auto"/>
        <w:ind w:firstLine="422" w:firstLineChars="200"/>
        <w:jc w:val="left"/>
        <w:rPr>
          <w:rFonts w:ascii="宋体" w:hAnsi="宋体"/>
          <w:b/>
          <w:szCs w:val="21"/>
        </w:rPr>
      </w:pPr>
      <w:r>
        <w:rPr>
          <w:rFonts w:hint="eastAsia" w:ascii="宋体" w:hAnsi="宋体"/>
          <w:b/>
          <w:szCs w:val="21"/>
        </w:rPr>
        <w:t>23. 评标委员会组成</w:t>
      </w:r>
    </w:p>
    <w:p>
      <w:pPr>
        <w:spacing w:line="360" w:lineRule="auto"/>
        <w:ind w:firstLine="420" w:firstLineChars="200"/>
        <w:rPr>
          <w:rFonts w:ascii="宋体" w:hAnsi="宋体"/>
          <w:szCs w:val="21"/>
        </w:rPr>
      </w:pPr>
      <w:r>
        <w:rPr>
          <w:rFonts w:hint="eastAsia" w:ascii="宋体" w:hAnsi="宋体"/>
          <w:szCs w:val="21"/>
        </w:rPr>
        <w:t>评标工作由采购代理机构负责组织，具体评标工作由依法组建的评标委员会负责，评标委员会由采购人代表和有关技术、经济等方面的专家5人组成，其中采购人代表</w:t>
      </w:r>
      <w:r>
        <w:rPr>
          <w:rFonts w:hint="eastAsia" w:ascii="宋体" w:hAnsi="宋体"/>
          <w:szCs w:val="21"/>
          <w:u w:val="single"/>
        </w:rPr>
        <w:t xml:space="preserve"> 1 </w:t>
      </w:r>
      <w:r>
        <w:rPr>
          <w:rFonts w:hint="eastAsia" w:ascii="宋体" w:hAnsi="宋体"/>
          <w:szCs w:val="21"/>
        </w:rPr>
        <w:t>人，技术专家</w:t>
      </w:r>
      <w:r>
        <w:rPr>
          <w:rFonts w:hint="eastAsia" w:ascii="宋体" w:hAnsi="宋体"/>
          <w:szCs w:val="21"/>
          <w:u w:val="single"/>
        </w:rPr>
        <w:t xml:space="preserve"> 3</w:t>
      </w:r>
      <w:r>
        <w:rPr>
          <w:rFonts w:hint="eastAsia" w:ascii="宋体" w:hAnsi="宋体"/>
          <w:szCs w:val="21"/>
        </w:rPr>
        <w:t xml:space="preserve">人，经济专家 </w:t>
      </w:r>
      <w:r>
        <w:rPr>
          <w:rFonts w:hint="eastAsia" w:ascii="宋体" w:hAnsi="宋体"/>
          <w:szCs w:val="21"/>
          <w:u w:val="single"/>
        </w:rPr>
        <w:t>1</w:t>
      </w:r>
      <w:r>
        <w:rPr>
          <w:rFonts w:hint="eastAsia" w:ascii="宋体" w:hAnsi="宋体"/>
          <w:szCs w:val="21"/>
        </w:rPr>
        <w:t xml:space="preserve">人。 </w:t>
      </w:r>
    </w:p>
    <w:p>
      <w:pPr>
        <w:tabs>
          <w:tab w:val="left" w:pos="1140"/>
        </w:tabs>
        <w:spacing w:line="360" w:lineRule="auto"/>
        <w:ind w:left="420" w:leftChars="172" w:hanging="59" w:hangingChars="28"/>
        <w:rPr>
          <w:rFonts w:ascii="宋体" w:hAnsi="宋体"/>
          <w:b/>
          <w:szCs w:val="21"/>
        </w:rPr>
      </w:pPr>
      <w:r>
        <w:rPr>
          <w:rFonts w:hint="eastAsia" w:ascii="宋体" w:hAnsi="宋体"/>
          <w:b/>
          <w:szCs w:val="21"/>
        </w:rPr>
        <w:t>24. 评标原则和评标办法</w:t>
      </w:r>
    </w:p>
    <w:p>
      <w:pPr>
        <w:tabs>
          <w:tab w:val="left" w:pos="1140"/>
        </w:tabs>
        <w:spacing w:line="360" w:lineRule="auto"/>
        <w:ind w:firstLine="420" w:firstLineChars="200"/>
        <w:rPr>
          <w:rFonts w:ascii="宋体" w:hAnsi="宋体"/>
          <w:szCs w:val="21"/>
        </w:rPr>
      </w:pPr>
      <w:r>
        <w:rPr>
          <w:rFonts w:hint="eastAsia" w:ascii="宋体" w:hAnsi="宋体"/>
          <w:szCs w:val="21"/>
        </w:rPr>
        <w:t>24.1评标委员会必须坚持公平、公正、科学和择优的原则。</w:t>
      </w:r>
    </w:p>
    <w:p>
      <w:pPr>
        <w:tabs>
          <w:tab w:val="left" w:pos="1140"/>
        </w:tabs>
        <w:spacing w:line="360" w:lineRule="auto"/>
        <w:ind w:firstLine="420" w:firstLineChars="200"/>
        <w:rPr>
          <w:rFonts w:ascii="宋体" w:hAnsi="宋体"/>
          <w:szCs w:val="21"/>
        </w:rPr>
      </w:pPr>
      <w:r>
        <w:rPr>
          <w:rFonts w:hint="eastAsia" w:ascii="宋体" w:hAnsi="宋体"/>
          <w:szCs w:val="21"/>
        </w:rPr>
        <w:t>24.2评标办法：</w:t>
      </w:r>
      <w:r>
        <w:rPr>
          <w:rFonts w:hint="eastAsia" w:ascii="宋体" w:hAnsi="宋体"/>
          <w:szCs w:val="21"/>
          <w:u w:val="single"/>
        </w:rPr>
        <w:t>综合评分法</w:t>
      </w:r>
      <w:r>
        <w:rPr>
          <w:rFonts w:hint="eastAsia" w:ascii="宋体" w:hAnsi="宋体"/>
          <w:szCs w:val="21"/>
        </w:rPr>
        <w:t>，具体评标内容及标准详见第四章：评标办法。</w:t>
      </w:r>
    </w:p>
    <w:p>
      <w:pPr>
        <w:tabs>
          <w:tab w:val="left" w:pos="1140"/>
        </w:tabs>
        <w:spacing w:line="360" w:lineRule="auto"/>
        <w:ind w:firstLine="420" w:firstLineChars="200"/>
        <w:rPr>
          <w:rFonts w:ascii="宋体" w:hAnsi="宋体"/>
          <w:szCs w:val="21"/>
        </w:rPr>
      </w:pPr>
      <w:r>
        <w:rPr>
          <w:rFonts w:hint="eastAsia" w:ascii="宋体" w:hAnsi="宋体"/>
          <w:szCs w:val="21"/>
        </w:rPr>
        <w:t>24.3评标委员会应按招标文件进行评标，不得擅自更改评标办法。</w:t>
      </w:r>
    </w:p>
    <w:p>
      <w:pPr>
        <w:tabs>
          <w:tab w:val="left" w:pos="1140"/>
        </w:tabs>
        <w:spacing w:line="360" w:lineRule="auto"/>
        <w:ind w:firstLine="420" w:firstLineChars="200"/>
        <w:rPr>
          <w:rFonts w:ascii="宋体" w:hAnsi="宋体"/>
          <w:szCs w:val="21"/>
        </w:rPr>
      </w:pPr>
      <w:r>
        <w:rPr>
          <w:rFonts w:hint="eastAsia" w:ascii="宋体" w:hAnsi="宋体"/>
          <w:szCs w:val="21"/>
        </w:rPr>
        <w:t>24.4在评标过程中，评标委员会任何人不得对某个投标人发表任何倾向性意见，不得向其他专家评委明示或者暗示自己的评审意见。</w:t>
      </w:r>
    </w:p>
    <w:p>
      <w:pPr>
        <w:tabs>
          <w:tab w:val="left" w:pos="1140"/>
        </w:tabs>
        <w:spacing w:line="360" w:lineRule="auto"/>
        <w:ind w:firstLine="420" w:firstLineChars="200"/>
        <w:rPr>
          <w:rFonts w:ascii="宋体" w:hAnsi="宋体"/>
          <w:szCs w:val="21"/>
        </w:rPr>
      </w:pPr>
      <w:r>
        <w:rPr>
          <w:rFonts w:hint="eastAsia" w:ascii="宋体" w:hAnsi="宋体"/>
          <w:szCs w:val="21"/>
        </w:rPr>
        <w:t>24.5 评标委员会成员对需要共同认定的事项存在争议的，按照少数服从多数的原则作出结论。持不同意见的评标委员会成员应当在评标报告上签署不同意见并说明理由，否则视为同意。　　　　　　　　　　　　　　　　　　　　　　　　　　　　　　　　　　　　　　　　　　　　　　　　　　　　　　　　　　　　　　　　</w:t>
      </w:r>
    </w:p>
    <w:p>
      <w:pPr>
        <w:tabs>
          <w:tab w:val="left" w:pos="1140"/>
        </w:tabs>
        <w:spacing w:line="360" w:lineRule="auto"/>
        <w:ind w:firstLine="422" w:firstLineChars="200"/>
        <w:rPr>
          <w:rFonts w:ascii="宋体" w:hAnsi="宋体"/>
          <w:b/>
          <w:szCs w:val="21"/>
        </w:rPr>
      </w:pPr>
      <w:r>
        <w:rPr>
          <w:rFonts w:hint="eastAsia" w:ascii="宋体" w:hAnsi="宋体"/>
          <w:b/>
          <w:szCs w:val="21"/>
        </w:rPr>
        <w:t>25. 评标</w:t>
      </w:r>
    </w:p>
    <w:p>
      <w:pPr>
        <w:spacing w:line="360" w:lineRule="auto"/>
        <w:ind w:firstLine="420" w:firstLineChars="200"/>
        <w:rPr>
          <w:rFonts w:ascii="宋体" w:hAnsi="宋体"/>
          <w:szCs w:val="21"/>
        </w:rPr>
      </w:pPr>
      <w:r>
        <w:rPr>
          <w:rFonts w:hint="eastAsia" w:ascii="宋体" w:hAnsi="宋体"/>
          <w:szCs w:val="21"/>
        </w:rPr>
        <w:t>25.1采购代理机构负责评标组织工作；宣布评标工作纪律，</w:t>
      </w:r>
      <w:r>
        <w:rPr>
          <w:rFonts w:ascii="宋体" w:hAnsi="宋体"/>
          <w:szCs w:val="21"/>
        </w:rPr>
        <w:t>公布投标人名单，告知评</w:t>
      </w:r>
      <w:r>
        <w:rPr>
          <w:rFonts w:hint="eastAsia" w:ascii="宋体" w:hAnsi="宋体"/>
          <w:szCs w:val="21"/>
        </w:rPr>
        <w:t>标</w:t>
      </w:r>
      <w:r>
        <w:rPr>
          <w:rFonts w:ascii="宋体" w:hAnsi="宋体"/>
          <w:szCs w:val="21"/>
        </w:rPr>
        <w:t>专家应当回避的情形</w:t>
      </w:r>
      <w:r>
        <w:rPr>
          <w:rFonts w:hint="eastAsia" w:ascii="宋体" w:hAnsi="宋体"/>
          <w:szCs w:val="21"/>
        </w:rPr>
        <w:t>，</w:t>
      </w:r>
      <w:r>
        <w:rPr>
          <w:rFonts w:ascii="宋体" w:hAnsi="宋体"/>
          <w:szCs w:val="21"/>
        </w:rPr>
        <w:t>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w:t>
      </w:r>
      <w:r>
        <w:rPr>
          <w:rFonts w:hint="eastAsia" w:ascii="宋体" w:hAnsi="宋体"/>
          <w:szCs w:val="21"/>
        </w:rPr>
        <w:t>标</w:t>
      </w:r>
      <w:r>
        <w:rPr>
          <w:rFonts w:ascii="宋体" w:hAnsi="宋体"/>
          <w:szCs w:val="21"/>
        </w:rPr>
        <w:t>专家的倾向性言论或者违法违规行为；核对评标结果，有</w:t>
      </w:r>
      <w:r>
        <w:rPr>
          <w:rFonts w:hint="eastAsia" w:ascii="宋体" w:hAnsi="宋体"/>
          <w:szCs w:val="21"/>
        </w:rPr>
        <w:t>投标无效</w:t>
      </w:r>
      <w:r>
        <w:rPr>
          <w:rFonts w:ascii="宋体" w:hAnsi="宋体"/>
          <w:szCs w:val="21"/>
        </w:rPr>
        <w:t>情形的，要求评标委员会复核或者书面说明理由，评标委员会拒绝的，应予记录并向本级财政部门报告；评</w:t>
      </w:r>
      <w:r>
        <w:rPr>
          <w:rFonts w:hint="eastAsia" w:ascii="宋体" w:hAnsi="宋体"/>
          <w:szCs w:val="21"/>
        </w:rPr>
        <w:t>标</w:t>
      </w:r>
      <w:r>
        <w:rPr>
          <w:rFonts w:ascii="宋体" w:hAnsi="宋体"/>
          <w:szCs w:val="21"/>
        </w:rPr>
        <w:t>工作完成后，按照规定向评</w:t>
      </w:r>
      <w:r>
        <w:rPr>
          <w:rFonts w:hint="eastAsia" w:ascii="宋体" w:hAnsi="宋体"/>
          <w:szCs w:val="21"/>
        </w:rPr>
        <w:t>标</w:t>
      </w:r>
      <w:r>
        <w:rPr>
          <w:rFonts w:ascii="宋体" w:hAnsi="宋体"/>
          <w:szCs w:val="21"/>
        </w:rPr>
        <w:t>专家支付劳务报酬和异地评审差旅费，不得向评</w:t>
      </w:r>
      <w:r>
        <w:rPr>
          <w:rFonts w:hint="eastAsia" w:ascii="宋体" w:hAnsi="宋体"/>
          <w:szCs w:val="21"/>
        </w:rPr>
        <w:t>标</w:t>
      </w:r>
      <w:r>
        <w:rPr>
          <w:rFonts w:ascii="宋体" w:hAnsi="宋体"/>
          <w:szCs w:val="21"/>
        </w:rPr>
        <w:t>专家以外的其他人员支付评审劳务报酬；</w:t>
      </w:r>
    </w:p>
    <w:p>
      <w:pPr>
        <w:pStyle w:val="39"/>
        <w:shd w:val="clear" w:color="auto" w:fill="FFFFFF"/>
        <w:spacing w:before="0" w:beforeAutospacing="0" w:after="0" w:afterAutospacing="0" w:line="360" w:lineRule="auto"/>
        <w:ind w:firstLine="420" w:firstLineChars="200"/>
        <w:rPr>
          <w:rFonts w:cs="Times New Roman"/>
          <w:kern w:val="2"/>
          <w:sz w:val="21"/>
          <w:szCs w:val="21"/>
        </w:rPr>
      </w:pPr>
      <w:r>
        <w:rPr>
          <w:rFonts w:hint="eastAsia" w:cs="Times New Roman"/>
          <w:kern w:val="2"/>
          <w:sz w:val="21"/>
          <w:szCs w:val="21"/>
        </w:rPr>
        <w:t>25.2评标委员会负责具体评标事务；</w:t>
      </w:r>
      <w:r>
        <w:rPr>
          <w:rFonts w:cs="Times New Roman"/>
          <w:kern w:val="2"/>
          <w:sz w:val="21"/>
          <w:szCs w:val="21"/>
        </w:rPr>
        <w:t>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39"/>
        <w:shd w:val="clear" w:color="auto" w:fill="FFFFFF"/>
        <w:spacing w:before="0" w:beforeAutospacing="0" w:after="0" w:afterAutospacing="0" w:line="360" w:lineRule="auto"/>
        <w:ind w:firstLine="420" w:firstLineChars="200"/>
        <w:rPr>
          <w:rFonts w:cs="Times New Roman"/>
          <w:kern w:val="2"/>
          <w:sz w:val="21"/>
          <w:szCs w:val="21"/>
        </w:rPr>
      </w:pPr>
      <w:r>
        <w:rPr>
          <w:rFonts w:hint="eastAsia" w:cs="Times New Roman"/>
          <w:kern w:val="2"/>
          <w:sz w:val="21"/>
          <w:szCs w:val="21"/>
        </w:rPr>
        <w:t>25.3在评标过程中，评标委员会任何人不得对某个投标人发表任何倾向性意见，不得向其他专家评委明示或者暗示自己的评审意见。</w:t>
      </w:r>
    </w:p>
    <w:p>
      <w:pPr>
        <w:tabs>
          <w:tab w:val="left" w:pos="1140"/>
        </w:tabs>
        <w:spacing w:line="360" w:lineRule="auto"/>
        <w:ind w:firstLine="420" w:firstLineChars="200"/>
        <w:rPr>
          <w:rFonts w:ascii="宋体" w:hAnsi="宋体"/>
          <w:szCs w:val="21"/>
        </w:rPr>
      </w:pPr>
      <w:r>
        <w:rPr>
          <w:rFonts w:hint="eastAsia" w:ascii="宋体" w:hAnsi="宋体"/>
          <w:szCs w:val="21"/>
        </w:rPr>
        <w:t>25.4</w:t>
      </w:r>
      <w:r>
        <w:rPr>
          <w:rFonts w:ascii="宋体" w:hAnsi="宋体"/>
          <w:szCs w:val="21"/>
        </w:rPr>
        <w:t>评标委员会应当对符合资格的投标人的投标文件进行符合性审查，以确定其是否满足招标文件的实质性要求。</w:t>
      </w:r>
    </w:p>
    <w:p>
      <w:pPr>
        <w:tabs>
          <w:tab w:val="left" w:pos="1140"/>
        </w:tabs>
        <w:spacing w:line="360" w:lineRule="auto"/>
        <w:ind w:firstLine="420" w:firstLineChars="200"/>
        <w:rPr>
          <w:rFonts w:ascii="宋体" w:hAnsi="宋体"/>
          <w:szCs w:val="21"/>
        </w:rPr>
      </w:pPr>
      <w:r>
        <w:rPr>
          <w:rFonts w:hint="eastAsia" w:ascii="宋体" w:hAnsi="宋体"/>
          <w:szCs w:val="21"/>
        </w:rPr>
        <w:t>25.5</w:t>
      </w:r>
      <w:r>
        <w:rPr>
          <w:rFonts w:ascii="宋体" w:hAnsi="宋体"/>
          <w:szCs w:val="21"/>
        </w:rPr>
        <w:t>对于投标文件中含义不明确、同类问题表述不一致或者有明显文字和计算错误的内容，评标委员会应当以书面形式要求投标人作出必要的澄清、说明或者补正。</w:t>
      </w:r>
    </w:p>
    <w:p>
      <w:pPr>
        <w:tabs>
          <w:tab w:val="left" w:pos="1140"/>
        </w:tabs>
        <w:spacing w:line="360" w:lineRule="auto"/>
        <w:ind w:firstLine="420" w:firstLineChars="200"/>
        <w:rPr>
          <w:rFonts w:ascii="宋体" w:hAnsi="宋体"/>
          <w:szCs w:val="21"/>
        </w:rPr>
      </w:pPr>
      <w:r>
        <w:rPr>
          <w:rFonts w:hint="eastAsia" w:ascii="宋体" w:hAnsi="宋体"/>
          <w:szCs w:val="21"/>
        </w:rPr>
        <w:t>投标人的澄清、说明或者补正应当采用书面形式，并加盖公章（CA证书签章），或者由法定代表人或其授权委托代理人签字（或个人CA证书签章）。投标人的澄清、说明或者补正不得超出投标文件的范围或者改变投标文件的实质性内容。</w:t>
      </w:r>
    </w:p>
    <w:p>
      <w:pPr>
        <w:tabs>
          <w:tab w:val="left" w:pos="1140"/>
        </w:tabs>
        <w:spacing w:line="360" w:lineRule="auto"/>
        <w:ind w:firstLine="420" w:firstLineChars="200"/>
        <w:rPr>
          <w:rFonts w:ascii="宋体" w:hAnsi="宋体"/>
          <w:szCs w:val="21"/>
        </w:rPr>
      </w:pPr>
      <w:r>
        <w:rPr>
          <w:rFonts w:hint="eastAsia" w:ascii="宋体" w:hAnsi="宋体"/>
          <w:szCs w:val="21"/>
        </w:rPr>
        <w:t>25.6</w:t>
      </w:r>
      <w:r>
        <w:rPr>
          <w:rFonts w:ascii="宋体" w:hAnsi="宋体"/>
          <w:szCs w:val="21"/>
        </w:rPr>
        <w:t>评标委员会应当按照招标文件中规定的评标方法和标准，对符合性审查合格的投标文件进行商务和技术评估，综合比较与评价。</w:t>
      </w:r>
    </w:p>
    <w:p>
      <w:pPr>
        <w:pStyle w:val="39"/>
        <w:shd w:val="clear" w:color="auto" w:fill="FFFFFF"/>
        <w:spacing w:before="0" w:beforeAutospacing="0" w:after="0" w:afterAutospacing="0" w:line="360" w:lineRule="auto"/>
        <w:ind w:firstLine="420" w:firstLineChars="200"/>
        <w:rPr>
          <w:rFonts w:cs="Times New Roman"/>
          <w:kern w:val="2"/>
          <w:sz w:val="21"/>
          <w:szCs w:val="21"/>
        </w:rPr>
      </w:pPr>
      <w:r>
        <w:rPr>
          <w:rFonts w:hint="eastAsia" w:cs="Times New Roman"/>
          <w:kern w:val="2"/>
          <w:sz w:val="21"/>
          <w:szCs w:val="21"/>
        </w:rPr>
        <w:t>25.7</w:t>
      </w:r>
      <w:r>
        <w:rPr>
          <w:rFonts w:cs="Times New Roman"/>
          <w:kern w:val="2"/>
          <w:sz w:val="21"/>
          <w:szCs w:val="21"/>
        </w:rPr>
        <w:t>投标文件报价出现前后不一致的，除招标文件另有规定外，按照下列规定修正：</w:t>
      </w:r>
    </w:p>
    <w:p>
      <w:pPr>
        <w:pStyle w:val="39"/>
        <w:shd w:val="clear" w:color="auto" w:fill="FFFFFF"/>
        <w:spacing w:before="0" w:beforeAutospacing="0" w:after="0" w:afterAutospacing="0" w:line="360" w:lineRule="auto"/>
        <w:rPr>
          <w:rFonts w:cs="Times New Roman"/>
          <w:kern w:val="2"/>
          <w:sz w:val="21"/>
          <w:szCs w:val="21"/>
        </w:rPr>
      </w:pPr>
      <w:r>
        <w:rPr>
          <w:rFonts w:cs="Times New Roman"/>
          <w:kern w:val="2"/>
          <w:sz w:val="21"/>
          <w:szCs w:val="21"/>
        </w:rPr>
        <w:t>　　（</w:t>
      </w:r>
      <w:r>
        <w:rPr>
          <w:rFonts w:hint="eastAsia" w:cs="Times New Roman"/>
          <w:kern w:val="2"/>
          <w:sz w:val="21"/>
          <w:szCs w:val="21"/>
        </w:rPr>
        <w:t>1</w:t>
      </w:r>
      <w:r>
        <w:rPr>
          <w:rFonts w:cs="Times New Roman"/>
          <w:kern w:val="2"/>
          <w:sz w:val="21"/>
          <w:szCs w:val="21"/>
        </w:rPr>
        <w:t>）投标文件中</w:t>
      </w:r>
      <w:r>
        <w:rPr>
          <w:rFonts w:hint="eastAsia" w:cs="Times New Roman"/>
          <w:kern w:val="2"/>
          <w:sz w:val="21"/>
          <w:szCs w:val="21"/>
        </w:rPr>
        <w:t>投标报价表</w:t>
      </w:r>
      <w:r>
        <w:rPr>
          <w:rFonts w:cs="Times New Roman"/>
          <w:kern w:val="2"/>
          <w:sz w:val="21"/>
          <w:szCs w:val="21"/>
        </w:rPr>
        <w:t>内容与投标文件中相应内容不一致的，以</w:t>
      </w:r>
      <w:r>
        <w:rPr>
          <w:rFonts w:hint="eastAsia" w:cs="Times New Roman"/>
          <w:kern w:val="2"/>
          <w:sz w:val="21"/>
          <w:szCs w:val="21"/>
        </w:rPr>
        <w:t>投标报价表</w:t>
      </w:r>
      <w:r>
        <w:rPr>
          <w:rFonts w:cs="Times New Roman"/>
          <w:kern w:val="2"/>
          <w:sz w:val="21"/>
          <w:szCs w:val="21"/>
        </w:rPr>
        <w:t>为准；</w:t>
      </w:r>
    </w:p>
    <w:p>
      <w:pPr>
        <w:pStyle w:val="39"/>
        <w:shd w:val="clear" w:color="auto" w:fill="FFFFFF"/>
        <w:spacing w:before="0" w:beforeAutospacing="0" w:after="0" w:afterAutospacing="0" w:line="360" w:lineRule="auto"/>
        <w:rPr>
          <w:rFonts w:cs="Times New Roman"/>
          <w:kern w:val="2"/>
          <w:sz w:val="21"/>
          <w:szCs w:val="21"/>
        </w:rPr>
      </w:pPr>
      <w:r>
        <w:rPr>
          <w:rFonts w:cs="Times New Roman"/>
          <w:kern w:val="2"/>
          <w:sz w:val="21"/>
          <w:szCs w:val="21"/>
        </w:rPr>
        <w:t>　　（</w:t>
      </w:r>
      <w:r>
        <w:rPr>
          <w:rFonts w:hint="eastAsia" w:cs="Times New Roman"/>
          <w:kern w:val="2"/>
          <w:sz w:val="21"/>
          <w:szCs w:val="21"/>
        </w:rPr>
        <w:t>2</w:t>
      </w:r>
      <w:r>
        <w:rPr>
          <w:rFonts w:cs="Times New Roman"/>
          <w:kern w:val="2"/>
          <w:sz w:val="21"/>
          <w:szCs w:val="21"/>
        </w:rPr>
        <w:t>）大写金额和小写金额不一致的，以大写金额为准；</w:t>
      </w:r>
    </w:p>
    <w:p>
      <w:pPr>
        <w:pStyle w:val="39"/>
        <w:shd w:val="clear" w:color="auto" w:fill="FFFFFF"/>
        <w:spacing w:before="0" w:beforeAutospacing="0" w:after="0" w:afterAutospacing="0" w:line="360" w:lineRule="auto"/>
        <w:rPr>
          <w:rFonts w:cs="Times New Roman"/>
          <w:kern w:val="2"/>
          <w:sz w:val="21"/>
          <w:szCs w:val="21"/>
        </w:rPr>
      </w:pPr>
      <w:r>
        <w:rPr>
          <w:rFonts w:cs="Times New Roman"/>
          <w:kern w:val="2"/>
          <w:sz w:val="21"/>
          <w:szCs w:val="21"/>
        </w:rPr>
        <w:t>　　（</w:t>
      </w:r>
      <w:r>
        <w:rPr>
          <w:rFonts w:hint="eastAsia" w:cs="Times New Roman"/>
          <w:kern w:val="2"/>
          <w:sz w:val="21"/>
          <w:szCs w:val="21"/>
        </w:rPr>
        <w:t>3</w:t>
      </w:r>
      <w:r>
        <w:rPr>
          <w:rFonts w:cs="Times New Roman"/>
          <w:kern w:val="2"/>
          <w:sz w:val="21"/>
          <w:szCs w:val="21"/>
        </w:rPr>
        <w:t>）单价金额小数点或者百分比有明显错位的，以</w:t>
      </w:r>
      <w:r>
        <w:rPr>
          <w:rFonts w:hint="eastAsia" w:cs="Times New Roman"/>
          <w:kern w:val="2"/>
          <w:sz w:val="21"/>
          <w:szCs w:val="21"/>
        </w:rPr>
        <w:t>报价</w:t>
      </w:r>
      <w:r>
        <w:rPr>
          <w:rFonts w:cs="Times New Roman"/>
          <w:kern w:val="2"/>
          <w:sz w:val="21"/>
          <w:szCs w:val="21"/>
        </w:rPr>
        <w:t>表的总价为准，并修改单价；</w:t>
      </w:r>
    </w:p>
    <w:p>
      <w:pPr>
        <w:pStyle w:val="39"/>
        <w:shd w:val="clear" w:color="auto" w:fill="FFFFFF"/>
        <w:spacing w:before="0" w:beforeAutospacing="0" w:after="0" w:afterAutospacing="0" w:line="360" w:lineRule="auto"/>
        <w:rPr>
          <w:rFonts w:cs="Times New Roman"/>
          <w:kern w:val="2"/>
          <w:sz w:val="21"/>
          <w:szCs w:val="21"/>
        </w:rPr>
      </w:pPr>
      <w:r>
        <w:rPr>
          <w:rFonts w:cs="Times New Roman"/>
          <w:kern w:val="2"/>
          <w:sz w:val="21"/>
          <w:szCs w:val="21"/>
        </w:rPr>
        <w:t>　　（</w:t>
      </w:r>
      <w:r>
        <w:rPr>
          <w:rFonts w:hint="eastAsia" w:cs="Times New Roman"/>
          <w:kern w:val="2"/>
          <w:sz w:val="21"/>
          <w:szCs w:val="21"/>
        </w:rPr>
        <w:t>4</w:t>
      </w:r>
      <w:r>
        <w:rPr>
          <w:rFonts w:cs="Times New Roman"/>
          <w:kern w:val="2"/>
          <w:sz w:val="21"/>
          <w:szCs w:val="21"/>
        </w:rPr>
        <w:t>）总价金额与按单价汇总金额不一致的，以单价金额计算结果为准。</w:t>
      </w:r>
    </w:p>
    <w:p>
      <w:pPr>
        <w:pStyle w:val="39"/>
        <w:shd w:val="clear" w:color="auto" w:fill="FFFFFF"/>
        <w:spacing w:before="0" w:beforeAutospacing="0" w:after="0" w:afterAutospacing="0" w:line="360" w:lineRule="auto"/>
        <w:rPr>
          <w:rFonts w:cs="Times New Roman"/>
          <w:kern w:val="2"/>
          <w:sz w:val="21"/>
          <w:szCs w:val="21"/>
        </w:rPr>
      </w:pPr>
      <w:r>
        <w:rPr>
          <w:rFonts w:cs="Times New Roman"/>
          <w:kern w:val="2"/>
          <w:sz w:val="21"/>
          <w:szCs w:val="21"/>
        </w:rPr>
        <w:t>　　同时出现两种以上不一致的，按照前款规定的顺序修正。修正后的报价</w:t>
      </w:r>
      <w:r>
        <w:rPr>
          <w:rFonts w:hint="eastAsia" w:cs="Times New Roman"/>
          <w:kern w:val="2"/>
          <w:sz w:val="21"/>
          <w:szCs w:val="21"/>
        </w:rPr>
        <w:t>（</w:t>
      </w:r>
      <w:r>
        <w:rPr>
          <w:rFonts w:cs="Times New Roman"/>
          <w:kern w:val="2"/>
          <w:sz w:val="21"/>
          <w:szCs w:val="21"/>
        </w:rPr>
        <w:t>不得超出投标文件的范围或者改变投标文件的实质性内容</w:t>
      </w:r>
      <w:r>
        <w:rPr>
          <w:rFonts w:hint="eastAsia" w:cs="Times New Roman"/>
          <w:kern w:val="2"/>
          <w:sz w:val="21"/>
          <w:szCs w:val="21"/>
        </w:rPr>
        <w:t>）</w:t>
      </w:r>
      <w:r>
        <w:rPr>
          <w:rFonts w:cs="Times New Roman"/>
          <w:kern w:val="2"/>
          <w:sz w:val="21"/>
          <w:szCs w:val="21"/>
        </w:rPr>
        <w:t>经投标人确认后产生约束力，投标人不确认的，其投标无效。</w:t>
      </w:r>
    </w:p>
    <w:p>
      <w:pPr>
        <w:pStyle w:val="27"/>
        <w:spacing w:line="360" w:lineRule="auto"/>
        <w:ind w:firstLine="411" w:firstLineChars="196"/>
        <w:rPr>
          <w:rFonts w:hAnsi="宋体"/>
          <w:sz w:val="21"/>
          <w:szCs w:val="21"/>
        </w:rPr>
      </w:pPr>
      <w:r>
        <w:rPr>
          <w:rFonts w:hint="eastAsia" w:hAnsi="宋体"/>
          <w:sz w:val="21"/>
          <w:szCs w:val="21"/>
        </w:rPr>
        <w:t>25.8</w:t>
      </w:r>
      <w:r>
        <w:rPr>
          <w:rFonts w:hAnsi="宋体"/>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7"/>
        <w:spacing w:line="360" w:lineRule="auto"/>
        <w:ind w:firstLine="411" w:firstLineChars="196"/>
        <w:rPr>
          <w:rFonts w:hAnsi="宋体"/>
          <w:sz w:val="21"/>
          <w:szCs w:val="21"/>
        </w:rPr>
      </w:pPr>
      <w:r>
        <w:rPr>
          <w:rFonts w:hint="eastAsia" w:hAnsi="宋体"/>
          <w:sz w:val="21"/>
          <w:szCs w:val="21"/>
        </w:rPr>
        <w:t>25.9</w:t>
      </w:r>
      <w:r>
        <w:rPr>
          <w:rFonts w:hAnsi="宋体"/>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ind w:firstLine="420" w:firstLineChars="200"/>
        <w:rPr>
          <w:rFonts w:ascii="宋体" w:hAnsi="宋体"/>
          <w:szCs w:val="21"/>
        </w:rPr>
      </w:pPr>
      <w:r>
        <w:rPr>
          <w:rFonts w:hint="eastAsia" w:ascii="宋体" w:hAnsi="宋体"/>
          <w:szCs w:val="21"/>
        </w:rPr>
        <w:t>25.10</w:t>
      </w:r>
      <w:r>
        <w:rPr>
          <w:rFonts w:ascii="宋体" w:hAnsi="宋体"/>
          <w:szCs w:val="21"/>
        </w:rPr>
        <w:t>评标结果汇总完成后，除下列情形外，任何人不得修改评标结果：</w:t>
      </w:r>
    </w:p>
    <w:p>
      <w:pPr>
        <w:snapToGrid w:val="0"/>
        <w:spacing w:line="360" w:lineRule="auto"/>
        <w:ind w:firstLine="420" w:firstLineChars="200"/>
        <w:rPr>
          <w:rFonts w:ascii="宋体" w:hAnsi="宋体"/>
          <w:szCs w:val="21"/>
        </w:rPr>
      </w:pPr>
      <w:r>
        <w:rPr>
          <w:rFonts w:ascii="宋体" w:hAnsi="宋体"/>
          <w:szCs w:val="21"/>
        </w:rPr>
        <w:t>　　（一）分值汇总计算错误的；</w:t>
      </w:r>
    </w:p>
    <w:p>
      <w:pPr>
        <w:snapToGrid w:val="0"/>
        <w:spacing w:line="360" w:lineRule="auto"/>
        <w:ind w:firstLine="420" w:firstLineChars="200"/>
        <w:rPr>
          <w:rFonts w:ascii="宋体" w:hAnsi="宋体"/>
          <w:szCs w:val="21"/>
        </w:rPr>
      </w:pPr>
      <w:r>
        <w:rPr>
          <w:rFonts w:ascii="宋体" w:hAnsi="宋体"/>
          <w:szCs w:val="21"/>
        </w:rPr>
        <w:t>　　（二）分项评分超出评分标准范围的；</w:t>
      </w:r>
    </w:p>
    <w:p>
      <w:pPr>
        <w:snapToGrid w:val="0"/>
        <w:spacing w:line="360" w:lineRule="auto"/>
        <w:ind w:firstLine="420" w:firstLineChars="200"/>
        <w:rPr>
          <w:rFonts w:ascii="宋体" w:hAnsi="宋体"/>
          <w:szCs w:val="21"/>
        </w:rPr>
      </w:pPr>
      <w:r>
        <w:rPr>
          <w:rFonts w:ascii="宋体" w:hAnsi="宋体"/>
          <w:szCs w:val="21"/>
        </w:rPr>
        <w:t>　　（三）评标委员会成员对客观评审因素评分不一致的；</w:t>
      </w:r>
    </w:p>
    <w:p>
      <w:pPr>
        <w:snapToGrid w:val="0"/>
        <w:spacing w:line="360" w:lineRule="auto"/>
        <w:ind w:firstLine="420" w:firstLineChars="200"/>
        <w:rPr>
          <w:rFonts w:ascii="宋体" w:hAnsi="宋体"/>
          <w:szCs w:val="21"/>
        </w:rPr>
      </w:pPr>
      <w:r>
        <w:rPr>
          <w:rFonts w:ascii="宋体" w:hAnsi="宋体"/>
          <w:szCs w:val="21"/>
        </w:rPr>
        <w:t>　　（四）经评标委员会认定评分畸高、畸低的。</w:t>
      </w:r>
    </w:p>
    <w:p>
      <w:pPr>
        <w:snapToGrid w:val="0"/>
        <w:spacing w:line="360" w:lineRule="auto"/>
        <w:ind w:firstLine="420" w:firstLineChars="200"/>
        <w:rPr>
          <w:rFonts w:ascii="宋体" w:hAnsi="宋体"/>
          <w:szCs w:val="21"/>
        </w:rPr>
      </w:pPr>
      <w:r>
        <w:rPr>
          <w:rFonts w:ascii="宋体" w:hAnsi="宋体"/>
          <w:szCs w:val="21"/>
        </w:rPr>
        <w:t>评标报告签署前，经复核发现存在以上情形之一的，评标委员会应当当场修改评标结果，并在评标</w:t>
      </w:r>
    </w:p>
    <w:p>
      <w:pPr>
        <w:snapToGrid w:val="0"/>
        <w:spacing w:line="360" w:lineRule="auto"/>
        <w:rPr>
          <w:rFonts w:ascii="宋体" w:hAnsi="宋体"/>
          <w:szCs w:val="21"/>
        </w:rPr>
      </w:pPr>
      <w:r>
        <w:rPr>
          <w:rFonts w:ascii="宋体" w:hAnsi="宋体"/>
          <w:szCs w:val="21"/>
        </w:rPr>
        <w:t>报告中记载；评标报告签署后，采购人或者采购代理机构发现存在以上情形之一的，应当组织原评标委员会进行重新评审，重新评审改变评标结果的，书面报告本级财政部门。</w:t>
      </w:r>
    </w:p>
    <w:p>
      <w:pPr>
        <w:snapToGrid w:val="0"/>
        <w:spacing w:line="360" w:lineRule="auto"/>
        <w:ind w:firstLine="420" w:firstLineChars="200"/>
        <w:rPr>
          <w:rFonts w:ascii="宋体" w:hAnsi="宋体"/>
          <w:szCs w:val="21"/>
        </w:rPr>
      </w:pPr>
      <w:r>
        <w:rPr>
          <w:rFonts w:ascii="宋体" w:hAnsi="宋体"/>
          <w:szCs w:val="21"/>
        </w:rPr>
        <w:t>投标人对本条第一款情形提出质疑的，采购人或者采购代理机构可以组织原评标委员会进行重新评审，重新评审改变评标结果的，应当书面报告本级财政部门。</w:t>
      </w:r>
    </w:p>
    <w:p>
      <w:pPr>
        <w:pStyle w:val="27"/>
        <w:spacing w:line="360" w:lineRule="auto"/>
        <w:ind w:firstLine="411" w:firstLineChars="196"/>
        <w:rPr>
          <w:rFonts w:hAnsi="宋体"/>
          <w:sz w:val="21"/>
          <w:szCs w:val="21"/>
        </w:rPr>
      </w:pPr>
      <w:r>
        <w:rPr>
          <w:rFonts w:hint="eastAsia" w:hAnsi="宋体"/>
          <w:sz w:val="21"/>
          <w:szCs w:val="21"/>
        </w:rPr>
        <w:t>25.11采购代理机构发现评标委员会有明显的违规倾向或歧视现象，或不按评标办法进行，或其他不正常行为的，应当及时制止。如制止无效，应及时向</w:t>
      </w:r>
      <w:r>
        <w:rPr>
          <w:rFonts w:hint="eastAsia" w:hAnsi="宋体"/>
          <w:sz w:val="21"/>
          <w:szCs w:val="21"/>
          <w:lang w:eastAsia="zh-CN"/>
        </w:rPr>
        <w:t>兴安县</w:t>
      </w:r>
      <w:r>
        <w:rPr>
          <w:rFonts w:hint="eastAsia" w:hAnsi="宋体"/>
          <w:sz w:val="21"/>
          <w:szCs w:val="21"/>
        </w:rPr>
        <w:t>政府采购监督管理机构报告。</w:t>
      </w:r>
    </w:p>
    <w:p>
      <w:pPr>
        <w:pStyle w:val="27"/>
        <w:tabs>
          <w:tab w:val="left" w:pos="4214"/>
        </w:tabs>
        <w:spacing w:line="360" w:lineRule="auto"/>
        <w:ind w:firstLine="422" w:firstLineChars="200"/>
        <w:rPr>
          <w:rFonts w:hAnsi="宋体"/>
          <w:b/>
          <w:sz w:val="21"/>
          <w:szCs w:val="21"/>
        </w:rPr>
      </w:pPr>
      <w:r>
        <w:rPr>
          <w:rFonts w:hint="eastAsia" w:hAnsi="宋体"/>
          <w:b/>
          <w:sz w:val="21"/>
          <w:szCs w:val="21"/>
        </w:rPr>
        <w:t>26. 推荐中标候选供应商原则</w:t>
      </w:r>
    </w:p>
    <w:p>
      <w:pPr>
        <w:snapToGrid w:val="0"/>
        <w:spacing w:line="360" w:lineRule="auto"/>
        <w:ind w:firstLine="420" w:firstLineChars="200"/>
        <w:outlineLvl w:val="4"/>
        <w:rPr>
          <w:rFonts w:hAnsi="宋体"/>
          <w:szCs w:val="21"/>
          <w:highlight w:val="none"/>
        </w:rPr>
      </w:pPr>
      <w:r>
        <w:rPr>
          <w:rFonts w:hint="eastAsia" w:hAnsi="宋体"/>
          <w:szCs w:val="21"/>
        </w:rPr>
        <w:t>（一</w:t>
      </w:r>
      <w:r>
        <w:rPr>
          <w:rFonts w:hint="eastAsia" w:hAnsi="宋体"/>
          <w:szCs w:val="21"/>
          <w:highlight w:val="none"/>
        </w:rPr>
        <w:t xml:space="preserve">）评标委员会将根据总得分由高到低排列次序并推荐中标候选供应商（总得分相同时，依次按投标报价低优先、技术分高优先、售后服务方案分高优先、综合实力分高优先、制造商授权评价分高优先、政策功能分（节能、环保等）高优先的顺序排列）。      </w:t>
      </w:r>
    </w:p>
    <w:p>
      <w:pPr>
        <w:snapToGrid w:val="0"/>
        <w:spacing w:line="360" w:lineRule="auto"/>
        <w:ind w:firstLine="420" w:firstLineChars="200"/>
        <w:outlineLvl w:val="4"/>
        <w:rPr>
          <w:rFonts w:hAnsi="宋体"/>
          <w:szCs w:val="21"/>
        </w:rPr>
      </w:pPr>
      <w:r>
        <w:rPr>
          <w:rFonts w:hint="eastAsia" w:hAnsi="宋体"/>
          <w:szCs w:val="21"/>
        </w:rPr>
        <w:t>（二）招标采购单位应当确定评审委员会推荐排名第一的中标候选人为中标人。排名第一的中标候选人放弃中标、因不可抗力提出不能履行合同的，招标采购单位可以确定排名第二的中标候选人为中标人。排名第二的中标候选人因前款规定的同样原因不能签订合同的，招标采购单位可以确定排名第三的中标候选人为中标人，其余以此类推。采购人也可以决定重新采购。</w:t>
      </w:r>
    </w:p>
    <w:p>
      <w:pPr>
        <w:snapToGrid w:val="0"/>
        <w:spacing w:line="360" w:lineRule="auto"/>
        <w:ind w:firstLine="420" w:firstLineChars="200"/>
        <w:outlineLvl w:val="4"/>
        <w:rPr>
          <w:rFonts w:hint="eastAsia" w:hAnsi="宋体"/>
          <w:szCs w:val="21"/>
        </w:rPr>
      </w:pPr>
      <w:r>
        <w:rPr>
          <w:rFonts w:hint="eastAsia" w:hAnsi="宋体"/>
          <w:szCs w:val="21"/>
        </w:rPr>
        <w:t>（三）评标委员会认为投标供应商的报价明显低于其他通过符合性审查投标供应商的报价，有可能影响产品质量或者不能诚信履约的，应当要求其在评标现场合理的时间内提供书面说明。投标供应商不能证明其报价合理性的，评标委员会应当将其作为无效投标处理。</w:t>
      </w:r>
    </w:p>
    <w:p>
      <w:pPr>
        <w:snapToGrid w:val="0"/>
        <w:spacing w:line="360" w:lineRule="auto"/>
        <w:ind w:firstLine="422" w:firstLineChars="200"/>
        <w:outlineLvl w:val="4"/>
        <w:rPr>
          <w:rFonts w:ascii="宋体" w:hAnsi="宋体"/>
          <w:b/>
          <w:szCs w:val="21"/>
        </w:rPr>
      </w:pPr>
      <w:r>
        <w:rPr>
          <w:rFonts w:hint="eastAsia" w:ascii="宋体" w:hAnsi="宋体"/>
          <w:b/>
          <w:bCs/>
          <w:szCs w:val="21"/>
        </w:rPr>
        <w:t>27</w:t>
      </w:r>
      <w:r>
        <w:rPr>
          <w:rFonts w:hint="eastAsia" w:ascii="宋体" w:hAnsi="宋体"/>
          <w:b/>
          <w:szCs w:val="21"/>
        </w:rPr>
        <w:t>. 属于下列情况之一者，投标无效：</w:t>
      </w:r>
    </w:p>
    <w:p>
      <w:pPr>
        <w:pStyle w:val="27"/>
        <w:spacing w:line="360" w:lineRule="auto"/>
        <w:ind w:firstLine="447" w:firstLineChars="213"/>
        <w:rPr>
          <w:rFonts w:hAnsi="宋体"/>
          <w:sz w:val="21"/>
          <w:szCs w:val="21"/>
        </w:rPr>
      </w:pPr>
      <w:r>
        <w:rPr>
          <w:rFonts w:hint="eastAsia" w:hAnsi="宋体"/>
          <w:sz w:val="21"/>
          <w:szCs w:val="21"/>
        </w:rPr>
        <w:t xml:space="preserve">（1）未按照招标文件规定要求签字、盖章的； </w:t>
      </w:r>
    </w:p>
    <w:p>
      <w:pPr>
        <w:pStyle w:val="27"/>
        <w:spacing w:line="360" w:lineRule="auto"/>
        <w:ind w:firstLine="447" w:firstLineChars="213"/>
        <w:rPr>
          <w:rFonts w:hAnsi="宋体"/>
          <w:sz w:val="21"/>
          <w:szCs w:val="21"/>
        </w:rPr>
      </w:pPr>
      <w:r>
        <w:rPr>
          <w:rFonts w:hint="eastAsia" w:hAnsi="宋体"/>
          <w:sz w:val="21"/>
          <w:szCs w:val="21"/>
        </w:rPr>
        <w:t xml:space="preserve">（2）报价超过招标文件中规定的预算金额的； </w:t>
      </w:r>
    </w:p>
    <w:p>
      <w:pPr>
        <w:pStyle w:val="27"/>
        <w:spacing w:line="360" w:lineRule="auto"/>
        <w:ind w:firstLine="447" w:firstLineChars="213"/>
        <w:rPr>
          <w:rFonts w:hAnsi="宋体"/>
          <w:sz w:val="21"/>
          <w:szCs w:val="21"/>
        </w:rPr>
      </w:pPr>
      <w:r>
        <w:rPr>
          <w:rFonts w:hint="eastAsia" w:hAnsi="宋体"/>
          <w:sz w:val="21"/>
          <w:szCs w:val="21"/>
        </w:rPr>
        <w:t xml:space="preserve">（3）不具备招标文件中规定的资格要求的； </w:t>
      </w:r>
    </w:p>
    <w:p>
      <w:pPr>
        <w:pStyle w:val="27"/>
        <w:spacing w:line="360" w:lineRule="auto"/>
        <w:ind w:firstLine="447" w:firstLineChars="213"/>
        <w:rPr>
          <w:rFonts w:hAnsi="宋体"/>
          <w:sz w:val="21"/>
          <w:szCs w:val="21"/>
        </w:rPr>
      </w:pPr>
      <w:r>
        <w:rPr>
          <w:rFonts w:hint="eastAsia" w:hAnsi="宋体"/>
          <w:sz w:val="21"/>
          <w:szCs w:val="21"/>
        </w:rPr>
        <w:t xml:space="preserve">（4）投标文件含有采购人不能接受的附加条件的； </w:t>
      </w:r>
    </w:p>
    <w:p>
      <w:pPr>
        <w:pStyle w:val="27"/>
        <w:spacing w:line="360" w:lineRule="auto"/>
        <w:ind w:firstLine="447" w:firstLineChars="213"/>
        <w:rPr>
          <w:rFonts w:hAnsi="宋体"/>
          <w:sz w:val="21"/>
          <w:szCs w:val="21"/>
        </w:rPr>
      </w:pPr>
      <w:r>
        <w:rPr>
          <w:rFonts w:hint="eastAsia" w:hAnsi="宋体"/>
          <w:sz w:val="21"/>
          <w:szCs w:val="21"/>
        </w:rPr>
        <w:t xml:space="preserve">（5）投标文件未按招标文件的内容和要求编制，或提供虚假或无效材料的； </w:t>
      </w:r>
    </w:p>
    <w:p>
      <w:pPr>
        <w:pStyle w:val="27"/>
        <w:spacing w:line="360" w:lineRule="auto"/>
        <w:ind w:firstLine="447" w:firstLineChars="213"/>
        <w:rPr>
          <w:rFonts w:hAnsi="宋体"/>
          <w:sz w:val="21"/>
          <w:szCs w:val="21"/>
        </w:rPr>
      </w:pPr>
      <w:r>
        <w:rPr>
          <w:rFonts w:hint="eastAsia" w:hAnsi="宋体"/>
          <w:sz w:val="21"/>
          <w:szCs w:val="21"/>
        </w:rPr>
        <w:t xml:space="preserve">（6）投标人未就“货物采购需求”中的所有内容作完整唯一报价的； </w:t>
      </w:r>
    </w:p>
    <w:p>
      <w:pPr>
        <w:pStyle w:val="27"/>
        <w:spacing w:line="360" w:lineRule="auto"/>
        <w:ind w:firstLine="447" w:firstLineChars="213"/>
        <w:rPr>
          <w:rFonts w:hAnsi="宋体"/>
          <w:sz w:val="21"/>
          <w:szCs w:val="21"/>
        </w:rPr>
      </w:pPr>
      <w:r>
        <w:rPr>
          <w:rFonts w:hint="eastAsia" w:hAnsi="宋体"/>
          <w:sz w:val="21"/>
          <w:szCs w:val="21"/>
        </w:rPr>
        <w:t xml:space="preserve">（7）未完全响应招标文件实质性要求的； </w:t>
      </w:r>
    </w:p>
    <w:p>
      <w:pPr>
        <w:pStyle w:val="27"/>
        <w:spacing w:line="360" w:lineRule="auto"/>
        <w:ind w:firstLine="447" w:firstLineChars="213"/>
        <w:rPr>
          <w:rFonts w:hAnsi="宋体"/>
          <w:sz w:val="21"/>
          <w:szCs w:val="21"/>
        </w:rPr>
      </w:pPr>
      <w:r>
        <w:rPr>
          <w:rFonts w:hint="eastAsia" w:hAnsi="宋体"/>
          <w:sz w:val="21"/>
          <w:szCs w:val="21"/>
        </w:rPr>
        <w:t>（8）法律、法规和招标文件规定的其他无效情形。</w:t>
      </w:r>
    </w:p>
    <w:p>
      <w:pPr>
        <w:pStyle w:val="27"/>
        <w:spacing w:line="360" w:lineRule="auto"/>
        <w:ind w:firstLine="413" w:firstLineChars="196"/>
        <w:rPr>
          <w:rFonts w:hAnsi="宋体" w:cs="宋体"/>
          <w:b/>
          <w:sz w:val="21"/>
          <w:szCs w:val="21"/>
        </w:rPr>
      </w:pPr>
      <w:r>
        <w:rPr>
          <w:rFonts w:hint="eastAsia" w:hAnsi="宋体" w:cs="宋体"/>
          <w:b/>
          <w:sz w:val="21"/>
          <w:szCs w:val="21"/>
        </w:rPr>
        <w:t xml:space="preserve">28.投标人有下列情形之一的，视为串通投标，投标文件将被视为无效： </w:t>
      </w:r>
    </w:p>
    <w:p>
      <w:pPr>
        <w:pStyle w:val="27"/>
        <w:spacing w:line="360" w:lineRule="auto"/>
        <w:ind w:firstLine="411" w:firstLineChars="196"/>
        <w:rPr>
          <w:rFonts w:hAnsi="宋体" w:cs="宋体"/>
          <w:bCs/>
          <w:sz w:val="21"/>
          <w:szCs w:val="21"/>
        </w:rPr>
      </w:pPr>
      <w:r>
        <w:rPr>
          <w:rFonts w:hint="eastAsia" w:hAnsi="宋体" w:cs="宋体"/>
          <w:bCs/>
          <w:sz w:val="21"/>
          <w:szCs w:val="21"/>
        </w:rPr>
        <w:t xml:space="preserve">（1）不同投标人的投标文件由同一单位或者个人编制； </w:t>
      </w:r>
    </w:p>
    <w:p>
      <w:pPr>
        <w:pStyle w:val="27"/>
        <w:spacing w:line="360" w:lineRule="auto"/>
        <w:ind w:firstLine="411" w:firstLineChars="196"/>
        <w:rPr>
          <w:rFonts w:hAnsi="宋体" w:cs="宋体"/>
          <w:bCs/>
          <w:sz w:val="21"/>
          <w:szCs w:val="21"/>
        </w:rPr>
      </w:pPr>
      <w:r>
        <w:rPr>
          <w:rFonts w:hint="eastAsia" w:hAnsi="宋体" w:cs="宋体"/>
          <w:bCs/>
          <w:sz w:val="21"/>
          <w:szCs w:val="21"/>
        </w:rPr>
        <w:t xml:space="preserve">（2）不同投标人委托同一单位或者个人办理投标事宜； </w:t>
      </w:r>
    </w:p>
    <w:p>
      <w:pPr>
        <w:pStyle w:val="27"/>
        <w:spacing w:line="360" w:lineRule="auto"/>
        <w:ind w:firstLine="411" w:firstLineChars="196"/>
        <w:rPr>
          <w:rFonts w:hAnsi="宋体" w:cs="宋体"/>
          <w:bCs/>
          <w:sz w:val="21"/>
          <w:szCs w:val="21"/>
        </w:rPr>
      </w:pPr>
      <w:r>
        <w:rPr>
          <w:rFonts w:hint="eastAsia" w:hAnsi="宋体" w:cs="宋体"/>
          <w:bCs/>
          <w:sz w:val="21"/>
          <w:szCs w:val="21"/>
        </w:rPr>
        <w:t>（3）不同的投标人的投标文件载明的项目管理员或者联系人员为同一个人；</w:t>
      </w:r>
    </w:p>
    <w:p>
      <w:pPr>
        <w:pStyle w:val="27"/>
        <w:spacing w:line="360" w:lineRule="auto"/>
        <w:ind w:firstLine="411" w:firstLineChars="196"/>
        <w:rPr>
          <w:rFonts w:hAnsi="宋体" w:cs="宋体"/>
          <w:bCs/>
          <w:sz w:val="21"/>
          <w:szCs w:val="21"/>
        </w:rPr>
      </w:pPr>
      <w:r>
        <w:rPr>
          <w:rFonts w:hint="eastAsia" w:hAnsi="宋体" w:cs="宋体"/>
          <w:bCs/>
          <w:sz w:val="21"/>
          <w:szCs w:val="21"/>
        </w:rPr>
        <w:t xml:space="preserve">（4）不同投标人的投标文件异常一致或投标报价呈规律性差异； </w:t>
      </w:r>
    </w:p>
    <w:p>
      <w:pPr>
        <w:pStyle w:val="27"/>
        <w:spacing w:line="360" w:lineRule="auto"/>
        <w:ind w:firstLine="411" w:firstLineChars="196"/>
        <w:rPr>
          <w:rFonts w:hAnsi="宋体" w:cs="宋体"/>
          <w:bCs/>
          <w:sz w:val="21"/>
          <w:szCs w:val="21"/>
        </w:rPr>
      </w:pPr>
      <w:r>
        <w:rPr>
          <w:rFonts w:hint="eastAsia" w:hAnsi="宋体" w:cs="宋体"/>
          <w:bCs/>
          <w:sz w:val="21"/>
          <w:szCs w:val="21"/>
        </w:rPr>
        <w:t>（5）不同投标人的投标文件相互混装；</w:t>
      </w:r>
    </w:p>
    <w:p>
      <w:pPr>
        <w:pStyle w:val="27"/>
        <w:spacing w:line="360" w:lineRule="auto"/>
        <w:ind w:firstLine="413" w:firstLineChars="196"/>
        <w:rPr>
          <w:rFonts w:hAnsi="宋体" w:cs="宋体"/>
          <w:bCs/>
          <w:sz w:val="21"/>
          <w:szCs w:val="21"/>
        </w:rPr>
      </w:pPr>
      <w:r>
        <w:rPr>
          <w:rFonts w:hint="eastAsia" w:hAnsi="宋体" w:cs="宋体"/>
          <w:b/>
          <w:sz w:val="21"/>
          <w:szCs w:val="21"/>
        </w:rPr>
        <w:t>29. 属于下列情形之一的，应予废标：</w:t>
      </w:r>
      <w:r>
        <w:rPr>
          <w:rFonts w:hint="eastAsia" w:hAnsi="宋体" w:cs="宋体"/>
          <w:bCs/>
          <w:sz w:val="21"/>
          <w:szCs w:val="21"/>
        </w:rPr>
        <w:t xml:space="preserve"> </w:t>
      </w:r>
    </w:p>
    <w:p>
      <w:pPr>
        <w:pStyle w:val="27"/>
        <w:spacing w:line="360" w:lineRule="auto"/>
        <w:ind w:firstLine="411" w:firstLineChars="196"/>
        <w:rPr>
          <w:rFonts w:hAnsi="宋体" w:cs="宋体"/>
          <w:bCs/>
          <w:sz w:val="21"/>
          <w:szCs w:val="21"/>
        </w:rPr>
      </w:pPr>
      <w:r>
        <w:rPr>
          <w:rFonts w:hint="eastAsia" w:hAnsi="宋体" w:cs="宋体"/>
          <w:bCs/>
          <w:sz w:val="21"/>
          <w:szCs w:val="21"/>
        </w:rPr>
        <w:t xml:space="preserve">（1）符合专业条件的供应商或者对招标文件作实质响应的供应商不足 3 家的； </w:t>
      </w:r>
    </w:p>
    <w:p>
      <w:pPr>
        <w:pStyle w:val="27"/>
        <w:spacing w:line="360" w:lineRule="auto"/>
        <w:ind w:firstLine="411" w:firstLineChars="196"/>
        <w:rPr>
          <w:rFonts w:hAnsi="宋体" w:cs="宋体"/>
          <w:bCs/>
          <w:sz w:val="21"/>
          <w:szCs w:val="21"/>
        </w:rPr>
      </w:pPr>
      <w:r>
        <w:rPr>
          <w:rFonts w:hint="eastAsia" w:hAnsi="宋体" w:cs="宋体"/>
          <w:bCs/>
          <w:sz w:val="21"/>
          <w:szCs w:val="21"/>
        </w:rPr>
        <w:t>（2）出现影响采购公正的违法、违规行为的；</w:t>
      </w:r>
    </w:p>
    <w:p>
      <w:pPr>
        <w:pStyle w:val="27"/>
        <w:spacing w:line="360" w:lineRule="auto"/>
        <w:ind w:firstLine="411" w:firstLineChars="196"/>
        <w:rPr>
          <w:rFonts w:hAnsi="宋体" w:cs="宋体"/>
          <w:bCs/>
          <w:sz w:val="21"/>
          <w:szCs w:val="21"/>
        </w:rPr>
      </w:pPr>
      <w:r>
        <w:rPr>
          <w:rFonts w:hint="eastAsia" w:hAnsi="宋体" w:cs="宋体"/>
          <w:bCs/>
          <w:sz w:val="21"/>
          <w:szCs w:val="21"/>
        </w:rPr>
        <w:t xml:space="preserve">（3）采购文件内容违反国家有关强制性规定的； </w:t>
      </w:r>
    </w:p>
    <w:p>
      <w:pPr>
        <w:pStyle w:val="27"/>
        <w:spacing w:line="360" w:lineRule="auto"/>
        <w:ind w:firstLine="411" w:firstLineChars="196"/>
        <w:rPr>
          <w:rFonts w:hAnsi="宋体" w:cs="宋体"/>
          <w:bCs/>
          <w:sz w:val="21"/>
          <w:szCs w:val="21"/>
        </w:rPr>
      </w:pPr>
      <w:r>
        <w:rPr>
          <w:rFonts w:hint="eastAsia" w:hAnsi="宋体" w:cs="宋体"/>
          <w:bCs/>
          <w:sz w:val="21"/>
          <w:szCs w:val="21"/>
        </w:rPr>
        <w:t>（4）因重大变故，采购任务取消的。</w:t>
      </w:r>
    </w:p>
    <w:p>
      <w:pPr>
        <w:autoSpaceDE w:val="0"/>
        <w:autoSpaceDN w:val="0"/>
        <w:snapToGrid w:val="0"/>
        <w:spacing w:line="360" w:lineRule="auto"/>
        <w:ind w:firstLine="422" w:firstLineChars="200"/>
        <w:textAlignment w:val="bottom"/>
        <w:rPr>
          <w:rFonts w:ascii="宋体" w:hAnsi="宋体" w:cs="宋体"/>
          <w:b/>
          <w:szCs w:val="21"/>
        </w:rPr>
      </w:pPr>
      <w:r>
        <w:rPr>
          <w:rFonts w:hint="eastAsia" w:ascii="宋体" w:hAnsi="宋体" w:cs="宋体"/>
          <w:b/>
          <w:szCs w:val="21"/>
        </w:rPr>
        <w:t xml:space="preserve">30. 开标、评标过程的监控 </w:t>
      </w:r>
    </w:p>
    <w:p>
      <w:pPr>
        <w:autoSpaceDE w:val="0"/>
        <w:autoSpaceDN w:val="0"/>
        <w:snapToGrid w:val="0"/>
        <w:spacing w:line="360" w:lineRule="auto"/>
        <w:ind w:firstLine="420" w:firstLineChars="200"/>
        <w:textAlignment w:val="bottom"/>
        <w:rPr>
          <w:rFonts w:ascii="宋体" w:hAnsi="宋体" w:cs="宋体"/>
          <w:bCs/>
          <w:szCs w:val="21"/>
        </w:rPr>
      </w:pPr>
      <w:r>
        <w:rPr>
          <w:rFonts w:hint="eastAsia" w:ascii="宋体" w:hAnsi="宋体" w:cs="宋体"/>
          <w:bCs/>
          <w:szCs w:val="21"/>
        </w:rPr>
        <w:t>本项目开标、评标过程实行全程录音、录像监控，投标人在评标过程中所进行的试图影响评标结果的不公正活动，可能导致其投标被拒绝。</w:t>
      </w:r>
    </w:p>
    <w:p>
      <w:pPr>
        <w:autoSpaceDE w:val="0"/>
        <w:autoSpaceDN w:val="0"/>
        <w:snapToGrid w:val="0"/>
        <w:spacing w:line="360" w:lineRule="auto"/>
        <w:ind w:firstLine="422" w:firstLineChars="200"/>
        <w:textAlignment w:val="bottom"/>
        <w:rPr>
          <w:rFonts w:ascii="宋体" w:hAnsi="宋体" w:cs="宋体"/>
          <w:b/>
          <w:szCs w:val="21"/>
        </w:rPr>
      </w:pPr>
      <w:r>
        <w:rPr>
          <w:rFonts w:hint="eastAsia" w:ascii="宋体" w:hAnsi="宋体" w:cs="宋体"/>
          <w:b/>
          <w:szCs w:val="21"/>
        </w:rPr>
        <w:t xml:space="preserve">31. 信用查询 </w:t>
      </w:r>
    </w:p>
    <w:p>
      <w:pPr>
        <w:pStyle w:val="27"/>
        <w:spacing w:line="360" w:lineRule="auto"/>
        <w:ind w:firstLine="411" w:firstLineChars="196"/>
        <w:rPr>
          <w:rFonts w:hAnsi="宋体" w:cs="宋体"/>
          <w:bCs/>
          <w:sz w:val="21"/>
          <w:szCs w:val="21"/>
        </w:rPr>
      </w:pPr>
      <w:r>
        <w:rPr>
          <w:rFonts w:hint="eastAsia" w:hAnsi="宋体" w:cs="宋体"/>
          <w:bCs/>
          <w:sz w:val="21"/>
          <w:szCs w:val="21"/>
        </w:rPr>
        <w:t xml:space="preserve">根据《关于做好政府采购有关信用主体标识码登记及在政府采购活动中查询使用信用记录有关问题的通知》桂财采〔2016〕37 号的通知，中标通知书发出前，由采购代理机构对第一中标候选供应商进行信用查询： </w:t>
      </w:r>
    </w:p>
    <w:p>
      <w:pPr>
        <w:pStyle w:val="27"/>
        <w:spacing w:line="360" w:lineRule="auto"/>
        <w:ind w:firstLine="411" w:firstLineChars="196"/>
        <w:rPr>
          <w:rFonts w:hAnsi="宋体" w:cs="宋体"/>
          <w:bCs/>
          <w:sz w:val="21"/>
          <w:szCs w:val="21"/>
        </w:rPr>
      </w:pPr>
      <w:r>
        <w:rPr>
          <w:rFonts w:hint="eastAsia" w:hAnsi="宋体" w:cs="宋体"/>
          <w:bCs/>
          <w:sz w:val="21"/>
          <w:szCs w:val="21"/>
        </w:rPr>
        <w:t xml:space="preserve">⑴查询渠道：“信用中国”网站(www.creditchina.gov.cn)、中国政府采购网(www.ccgp.gov.cn)等； </w:t>
      </w:r>
    </w:p>
    <w:p>
      <w:pPr>
        <w:pStyle w:val="27"/>
        <w:spacing w:line="360" w:lineRule="auto"/>
        <w:ind w:firstLine="411" w:firstLineChars="196"/>
        <w:rPr>
          <w:rFonts w:hAnsi="宋体" w:cs="宋体"/>
          <w:bCs/>
          <w:sz w:val="21"/>
          <w:szCs w:val="21"/>
        </w:rPr>
      </w:pPr>
      <w:r>
        <w:rPr>
          <w:rFonts w:hint="eastAsia" w:hAnsi="宋体" w:cs="宋体"/>
          <w:bCs/>
          <w:sz w:val="21"/>
          <w:szCs w:val="21"/>
        </w:rPr>
        <w:t xml:space="preserve">⑵查询截止时间：中标通知书发出前； </w:t>
      </w:r>
    </w:p>
    <w:p>
      <w:pPr>
        <w:pStyle w:val="27"/>
        <w:spacing w:line="360" w:lineRule="auto"/>
        <w:ind w:firstLine="411" w:firstLineChars="196"/>
        <w:rPr>
          <w:rFonts w:hAnsi="宋体" w:cs="宋体"/>
          <w:bCs/>
          <w:sz w:val="21"/>
          <w:szCs w:val="21"/>
        </w:rPr>
      </w:pPr>
      <w:r>
        <w:rPr>
          <w:rFonts w:hint="eastAsia" w:hAnsi="宋体" w:cs="宋体"/>
          <w:bCs/>
          <w:sz w:val="21"/>
          <w:szCs w:val="21"/>
        </w:rPr>
        <w:t xml:space="preserve">⑶信用信息查询记录和证据留存方式：在查询网站中直接打印查询记录，打印材料作为采购活动资料保存； </w:t>
      </w:r>
    </w:p>
    <w:p>
      <w:pPr>
        <w:pStyle w:val="27"/>
        <w:spacing w:line="360" w:lineRule="auto"/>
        <w:ind w:firstLine="411" w:firstLineChars="196"/>
        <w:rPr>
          <w:rFonts w:hAnsi="宋体" w:cs="宋体"/>
          <w:bCs/>
          <w:sz w:val="21"/>
          <w:szCs w:val="21"/>
        </w:rPr>
      </w:pPr>
      <w:r>
        <w:rPr>
          <w:rFonts w:hint="eastAsia" w:hAnsi="宋体" w:cs="宋体"/>
          <w:bCs/>
          <w:sz w:val="21"/>
          <w:szCs w:val="21"/>
        </w:rPr>
        <w:t>⑷信用信息使用规则：对在“ 信用中国 ” 网站 (www.creditchina.gov.cn) 、 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widowControl/>
        <w:spacing w:line="360" w:lineRule="auto"/>
        <w:ind w:firstLine="422" w:firstLineChars="200"/>
        <w:jc w:val="left"/>
        <w:rPr>
          <w:rFonts w:ascii="宋体" w:hAnsi="宋体" w:cs="宋体"/>
          <w:szCs w:val="21"/>
        </w:rPr>
      </w:pPr>
      <w:r>
        <w:rPr>
          <w:rFonts w:hint="eastAsia" w:ascii="宋体" w:hAnsi="宋体" w:cs="宋体"/>
          <w:b/>
          <w:kern w:val="0"/>
          <w:szCs w:val="21"/>
          <w:lang w:bidi="ar"/>
        </w:rPr>
        <w:t xml:space="preserve">32. 中标公告及中标通知书 </w:t>
      </w:r>
    </w:p>
    <w:p>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 xml:space="preserve">32.1 采购代理机构于评标结束后两个工作日内将评审报告送交采购人，采购人应当自收到评审报告五个工作日内在评审报告推荐的中标候选供应商中按顺序确定中标供应商，采购代理机构在中标供应商确定之日起两个工作日内发出中标通知书，并在指定媒体上公告中标信息，中标公告期限为 1 个工作日。 </w:t>
      </w:r>
    </w:p>
    <w:p>
      <w:pPr>
        <w:widowControl/>
        <w:spacing w:line="360" w:lineRule="auto"/>
        <w:ind w:firstLine="420" w:firstLineChars="200"/>
        <w:jc w:val="left"/>
        <w:rPr>
          <w:rFonts w:hint="eastAsia" w:ascii="宋体" w:hAnsi="宋体" w:cs="宋体"/>
          <w:b/>
          <w:bCs/>
          <w:kern w:val="0"/>
          <w:szCs w:val="21"/>
          <w:lang w:bidi="ar"/>
        </w:rPr>
      </w:pPr>
      <w:r>
        <w:rPr>
          <w:rFonts w:hint="eastAsia" w:ascii="宋体" w:hAnsi="宋体" w:cs="宋体"/>
          <w:kern w:val="0"/>
          <w:szCs w:val="21"/>
          <w:lang w:bidi="ar"/>
        </w:rPr>
        <w:t>32.2中标供应商应自接到通知之日起七个工作日内，办理中标通知书领取手续，（逾期不办的，采购人有权取消其中标资格。）或如不按期办理领取手续，视为自动放弃中标资格。并从评标委员会推荐的中标候选供应商中按顺序重新确定中标供应商。</w:t>
      </w:r>
    </w:p>
    <w:p>
      <w:pPr>
        <w:tabs>
          <w:tab w:val="left" w:pos="1140"/>
        </w:tabs>
        <w:spacing w:line="360" w:lineRule="auto"/>
        <w:ind w:left="420" w:leftChars="200"/>
        <w:rPr>
          <w:rFonts w:ascii="宋体" w:hAnsi="宋体"/>
          <w:b/>
          <w:szCs w:val="21"/>
        </w:rPr>
      </w:pPr>
    </w:p>
    <w:p>
      <w:pPr>
        <w:tabs>
          <w:tab w:val="left" w:pos="1140"/>
        </w:tabs>
        <w:spacing w:line="360" w:lineRule="auto"/>
        <w:ind w:left="420" w:leftChars="200"/>
        <w:jc w:val="center"/>
        <w:rPr>
          <w:rFonts w:ascii="宋体" w:hAnsi="宋体"/>
          <w:b/>
          <w:szCs w:val="21"/>
        </w:rPr>
      </w:pPr>
      <w:r>
        <w:rPr>
          <w:rFonts w:hint="eastAsia" w:ascii="宋体" w:hAnsi="宋体"/>
          <w:b/>
          <w:szCs w:val="21"/>
        </w:rPr>
        <w:t>七、履约保证金及签订合同</w:t>
      </w:r>
    </w:p>
    <w:p>
      <w:pPr>
        <w:tabs>
          <w:tab w:val="left" w:pos="1305"/>
        </w:tabs>
        <w:spacing w:line="360" w:lineRule="auto"/>
        <w:ind w:firstLine="316" w:firstLineChars="150"/>
        <w:rPr>
          <w:rFonts w:ascii="宋体" w:hAnsi="宋体" w:cs="宋体"/>
          <w:szCs w:val="21"/>
        </w:rPr>
      </w:pPr>
      <w:r>
        <w:rPr>
          <w:rFonts w:hint="eastAsia" w:ascii="宋体" w:hAnsi="宋体" w:cs="宋体"/>
          <w:b/>
          <w:szCs w:val="21"/>
        </w:rPr>
        <w:t>33. 履约保证金</w:t>
      </w:r>
    </w:p>
    <w:p>
      <w:pPr>
        <w:pStyle w:val="27"/>
        <w:spacing w:line="360" w:lineRule="auto"/>
        <w:ind w:firstLine="420" w:firstLineChars="200"/>
        <w:rPr>
          <w:rFonts w:hAnsi="宋体" w:cs="宋体"/>
          <w:sz w:val="21"/>
          <w:szCs w:val="21"/>
        </w:rPr>
      </w:pPr>
      <w:r>
        <w:rPr>
          <w:rFonts w:hint="eastAsia" w:hAnsi="宋体" w:cs="宋体"/>
          <w:sz w:val="21"/>
          <w:szCs w:val="21"/>
        </w:rPr>
        <w:t>33.1履约保证金金额按</w:t>
      </w:r>
      <w:r>
        <w:rPr>
          <w:rFonts w:hint="eastAsia" w:hAnsi="宋体" w:cs="宋体"/>
          <w:sz w:val="21"/>
          <w:szCs w:val="21"/>
          <w:lang w:eastAsia="zh-CN"/>
        </w:rPr>
        <w:t>中标</w:t>
      </w:r>
      <w:r>
        <w:rPr>
          <w:rFonts w:hint="eastAsia" w:hAnsi="宋体" w:cs="宋体"/>
          <w:sz w:val="21"/>
          <w:szCs w:val="21"/>
        </w:rPr>
        <w:t>价的5%（人民币，四舍五入到元）提供【</w:t>
      </w:r>
      <w:r>
        <w:rPr>
          <w:rFonts w:hint="eastAsia" w:hAnsi="宋体" w:cs="宋体"/>
          <w:b/>
          <w:bCs/>
          <w:sz w:val="21"/>
          <w:szCs w:val="21"/>
        </w:rPr>
        <w:t>如</w:t>
      </w:r>
      <w:r>
        <w:rPr>
          <w:rFonts w:hint="eastAsia" w:hAnsi="宋体" w:cs="宋体"/>
          <w:b/>
          <w:bCs/>
          <w:sz w:val="21"/>
          <w:szCs w:val="21"/>
          <w:lang w:eastAsia="zh-CN"/>
        </w:rPr>
        <w:t>中标</w:t>
      </w:r>
      <w:r>
        <w:rPr>
          <w:rFonts w:hint="eastAsia" w:hAnsi="宋体" w:cs="宋体"/>
          <w:b/>
          <w:bCs/>
          <w:sz w:val="21"/>
          <w:szCs w:val="21"/>
        </w:rPr>
        <w:t>供应商为小微企业的，则免除收取履约保证金</w:t>
      </w:r>
      <w:r>
        <w:rPr>
          <w:rFonts w:hint="eastAsia" w:hAnsi="宋体" w:cs="宋体"/>
          <w:sz w:val="21"/>
          <w:szCs w:val="21"/>
        </w:rPr>
        <w:t>】，由</w:t>
      </w:r>
      <w:r>
        <w:rPr>
          <w:rFonts w:hint="eastAsia" w:hAnsi="宋体" w:cs="宋体"/>
          <w:sz w:val="21"/>
          <w:szCs w:val="21"/>
          <w:lang w:eastAsia="zh-CN"/>
        </w:rPr>
        <w:t>中标</w:t>
      </w:r>
      <w:r>
        <w:rPr>
          <w:rFonts w:hint="eastAsia" w:hAnsi="宋体" w:cs="宋体"/>
          <w:sz w:val="21"/>
          <w:szCs w:val="21"/>
        </w:rPr>
        <w:t>供应商在领取</w:t>
      </w:r>
      <w:r>
        <w:rPr>
          <w:rFonts w:hint="eastAsia" w:hAnsi="宋体" w:cs="宋体"/>
          <w:sz w:val="21"/>
          <w:szCs w:val="21"/>
          <w:lang w:eastAsia="zh-CN"/>
        </w:rPr>
        <w:t>中标</w:t>
      </w:r>
      <w:r>
        <w:rPr>
          <w:rFonts w:hint="eastAsia" w:hAnsi="宋体" w:cs="宋体"/>
          <w:sz w:val="21"/>
          <w:szCs w:val="21"/>
        </w:rPr>
        <w:t xml:space="preserve">通知书前将履约保证金以电汇、转账、支票、汇票、本票、保函等形式缴纳方式转入采购人履约保证金专户。 </w:t>
      </w:r>
    </w:p>
    <w:p>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33.2 如果中标供应商没能按上述第 33.1 款规定执行，采购代理机构将上报桂林市</w:t>
      </w:r>
      <w:r>
        <w:rPr>
          <w:rFonts w:hint="eastAsia" w:ascii="宋体" w:hAnsi="宋体" w:cs="宋体"/>
          <w:kern w:val="0"/>
          <w:szCs w:val="21"/>
          <w:lang w:eastAsia="zh-CN" w:bidi="ar"/>
        </w:rPr>
        <w:t>兴安县</w:t>
      </w:r>
      <w:r>
        <w:rPr>
          <w:rFonts w:hint="eastAsia" w:ascii="宋体" w:hAnsi="宋体" w:cs="宋体"/>
          <w:kern w:val="0"/>
          <w:szCs w:val="21"/>
          <w:lang w:bidi="ar"/>
        </w:rPr>
        <w:t xml:space="preserve">政府采购监督管理部门，取消中标资格并有权授予第二中标候选供应商为中标供应商资格或重新组织招标。 </w:t>
      </w:r>
    </w:p>
    <w:p>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33.3 项目验收合格后，中标供应商凭《验收报告单》和履约保证金收据原件办理履约保证金退款手续，</w:t>
      </w:r>
      <w:r>
        <w:rPr>
          <w:rFonts w:hint="eastAsia" w:ascii="宋体" w:hAnsi="宋体" w:cs="宋体"/>
          <w:kern w:val="0"/>
          <w:szCs w:val="21"/>
          <w:lang w:val="en-US" w:eastAsia="zh-CN" w:bidi="ar"/>
        </w:rPr>
        <w:t>收款方</w:t>
      </w:r>
      <w:r>
        <w:rPr>
          <w:rFonts w:hint="eastAsia" w:ascii="宋体" w:hAnsi="宋体" w:cs="宋体"/>
          <w:kern w:val="0"/>
          <w:szCs w:val="21"/>
          <w:lang w:bidi="ar"/>
        </w:rPr>
        <w:t>并应当自收到退还资料之日起5个工作日内退还其履约保证金。如中标供应商不按双方签订的合同规定履约，则没收其全部履约保证金，履约保证金不足以赔偿损失的，按实际损失赔偿。</w:t>
      </w:r>
    </w:p>
    <w:p>
      <w:pPr>
        <w:tabs>
          <w:tab w:val="left" w:pos="1140"/>
        </w:tabs>
        <w:spacing w:line="360" w:lineRule="auto"/>
        <w:ind w:firstLine="422" w:firstLineChars="200"/>
        <w:rPr>
          <w:rFonts w:ascii="宋体" w:hAnsi="宋体" w:cs="宋体"/>
          <w:b/>
          <w:szCs w:val="21"/>
        </w:rPr>
      </w:pPr>
      <w:r>
        <w:rPr>
          <w:rFonts w:hint="eastAsia" w:ascii="宋体" w:hAnsi="宋体" w:cs="宋体"/>
          <w:b/>
          <w:szCs w:val="21"/>
        </w:rPr>
        <w:t>34. 签订合同</w:t>
      </w:r>
    </w:p>
    <w:p>
      <w:pPr>
        <w:pStyle w:val="27"/>
        <w:spacing w:line="360" w:lineRule="auto"/>
        <w:ind w:left="2" w:leftChars="1" w:firstLine="420" w:firstLineChars="200"/>
        <w:rPr>
          <w:rFonts w:hAnsi="宋体" w:cs="宋体"/>
          <w:sz w:val="21"/>
          <w:szCs w:val="21"/>
          <w:lang w:bidi="ar"/>
        </w:rPr>
      </w:pPr>
      <w:r>
        <w:rPr>
          <w:rFonts w:hint="eastAsia" w:hAnsi="宋体" w:cs="宋体"/>
          <w:sz w:val="21"/>
          <w:szCs w:val="21"/>
        </w:rPr>
        <w:t>34.1</w:t>
      </w:r>
      <w:r>
        <w:rPr>
          <w:rFonts w:hint="eastAsia" w:hAnsi="宋体" w:cs="宋体"/>
          <w:sz w:val="21"/>
          <w:szCs w:val="21"/>
          <w:lang w:bidi="ar"/>
        </w:rPr>
        <w:t>签订合同时间：中标通知书发出之日起</w:t>
      </w:r>
      <w:r>
        <w:rPr>
          <w:rFonts w:hint="eastAsia" w:hAnsi="宋体" w:cs="宋体"/>
          <w:sz w:val="21"/>
          <w:szCs w:val="21"/>
          <w:lang w:val="en-US" w:eastAsia="zh-CN" w:bidi="ar"/>
        </w:rPr>
        <w:t>二十五日</w:t>
      </w:r>
      <w:r>
        <w:rPr>
          <w:rFonts w:hint="eastAsia" w:hAnsi="宋体" w:cs="宋体"/>
          <w:sz w:val="21"/>
          <w:szCs w:val="21"/>
          <w:lang w:bidi="ar"/>
        </w:rPr>
        <w:t>内。中标供应商领取中标通知书后，应按规定与采购人签订合同。</w:t>
      </w:r>
    </w:p>
    <w:p>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 xml:space="preserve">34.2 如中标供应商有下列情形之一的，情节严重的，由财政部门将其列入不良行为记录名单，在一至三年内禁止参加政府采购活动，并予以通报。招标采购单位可从评标委员会推荐的中标候选供应商中按顺序重新确定中标供应商或重新组织招标。 </w:t>
      </w:r>
    </w:p>
    <w:p>
      <w:pPr>
        <w:widowControl/>
        <w:spacing w:line="360" w:lineRule="auto"/>
        <w:jc w:val="left"/>
        <w:rPr>
          <w:rFonts w:ascii="宋体" w:hAnsi="宋体" w:cs="宋体"/>
          <w:szCs w:val="21"/>
        </w:rPr>
      </w:pPr>
      <w:r>
        <w:rPr>
          <w:rFonts w:hint="eastAsia" w:ascii="宋体" w:hAnsi="宋体" w:cs="宋体"/>
          <w:kern w:val="0"/>
          <w:szCs w:val="21"/>
          <w:lang w:bidi="ar"/>
        </w:rPr>
        <w:t xml:space="preserve">（1）中标后不与采购人签订合同的（不可抗力除外）； </w:t>
      </w:r>
    </w:p>
    <w:p>
      <w:pPr>
        <w:widowControl/>
        <w:spacing w:line="360" w:lineRule="auto"/>
        <w:jc w:val="left"/>
        <w:rPr>
          <w:rFonts w:ascii="宋体" w:hAnsi="宋体" w:cs="宋体"/>
          <w:szCs w:val="21"/>
        </w:rPr>
      </w:pPr>
      <w:r>
        <w:rPr>
          <w:rFonts w:hint="eastAsia" w:ascii="宋体" w:hAnsi="宋体" w:cs="宋体"/>
          <w:kern w:val="0"/>
          <w:szCs w:val="21"/>
          <w:lang w:bidi="ar"/>
        </w:rPr>
        <w:t xml:space="preserve">（2）将中标项目转让给他人，或者在投标文件中未说明，且未经采购人同意，将中标项目分包给他人的； </w:t>
      </w:r>
    </w:p>
    <w:p>
      <w:pPr>
        <w:widowControl/>
        <w:spacing w:line="360" w:lineRule="auto"/>
        <w:jc w:val="left"/>
        <w:rPr>
          <w:rFonts w:ascii="宋体" w:hAnsi="宋体" w:cs="宋体"/>
          <w:szCs w:val="21"/>
        </w:rPr>
      </w:pPr>
      <w:r>
        <w:rPr>
          <w:rFonts w:hint="eastAsia" w:ascii="宋体" w:hAnsi="宋体" w:cs="宋体"/>
          <w:kern w:val="0"/>
          <w:szCs w:val="21"/>
          <w:lang w:bidi="ar"/>
        </w:rPr>
        <w:t xml:space="preserve">（3）拒绝履行合同义务的。 </w:t>
      </w:r>
    </w:p>
    <w:p>
      <w:pPr>
        <w:pStyle w:val="27"/>
        <w:spacing w:line="360" w:lineRule="auto"/>
        <w:ind w:left="2" w:leftChars="1" w:firstLine="420" w:firstLineChars="200"/>
      </w:pPr>
      <w:r>
        <w:rPr>
          <w:rFonts w:hint="eastAsia" w:hAnsi="宋体" w:cs="宋体"/>
          <w:sz w:val="21"/>
          <w:szCs w:val="21"/>
        </w:rPr>
        <w:t xml:space="preserve"> 34.3政府采购合同双方自签订之日起1个工作日内将合同原件1份交采购代理机构，采购代理机构收到政府采购合同原件后在省级以上人民政府财政部门指定媒体上公告并存档。</w:t>
      </w:r>
    </w:p>
    <w:p>
      <w:pPr>
        <w:pStyle w:val="27"/>
        <w:spacing w:line="360" w:lineRule="auto"/>
        <w:jc w:val="center"/>
        <w:rPr>
          <w:rFonts w:hAnsi="宋体"/>
          <w:b/>
          <w:sz w:val="21"/>
          <w:szCs w:val="21"/>
        </w:rPr>
      </w:pPr>
      <w:r>
        <w:rPr>
          <w:rFonts w:hint="eastAsia" w:hAnsi="宋体"/>
          <w:b/>
          <w:sz w:val="21"/>
          <w:szCs w:val="21"/>
        </w:rPr>
        <w:t>八、其他事项</w:t>
      </w:r>
    </w:p>
    <w:p>
      <w:pPr>
        <w:pStyle w:val="27"/>
        <w:spacing w:line="360" w:lineRule="auto"/>
        <w:ind w:firstLine="422" w:firstLineChars="200"/>
        <w:rPr>
          <w:rFonts w:hAnsi="宋体"/>
          <w:b/>
          <w:sz w:val="21"/>
          <w:szCs w:val="21"/>
        </w:rPr>
      </w:pPr>
      <w:r>
        <w:rPr>
          <w:rFonts w:hint="eastAsia" w:hAnsi="宋体"/>
          <w:b/>
          <w:sz w:val="21"/>
          <w:szCs w:val="21"/>
        </w:rPr>
        <w:t>35. 招标代理服务费</w:t>
      </w:r>
    </w:p>
    <w:p>
      <w:pPr>
        <w:pStyle w:val="27"/>
        <w:spacing w:line="360" w:lineRule="auto"/>
        <w:ind w:firstLine="420" w:firstLineChars="200"/>
        <w:rPr>
          <w:rFonts w:hAnsi="宋体"/>
          <w:sz w:val="21"/>
          <w:szCs w:val="21"/>
        </w:rPr>
      </w:pPr>
      <w:r>
        <w:rPr>
          <w:rFonts w:hint="eastAsia" w:hAnsi="宋体"/>
          <w:sz w:val="21"/>
          <w:szCs w:val="21"/>
        </w:rPr>
        <w:t>本项目的采购代理服务收费标准参照计价格[2002]1980号《招标代理服务收费管理暂行办法》货物类收费标准收取</w:t>
      </w:r>
      <w:r>
        <w:rPr>
          <w:rFonts w:hint="eastAsia" w:hAnsi="宋体"/>
          <w:sz w:val="21"/>
          <w:szCs w:val="21"/>
          <w:lang w:eastAsia="zh-CN"/>
        </w:rPr>
        <w:t>，</w:t>
      </w:r>
      <w:r>
        <w:rPr>
          <w:rFonts w:hint="eastAsia" w:hAnsi="宋体"/>
          <w:sz w:val="21"/>
          <w:szCs w:val="21"/>
          <w:lang w:val="en-US" w:eastAsia="zh-CN"/>
        </w:rPr>
        <w:t>由</w:t>
      </w:r>
      <w:r>
        <w:rPr>
          <w:rFonts w:hint="eastAsia" w:hAnsi="宋体"/>
          <w:sz w:val="21"/>
          <w:szCs w:val="21"/>
        </w:rPr>
        <w:t>中标供应商领取</w:t>
      </w:r>
      <w:r>
        <w:rPr>
          <w:rFonts w:hint="eastAsia" w:hAnsi="宋体"/>
          <w:sz w:val="21"/>
          <w:szCs w:val="21"/>
          <w:lang w:val="en-US" w:eastAsia="zh-CN"/>
        </w:rPr>
        <w:t>中标</w:t>
      </w:r>
      <w:r>
        <w:rPr>
          <w:rFonts w:hint="eastAsia" w:hAnsi="宋体"/>
          <w:sz w:val="21"/>
          <w:szCs w:val="21"/>
        </w:rPr>
        <w:t>通知书</w:t>
      </w:r>
      <w:r>
        <w:rPr>
          <w:rFonts w:hint="eastAsia" w:hAnsi="宋体"/>
          <w:sz w:val="21"/>
          <w:szCs w:val="21"/>
          <w:lang w:val="en-US" w:eastAsia="zh-CN"/>
        </w:rPr>
        <w:t>之</w:t>
      </w:r>
      <w:r>
        <w:rPr>
          <w:rFonts w:hint="eastAsia" w:hAnsi="宋体"/>
          <w:sz w:val="21"/>
          <w:szCs w:val="21"/>
        </w:rPr>
        <w:t>前，向广西万盯卯招标咨询有限公司桂林分公司一次性付清采购代理服务费（不足人民币5000元的，按5000元支付）。</w:t>
      </w:r>
    </w:p>
    <w:p>
      <w:pPr>
        <w:pStyle w:val="27"/>
        <w:spacing w:line="360" w:lineRule="auto"/>
        <w:ind w:firstLine="420" w:firstLineChars="200"/>
        <w:jc w:val="center"/>
        <w:rPr>
          <w:rFonts w:hAnsi="宋体"/>
          <w:sz w:val="21"/>
          <w:szCs w:val="21"/>
        </w:rPr>
      </w:pPr>
      <w:r>
        <w:rPr>
          <w:rFonts w:hint="eastAsia" w:hAnsi="宋体"/>
          <w:sz w:val="21"/>
          <w:szCs w:val="21"/>
        </w:rPr>
        <w:t>招标代理服务收费标准</w:t>
      </w:r>
    </w:p>
    <w:tbl>
      <w:tblPr>
        <w:tblStyle w:val="43"/>
        <w:tblW w:w="937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2085"/>
        <w:gridCol w:w="2075"/>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831" w:type="dxa"/>
          </w:tcPr>
          <w:p>
            <w:pPr>
              <w:pStyle w:val="27"/>
              <w:spacing w:line="380" w:lineRule="exact"/>
              <w:ind w:left="25"/>
              <w:rPr>
                <w:rFonts w:hAnsi="宋体" w:cs="宋体"/>
                <w:sz w:val="21"/>
                <w:szCs w:val="21"/>
              </w:rPr>
            </w:pPr>
            <w:r>
              <w:rPr>
                <w:rFonts w:hint="eastAsia" w:hAnsi="宋体" w:cs="宋体"/>
                <w:sz w:val="21"/>
                <w:szCs w:val="21"/>
              </w:rPr>
              <mc:AlternateContent>
                <mc:Choice Requires="wps">
                  <w:drawing>
                    <wp:anchor distT="0" distB="0" distL="114300" distR="114300" simplePos="0" relativeHeight="251661312" behindDoc="0" locked="0" layoutInCell="1" allowOverlap="1">
                      <wp:simplePos x="0" y="0"/>
                      <wp:positionH relativeFrom="column">
                        <wp:posOffset>328930</wp:posOffset>
                      </wp:positionH>
                      <wp:positionV relativeFrom="paragraph">
                        <wp:posOffset>3175</wp:posOffset>
                      </wp:positionV>
                      <wp:extent cx="1334135" cy="712470"/>
                      <wp:effectExtent l="2540" t="4445" r="15875" b="6985"/>
                      <wp:wrapNone/>
                      <wp:docPr id="15" name="直接连接符 15"/>
                      <wp:cNvGraphicFramePr/>
                      <a:graphic xmlns:a="http://schemas.openxmlformats.org/drawingml/2006/main">
                        <a:graphicData uri="http://schemas.microsoft.com/office/word/2010/wordprocessingShape">
                          <wps:wsp>
                            <wps:cNvCnPr/>
                            <wps:spPr>
                              <a:xfrm>
                                <a:off x="0" y="0"/>
                                <a:ext cx="1334135" cy="7124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5.9pt;margin-top:0.25pt;height:56.1pt;width:105.05pt;z-index:251661312;mso-width-relative:page;mso-height-relative:page;" filled="f" stroked="t" coordsize="21600,21600" o:gfxdata="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8ZfwNUAAAAHAQAADwAAAAAAAAABACAAAAAiAAAAZHJzL2Rvd25yZXYueG1sUEsB&#10;AhQAFAAAAAgAh07iQO0e48P4AQAA7QMAAA4AAAAAAAAAAQAgAAAAJAEAAGRycy9lMm9Eb2MueG1s&#10;UEsFBgAAAAAGAAYAWQEAAI4FAAAAAA==&#10;">
                      <v:fill on="f" focussize="0,0"/>
                      <v:stroke color="#000000" joinstyle="round"/>
                      <v:imagedata o:title=""/>
                      <o:lock v:ext="edit" aspectratio="f"/>
                    </v:line>
                  </w:pict>
                </mc:Fallback>
              </mc:AlternateContent>
            </w:r>
            <w:r>
              <w:rPr>
                <w:rFonts w:hint="eastAsia" w:hAnsi="宋体" w:cs="宋体"/>
                <w:sz w:val="21"/>
                <w:szCs w:val="21"/>
              </w:rPr>
              <w:t>费率           服务类型</w:t>
            </w:r>
          </w:p>
          <w:p>
            <w:pPr>
              <w:pStyle w:val="27"/>
              <w:spacing w:line="380" w:lineRule="exact"/>
              <w:ind w:left="25"/>
              <w:rPr>
                <w:rFonts w:hAnsi="宋体" w:cs="宋体"/>
                <w:sz w:val="21"/>
                <w:szCs w:val="21"/>
              </w:rPr>
            </w:pPr>
            <w:r>
              <w:rPr>
                <w:rFonts w:hint="eastAsia" w:hAnsi="宋体" w:cs="宋体"/>
                <w:sz w:val="21"/>
                <w:szCs w:val="21"/>
              </w:rPr>
              <mc:AlternateContent>
                <mc:Choice Requires="wps">
                  <w:drawing>
                    <wp:anchor distT="0" distB="0" distL="114300" distR="114300" simplePos="0" relativeHeight="251662336" behindDoc="0" locked="0" layoutInCell="1" allowOverlap="1">
                      <wp:simplePos x="0" y="0"/>
                      <wp:positionH relativeFrom="column">
                        <wp:posOffset>-67945</wp:posOffset>
                      </wp:positionH>
                      <wp:positionV relativeFrom="paragraph">
                        <wp:posOffset>45085</wp:posOffset>
                      </wp:positionV>
                      <wp:extent cx="1769110" cy="476885"/>
                      <wp:effectExtent l="1270" t="4445" r="1270" b="13970"/>
                      <wp:wrapNone/>
                      <wp:docPr id="3" name="直接连接符 3"/>
                      <wp:cNvGraphicFramePr/>
                      <a:graphic xmlns:a="http://schemas.openxmlformats.org/drawingml/2006/main">
                        <a:graphicData uri="http://schemas.microsoft.com/office/word/2010/wordprocessingShape">
                          <wps:wsp>
                            <wps:cNvCnPr/>
                            <wps:spPr>
                              <a:xfrm>
                                <a:off x="0" y="0"/>
                                <a:ext cx="1769110" cy="47688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35pt;margin-top:3.55pt;height:37.55pt;width:139.3pt;z-index:251662336;mso-width-relative:page;mso-height-relative:page;" filled="f" stroked="t" coordsize="21600,21600" o:gfxdata="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5oahNcAAAAIAQAADwAAAAAAAAABACAAAAAiAAAAZHJzL2Rvd25yZXYueG1sUEsB&#10;AhQAFAAAAAgAh07iQPfZ6Uz2AQAA6wMAAA4AAAAAAAAAAQAgAAAAJgEAAGRycy9lMm9Eb2MueG1s&#10;UEsFBgAAAAAGAAYAWQEAAI4FAAAAAA==&#10;">
                      <v:fill on="f" focussize="0,0"/>
                      <v:stroke color="#000000" joinstyle="round"/>
                      <v:imagedata o:title=""/>
                      <o:lock v:ext="edit" aspectratio="f"/>
                    </v:line>
                  </w:pict>
                </mc:Fallback>
              </mc:AlternateContent>
            </w:r>
          </w:p>
          <w:p>
            <w:pPr>
              <w:pStyle w:val="27"/>
              <w:spacing w:line="380" w:lineRule="exact"/>
              <w:ind w:left="25"/>
              <w:rPr>
                <w:rFonts w:hAnsi="宋体" w:cs="宋体"/>
                <w:sz w:val="21"/>
                <w:szCs w:val="21"/>
              </w:rPr>
            </w:pPr>
            <w:r>
              <w:rPr>
                <w:rFonts w:hint="eastAsia" w:hAnsi="宋体" w:cs="宋体"/>
                <w:sz w:val="21"/>
                <w:szCs w:val="21"/>
                <w:lang w:eastAsia="zh-CN"/>
              </w:rPr>
              <w:t>中标</w:t>
            </w:r>
            <w:r>
              <w:rPr>
                <w:rFonts w:hint="eastAsia" w:hAnsi="宋体" w:cs="宋体"/>
                <w:sz w:val="21"/>
                <w:szCs w:val="21"/>
              </w:rPr>
              <w:t>金额（万元）</w:t>
            </w:r>
          </w:p>
        </w:tc>
        <w:tc>
          <w:tcPr>
            <w:tcW w:w="2085" w:type="dxa"/>
            <w:vAlign w:val="center"/>
          </w:tcPr>
          <w:p>
            <w:pPr>
              <w:pStyle w:val="27"/>
              <w:spacing w:line="380" w:lineRule="exact"/>
              <w:ind w:left="25"/>
              <w:jc w:val="center"/>
              <w:rPr>
                <w:rFonts w:hAnsi="宋体" w:cs="宋体"/>
                <w:sz w:val="21"/>
                <w:szCs w:val="21"/>
              </w:rPr>
            </w:pPr>
            <w:r>
              <w:rPr>
                <w:rFonts w:hint="eastAsia" w:hAnsi="宋体" w:cs="宋体"/>
                <w:sz w:val="21"/>
                <w:szCs w:val="21"/>
              </w:rPr>
              <w:t>货物招标</w:t>
            </w:r>
          </w:p>
        </w:tc>
        <w:tc>
          <w:tcPr>
            <w:tcW w:w="2075" w:type="dxa"/>
            <w:vAlign w:val="center"/>
          </w:tcPr>
          <w:p>
            <w:pPr>
              <w:pStyle w:val="27"/>
              <w:spacing w:line="380" w:lineRule="exact"/>
              <w:ind w:left="25"/>
              <w:jc w:val="center"/>
              <w:rPr>
                <w:rFonts w:hAnsi="宋体" w:cs="宋体"/>
                <w:sz w:val="21"/>
                <w:szCs w:val="21"/>
              </w:rPr>
            </w:pPr>
            <w:r>
              <w:rPr>
                <w:rFonts w:hint="eastAsia" w:hAnsi="宋体" w:cs="宋体"/>
                <w:sz w:val="21"/>
                <w:szCs w:val="21"/>
              </w:rPr>
              <w:t>服务招标</w:t>
            </w:r>
          </w:p>
        </w:tc>
        <w:tc>
          <w:tcPr>
            <w:tcW w:w="2387" w:type="dxa"/>
            <w:vAlign w:val="center"/>
          </w:tcPr>
          <w:p>
            <w:pPr>
              <w:pStyle w:val="27"/>
              <w:spacing w:line="380" w:lineRule="exact"/>
              <w:ind w:left="25"/>
              <w:jc w:val="center"/>
              <w:rPr>
                <w:rFonts w:hAnsi="宋体" w:cs="宋体"/>
                <w:sz w:val="21"/>
                <w:szCs w:val="21"/>
              </w:rPr>
            </w:pPr>
            <w:r>
              <w:rPr>
                <w:rFonts w:hint="eastAsia" w:hAnsi="宋体" w:cs="宋体"/>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831" w:type="dxa"/>
          </w:tcPr>
          <w:p>
            <w:pPr>
              <w:pStyle w:val="27"/>
              <w:spacing w:line="380" w:lineRule="exact"/>
              <w:ind w:left="25"/>
              <w:rPr>
                <w:rFonts w:hAnsi="宋体" w:cs="宋体"/>
                <w:sz w:val="21"/>
                <w:szCs w:val="21"/>
              </w:rPr>
            </w:pPr>
            <w:r>
              <w:rPr>
                <w:rFonts w:hint="eastAsia" w:hAnsi="宋体" w:cs="宋体"/>
                <w:sz w:val="21"/>
                <w:szCs w:val="21"/>
              </w:rPr>
              <w:t>100以下</w:t>
            </w:r>
          </w:p>
        </w:tc>
        <w:tc>
          <w:tcPr>
            <w:tcW w:w="2085" w:type="dxa"/>
          </w:tcPr>
          <w:p>
            <w:pPr>
              <w:pStyle w:val="27"/>
              <w:spacing w:line="380" w:lineRule="exact"/>
              <w:ind w:left="25"/>
              <w:jc w:val="center"/>
              <w:rPr>
                <w:rFonts w:hAnsi="宋体" w:cs="宋体"/>
                <w:sz w:val="21"/>
                <w:szCs w:val="21"/>
              </w:rPr>
            </w:pPr>
            <w:r>
              <w:rPr>
                <w:rFonts w:hint="eastAsia" w:hAnsi="宋体" w:cs="宋体"/>
                <w:sz w:val="21"/>
                <w:szCs w:val="21"/>
              </w:rPr>
              <w:t>1.5%</w:t>
            </w:r>
          </w:p>
        </w:tc>
        <w:tc>
          <w:tcPr>
            <w:tcW w:w="2075" w:type="dxa"/>
          </w:tcPr>
          <w:p>
            <w:pPr>
              <w:pStyle w:val="27"/>
              <w:spacing w:line="380" w:lineRule="exact"/>
              <w:ind w:left="25"/>
              <w:jc w:val="center"/>
              <w:rPr>
                <w:rFonts w:hAnsi="宋体" w:cs="宋体"/>
                <w:sz w:val="21"/>
                <w:szCs w:val="21"/>
              </w:rPr>
            </w:pPr>
            <w:r>
              <w:rPr>
                <w:rFonts w:hint="eastAsia" w:hAnsi="宋体" w:cs="宋体"/>
                <w:sz w:val="21"/>
                <w:szCs w:val="21"/>
              </w:rPr>
              <w:t>1.5%</w:t>
            </w:r>
          </w:p>
        </w:tc>
        <w:tc>
          <w:tcPr>
            <w:tcW w:w="2387" w:type="dxa"/>
          </w:tcPr>
          <w:p>
            <w:pPr>
              <w:pStyle w:val="27"/>
              <w:spacing w:line="380" w:lineRule="exact"/>
              <w:ind w:left="25"/>
              <w:jc w:val="center"/>
              <w:rPr>
                <w:rFonts w:hAnsi="宋体" w:cs="宋体"/>
                <w:sz w:val="21"/>
                <w:szCs w:val="21"/>
              </w:rPr>
            </w:pPr>
            <w:r>
              <w:rPr>
                <w:rFonts w:hint="eastAsia" w:hAnsi="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831" w:type="dxa"/>
          </w:tcPr>
          <w:p>
            <w:pPr>
              <w:pStyle w:val="27"/>
              <w:spacing w:line="380" w:lineRule="exact"/>
              <w:ind w:left="25"/>
              <w:rPr>
                <w:rFonts w:hAnsi="宋体" w:cs="宋体"/>
                <w:sz w:val="21"/>
                <w:szCs w:val="21"/>
              </w:rPr>
            </w:pPr>
            <w:r>
              <w:rPr>
                <w:rFonts w:hint="eastAsia" w:hAnsi="宋体" w:cs="宋体"/>
                <w:sz w:val="21"/>
                <w:szCs w:val="21"/>
              </w:rPr>
              <w:t>100-500</w:t>
            </w:r>
          </w:p>
        </w:tc>
        <w:tc>
          <w:tcPr>
            <w:tcW w:w="2085" w:type="dxa"/>
          </w:tcPr>
          <w:p>
            <w:pPr>
              <w:pStyle w:val="27"/>
              <w:spacing w:line="380" w:lineRule="exact"/>
              <w:ind w:left="25"/>
              <w:jc w:val="center"/>
              <w:rPr>
                <w:rFonts w:hAnsi="宋体" w:cs="宋体"/>
                <w:sz w:val="21"/>
                <w:szCs w:val="21"/>
              </w:rPr>
            </w:pPr>
            <w:r>
              <w:rPr>
                <w:rFonts w:hint="eastAsia" w:hAnsi="宋体" w:cs="宋体"/>
                <w:sz w:val="21"/>
                <w:szCs w:val="21"/>
              </w:rPr>
              <w:t>1.1%</w:t>
            </w:r>
          </w:p>
        </w:tc>
        <w:tc>
          <w:tcPr>
            <w:tcW w:w="2075" w:type="dxa"/>
          </w:tcPr>
          <w:p>
            <w:pPr>
              <w:pStyle w:val="27"/>
              <w:spacing w:line="380" w:lineRule="exact"/>
              <w:ind w:left="25"/>
              <w:jc w:val="center"/>
              <w:rPr>
                <w:rFonts w:hAnsi="宋体" w:cs="宋体"/>
                <w:sz w:val="21"/>
                <w:szCs w:val="21"/>
              </w:rPr>
            </w:pPr>
            <w:r>
              <w:rPr>
                <w:rFonts w:hint="eastAsia" w:hAnsi="宋体" w:cs="宋体"/>
                <w:sz w:val="21"/>
                <w:szCs w:val="21"/>
              </w:rPr>
              <w:t>0.8%</w:t>
            </w:r>
          </w:p>
        </w:tc>
        <w:tc>
          <w:tcPr>
            <w:tcW w:w="2387" w:type="dxa"/>
          </w:tcPr>
          <w:p>
            <w:pPr>
              <w:pStyle w:val="27"/>
              <w:spacing w:line="380" w:lineRule="exact"/>
              <w:ind w:left="25"/>
              <w:jc w:val="center"/>
              <w:rPr>
                <w:rFonts w:hAnsi="宋体" w:cs="宋体"/>
                <w:sz w:val="21"/>
                <w:szCs w:val="21"/>
              </w:rPr>
            </w:pPr>
            <w:r>
              <w:rPr>
                <w:rFonts w:hint="eastAsia" w:hAnsi="宋体" w:cs="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831" w:type="dxa"/>
          </w:tcPr>
          <w:p>
            <w:pPr>
              <w:pStyle w:val="27"/>
              <w:spacing w:line="380" w:lineRule="exact"/>
              <w:ind w:left="25"/>
              <w:rPr>
                <w:rFonts w:hAnsi="宋体" w:cs="宋体"/>
                <w:sz w:val="21"/>
                <w:szCs w:val="21"/>
              </w:rPr>
            </w:pPr>
            <w:r>
              <w:rPr>
                <w:rFonts w:hint="eastAsia" w:hAnsi="宋体" w:cs="宋体"/>
                <w:sz w:val="21"/>
                <w:szCs w:val="21"/>
              </w:rPr>
              <w:t>500-1000</w:t>
            </w:r>
          </w:p>
        </w:tc>
        <w:tc>
          <w:tcPr>
            <w:tcW w:w="2085" w:type="dxa"/>
          </w:tcPr>
          <w:p>
            <w:pPr>
              <w:pStyle w:val="27"/>
              <w:spacing w:line="380" w:lineRule="exact"/>
              <w:ind w:left="25"/>
              <w:jc w:val="center"/>
              <w:rPr>
                <w:rFonts w:hAnsi="宋体" w:cs="宋体"/>
                <w:sz w:val="21"/>
                <w:szCs w:val="21"/>
              </w:rPr>
            </w:pPr>
            <w:r>
              <w:rPr>
                <w:rFonts w:hint="eastAsia" w:hAnsi="宋体" w:cs="宋体"/>
                <w:sz w:val="21"/>
                <w:szCs w:val="21"/>
              </w:rPr>
              <w:t>0.8%</w:t>
            </w:r>
          </w:p>
        </w:tc>
        <w:tc>
          <w:tcPr>
            <w:tcW w:w="2075" w:type="dxa"/>
          </w:tcPr>
          <w:p>
            <w:pPr>
              <w:pStyle w:val="27"/>
              <w:spacing w:line="380" w:lineRule="exact"/>
              <w:ind w:left="25"/>
              <w:jc w:val="center"/>
              <w:rPr>
                <w:rFonts w:hAnsi="宋体" w:cs="宋体"/>
                <w:sz w:val="21"/>
                <w:szCs w:val="21"/>
              </w:rPr>
            </w:pPr>
            <w:r>
              <w:rPr>
                <w:rFonts w:hint="eastAsia" w:hAnsi="宋体" w:cs="宋体"/>
                <w:sz w:val="21"/>
                <w:szCs w:val="21"/>
              </w:rPr>
              <w:t>0.45%</w:t>
            </w:r>
          </w:p>
        </w:tc>
        <w:tc>
          <w:tcPr>
            <w:tcW w:w="2387" w:type="dxa"/>
          </w:tcPr>
          <w:p>
            <w:pPr>
              <w:pStyle w:val="27"/>
              <w:spacing w:line="380" w:lineRule="exact"/>
              <w:ind w:left="25"/>
              <w:jc w:val="center"/>
              <w:rPr>
                <w:rFonts w:hAnsi="宋体" w:cs="宋体"/>
                <w:sz w:val="21"/>
                <w:szCs w:val="21"/>
              </w:rPr>
            </w:pPr>
            <w:r>
              <w:rPr>
                <w:rFonts w:hint="eastAsia" w:hAnsi="宋体" w:cs="宋体"/>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831" w:type="dxa"/>
          </w:tcPr>
          <w:p>
            <w:pPr>
              <w:pStyle w:val="27"/>
              <w:spacing w:line="380" w:lineRule="exact"/>
              <w:ind w:left="25"/>
              <w:rPr>
                <w:rFonts w:hAnsi="宋体" w:cs="宋体"/>
                <w:sz w:val="21"/>
                <w:szCs w:val="21"/>
              </w:rPr>
            </w:pPr>
            <w:r>
              <w:rPr>
                <w:rFonts w:hint="eastAsia" w:hAnsi="宋体" w:cs="宋体"/>
                <w:sz w:val="21"/>
                <w:szCs w:val="21"/>
              </w:rPr>
              <w:t>1000-5000</w:t>
            </w:r>
          </w:p>
        </w:tc>
        <w:tc>
          <w:tcPr>
            <w:tcW w:w="2085" w:type="dxa"/>
          </w:tcPr>
          <w:p>
            <w:pPr>
              <w:pStyle w:val="27"/>
              <w:spacing w:line="380" w:lineRule="exact"/>
              <w:ind w:left="25"/>
              <w:jc w:val="center"/>
              <w:rPr>
                <w:rFonts w:hAnsi="宋体" w:cs="宋体"/>
                <w:sz w:val="21"/>
                <w:szCs w:val="21"/>
              </w:rPr>
            </w:pPr>
            <w:r>
              <w:rPr>
                <w:rFonts w:hint="eastAsia" w:hAnsi="宋体" w:cs="宋体"/>
                <w:sz w:val="21"/>
                <w:szCs w:val="21"/>
              </w:rPr>
              <w:t>0.5%</w:t>
            </w:r>
          </w:p>
        </w:tc>
        <w:tc>
          <w:tcPr>
            <w:tcW w:w="2075" w:type="dxa"/>
          </w:tcPr>
          <w:p>
            <w:pPr>
              <w:pStyle w:val="27"/>
              <w:spacing w:line="380" w:lineRule="exact"/>
              <w:ind w:left="25"/>
              <w:jc w:val="center"/>
              <w:rPr>
                <w:rFonts w:hAnsi="宋体" w:cs="宋体"/>
                <w:sz w:val="21"/>
                <w:szCs w:val="21"/>
              </w:rPr>
            </w:pPr>
            <w:r>
              <w:rPr>
                <w:rFonts w:hint="eastAsia" w:hAnsi="宋体" w:cs="宋体"/>
                <w:sz w:val="21"/>
                <w:szCs w:val="21"/>
              </w:rPr>
              <w:t>0.25%</w:t>
            </w:r>
          </w:p>
        </w:tc>
        <w:tc>
          <w:tcPr>
            <w:tcW w:w="2387" w:type="dxa"/>
          </w:tcPr>
          <w:p>
            <w:pPr>
              <w:pStyle w:val="27"/>
              <w:spacing w:line="380" w:lineRule="exact"/>
              <w:ind w:left="25"/>
              <w:jc w:val="center"/>
              <w:rPr>
                <w:rFonts w:hAnsi="宋体" w:cs="宋体"/>
                <w:sz w:val="21"/>
                <w:szCs w:val="21"/>
              </w:rPr>
            </w:pPr>
            <w:r>
              <w:rPr>
                <w:rFonts w:hint="eastAsia" w:hAnsi="宋体" w:cs="宋体"/>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831" w:type="dxa"/>
          </w:tcPr>
          <w:p>
            <w:pPr>
              <w:pStyle w:val="27"/>
              <w:spacing w:line="380" w:lineRule="exact"/>
              <w:ind w:left="25"/>
              <w:rPr>
                <w:rFonts w:hAnsi="宋体" w:cs="宋体"/>
                <w:sz w:val="21"/>
                <w:szCs w:val="21"/>
              </w:rPr>
            </w:pPr>
            <w:r>
              <w:rPr>
                <w:rFonts w:hint="eastAsia" w:hAnsi="宋体" w:cs="宋体"/>
                <w:sz w:val="21"/>
                <w:szCs w:val="21"/>
              </w:rPr>
              <w:t>5000-10000</w:t>
            </w:r>
          </w:p>
        </w:tc>
        <w:tc>
          <w:tcPr>
            <w:tcW w:w="2085" w:type="dxa"/>
          </w:tcPr>
          <w:p>
            <w:pPr>
              <w:pStyle w:val="27"/>
              <w:spacing w:line="380" w:lineRule="exact"/>
              <w:ind w:left="25"/>
              <w:jc w:val="center"/>
              <w:rPr>
                <w:rFonts w:hAnsi="宋体" w:cs="宋体"/>
                <w:sz w:val="21"/>
                <w:szCs w:val="21"/>
              </w:rPr>
            </w:pPr>
            <w:r>
              <w:rPr>
                <w:rFonts w:hint="eastAsia" w:hAnsi="宋体" w:cs="宋体"/>
                <w:sz w:val="21"/>
                <w:szCs w:val="21"/>
              </w:rPr>
              <w:t>0.25%</w:t>
            </w:r>
          </w:p>
        </w:tc>
        <w:tc>
          <w:tcPr>
            <w:tcW w:w="2075" w:type="dxa"/>
          </w:tcPr>
          <w:p>
            <w:pPr>
              <w:pStyle w:val="27"/>
              <w:spacing w:line="380" w:lineRule="exact"/>
              <w:ind w:left="25"/>
              <w:jc w:val="center"/>
              <w:rPr>
                <w:rFonts w:hAnsi="宋体" w:cs="宋体"/>
                <w:sz w:val="21"/>
                <w:szCs w:val="21"/>
              </w:rPr>
            </w:pPr>
            <w:r>
              <w:rPr>
                <w:rFonts w:hint="eastAsia" w:hAnsi="宋体" w:cs="宋体"/>
                <w:sz w:val="21"/>
                <w:szCs w:val="21"/>
              </w:rPr>
              <w:t>0.1%</w:t>
            </w:r>
          </w:p>
        </w:tc>
        <w:tc>
          <w:tcPr>
            <w:tcW w:w="2387" w:type="dxa"/>
          </w:tcPr>
          <w:p>
            <w:pPr>
              <w:pStyle w:val="27"/>
              <w:spacing w:line="380" w:lineRule="exact"/>
              <w:ind w:left="25"/>
              <w:jc w:val="center"/>
              <w:rPr>
                <w:rFonts w:hAnsi="宋体" w:cs="宋体"/>
                <w:sz w:val="21"/>
                <w:szCs w:val="21"/>
              </w:rPr>
            </w:pPr>
            <w:r>
              <w:rPr>
                <w:rFonts w:hint="eastAsia" w:hAnsi="宋体" w:cs="宋体"/>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831" w:type="dxa"/>
          </w:tcPr>
          <w:p>
            <w:pPr>
              <w:pStyle w:val="27"/>
              <w:spacing w:line="380" w:lineRule="exact"/>
              <w:ind w:left="25"/>
              <w:rPr>
                <w:rFonts w:hAnsi="宋体" w:cs="宋体"/>
                <w:sz w:val="21"/>
                <w:szCs w:val="21"/>
              </w:rPr>
            </w:pPr>
            <w:r>
              <w:rPr>
                <w:rFonts w:hint="eastAsia" w:hAnsi="宋体" w:cs="宋体"/>
                <w:sz w:val="21"/>
                <w:szCs w:val="21"/>
              </w:rPr>
              <w:t>10000-100000</w:t>
            </w:r>
          </w:p>
        </w:tc>
        <w:tc>
          <w:tcPr>
            <w:tcW w:w="2085" w:type="dxa"/>
          </w:tcPr>
          <w:p>
            <w:pPr>
              <w:pStyle w:val="27"/>
              <w:spacing w:line="380" w:lineRule="exact"/>
              <w:ind w:left="25"/>
              <w:jc w:val="center"/>
              <w:rPr>
                <w:rFonts w:hAnsi="宋体" w:cs="宋体"/>
                <w:sz w:val="21"/>
                <w:szCs w:val="21"/>
              </w:rPr>
            </w:pPr>
            <w:r>
              <w:rPr>
                <w:rFonts w:hint="eastAsia" w:hAnsi="宋体" w:cs="宋体"/>
                <w:sz w:val="21"/>
                <w:szCs w:val="21"/>
              </w:rPr>
              <w:t>0.05%</w:t>
            </w:r>
          </w:p>
        </w:tc>
        <w:tc>
          <w:tcPr>
            <w:tcW w:w="2075" w:type="dxa"/>
          </w:tcPr>
          <w:p>
            <w:pPr>
              <w:pStyle w:val="27"/>
              <w:spacing w:line="380" w:lineRule="exact"/>
              <w:ind w:left="25"/>
              <w:jc w:val="center"/>
              <w:rPr>
                <w:rFonts w:hAnsi="宋体" w:cs="宋体"/>
                <w:sz w:val="21"/>
                <w:szCs w:val="21"/>
              </w:rPr>
            </w:pPr>
            <w:r>
              <w:rPr>
                <w:rFonts w:hint="eastAsia" w:hAnsi="宋体" w:cs="宋体"/>
                <w:sz w:val="21"/>
                <w:szCs w:val="21"/>
              </w:rPr>
              <w:t>0.05%</w:t>
            </w:r>
          </w:p>
        </w:tc>
        <w:tc>
          <w:tcPr>
            <w:tcW w:w="2387" w:type="dxa"/>
          </w:tcPr>
          <w:p>
            <w:pPr>
              <w:pStyle w:val="27"/>
              <w:spacing w:line="380" w:lineRule="exact"/>
              <w:ind w:left="25"/>
              <w:jc w:val="center"/>
              <w:rPr>
                <w:rFonts w:hAnsi="宋体" w:cs="宋体"/>
                <w:sz w:val="21"/>
                <w:szCs w:val="21"/>
              </w:rPr>
            </w:pPr>
            <w:r>
              <w:rPr>
                <w:rFonts w:hint="eastAsia" w:hAnsi="宋体" w:cs="宋体"/>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831" w:type="dxa"/>
          </w:tcPr>
          <w:p>
            <w:pPr>
              <w:pStyle w:val="27"/>
              <w:spacing w:line="380" w:lineRule="exact"/>
              <w:ind w:left="25"/>
              <w:rPr>
                <w:rFonts w:hAnsi="宋体" w:cs="宋体"/>
                <w:sz w:val="21"/>
                <w:szCs w:val="21"/>
              </w:rPr>
            </w:pPr>
            <w:r>
              <w:rPr>
                <w:rFonts w:hint="eastAsia" w:hAnsi="宋体" w:cs="宋体"/>
                <w:sz w:val="21"/>
                <w:szCs w:val="21"/>
              </w:rPr>
              <w:t>100000以上</w:t>
            </w:r>
          </w:p>
        </w:tc>
        <w:tc>
          <w:tcPr>
            <w:tcW w:w="2085" w:type="dxa"/>
          </w:tcPr>
          <w:p>
            <w:pPr>
              <w:pStyle w:val="27"/>
              <w:spacing w:line="380" w:lineRule="exact"/>
              <w:ind w:left="25"/>
              <w:jc w:val="center"/>
              <w:rPr>
                <w:rFonts w:hAnsi="宋体" w:cs="宋体"/>
                <w:sz w:val="21"/>
                <w:szCs w:val="21"/>
              </w:rPr>
            </w:pPr>
            <w:r>
              <w:rPr>
                <w:rFonts w:hint="eastAsia" w:hAnsi="宋体" w:cs="宋体"/>
                <w:sz w:val="21"/>
                <w:szCs w:val="21"/>
              </w:rPr>
              <w:t>0.01%</w:t>
            </w:r>
          </w:p>
        </w:tc>
        <w:tc>
          <w:tcPr>
            <w:tcW w:w="2075" w:type="dxa"/>
          </w:tcPr>
          <w:p>
            <w:pPr>
              <w:pStyle w:val="27"/>
              <w:spacing w:line="380" w:lineRule="exact"/>
              <w:ind w:left="25"/>
              <w:jc w:val="center"/>
              <w:rPr>
                <w:rFonts w:hAnsi="宋体" w:cs="宋体"/>
                <w:sz w:val="21"/>
                <w:szCs w:val="21"/>
              </w:rPr>
            </w:pPr>
            <w:r>
              <w:rPr>
                <w:rFonts w:hint="eastAsia" w:hAnsi="宋体" w:cs="宋体"/>
                <w:sz w:val="21"/>
                <w:szCs w:val="21"/>
              </w:rPr>
              <w:t>0.01%</w:t>
            </w:r>
          </w:p>
        </w:tc>
        <w:tc>
          <w:tcPr>
            <w:tcW w:w="2387" w:type="dxa"/>
          </w:tcPr>
          <w:p>
            <w:pPr>
              <w:pStyle w:val="27"/>
              <w:spacing w:line="380" w:lineRule="exact"/>
              <w:ind w:left="25"/>
              <w:jc w:val="center"/>
              <w:rPr>
                <w:rFonts w:hAnsi="宋体" w:cs="宋体"/>
                <w:sz w:val="21"/>
                <w:szCs w:val="21"/>
              </w:rPr>
            </w:pPr>
            <w:r>
              <w:rPr>
                <w:rFonts w:hint="eastAsia" w:hAnsi="宋体" w:cs="宋体"/>
                <w:sz w:val="21"/>
                <w:szCs w:val="21"/>
              </w:rPr>
              <w:t>0.01%</w:t>
            </w:r>
          </w:p>
        </w:tc>
      </w:tr>
    </w:tbl>
    <w:p>
      <w:pPr>
        <w:pStyle w:val="27"/>
        <w:spacing w:line="360" w:lineRule="auto"/>
        <w:ind w:firstLine="211" w:firstLineChars="100"/>
        <w:rPr>
          <w:rFonts w:hAnsi="宋体"/>
          <w:sz w:val="21"/>
          <w:szCs w:val="21"/>
        </w:rPr>
      </w:pPr>
      <w:r>
        <w:rPr>
          <w:rFonts w:hint="eastAsia" w:hAnsi="宋体"/>
          <w:b/>
          <w:sz w:val="21"/>
          <w:szCs w:val="21"/>
        </w:rPr>
        <w:t>注：</w:t>
      </w:r>
      <w:r>
        <w:rPr>
          <w:rFonts w:hint="eastAsia" w:hAnsi="宋体"/>
          <w:sz w:val="21"/>
          <w:szCs w:val="21"/>
        </w:rPr>
        <w:t>招标代理服务收费按差额定率累进法计算。</w:t>
      </w:r>
    </w:p>
    <w:p>
      <w:pPr>
        <w:pStyle w:val="27"/>
        <w:spacing w:line="360" w:lineRule="auto"/>
        <w:ind w:firstLine="211" w:firstLineChars="100"/>
        <w:rPr>
          <w:rFonts w:hAnsi="宋体"/>
          <w:b/>
          <w:sz w:val="21"/>
          <w:szCs w:val="21"/>
        </w:rPr>
      </w:pPr>
      <w:r>
        <w:rPr>
          <w:rFonts w:hint="eastAsia" w:hAnsi="宋体"/>
          <w:b/>
          <w:sz w:val="21"/>
          <w:szCs w:val="21"/>
        </w:rPr>
        <w:t>36．招标代理服务费银行账户：</w:t>
      </w:r>
    </w:p>
    <w:p>
      <w:pPr>
        <w:pStyle w:val="27"/>
        <w:snapToGrid w:val="0"/>
        <w:spacing w:line="360" w:lineRule="auto"/>
        <w:ind w:firstLine="420" w:firstLineChars="200"/>
        <w:rPr>
          <w:rFonts w:hAnsi="宋体"/>
          <w:bCs/>
          <w:sz w:val="21"/>
          <w:szCs w:val="21"/>
        </w:rPr>
      </w:pPr>
      <w:r>
        <w:rPr>
          <w:rFonts w:hint="eastAsia" w:hAnsi="宋体"/>
          <w:bCs/>
          <w:sz w:val="21"/>
          <w:szCs w:val="21"/>
        </w:rPr>
        <w:t>账户名称：广西万盯卯招标咨询有限公司桂林分公司</w:t>
      </w:r>
    </w:p>
    <w:p>
      <w:pPr>
        <w:pStyle w:val="27"/>
        <w:snapToGrid w:val="0"/>
        <w:spacing w:line="360" w:lineRule="auto"/>
        <w:ind w:firstLine="420" w:firstLineChars="200"/>
        <w:rPr>
          <w:rFonts w:hAnsi="宋体"/>
          <w:bCs/>
          <w:sz w:val="21"/>
          <w:szCs w:val="21"/>
        </w:rPr>
      </w:pPr>
      <w:r>
        <w:rPr>
          <w:rFonts w:hint="eastAsia" w:hAnsi="宋体"/>
          <w:bCs/>
          <w:sz w:val="21"/>
          <w:szCs w:val="21"/>
        </w:rPr>
        <w:t>开户银行：桂林银行股份有限公司营业部</w:t>
      </w:r>
      <w:r>
        <w:rPr>
          <w:rFonts w:hint="eastAsia" w:hAnsi="宋体"/>
          <w:bCs/>
          <w:sz w:val="21"/>
          <w:szCs w:val="21"/>
        </w:rPr>
        <w:tab/>
      </w:r>
    </w:p>
    <w:p>
      <w:pPr>
        <w:pStyle w:val="27"/>
        <w:snapToGrid w:val="0"/>
        <w:spacing w:line="360" w:lineRule="auto"/>
        <w:ind w:firstLine="420" w:firstLineChars="200"/>
        <w:rPr>
          <w:rFonts w:hAnsi="宋体"/>
          <w:bCs/>
          <w:sz w:val="21"/>
          <w:szCs w:val="21"/>
        </w:rPr>
      </w:pPr>
      <w:r>
        <w:rPr>
          <w:rFonts w:hint="eastAsia" w:hAnsi="宋体"/>
          <w:bCs/>
          <w:sz w:val="21"/>
          <w:szCs w:val="21"/>
        </w:rPr>
        <w:t>银行账号：660000013186600015</w:t>
      </w:r>
    </w:p>
    <w:p>
      <w:pPr>
        <w:pStyle w:val="27"/>
        <w:numPr>
          <w:ilvl w:val="0"/>
          <w:numId w:val="4"/>
        </w:numPr>
        <w:snapToGrid w:val="0"/>
        <w:spacing w:line="360" w:lineRule="auto"/>
        <w:ind w:firstLine="211" w:firstLineChars="100"/>
        <w:rPr>
          <w:rFonts w:hAnsi="宋体"/>
          <w:sz w:val="21"/>
          <w:szCs w:val="21"/>
        </w:rPr>
      </w:pPr>
      <w:r>
        <w:rPr>
          <w:rFonts w:hint="eastAsia" w:hAnsi="宋体"/>
          <w:b/>
          <w:sz w:val="21"/>
          <w:szCs w:val="21"/>
        </w:rPr>
        <w:t>解释权：</w:t>
      </w:r>
      <w:r>
        <w:rPr>
          <w:rFonts w:hint="eastAsia" w:hAnsi="宋体"/>
          <w:sz w:val="21"/>
          <w:szCs w:val="21"/>
        </w:rPr>
        <w:t>本招标文件是根据《中华人民共和国政府采购法》、《中华人民共和国政府采购法实施条例》及</w:t>
      </w:r>
      <w:r>
        <w:rPr>
          <w:rStyle w:val="46"/>
          <w:rFonts w:ascii="Arial" w:hAnsi="Arial" w:cs="Arial"/>
          <w:b w:val="0"/>
          <w:bCs w:val="0"/>
          <w:sz w:val="21"/>
          <w:szCs w:val="21"/>
        </w:rPr>
        <w:t>财政部令第87号</w:t>
      </w:r>
      <w:r>
        <w:rPr>
          <w:rFonts w:ascii="Arial" w:hAnsi="Arial" w:cs="Arial"/>
          <w:sz w:val="21"/>
          <w:szCs w:val="21"/>
        </w:rPr>
        <w:t>《政府采购货物和服务招标投标管理办法》</w:t>
      </w:r>
      <w:r>
        <w:rPr>
          <w:rFonts w:hint="eastAsia" w:hAnsi="宋体"/>
          <w:sz w:val="21"/>
          <w:szCs w:val="21"/>
        </w:rPr>
        <w:t>和政府采购管理有关规定编制，本招标文件的解释权属于采购代理机构。</w:t>
      </w:r>
    </w:p>
    <w:p>
      <w:pPr>
        <w:pStyle w:val="16"/>
        <w:spacing w:line="360" w:lineRule="auto"/>
        <w:ind w:left="0" w:firstLine="211" w:firstLineChars="100"/>
        <w:rPr>
          <w:rFonts w:ascii="宋体" w:hAnsi="宋体" w:cs="宋体"/>
          <w:b/>
          <w:bCs/>
        </w:rPr>
      </w:pPr>
      <w:r>
        <w:rPr>
          <w:rFonts w:hint="eastAsia" w:ascii="宋体" w:hAnsi="宋体" w:cs="宋体"/>
          <w:b/>
          <w:bCs/>
        </w:rPr>
        <w:t>38.广西线上“政采贷”政策（格式详见附表</w:t>
      </w:r>
      <w:r>
        <w:rPr>
          <w:rFonts w:hint="eastAsia" w:ascii="宋体" w:hAnsi="宋体" w:cs="宋体"/>
          <w:b/>
          <w:bCs/>
          <w:lang w:val="en-US" w:eastAsia="zh-CN"/>
        </w:rPr>
        <w:t>3</w:t>
      </w:r>
      <w:r>
        <w:rPr>
          <w:rFonts w:hint="eastAsia" w:ascii="宋体" w:hAnsi="宋体" w:cs="宋体"/>
          <w:b/>
          <w:bCs/>
        </w:rPr>
        <w:t>）</w:t>
      </w:r>
    </w:p>
    <w:p>
      <w:pPr>
        <w:pStyle w:val="27"/>
        <w:snapToGrid w:val="0"/>
        <w:spacing w:line="360" w:lineRule="auto"/>
        <w:ind w:firstLine="211" w:firstLineChars="100"/>
        <w:rPr>
          <w:rFonts w:hAnsi="宋体"/>
          <w:sz w:val="21"/>
          <w:szCs w:val="21"/>
        </w:rPr>
      </w:pPr>
      <w:r>
        <w:rPr>
          <w:rFonts w:hint="eastAsia" w:hAnsi="宋体"/>
          <w:b/>
          <w:sz w:val="21"/>
          <w:szCs w:val="21"/>
        </w:rPr>
        <w:t>39. 监督管理机构：</w:t>
      </w:r>
      <w:r>
        <w:rPr>
          <w:rFonts w:hint="eastAsia" w:hAnsi="宋体"/>
          <w:sz w:val="21"/>
          <w:szCs w:val="21"/>
          <w:lang w:eastAsia="zh-CN"/>
        </w:rPr>
        <w:t>兴安县人民政府采购管理办公室</w:t>
      </w:r>
      <w:r>
        <w:rPr>
          <w:rFonts w:hAnsi="宋体"/>
          <w:sz w:val="21"/>
          <w:szCs w:val="21"/>
        </w:rPr>
        <w:t xml:space="preserve">     </w:t>
      </w:r>
      <w:r>
        <w:rPr>
          <w:rFonts w:hint="eastAsia" w:hAnsi="宋体"/>
          <w:sz w:val="21"/>
          <w:szCs w:val="21"/>
        </w:rPr>
        <w:t>电话：0773-6220651。</w:t>
      </w:r>
    </w:p>
    <w:p>
      <w:pPr>
        <w:snapToGrid w:val="0"/>
        <w:rPr>
          <w:rFonts w:hint="eastAsia" w:ascii="宋体" w:hAnsi="宋体" w:cs="宋体"/>
          <w:b/>
        </w:rPr>
      </w:pPr>
    </w:p>
    <w:p>
      <w:pPr>
        <w:pStyle w:val="2"/>
        <w:rPr>
          <w:rFonts w:hint="eastAsia" w:ascii="宋体" w:hAnsi="宋体" w:cs="宋体"/>
          <w:b/>
        </w:rPr>
      </w:pPr>
    </w:p>
    <w:p>
      <w:pPr>
        <w:pStyle w:val="5"/>
        <w:rPr>
          <w:rFonts w:hint="eastAsia" w:ascii="宋体" w:hAnsi="宋体" w:cs="宋体"/>
          <w:b/>
        </w:rPr>
      </w:pPr>
    </w:p>
    <w:p>
      <w:pPr>
        <w:pStyle w:val="5"/>
        <w:rPr>
          <w:rFonts w:hint="eastAsia" w:ascii="宋体" w:hAnsi="宋体" w:cs="宋体"/>
          <w:b/>
        </w:rPr>
      </w:pPr>
    </w:p>
    <w:p>
      <w:pPr>
        <w:pStyle w:val="5"/>
        <w:rPr>
          <w:rFonts w:hint="eastAsia" w:ascii="宋体" w:hAnsi="宋体" w:cs="宋体"/>
          <w:b/>
        </w:rPr>
      </w:pPr>
    </w:p>
    <w:p>
      <w:pPr>
        <w:pStyle w:val="5"/>
        <w:rPr>
          <w:rFonts w:hint="eastAsia" w:ascii="宋体" w:hAnsi="宋体" w:cs="宋体"/>
          <w:b/>
        </w:rPr>
      </w:pPr>
    </w:p>
    <w:p>
      <w:pPr>
        <w:pStyle w:val="5"/>
        <w:rPr>
          <w:rFonts w:hint="eastAsia" w:ascii="宋体" w:hAnsi="宋体" w:cs="宋体"/>
          <w:b/>
        </w:rPr>
      </w:pPr>
    </w:p>
    <w:p>
      <w:pPr>
        <w:snapToGrid w:val="0"/>
        <w:rPr>
          <w:rFonts w:hint="eastAsia" w:ascii="宋体" w:hAnsi="宋体" w:cs="宋体"/>
          <w:b/>
        </w:rPr>
      </w:pPr>
    </w:p>
    <w:p>
      <w:pPr>
        <w:snapToGrid w:val="0"/>
        <w:rPr>
          <w:rFonts w:ascii="宋体" w:hAnsi="宋体" w:cs="宋体"/>
          <w:b/>
        </w:rPr>
      </w:pPr>
      <w:r>
        <w:rPr>
          <w:rFonts w:hint="eastAsia" w:ascii="宋体" w:hAnsi="宋体" w:cs="宋体"/>
          <w:b/>
        </w:rPr>
        <w:t>附表1：</w:t>
      </w:r>
    </w:p>
    <w:p>
      <w:pPr>
        <w:spacing w:line="460" w:lineRule="exact"/>
        <w:jc w:val="center"/>
        <w:rPr>
          <w:rFonts w:ascii="宋体" w:hAnsi="宋体" w:cs="宋体"/>
          <w:b/>
          <w:bCs/>
          <w:szCs w:val="21"/>
        </w:rPr>
      </w:pPr>
      <w:r>
        <w:rPr>
          <w:rFonts w:hint="eastAsia" w:ascii="宋体" w:hAnsi="宋体" w:cs="宋体"/>
          <w:b/>
          <w:bCs/>
          <w:szCs w:val="21"/>
        </w:rPr>
        <w:t>质疑函（格式）</w:t>
      </w:r>
    </w:p>
    <w:p>
      <w:pPr>
        <w:snapToGrid w:val="0"/>
        <w:spacing w:line="360" w:lineRule="exact"/>
        <w:ind w:firstLine="422"/>
        <w:rPr>
          <w:rFonts w:ascii="宋体" w:hAnsi="宋体" w:cs="宋体"/>
          <w:b/>
          <w:bCs/>
          <w:szCs w:val="20"/>
        </w:rPr>
      </w:pPr>
      <w:r>
        <w:rPr>
          <w:rFonts w:hint="eastAsia" w:ascii="宋体" w:hAnsi="宋体" w:cs="宋体"/>
          <w:b/>
          <w:bCs/>
          <w:szCs w:val="20"/>
        </w:rPr>
        <w:t>一、质疑供应商基本信息：</w:t>
      </w:r>
    </w:p>
    <w:p>
      <w:pPr>
        <w:snapToGrid w:val="0"/>
        <w:spacing w:line="360" w:lineRule="exact"/>
        <w:ind w:firstLine="420"/>
        <w:rPr>
          <w:rFonts w:ascii="宋体" w:hAnsi="宋体" w:cs="宋体"/>
          <w:bCs/>
          <w:szCs w:val="20"/>
          <w:u w:val="single"/>
        </w:rPr>
      </w:pPr>
      <w:r>
        <w:rPr>
          <w:rFonts w:hint="eastAsia" w:ascii="宋体" w:hAnsi="宋体" w:cs="宋体"/>
          <w:bCs/>
          <w:szCs w:val="20"/>
        </w:rPr>
        <w:t>质疑供应商：</w:t>
      </w:r>
      <w:r>
        <w:rPr>
          <w:rFonts w:hint="eastAsia" w:ascii="宋体" w:hAnsi="宋体" w:cs="宋体"/>
          <w:bCs/>
          <w:szCs w:val="20"/>
          <w:u w:val="single"/>
        </w:rPr>
        <w:t xml:space="preserve">                                       </w:t>
      </w:r>
      <w:r>
        <w:rPr>
          <w:rFonts w:hint="eastAsia" w:ascii="宋体" w:hAnsi="宋体" w:cs="宋体"/>
          <w:bCs/>
          <w:szCs w:val="20"/>
        </w:rPr>
        <w:t xml:space="preserve">                 </w:t>
      </w:r>
    </w:p>
    <w:p>
      <w:pPr>
        <w:snapToGrid w:val="0"/>
        <w:spacing w:line="360" w:lineRule="exact"/>
        <w:ind w:firstLine="420"/>
        <w:rPr>
          <w:rFonts w:ascii="宋体" w:hAnsi="宋体" w:cs="宋体"/>
          <w:bCs/>
          <w:szCs w:val="20"/>
        </w:rPr>
      </w:pPr>
      <w:r>
        <w:rPr>
          <w:rFonts w:hint="eastAsia" w:ascii="宋体" w:hAnsi="宋体" w:cs="宋体"/>
          <w:bCs/>
          <w:szCs w:val="20"/>
        </w:rPr>
        <w:t>地址：</w:t>
      </w:r>
      <w:r>
        <w:rPr>
          <w:rFonts w:hint="eastAsia" w:ascii="宋体" w:hAnsi="宋体" w:cs="宋体"/>
          <w:bCs/>
          <w:szCs w:val="20"/>
          <w:u w:val="single"/>
        </w:rPr>
        <w:t xml:space="preserve">                                          </w:t>
      </w:r>
      <w:r>
        <w:rPr>
          <w:rFonts w:hint="eastAsia" w:ascii="宋体" w:hAnsi="宋体" w:cs="宋体"/>
          <w:bCs/>
          <w:szCs w:val="20"/>
        </w:rPr>
        <w:t>邮编：</w:t>
      </w:r>
      <w:r>
        <w:rPr>
          <w:rFonts w:hint="eastAsia" w:ascii="宋体" w:hAnsi="宋体" w:cs="宋体"/>
          <w:bCs/>
          <w:szCs w:val="20"/>
          <w:u w:val="single"/>
        </w:rPr>
        <w:t xml:space="preserve">                  </w:t>
      </w:r>
      <w:r>
        <w:rPr>
          <w:rFonts w:hint="eastAsia" w:ascii="宋体" w:hAnsi="宋体" w:cs="宋体"/>
          <w:bCs/>
          <w:szCs w:val="20"/>
        </w:rPr>
        <w:t xml:space="preserve">                 </w:t>
      </w:r>
    </w:p>
    <w:p>
      <w:pPr>
        <w:snapToGrid w:val="0"/>
        <w:spacing w:line="360" w:lineRule="exact"/>
        <w:ind w:firstLine="420"/>
        <w:rPr>
          <w:rFonts w:ascii="宋体" w:hAnsi="宋体" w:cs="宋体"/>
          <w:bCs/>
          <w:szCs w:val="20"/>
        </w:rPr>
      </w:pPr>
      <w:r>
        <w:rPr>
          <w:rFonts w:hint="eastAsia" w:ascii="宋体" w:hAnsi="宋体" w:cs="宋体"/>
          <w:bCs/>
          <w:szCs w:val="20"/>
        </w:rPr>
        <w:t>联系人：</w:t>
      </w:r>
      <w:r>
        <w:rPr>
          <w:rFonts w:hint="eastAsia" w:ascii="宋体" w:hAnsi="宋体" w:cs="宋体"/>
          <w:bCs/>
          <w:szCs w:val="20"/>
          <w:u w:val="single"/>
        </w:rPr>
        <w:t xml:space="preserve">                     </w:t>
      </w:r>
      <w:r>
        <w:rPr>
          <w:rFonts w:hint="eastAsia" w:ascii="宋体" w:hAnsi="宋体" w:cs="宋体"/>
          <w:bCs/>
          <w:szCs w:val="20"/>
        </w:rPr>
        <w:t>联系电话：</w:t>
      </w:r>
      <w:r>
        <w:rPr>
          <w:rFonts w:hint="eastAsia" w:ascii="宋体" w:hAnsi="宋体" w:cs="宋体"/>
          <w:bCs/>
          <w:szCs w:val="20"/>
          <w:u w:val="single"/>
        </w:rPr>
        <w:t xml:space="preserve">                 </w:t>
      </w:r>
    </w:p>
    <w:p>
      <w:pPr>
        <w:snapToGrid w:val="0"/>
        <w:spacing w:line="360" w:lineRule="exact"/>
        <w:ind w:firstLine="420"/>
        <w:rPr>
          <w:rFonts w:ascii="宋体" w:hAnsi="宋体" w:cs="宋体"/>
          <w:bCs/>
          <w:szCs w:val="20"/>
        </w:rPr>
      </w:pPr>
      <w:r>
        <w:rPr>
          <w:rFonts w:hint="eastAsia" w:ascii="宋体" w:hAnsi="宋体" w:cs="宋体"/>
          <w:bCs/>
          <w:szCs w:val="20"/>
        </w:rPr>
        <w:t>授权代表：</w:t>
      </w:r>
      <w:r>
        <w:rPr>
          <w:rFonts w:hint="eastAsia" w:ascii="宋体" w:hAnsi="宋体" w:cs="宋体"/>
          <w:bCs/>
          <w:szCs w:val="20"/>
          <w:u w:val="single"/>
        </w:rPr>
        <w:t xml:space="preserve">                      </w:t>
      </w:r>
    </w:p>
    <w:p>
      <w:pPr>
        <w:snapToGrid w:val="0"/>
        <w:spacing w:line="360" w:lineRule="exact"/>
        <w:ind w:firstLine="420"/>
        <w:rPr>
          <w:rFonts w:ascii="宋体" w:hAnsi="宋体" w:cs="宋体"/>
          <w:bCs/>
          <w:szCs w:val="20"/>
          <w:u w:val="single"/>
        </w:rPr>
      </w:pPr>
      <w:r>
        <w:rPr>
          <w:rFonts w:hint="eastAsia" w:ascii="宋体" w:hAnsi="宋体" w:cs="宋体"/>
          <w:bCs/>
          <w:szCs w:val="20"/>
        </w:rPr>
        <w:t>联系电话：</w:t>
      </w:r>
      <w:r>
        <w:rPr>
          <w:rFonts w:hint="eastAsia" w:ascii="宋体" w:hAnsi="宋体" w:cs="宋体"/>
          <w:bCs/>
          <w:szCs w:val="20"/>
          <w:u w:val="single"/>
        </w:rPr>
        <w:t xml:space="preserve">                      </w:t>
      </w:r>
    </w:p>
    <w:p>
      <w:pPr>
        <w:snapToGrid w:val="0"/>
        <w:spacing w:line="360" w:lineRule="exact"/>
        <w:ind w:firstLine="420"/>
        <w:rPr>
          <w:rFonts w:ascii="宋体" w:hAnsi="宋体" w:cs="宋体"/>
          <w:bCs/>
          <w:szCs w:val="20"/>
        </w:rPr>
      </w:pPr>
      <w:r>
        <w:rPr>
          <w:rFonts w:hint="eastAsia" w:ascii="宋体" w:hAnsi="宋体" w:cs="宋体"/>
          <w:bCs/>
          <w:szCs w:val="20"/>
        </w:rPr>
        <w:t>地址：</w:t>
      </w:r>
      <w:r>
        <w:rPr>
          <w:rFonts w:hint="eastAsia" w:ascii="宋体" w:hAnsi="宋体" w:cs="宋体"/>
          <w:bCs/>
          <w:szCs w:val="20"/>
          <w:u w:val="single"/>
        </w:rPr>
        <w:t xml:space="preserve">                 </w:t>
      </w:r>
      <w:r>
        <w:rPr>
          <w:rFonts w:hint="eastAsia" w:ascii="宋体" w:hAnsi="宋体" w:cs="宋体"/>
          <w:bCs/>
          <w:szCs w:val="20"/>
        </w:rPr>
        <w:t>邮编：</w:t>
      </w:r>
      <w:r>
        <w:rPr>
          <w:rFonts w:hint="eastAsia" w:ascii="宋体" w:hAnsi="宋体" w:cs="宋体"/>
          <w:bCs/>
          <w:szCs w:val="20"/>
          <w:u w:val="single"/>
        </w:rPr>
        <w:t xml:space="preserve">                  </w:t>
      </w:r>
      <w:r>
        <w:rPr>
          <w:rFonts w:hint="eastAsia" w:ascii="宋体" w:hAnsi="宋体" w:cs="宋体"/>
          <w:bCs/>
          <w:szCs w:val="20"/>
        </w:rPr>
        <w:t xml:space="preserve">     </w:t>
      </w:r>
    </w:p>
    <w:p>
      <w:pPr>
        <w:snapToGrid w:val="0"/>
        <w:spacing w:line="360" w:lineRule="exact"/>
        <w:ind w:firstLine="422"/>
        <w:rPr>
          <w:rFonts w:ascii="宋体" w:hAnsi="宋体" w:cs="宋体"/>
          <w:b/>
          <w:bCs/>
          <w:szCs w:val="20"/>
        </w:rPr>
      </w:pPr>
      <w:r>
        <w:rPr>
          <w:rFonts w:hint="eastAsia" w:ascii="宋体" w:hAnsi="宋体" w:cs="宋体"/>
          <w:b/>
          <w:bCs/>
          <w:szCs w:val="20"/>
        </w:rPr>
        <w:t>二、质疑项目基本情况：</w:t>
      </w:r>
    </w:p>
    <w:p>
      <w:pPr>
        <w:spacing w:line="360" w:lineRule="exact"/>
        <w:ind w:left="25" w:leftChars="12" w:firstLine="413" w:firstLineChars="197"/>
        <w:rPr>
          <w:rFonts w:ascii="宋体" w:hAnsi="宋体" w:cs="宋体"/>
          <w:szCs w:val="21"/>
        </w:rPr>
      </w:pPr>
      <w:r>
        <w:rPr>
          <w:rFonts w:hint="eastAsia" w:ascii="宋体" w:hAnsi="宋体" w:cs="宋体"/>
          <w:bCs/>
          <w:szCs w:val="20"/>
        </w:rPr>
        <w:t>质疑</w:t>
      </w:r>
      <w:r>
        <w:rPr>
          <w:rFonts w:hint="eastAsia" w:ascii="宋体" w:hAnsi="宋体" w:cs="宋体"/>
          <w:szCs w:val="21"/>
        </w:rPr>
        <w:t>项目的名称：</w:t>
      </w:r>
      <w:r>
        <w:rPr>
          <w:rFonts w:hint="eastAsia" w:ascii="宋体" w:hAnsi="宋体" w:cs="宋体"/>
          <w:bCs/>
          <w:szCs w:val="20"/>
          <w:u w:val="single"/>
        </w:rPr>
        <w:t xml:space="preserve">                                     </w:t>
      </w:r>
    </w:p>
    <w:p>
      <w:pPr>
        <w:spacing w:line="360" w:lineRule="exact"/>
        <w:ind w:left="25" w:leftChars="12" w:firstLine="413" w:firstLineChars="197"/>
        <w:rPr>
          <w:rFonts w:ascii="宋体" w:hAnsi="宋体" w:cs="宋体"/>
          <w:szCs w:val="21"/>
        </w:rPr>
      </w:pPr>
      <w:r>
        <w:rPr>
          <w:rFonts w:hint="eastAsia" w:ascii="宋体" w:hAnsi="宋体" w:cs="宋体"/>
          <w:bCs/>
          <w:szCs w:val="20"/>
        </w:rPr>
        <w:t>质疑</w:t>
      </w:r>
      <w:r>
        <w:rPr>
          <w:rFonts w:hint="eastAsia" w:ascii="宋体" w:hAnsi="宋体" w:cs="宋体"/>
          <w:szCs w:val="21"/>
        </w:rPr>
        <w:t>项目的编号：</w:t>
      </w:r>
      <w:r>
        <w:rPr>
          <w:rFonts w:hint="eastAsia" w:ascii="宋体" w:hAnsi="宋体" w:cs="宋体"/>
          <w:bCs/>
          <w:szCs w:val="20"/>
          <w:u w:val="single"/>
        </w:rPr>
        <w:t xml:space="preserve">                                     </w:t>
      </w:r>
      <w:r>
        <w:rPr>
          <w:rFonts w:hint="eastAsia" w:ascii="宋体" w:hAnsi="宋体" w:cs="宋体"/>
          <w:szCs w:val="21"/>
        </w:rPr>
        <w:t xml:space="preserve"> </w:t>
      </w:r>
    </w:p>
    <w:p>
      <w:pPr>
        <w:spacing w:line="360" w:lineRule="exact"/>
        <w:ind w:left="25" w:leftChars="12" w:firstLine="413" w:firstLineChars="197"/>
        <w:rPr>
          <w:rFonts w:ascii="宋体" w:hAnsi="宋体" w:cs="宋体"/>
          <w:szCs w:val="21"/>
        </w:rPr>
      </w:pPr>
      <w:r>
        <w:rPr>
          <w:rFonts w:hint="eastAsia" w:ascii="宋体" w:hAnsi="宋体" w:cs="宋体"/>
          <w:szCs w:val="21"/>
        </w:rPr>
        <w:t>采购人名称：</w:t>
      </w:r>
      <w:r>
        <w:rPr>
          <w:rFonts w:hint="eastAsia" w:ascii="宋体" w:hAnsi="宋体" w:cs="宋体"/>
          <w:bCs/>
          <w:szCs w:val="20"/>
          <w:u w:val="single"/>
        </w:rPr>
        <w:t xml:space="preserve">                                         </w:t>
      </w:r>
    </w:p>
    <w:p>
      <w:pPr>
        <w:spacing w:line="360" w:lineRule="exact"/>
        <w:ind w:left="25" w:leftChars="12" w:firstLine="413" w:firstLineChars="197"/>
        <w:rPr>
          <w:rFonts w:ascii="宋体" w:hAnsi="宋体" w:cs="宋体"/>
          <w:szCs w:val="21"/>
        </w:rPr>
      </w:pPr>
      <w:r>
        <w:rPr>
          <w:rFonts w:hint="eastAsia" w:ascii="宋体" w:hAnsi="宋体" w:cs="宋体"/>
          <w:szCs w:val="21"/>
        </w:rPr>
        <w:t>质疑事项：</w:t>
      </w:r>
    </w:p>
    <w:p>
      <w:pPr>
        <w:spacing w:line="360" w:lineRule="exact"/>
        <w:ind w:left="25" w:leftChars="12" w:firstLine="441" w:firstLineChars="147"/>
        <w:rPr>
          <w:rFonts w:ascii="宋体" w:hAnsi="宋体" w:cs="宋体"/>
          <w:szCs w:val="21"/>
        </w:rPr>
      </w:pPr>
      <w:r>
        <w:rPr>
          <w:rFonts w:hint="eastAsia" w:ascii="宋体" w:hAnsi="宋体" w:cs="宋体"/>
          <w:sz w:val="30"/>
          <w:szCs w:val="30"/>
        </w:rPr>
        <w:t>□</w:t>
      </w:r>
      <w:r>
        <w:rPr>
          <w:rFonts w:hint="eastAsia" w:ascii="宋体" w:hAnsi="宋体" w:cs="宋体"/>
          <w:szCs w:val="21"/>
        </w:rPr>
        <w:t>招标文件   招标文件获取日期：</w:t>
      </w:r>
      <w:r>
        <w:rPr>
          <w:rFonts w:hint="eastAsia" w:ascii="宋体" w:hAnsi="宋体" w:cs="宋体"/>
          <w:bCs/>
          <w:szCs w:val="20"/>
          <w:u w:val="single"/>
        </w:rPr>
        <w:t xml:space="preserve">                                   </w:t>
      </w:r>
    </w:p>
    <w:p>
      <w:pPr>
        <w:spacing w:line="360" w:lineRule="exact"/>
        <w:ind w:left="25" w:leftChars="12" w:firstLine="441" w:firstLineChars="147"/>
        <w:rPr>
          <w:rFonts w:ascii="宋体" w:hAnsi="宋体" w:cs="宋体"/>
          <w:szCs w:val="21"/>
        </w:rPr>
      </w:pPr>
      <w:r>
        <w:rPr>
          <w:rFonts w:hint="eastAsia" w:ascii="宋体" w:hAnsi="宋体" w:cs="宋体"/>
          <w:sz w:val="30"/>
          <w:szCs w:val="30"/>
        </w:rPr>
        <w:t>□</w:t>
      </w:r>
      <w:r>
        <w:rPr>
          <w:rFonts w:hint="eastAsia" w:ascii="宋体" w:hAnsi="宋体" w:cs="宋体"/>
          <w:szCs w:val="21"/>
        </w:rPr>
        <w:t xml:space="preserve">采购过程   </w:t>
      </w:r>
    </w:p>
    <w:p>
      <w:pPr>
        <w:spacing w:line="360" w:lineRule="exact"/>
        <w:ind w:left="25" w:leftChars="12" w:firstLine="441" w:firstLineChars="147"/>
        <w:rPr>
          <w:rFonts w:ascii="宋体" w:hAnsi="宋体" w:cs="宋体"/>
          <w:bCs/>
          <w:szCs w:val="20"/>
          <w:u w:val="single"/>
        </w:rPr>
      </w:pPr>
      <w:r>
        <w:rPr>
          <w:rFonts w:hint="eastAsia" w:ascii="宋体" w:hAnsi="宋体" w:cs="宋体"/>
          <w:sz w:val="30"/>
          <w:szCs w:val="30"/>
        </w:rPr>
        <w:t>□</w:t>
      </w:r>
      <w:r>
        <w:rPr>
          <w:rFonts w:hint="eastAsia" w:ascii="宋体" w:hAnsi="宋体" w:cs="宋体"/>
          <w:szCs w:val="21"/>
          <w:lang w:eastAsia="zh-CN"/>
        </w:rPr>
        <w:t>中标</w:t>
      </w:r>
      <w:r>
        <w:rPr>
          <w:rFonts w:hint="eastAsia" w:ascii="宋体" w:hAnsi="宋体" w:cs="宋体"/>
          <w:szCs w:val="21"/>
        </w:rPr>
        <w:t xml:space="preserve">结果   </w:t>
      </w:r>
    </w:p>
    <w:p>
      <w:pPr>
        <w:spacing w:line="360" w:lineRule="exact"/>
        <w:ind w:left="25" w:leftChars="12" w:firstLine="413" w:firstLineChars="196"/>
        <w:rPr>
          <w:rFonts w:ascii="宋体" w:hAnsi="宋体" w:cs="宋体"/>
          <w:b/>
          <w:szCs w:val="21"/>
        </w:rPr>
      </w:pPr>
      <w:r>
        <w:rPr>
          <w:rFonts w:hint="eastAsia" w:ascii="宋体" w:hAnsi="宋体" w:cs="宋体"/>
          <w:b/>
          <w:szCs w:val="21"/>
        </w:rPr>
        <w:t>三、质疑事项具体内容</w:t>
      </w:r>
    </w:p>
    <w:p>
      <w:pPr>
        <w:spacing w:line="360" w:lineRule="exact"/>
        <w:ind w:left="25" w:leftChars="12" w:firstLine="413" w:firstLineChars="197"/>
        <w:rPr>
          <w:rFonts w:ascii="宋体" w:hAnsi="宋体" w:cs="宋体"/>
          <w:szCs w:val="21"/>
        </w:rPr>
      </w:pPr>
      <w:r>
        <w:rPr>
          <w:rFonts w:hint="eastAsia" w:ascii="宋体" w:hAnsi="宋体" w:cs="宋体"/>
          <w:szCs w:val="21"/>
        </w:rPr>
        <w:t>质疑事项1：</w:t>
      </w:r>
      <w:r>
        <w:rPr>
          <w:rFonts w:hint="eastAsia" w:ascii="宋体" w:hAnsi="宋体" w:cs="宋体"/>
          <w:bCs/>
          <w:szCs w:val="20"/>
          <w:u w:val="single"/>
        </w:rPr>
        <w:t xml:space="preserve">                                                                    </w:t>
      </w:r>
    </w:p>
    <w:p>
      <w:pPr>
        <w:spacing w:line="360" w:lineRule="exact"/>
        <w:ind w:left="25" w:leftChars="12" w:firstLine="413" w:firstLineChars="197"/>
        <w:rPr>
          <w:rFonts w:ascii="宋体" w:hAnsi="宋体" w:cs="宋体"/>
          <w:szCs w:val="21"/>
        </w:rPr>
      </w:pPr>
      <w:r>
        <w:rPr>
          <w:rFonts w:hint="eastAsia" w:ascii="宋体" w:hAnsi="宋体" w:cs="宋体"/>
          <w:szCs w:val="21"/>
        </w:rPr>
        <w:t>事实依据：</w:t>
      </w:r>
      <w:r>
        <w:rPr>
          <w:rFonts w:hint="eastAsia" w:ascii="宋体" w:hAnsi="宋体" w:cs="宋体"/>
          <w:bCs/>
          <w:szCs w:val="20"/>
          <w:u w:val="single"/>
        </w:rPr>
        <w:t xml:space="preserve">                                                                      </w:t>
      </w:r>
    </w:p>
    <w:p>
      <w:pPr>
        <w:spacing w:line="360" w:lineRule="exact"/>
        <w:ind w:left="25" w:leftChars="12" w:firstLine="413" w:firstLineChars="197"/>
        <w:rPr>
          <w:rFonts w:ascii="宋体" w:hAnsi="宋体" w:cs="宋体"/>
          <w:szCs w:val="21"/>
        </w:rPr>
      </w:pPr>
      <w:r>
        <w:rPr>
          <w:rFonts w:hint="eastAsia" w:ascii="宋体" w:hAnsi="宋体" w:cs="宋体"/>
          <w:szCs w:val="21"/>
        </w:rPr>
        <w:t>法律依据：</w:t>
      </w:r>
      <w:r>
        <w:rPr>
          <w:rFonts w:hint="eastAsia" w:ascii="宋体" w:hAnsi="宋体" w:cs="宋体"/>
          <w:szCs w:val="21"/>
          <w:u w:val="single"/>
        </w:rPr>
        <w:t xml:space="preserve">                                                        </w:t>
      </w:r>
      <w:r>
        <w:rPr>
          <w:rFonts w:hint="eastAsia" w:ascii="宋体" w:hAnsi="宋体" w:cs="宋体"/>
          <w:bCs/>
          <w:szCs w:val="20"/>
          <w:u w:val="single"/>
        </w:rPr>
        <w:t xml:space="preserve">               </w:t>
      </w:r>
    </w:p>
    <w:p>
      <w:pPr>
        <w:spacing w:line="360" w:lineRule="exact"/>
        <w:ind w:left="25" w:leftChars="12" w:firstLine="413" w:firstLineChars="197"/>
        <w:rPr>
          <w:rFonts w:ascii="宋体" w:hAnsi="宋体" w:cs="宋体"/>
          <w:szCs w:val="21"/>
        </w:rPr>
      </w:pPr>
      <w:r>
        <w:rPr>
          <w:rFonts w:hint="eastAsia" w:ascii="宋体" w:hAnsi="宋体" w:cs="宋体"/>
          <w:szCs w:val="21"/>
        </w:rPr>
        <w:t>质疑事项2</w:t>
      </w:r>
    </w:p>
    <w:p>
      <w:pPr>
        <w:spacing w:line="360" w:lineRule="exact"/>
        <w:ind w:left="25" w:leftChars="12" w:firstLine="413" w:firstLineChars="197"/>
        <w:rPr>
          <w:rFonts w:ascii="宋体" w:hAnsi="宋体" w:cs="宋体"/>
          <w:szCs w:val="21"/>
        </w:rPr>
      </w:pPr>
      <w:r>
        <w:rPr>
          <w:rFonts w:hint="eastAsia" w:ascii="宋体" w:hAnsi="宋体" w:cs="宋体"/>
          <w:szCs w:val="21"/>
        </w:rPr>
        <w:t>……</w:t>
      </w:r>
    </w:p>
    <w:p>
      <w:pPr>
        <w:spacing w:line="360" w:lineRule="exact"/>
        <w:ind w:left="25" w:leftChars="12" w:firstLine="413" w:firstLineChars="197"/>
        <w:rPr>
          <w:rFonts w:ascii="宋体" w:hAnsi="宋体" w:cs="宋体"/>
          <w:szCs w:val="21"/>
        </w:rPr>
      </w:pPr>
      <w:r>
        <w:rPr>
          <w:rFonts w:hint="eastAsia" w:ascii="宋体" w:hAnsi="宋体" w:cs="宋体"/>
          <w:szCs w:val="21"/>
        </w:rPr>
        <w:t>四、与质疑事项相关的质疑请求：</w:t>
      </w:r>
    </w:p>
    <w:p>
      <w:pPr>
        <w:spacing w:line="360" w:lineRule="exact"/>
        <w:ind w:left="25" w:leftChars="12" w:firstLine="413" w:firstLineChars="197"/>
        <w:rPr>
          <w:rFonts w:ascii="宋体" w:hAnsi="宋体" w:cs="宋体"/>
          <w:szCs w:val="21"/>
        </w:rPr>
      </w:pPr>
      <w:r>
        <w:rPr>
          <w:rFonts w:hint="eastAsia" w:ascii="宋体" w:hAnsi="宋体" w:cs="宋体"/>
          <w:szCs w:val="21"/>
        </w:rPr>
        <w:t>请求：</w:t>
      </w:r>
      <w:r>
        <w:rPr>
          <w:rFonts w:hint="eastAsia" w:ascii="宋体" w:hAnsi="宋体" w:cs="宋体"/>
          <w:bCs/>
          <w:szCs w:val="20"/>
          <w:u w:val="single"/>
        </w:rPr>
        <w:t xml:space="preserve">                                                                </w:t>
      </w:r>
    </w:p>
    <w:p>
      <w:pPr>
        <w:spacing w:line="360" w:lineRule="exact"/>
        <w:ind w:left="25" w:leftChars="12" w:firstLine="308" w:firstLineChars="147"/>
        <w:rPr>
          <w:rFonts w:ascii="宋体" w:hAnsi="宋体" w:cs="宋体"/>
          <w:szCs w:val="21"/>
        </w:rPr>
      </w:pPr>
    </w:p>
    <w:p>
      <w:pPr>
        <w:spacing w:line="360" w:lineRule="exact"/>
        <w:ind w:left="25" w:leftChars="12" w:firstLine="413" w:firstLineChars="197"/>
        <w:rPr>
          <w:rFonts w:ascii="宋体" w:hAnsi="宋体" w:cs="宋体"/>
          <w:szCs w:val="21"/>
        </w:rPr>
      </w:pPr>
      <w:r>
        <w:rPr>
          <w:rFonts w:hint="eastAsia" w:ascii="宋体" w:hAnsi="宋体" w:cs="宋体"/>
          <w:szCs w:val="21"/>
        </w:rPr>
        <w:t>签字（签章）：                                       公章：</w:t>
      </w:r>
    </w:p>
    <w:p>
      <w:pPr>
        <w:spacing w:line="360" w:lineRule="exact"/>
        <w:ind w:left="25" w:leftChars="12" w:firstLine="308" w:firstLineChars="147"/>
        <w:rPr>
          <w:rFonts w:ascii="宋体" w:hAnsi="宋体" w:cs="宋体"/>
          <w:szCs w:val="21"/>
        </w:rPr>
      </w:pPr>
    </w:p>
    <w:p>
      <w:pPr>
        <w:spacing w:line="360" w:lineRule="exact"/>
        <w:ind w:left="25" w:leftChars="12" w:firstLine="413" w:firstLineChars="197"/>
        <w:rPr>
          <w:rFonts w:ascii="宋体" w:hAnsi="宋体" w:cs="宋体"/>
          <w:szCs w:val="21"/>
        </w:rPr>
      </w:pPr>
      <w:r>
        <w:rPr>
          <w:rFonts w:hint="eastAsia" w:ascii="宋体" w:hAnsi="宋体" w:cs="宋体"/>
          <w:szCs w:val="21"/>
        </w:rPr>
        <w:t>日期：</w:t>
      </w:r>
    </w:p>
    <w:p>
      <w:pPr>
        <w:snapToGrid w:val="0"/>
        <w:spacing w:line="360" w:lineRule="auto"/>
        <w:rPr>
          <w:rFonts w:ascii="宋体" w:hAnsi="宋体" w:cs="宋体"/>
          <w:b/>
          <w:szCs w:val="21"/>
        </w:rPr>
      </w:pPr>
      <w:r>
        <w:rPr>
          <w:rFonts w:hint="eastAsia" w:ascii="宋体" w:hAnsi="宋体" w:cs="宋体"/>
          <w:b/>
          <w:szCs w:val="21"/>
        </w:rPr>
        <w:t>说明：</w:t>
      </w:r>
    </w:p>
    <w:p>
      <w:pPr>
        <w:snapToGrid w:val="0"/>
        <w:spacing w:line="360" w:lineRule="auto"/>
        <w:rPr>
          <w:rFonts w:ascii="宋体" w:hAnsi="宋体" w:cs="宋体"/>
          <w:b/>
          <w:szCs w:val="21"/>
        </w:rPr>
      </w:pPr>
      <w:r>
        <w:rPr>
          <w:rFonts w:hint="eastAsia" w:ascii="宋体" w:hAnsi="宋体" w:cs="宋体"/>
          <w:b/>
          <w:szCs w:val="21"/>
        </w:rPr>
        <w:t>1.供应商提出质疑时，应提交质疑函和必要的证明材料。</w:t>
      </w:r>
    </w:p>
    <w:p>
      <w:pPr>
        <w:snapToGrid w:val="0"/>
        <w:spacing w:line="360" w:lineRule="auto"/>
        <w:rPr>
          <w:rFonts w:ascii="宋体" w:hAnsi="宋体" w:cs="宋体"/>
          <w:b/>
          <w:szCs w:val="21"/>
        </w:rPr>
      </w:pPr>
      <w:r>
        <w:rPr>
          <w:rFonts w:hint="eastAsia" w:ascii="宋体" w:hAnsi="宋体" w:cs="宋体"/>
          <w:b/>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napToGrid w:val="0"/>
        <w:spacing w:line="360" w:lineRule="auto"/>
        <w:rPr>
          <w:rFonts w:ascii="宋体" w:hAnsi="宋体" w:cs="宋体"/>
          <w:b/>
          <w:szCs w:val="21"/>
        </w:rPr>
      </w:pPr>
      <w:r>
        <w:rPr>
          <w:rFonts w:hint="eastAsia" w:ascii="宋体" w:hAnsi="宋体" w:cs="宋体"/>
          <w:b/>
          <w:szCs w:val="21"/>
        </w:rPr>
        <w:t>3.质疑函的质疑事项应具体、明确，并有必要的事实依据和法律依据。</w:t>
      </w:r>
    </w:p>
    <w:p>
      <w:pPr>
        <w:snapToGrid w:val="0"/>
        <w:spacing w:line="360" w:lineRule="auto"/>
        <w:rPr>
          <w:rFonts w:ascii="宋体" w:hAnsi="宋体" w:cs="宋体"/>
          <w:b/>
          <w:szCs w:val="21"/>
        </w:rPr>
      </w:pPr>
      <w:r>
        <w:rPr>
          <w:rFonts w:hint="eastAsia" w:ascii="宋体" w:hAnsi="宋体" w:cs="宋体"/>
          <w:b/>
          <w:szCs w:val="21"/>
        </w:rPr>
        <w:t>4.质疑函的质疑请求应与质疑事项相关。</w:t>
      </w:r>
    </w:p>
    <w:p>
      <w:pPr>
        <w:snapToGrid w:val="0"/>
        <w:spacing w:line="360" w:lineRule="auto"/>
      </w:pPr>
      <w:r>
        <w:rPr>
          <w:rFonts w:hint="eastAsia" w:ascii="宋体" w:hAnsi="宋体" w:cs="宋体"/>
          <w:b/>
          <w:szCs w:val="21"/>
        </w:rPr>
        <w:t>5.质疑供应商为自然人的，质疑函应由本人签字；质疑供应商为法人或者其他组织的，质疑函应由法定代表人、主要负责人，或者其授权代表签字或者盖章，并加盖公章。</w:t>
      </w:r>
    </w:p>
    <w:p>
      <w:pPr>
        <w:snapToGrid w:val="0"/>
        <w:spacing w:line="340" w:lineRule="exact"/>
        <w:rPr>
          <w:rFonts w:ascii="宋体" w:hAnsi="宋体" w:cs="宋体"/>
          <w:b/>
        </w:rPr>
      </w:pPr>
      <w:r>
        <w:rPr>
          <w:rFonts w:hint="eastAsia" w:ascii="宋体" w:hAnsi="宋体" w:cs="宋体"/>
          <w:b/>
        </w:rPr>
        <w:t>附表2：</w:t>
      </w:r>
    </w:p>
    <w:p>
      <w:pPr>
        <w:spacing w:line="460" w:lineRule="exact"/>
        <w:rPr>
          <w:rFonts w:ascii="宋体" w:hAnsi="宋体" w:cs="宋体"/>
          <w:szCs w:val="21"/>
        </w:rPr>
      </w:pPr>
    </w:p>
    <w:p>
      <w:pPr>
        <w:spacing w:line="460" w:lineRule="exact"/>
        <w:jc w:val="center"/>
        <w:rPr>
          <w:rFonts w:ascii="宋体" w:hAnsi="宋体" w:cs="宋体"/>
          <w:b/>
          <w:bCs/>
          <w:szCs w:val="21"/>
        </w:rPr>
      </w:pPr>
      <w:r>
        <w:rPr>
          <w:rFonts w:hint="eastAsia" w:ascii="宋体" w:hAnsi="宋体" w:cs="宋体"/>
          <w:b/>
          <w:bCs/>
          <w:szCs w:val="21"/>
        </w:rPr>
        <w:t>投诉书（格式）</w:t>
      </w:r>
    </w:p>
    <w:p>
      <w:pPr>
        <w:snapToGrid w:val="0"/>
        <w:spacing w:line="400" w:lineRule="exact"/>
        <w:ind w:firstLine="422"/>
        <w:rPr>
          <w:rFonts w:ascii="宋体" w:hAnsi="宋体" w:cs="宋体"/>
          <w:b/>
          <w:bCs/>
          <w:szCs w:val="20"/>
        </w:rPr>
      </w:pPr>
      <w:r>
        <w:rPr>
          <w:rFonts w:hint="eastAsia" w:ascii="宋体" w:hAnsi="宋体" w:cs="宋体"/>
          <w:b/>
          <w:bCs/>
          <w:szCs w:val="20"/>
        </w:rPr>
        <w:t>一、投诉相关主体基本情况：</w:t>
      </w:r>
    </w:p>
    <w:p>
      <w:pPr>
        <w:snapToGrid w:val="0"/>
        <w:spacing w:line="400" w:lineRule="exact"/>
        <w:ind w:firstLine="420"/>
        <w:rPr>
          <w:rFonts w:ascii="宋体" w:hAnsi="宋体" w:cs="宋体"/>
          <w:bCs/>
          <w:szCs w:val="20"/>
          <w:u w:val="single"/>
        </w:rPr>
      </w:pPr>
      <w:r>
        <w:rPr>
          <w:rFonts w:hint="eastAsia" w:ascii="宋体" w:hAnsi="宋体" w:cs="宋体"/>
          <w:bCs/>
          <w:szCs w:val="20"/>
        </w:rPr>
        <w:t>供应商：</w:t>
      </w:r>
      <w:r>
        <w:rPr>
          <w:rFonts w:hint="eastAsia" w:ascii="宋体" w:hAnsi="宋体" w:cs="宋体"/>
          <w:bCs/>
          <w:szCs w:val="20"/>
          <w:u w:val="single"/>
        </w:rPr>
        <w:t xml:space="preserve">                                                                        </w:t>
      </w:r>
      <w:r>
        <w:rPr>
          <w:rFonts w:hint="eastAsia" w:ascii="宋体" w:hAnsi="宋体" w:cs="宋体"/>
          <w:bCs/>
          <w:szCs w:val="20"/>
        </w:rPr>
        <w:t xml:space="preserve">                 </w:t>
      </w:r>
    </w:p>
    <w:p>
      <w:pPr>
        <w:snapToGrid w:val="0"/>
        <w:spacing w:line="400" w:lineRule="exact"/>
        <w:ind w:firstLine="420"/>
        <w:rPr>
          <w:rFonts w:ascii="宋体" w:hAnsi="宋体" w:cs="宋体"/>
          <w:bCs/>
          <w:szCs w:val="20"/>
        </w:rPr>
      </w:pPr>
      <w:r>
        <w:rPr>
          <w:rFonts w:hint="eastAsia" w:ascii="宋体" w:hAnsi="宋体" w:cs="宋体"/>
          <w:bCs/>
          <w:szCs w:val="20"/>
        </w:rPr>
        <w:t>地址：</w:t>
      </w:r>
      <w:r>
        <w:rPr>
          <w:rFonts w:hint="eastAsia" w:ascii="宋体" w:hAnsi="宋体" w:cs="宋体"/>
          <w:bCs/>
          <w:szCs w:val="20"/>
          <w:u w:val="single"/>
        </w:rPr>
        <w:t xml:space="preserve">                                          </w:t>
      </w:r>
      <w:r>
        <w:rPr>
          <w:rFonts w:hint="eastAsia" w:ascii="宋体" w:hAnsi="宋体" w:cs="宋体"/>
          <w:bCs/>
          <w:szCs w:val="20"/>
        </w:rPr>
        <w:t>邮编：</w:t>
      </w:r>
      <w:r>
        <w:rPr>
          <w:rFonts w:hint="eastAsia" w:ascii="宋体" w:hAnsi="宋体" w:cs="宋体"/>
          <w:bCs/>
          <w:szCs w:val="20"/>
          <w:u w:val="single"/>
        </w:rPr>
        <w:t xml:space="preserve">                          </w:t>
      </w:r>
      <w:r>
        <w:rPr>
          <w:rFonts w:hint="eastAsia" w:ascii="宋体" w:hAnsi="宋体" w:cs="宋体"/>
          <w:bCs/>
          <w:szCs w:val="20"/>
        </w:rPr>
        <w:t xml:space="preserve">                 </w:t>
      </w:r>
    </w:p>
    <w:p>
      <w:pPr>
        <w:snapToGrid w:val="0"/>
        <w:spacing w:line="400" w:lineRule="exact"/>
        <w:ind w:firstLine="420"/>
        <w:rPr>
          <w:rFonts w:ascii="宋体" w:hAnsi="宋体" w:cs="宋体"/>
          <w:bCs/>
          <w:szCs w:val="20"/>
          <w:u w:val="single"/>
        </w:rPr>
      </w:pPr>
      <w:r>
        <w:rPr>
          <w:rFonts w:hint="eastAsia" w:ascii="宋体" w:hAnsi="宋体" w:cs="宋体"/>
          <w:bCs/>
          <w:szCs w:val="20"/>
        </w:rPr>
        <w:t>法定代表人/主要负责人：</w:t>
      </w:r>
      <w:r>
        <w:rPr>
          <w:rFonts w:hint="eastAsia" w:ascii="宋体" w:hAnsi="宋体" w:cs="宋体"/>
          <w:bCs/>
          <w:szCs w:val="20"/>
          <w:u w:val="single"/>
        </w:rPr>
        <w:t xml:space="preserve">                                                         </w:t>
      </w:r>
    </w:p>
    <w:p>
      <w:pPr>
        <w:snapToGrid w:val="0"/>
        <w:spacing w:line="400" w:lineRule="exact"/>
        <w:ind w:firstLine="420"/>
        <w:rPr>
          <w:rFonts w:ascii="宋体" w:hAnsi="宋体" w:cs="宋体"/>
          <w:bCs/>
          <w:szCs w:val="20"/>
        </w:rPr>
      </w:pPr>
      <w:r>
        <w:rPr>
          <w:rFonts w:hint="eastAsia" w:ascii="宋体" w:hAnsi="宋体" w:cs="宋体"/>
          <w:bCs/>
          <w:szCs w:val="20"/>
        </w:rPr>
        <w:t>联系电话：</w:t>
      </w:r>
      <w:r>
        <w:rPr>
          <w:rFonts w:hint="eastAsia" w:ascii="宋体" w:hAnsi="宋体" w:cs="宋体"/>
          <w:bCs/>
          <w:szCs w:val="20"/>
          <w:u w:val="single"/>
        </w:rPr>
        <w:t xml:space="preserve">                                         </w:t>
      </w:r>
    </w:p>
    <w:p>
      <w:pPr>
        <w:snapToGrid w:val="0"/>
        <w:spacing w:line="400" w:lineRule="exact"/>
        <w:ind w:firstLine="420"/>
        <w:rPr>
          <w:rFonts w:ascii="宋体" w:hAnsi="宋体" w:cs="宋体"/>
          <w:bCs/>
          <w:szCs w:val="20"/>
          <w:u w:val="single"/>
        </w:rPr>
      </w:pPr>
      <w:r>
        <w:rPr>
          <w:rFonts w:hint="eastAsia" w:ascii="宋体" w:hAnsi="宋体" w:cs="宋体"/>
          <w:bCs/>
          <w:szCs w:val="20"/>
        </w:rPr>
        <w:t>授权代表：</w:t>
      </w:r>
      <w:r>
        <w:rPr>
          <w:rFonts w:hint="eastAsia" w:ascii="宋体" w:hAnsi="宋体" w:cs="宋体"/>
          <w:bCs/>
          <w:szCs w:val="20"/>
          <w:u w:val="single"/>
        </w:rPr>
        <w:t xml:space="preserve">                                         </w:t>
      </w:r>
      <w:r>
        <w:rPr>
          <w:rFonts w:hint="eastAsia" w:ascii="宋体" w:hAnsi="宋体" w:cs="宋体"/>
          <w:bCs/>
          <w:szCs w:val="20"/>
        </w:rPr>
        <w:t>联系电话：</w:t>
      </w:r>
      <w:r>
        <w:rPr>
          <w:rFonts w:hint="eastAsia" w:ascii="宋体" w:hAnsi="宋体" w:cs="宋体"/>
          <w:bCs/>
          <w:szCs w:val="20"/>
          <w:u w:val="single"/>
        </w:rPr>
        <w:t xml:space="preserve">                   </w:t>
      </w:r>
    </w:p>
    <w:p>
      <w:pPr>
        <w:snapToGrid w:val="0"/>
        <w:spacing w:line="400" w:lineRule="exact"/>
        <w:ind w:firstLine="420"/>
        <w:rPr>
          <w:rFonts w:ascii="宋体" w:hAnsi="宋体" w:cs="宋体"/>
          <w:bCs/>
          <w:szCs w:val="20"/>
        </w:rPr>
      </w:pPr>
      <w:r>
        <w:rPr>
          <w:rFonts w:hint="eastAsia" w:ascii="宋体" w:hAnsi="宋体" w:cs="宋体"/>
          <w:bCs/>
          <w:szCs w:val="20"/>
        </w:rPr>
        <w:t>地址：</w:t>
      </w:r>
      <w:r>
        <w:rPr>
          <w:rFonts w:hint="eastAsia" w:ascii="宋体" w:hAnsi="宋体" w:cs="宋体"/>
          <w:bCs/>
          <w:szCs w:val="20"/>
          <w:u w:val="single"/>
        </w:rPr>
        <w:t xml:space="preserve">                                                            </w:t>
      </w:r>
      <w:r>
        <w:rPr>
          <w:rFonts w:hint="eastAsia" w:ascii="宋体" w:hAnsi="宋体" w:cs="宋体"/>
          <w:bCs/>
          <w:szCs w:val="20"/>
        </w:rPr>
        <w:t>邮编：</w:t>
      </w:r>
      <w:r>
        <w:rPr>
          <w:rFonts w:hint="eastAsia" w:ascii="宋体" w:hAnsi="宋体" w:cs="宋体"/>
          <w:bCs/>
          <w:szCs w:val="20"/>
          <w:u w:val="single"/>
        </w:rPr>
        <w:t xml:space="preserve">         </w:t>
      </w:r>
      <w:r>
        <w:rPr>
          <w:rFonts w:hint="eastAsia" w:ascii="宋体" w:hAnsi="宋体" w:cs="宋体"/>
          <w:bCs/>
          <w:szCs w:val="20"/>
        </w:rPr>
        <w:t xml:space="preserve">   </w:t>
      </w:r>
    </w:p>
    <w:p>
      <w:pPr>
        <w:snapToGrid w:val="0"/>
        <w:spacing w:line="400" w:lineRule="exact"/>
        <w:ind w:firstLine="420"/>
        <w:rPr>
          <w:rFonts w:ascii="宋体" w:hAnsi="宋体" w:cs="宋体"/>
          <w:bCs/>
          <w:szCs w:val="20"/>
        </w:rPr>
      </w:pPr>
      <w:r>
        <w:rPr>
          <w:rFonts w:hint="eastAsia" w:ascii="宋体" w:hAnsi="宋体" w:cs="宋体"/>
          <w:bCs/>
          <w:szCs w:val="20"/>
        </w:rPr>
        <w:t>被投诉人1：</w:t>
      </w:r>
    </w:p>
    <w:p>
      <w:pPr>
        <w:snapToGrid w:val="0"/>
        <w:spacing w:line="400" w:lineRule="exact"/>
        <w:ind w:firstLine="420"/>
        <w:rPr>
          <w:rFonts w:ascii="宋体" w:hAnsi="宋体" w:cs="宋体"/>
          <w:bCs/>
          <w:szCs w:val="20"/>
        </w:rPr>
      </w:pPr>
      <w:r>
        <w:rPr>
          <w:rFonts w:hint="eastAsia" w:ascii="宋体" w:hAnsi="宋体" w:cs="宋体"/>
          <w:bCs/>
          <w:szCs w:val="20"/>
        </w:rPr>
        <w:t>地址：</w:t>
      </w:r>
      <w:r>
        <w:rPr>
          <w:rFonts w:hint="eastAsia" w:ascii="宋体" w:hAnsi="宋体" w:cs="宋体"/>
          <w:bCs/>
          <w:szCs w:val="20"/>
          <w:u w:val="single"/>
        </w:rPr>
        <w:t xml:space="preserve">                                                            </w:t>
      </w:r>
      <w:r>
        <w:rPr>
          <w:rFonts w:hint="eastAsia" w:ascii="宋体" w:hAnsi="宋体" w:cs="宋体"/>
          <w:bCs/>
          <w:szCs w:val="20"/>
        </w:rPr>
        <w:t>邮编：</w:t>
      </w:r>
      <w:r>
        <w:rPr>
          <w:rFonts w:hint="eastAsia" w:ascii="宋体" w:hAnsi="宋体" w:cs="宋体"/>
          <w:bCs/>
          <w:szCs w:val="20"/>
          <w:u w:val="single"/>
        </w:rPr>
        <w:t xml:space="preserve">         </w:t>
      </w:r>
      <w:r>
        <w:rPr>
          <w:rFonts w:hint="eastAsia" w:ascii="宋体" w:hAnsi="宋体" w:cs="宋体"/>
          <w:bCs/>
          <w:szCs w:val="20"/>
        </w:rPr>
        <w:t xml:space="preserve">  </w:t>
      </w:r>
    </w:p>
    <w:p>
      <w:pPr>
        <w:snapToGrid w:val="0"/>
        <w:spacing w:line="400" w:lineRule="exact"/>
        <w:ind w:firstLine="420"/>
        <w:rPr>
          <w:rFonts w:ascii="宋体" w:hAnsi="宋体" w:cs="宋体"/>
          <w:bCs/>
          <w:szCs w:val="20"/>
          <w:u w:val="single"/>
        </w:rPr>
      </w:pPr>
      <w:r>
        <w:rPr>
          <w:rFonts w:hint="eastAsia" w:ascii="宋体" w:hAnsi="宋体" w:cs="宋体"/>
          <w:bCs/>
          <w:szCs w:val="20"/>
        </w:rPr>
        <w:t>联系人：</w:t>
      </w:r>
      <w:r>
        <w:rPr>
          <w:rFonts w:hint="eastAsia" w:ascii="宋体" w:hAnsi="宋体" w:cs="宋体"/>
          <w:bCs/>
          <w:szCs w:val="20"/>
          <w:u w:val="single"/>
        </w:rPr>
        <w:t xml:space="preserve">                                                </w:t>
      </w:r>
      <w:r>
        <w:rPr>
          <w:rFonts w:hint="eastAsia" w:ascii="宋体" w:hAnsi="宋体" w:cs="宋体"/>
          <w:bCs/>
          <w:szCs w:val="20"/>
        </w:rPr>
        <w:t>联系电话：</w:t>
      </w:r>
      <w:r>
        <w:rPr>
          <w:rFonts w:hint="eastAsia" w:ascii="宋体" w:hAnsi="宋体" w:cs="宋体"/>
          <w:bCs/>
          <w:szCs w:val="20"/>
          <w:u w:val="single"/>
        </w:rPr>
        <w:t xml:space="preserve">                </w:t>
      </w:r>
    </w:p>
    <w:p>
      <w:pPr>
        <w:snapToGrid w:val="0"/>
        <w:spacing w:line="400" w:lineRule="exact"/>
        <w:ind w:firstLine="420"/>
        <w:rPr>
          <w:rFonts w:ascii="宋体" w:hAnsi="宋体" w:cs="宋体"/>
          <w:bCs/>
          <w:szCs w:val="20"/>
        </w:rPr>
      </w:pPr>
      <w:r>
        <w:rPr>
          <w:rFonts w:hint="eastAsia" w:ascii="宋体" w:hAnsi="宋体" w:cs="宋体"/>
          <w:bCs/>
          <w:szCs w:val="20"/>
        </w:rPr>
        <w:t>被投诉人2：</w:t>
      </w:r>
    </w:p>
    <w:p>
      <w:pPr>
        <w:snapToGrid w:val="0"/>
        <w:spacing w:line="400" w:lineRule="exact"/>
        <w:ind w:firstLine="420"/>
        <w:rPr>
          <w:rFonts w:ascii="宋体" w:hAnsi="宋体" w:cs="宋体"/>
          <w:bCs/>
          <w:szCs w:val="20"/>
        </w:rPr>
      </w:pPr>
      <w:r>
        <w:rPr>
          <w:rFonts w:hint="eastAsia" w:ascii="宋体" w:hAnsi="宋体" w:cs="宋体"/>
          <w:bCs/>
          <w:szCs w:val="20"/>
        </w:rPr>
        <w:t>……</w:t>
      </w:r>
    </w:p>
    <w:p>
      <w:pPr>
        <w:snapToGrid w:val="0"/>
        <w:spacing w:line="400" w:lineRule="exact"/>
        <w:ind w:firstLine="420"/>
        <w:rPr>
          <w:rFonts w:ascii="宋体" w:hAnsi="宋体" w:cs="宋体"/>
          <w:bCs/>
          <w:szCs w:val="20"/>
          <w:u w:val="single"/>
        </w:rPr>
      </w:pPr>
      <w:r>
        <w:rPr>
          <w:rFonts w:hint="eastAsia" w:ascii="宋体" w:hAnsi="宋体" w:cs="宋体"/>
          <w:bCs/>
          <w:szCs w:val="20"/>
        </w:rPr>
        <w:t>相关供应商：</w:t>
      </w:r>
      <w:r>
        <w:rPr>
          <w:rFonts w:hint="eastAsia" w:ascii="宋体" w:hAnsi="宋体" w:cs="宋体"/>
          <w:bCs/>
          <w:szCs w:val="20"/>
          <w:u w:val="single"/>
        </w:rPr>
        <w:t xml:space="preserve">                                                                       </w:t>
      </w:r>
    </w:p>
    <w:p>
      <w:pPr>
        <w:snapToGrid w:val="0"/>
        <w:spacing w:line="400" w:lineRule="exact"/>
        <w:ind w:firstLine="420"/>
        <w:rPr>
          <w:rFonts w:ascii="宋体" w:hAnsi="宋体" w:cs="宋体"/>
          <w:bCs/>
          <w:szCs w:val="20"/>
          <w:u w:val="single"/>
        </w:rPr>
      </w:pPr>
      <w:r>
        <w:rPr>
          <w:rFonts w:hint="eastAsia" w:ascii="宋体" w:hAnsi="宋体" w:cs="宋体"/>
          <w:bCs/>
          <w:szCs w:val="20"/>
        </w:rPr>
        <w:t>地址：</w:t>
      </w:r>
      <w:r>
        <w:rPr>
          <w:rFonts w:hint="eastAsia" w:ascii="宋体" w:hAnsi="宋体" w:cs="宋体"/>
          <w:bCs/>
          <w:szCs w:val="20"/>
          <w:u w:val="single"/>
        </w:rPr>
        <w:t xml:space="preserve">                                              </w:t>
      </w:r>
      <w:r>
        <w:rPr>
          <w:rFonts w:hint="eastAsia" w:ascii="宋体" w:hAnsi="宋体" w:cs="宋体"/>
          <w:bCs/>
          <w:szCs w:val="20"/>
        </w:rPr>
        <w:t>邮编：</w:t>
      </w:r>
      <w:r>
        <w:rPr>
          <w:rFonts w:hint="eastAsia" w:ascii="宋体" w:hAnsi="宋体" w:cs="宋体"/>
          <w:bCs/>
          <w:szCs w:val="20"/>
          <w:u w:val="single"/>
        </w:rPr>
        <w:t xml:space="preserve">                         </w:t>
      </w:r>
    </w:p>
    <w:p>
      <w:pPr>
        <w:snapToGrid w:val="0"/>
        <w:spacing w:line="400" w:lineRule="exact"/>
        <w:ind w:firstLine="420"/>
        <w:rPr>
          <w:rFonts w:ascii="宋体" w:hAnsi="宋体" w:cs="宋体"/>
          <w:bCs/>
          <w:szCs w:val="20"/>
        </w:rPr>
      </w:pPr>
      <w:r>
        <w:rPr>
          <w:rFonts w:hint="eastAsia" w:ascii="宋体" w:hAnsi="宋体" w:cs="宋体"/>
          <w:bCs/>
          <w:szCs w:val="20"/>
        </w:rPr>
        <w:t>联系人：</w:t>
      </w:r>
      <w:r>
        <w:rPr>
          <w:rFonts w:hint="eastAsia" w:ascii="宋体" w:hAnsi="宋体" w:cs="宋体"/>
          <w:bCs/>
          <w:szCs w:val="20"/>
          <w:u w:val="single"/>
        </w:rPr>
        <w:t xml:space="preserve">                                            </w:t>
      </w:r>
      <w:r>
        <w:rPr>
          <w:rFonts w:hint="eastAsia" w:ascii="宋体" w:hAnsi="宋体" w:cs="宋体"/>
          <w:bCs/>
          <w:szCs w:val="20"/>
        </w:rPr>
        <w:t>联系电话：</w:t>
      </w:r>
      <w:r>
        <w:rPr>
          <w:rFonts w:hint="eastAsia" w:ascii="宋体" w:hAnsi="宋体" w:cs="宋体"/>
          <w:bCs/>
          <w:szCs w:val="20"/>
          <w:u w:val="single"/>
        </w:rPr>
        <w:t xml:space="preserve">                     </w:t>
      </w:r>
      <w:r>
        <w:rPr>
          <w:rFonts w:hint="eastAsia" w:ascii="宋体" w:hAnsi="宋体" w:cs="宋体"/>
          <w:bCs/>
          <w:szCs w:val="20"/>
        </w:rPr>
        <w:t xml:space="preserve">                </w:t>
      </w:r>
    </w:p>
    <w:p>
      <w:pPr>
        <w:snapToGrid w:val="0"/>
        <w:spacing w:line="400" w:lineRule="exact"/>
        <w:ind w:firstLine="422"/>
        <w:rPr>
          <w:rFonts w:ascii="宋体" w:hAnsi="宋体" w:cs="宋体"/>
          <w:b/>
          <w:bCs/>
          <w:szCs w:val="20"/>
        </w:rPr>
      </w:pPr>
      <w:r>
        <w:rPr>
          <w:rFonts w:hint="eastAsia" w:ascii="宋体" w:hAnsi="宋体" w:cs="宋体"/>
          <w:b/>
          <w:bCs/>
          <w:szCs w:val="20"/>
        </w:rPr>
        <w:t>二、投诉项目基本情况：</w:t>
      </w:r>
    </w:p>
    <w:p>
      <w:pPr>
        <w:spacing w:line="400" w:lineRule="exact"/>
        <w:ind w:left="25" w:leftChars="12" w:firstLine="413" w:firstLineChars="197"/>
        <w:rPr>
          <w:rFonts w:ascii="宋体" w:hAnsi="宋体" w:cs="宋体"/>
          <w:szCs w:val="21"/>
        </w:rPr>
      </w:pPr>
      <w:r>
        <w:rPr>
          <w:rFonts w:hint="eastAsia" w:ascii="宋体" w:hAnsi="宋体" w:cs="宋体"/>
          <w:bCs/>
          <w:szCs w:val="20"/>
        </w:rPr>
        <w:t>采购</w:t>
      </w:r>
      <w:r>
        <w:rPr>
          <w:rFonts w:hint="eastAsia" w:ascii="宋体" w:hAnsi="宋体" w:cs="宋体"/>
          <w:szCs w:val="21"/>
        </w:rPr>
        <w:t>项目的名称：</w:t>
      </w:r>
      <w:r>
        <w:rPr>
          <w:rFonts w:hint="eastAsia" w:ascii="宋体" w:hAnsi="宋体" w:cs="宋体"/>
          <w:bCs/>
          <w:szCs w:val="20"/>
          <w:u w:val="single"/>
        </w:rPr>
        <w:t xml:space="preserve">                                                                   </w:t>
      </w:r>
    </w:p>
    <w:p>
      <w:pPr>
        <w:spacing w:line="400" w:lineRule="exact"/>
        <w:ind w:left="25" w:leftChars="12" w:firstLine="413" w:firstLineChars="197"/>
        <w:rPr>
          <w:rFonts w:ascii="宋体" w:hAnsi="宋体" w:cs="宋体"/>
          <w:szCs w:val="21"/>
        </w:rPr>
      </w:pPr>
      <w:r>
        <w:rPr>
          <w:rFonts w:hint="eastAsia" w:ascii="宋体" w:hAnsi="宋体" w:cs="宋体"/>
          <w:bCs/>
          <w:szCs w:val="20"/>
        </w:rPr>
        <w:t>采购</w:t>
      </w:r>
      <w:r>
        <w:rPr>
          <w:rFonts w:hint="eastAsia" w:ascii="宋体" w:hAnsi="宋体" w:cs="宋体"/>
          <w:szCs w:val="21"/>
        </w:rPr>
        <w:t>项目的编号：</w:t>
      </w:r>
      <w:r>
        <w:rPr>
          <w:rFonts w:hint="eastAsia" w:ascii="宋体" w:hAnsi="宋体" w:cs="宋体"/>
          <w:bCs/>
          <w:szCs w:val="20"/>
          <w:u w:val="single"/>
        </w:rPr>
        <w:t xml:space="preserve">                                        </w:t>
      </w:r>
    </w:p>
    <w:p>
      <w:pPr>
        <w:spacing w:line="400" w:lineRule="exact"/>
        <w:ind w:left="25" w:leftChars="12" w:firstLine="413" w:firstLineChars="197"/>
        <w:rPr>
          <w:rFonts w:ascii="宋体" w:hAnsi="宋体" w:cs="宋体"/>
          <w:bCs/>
          <w:szCs w:val="20"/>
          <w:u w:val="single"/>
        </w:rPr>
      </w:pPr>
      <w:r>
        <w:rPr>
          <w:rFonts w:hint="eastAsia" w:ascii="宋体" w:hAnsi="宋体" w:cs="宋体"/>
          <w:szCs w:val="21"/>
        </w:rPr>
        <w:t>采购人名称：</w:t>
      </w:r>
      <w:r>
        <w:rPr>
          <w:rFonts w:hint="eastAsia" w:ascii="宋体" w:hAnsi="宋体" w:cs="宋体"/>
          <w:bCs/>
          <w:szCs w:val="20"/>
          <w:u w:val="single"/>
        </w:rPr>
        <w:t xml:space="preserve">                                                                        </w:t>
      </w:r>
    </w:p>
    <w:p>
      <w:pPr>
        <w:spacing w:line="400" w:lineRule="exact"/>
        <w:ind w:left="25" w:leftChars="12" w:firstLine="413" w:firstLineChars="197"/>
        <w:rPr>
          <w:rFonts w:ascii="宋体" w:hAnsi="宋体" w:cs="宋体"/>
          <w:bCs/>
          <w:szCs w:val="20"/>
          <w:u w:val="single"/>
        </w:rPr>
      </w:pPr>
      <w:r>
        <w:rPr>
          <w:rFonts w:hint="eastAsia" w:ascii="宋体" w:hAnsi="宋体" w:cs="宋体"/>
          <w:szCs w:val="21"/>
        </w:rPr>
        <w:t>代理机构名称：</w:t>
      </w:r>
      <w:r>
        <w:rPr>
          <w:rFonts w:hint="eastAsia" w:ascii="宋体" w:hAnsi="宋体" w:cs="宋体"/>
          <w:bCs/>
          <w:szCs w:val="20"/>
          <w:u w:val="single"/>
        </w:rPr>
        <w:t xml:space="preserve">                                                                      </w:t>
      </w:r>
    </w:p>
    <w:p>
      <w:pPr>
        <w:spacing w:line="400" w:lineRule="exact"/>
        <w:ind w:left="25" w:leftChars="12" w:firstLine="413" w:firstLineChars="197"/>
        <w:rPr>
          <w:rFonts w:ascii="宋体" w:hAnsi="宋体" w:cs="宋体"/>
          <w:bCs/>
          <w:szCs w:val="20"/>
          <w:u w:val="single"/>
        </w:rPr>
      </w:pPr>
      <w:r>
        <w:rPr>
          <w:rFonts w:hint="eastAsia" w:ascii="宋体" w:hAnsi="宋体" w:cs="宋体"/>
          <w:bCs/>
          <w:szCs w:val="20"/>
        </w:rPr>
        <w:t>采购文件公告：</w:t>
      </w:r>
      <w:r>
        <w:rPr>
          <w:rFonts w:hint="eastAsia" w:ascii="宋体" w:hAnsi="宋体" w:cs="宋体"/>
          <w:bCs/>
          <w:szCs w:val="20"/>
          <w:u w:val="single"/>
        </w:rPr>
        <w:t>是/否</w:t>
      </w:r>
      <w:r>
        <w:rPr>
          <w:rFonts w:hint="eastAsia" w:ascii="宋体" w:hAnsi="宋体" w:cs="宋体"/>
          <w:bCs/>
          <w:szCs w:val="20"/>
        </w:rPr>
        <w:t>公告期限：</w:t>
      </w:r>
      <w:r>
        <w:rPr>
          <w:rFonts w:hint="eastAsia" w:ascii="宋体" w:hAnsi="宋体" w:cs="宋体"/>
          <w:bCs/>
          <w:szCs w:val="20"/>
          <w:u w:val="single"/>
        </w:rPr>
        <w:t xml:space="preserve">                                                       </w:t>
      </w:r>
    </w:p>
    <w:p>
      <w:pPr>
        <w:spacing w:line="400" w:lineRule="exact"/>
        <w:ind w:left="25" w:leftChars="12" w:firstLine="413" w:firstLineChars="197"/>
        <w:rPr>
          <w:rFonts w:ascii="宋体" w:hAnsi="宋体" w:cs="宋体"/>
          <w:b/>
          <w:szCs w:val="21"/>
        </w:rPr>
      </w:pPr>
      <w:r>
        <w:rPr>
          <w:rFonts w:hint="eastAsia" w:ascii="宋体" w:hAnsi="宋体" w:cs="宋体"/>
          <w:bCs/>
          <w:szCs w:val="20"/>
        </w:rPr>
        <w:t>采购结果公告：</w:t>
      </w:r>
      <w:r>
        <w:rPr>
          <w:rFonts w:hint="eastAsia" w:ascii="宋体" w:hAnsi="宋体" w:cs="宋体"/>
          <w:bCs/>
          <w:szCs w:val="20"/>
          <w:u w:val="single"/>
        </w:rPr>
        <w:t>是/否</w:t>
      </w:r>
      <w:r>
        <w:rPr>
          <w:rFonts w:hint="eastAsia" w:ascii="宋体" w:hAnsi="宋体" w:cs="宋体"/>
          <w:bCs/>
          <w:szCs w:val="20"/>
        </w:rPr>
        <w:t>公告期限：</w:t>
      </w:r>
      <w:r>
        <w:rPr>
          <w:rFonts w:hint="eastAsia" w:ascii="宋体" w:hAnsi="宋体" w:cs="宋体"/>
          <w:bCs/>
          <w:szCs w:val="20"/>
          <w:u w:val="single"/>
        </w:rPr>
        <w:t xml:space="preserve">                                                       </w:t>
      </w:r>
    </w:p>
    <w:p>
      <w:pPr>
        <w:spacing w:line="400" w:lineRule="exact"/>
        <w:ind w:left="25" w:leftChars="12" w:firstLine="413" w:firstLineChars="196"/>
        <w:rPr>
          <w:rFonts w:ascii="宋体" w:hAnsi="宋体" w:cs="宋体"/>
          <w:b/>
          <w:szCs w:val="21"/>
        </w:rPr>
      </w:pPr>
      <w:r>
        <w:rPr>
          <w:rFonts w:hint="eastAsia" w:ascii="宋体" w:hAnsi="宋体" w:cs="宋体"/>
          <w:b/>
          <w:szCs w:val="21"/>
        </w:rPr>
        <w:t>三、质疑基本情况</w:t>
      </w:r>
    </w:p>
    <w:p>
      <w:pPr>
        <w:spacing w:line="400" w:lineRule="exact"/>
        <w:ind w:left="25" w:leftChars="12" w:firstLine="833" w:firstLineChars="397"/>
        <w:rPr>
          <w:rFonts w:ascii="宋体" w:hAnsi="宋体" w:cs="宋体"/>
          <w:szCs w:val="21"/>
        </w:rPr>
      </w:pPr>
      <w:r>
        <w:rPr>
          <w:rFonts w:hint="eastAsia" w:ascii="宋体" w:hAnsi="宋体" w:cs="宋体"/>
          <w:szCs w:val="21"/>
        </w:rPr>
        <w:t>投诉人于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日，向</w:t>
      </w:r>
      <w:r>
        <w:rPr>
          <w:rFonts w:hint="eastAsia" w:ascii="宋体" w:hAnsi="宋体" w:cs="宋体"/>
          <w:szCs w:val="21"/>
          <w:u w:val="single"/>
        </w:rPr>
        <w:t xml:space="preserve">                                </w:t>
      </w:r>
      <w:r>
        <w:rPr>
          <w:rFonts w:hint="eastAsia" w:ascii="宋体" w:hAnsi="宋体" w:cs="宋体"/>
          <w:szCs w:val="21"/>
        </w:rPr>
        <w:t>提出质疑，质疑事项为：</w:t>
      </w:r>
    </w:p>
    <w:p>
      <w:pPr>
        <w:spacing w:line="400" w:lineRule="exact"/>
        <w:rPr>
          <w:rFonts w:ascii="宋体" w:hAnsi="宋体" w:cs="宋体"/>
          <w:bCs/>
          <w:szCs w:val="20"/>
          <w:u w:val="single"/>
        </w:rPr>
      </w:pPr>
      <w:r>
        <w:rPr>
          <w:rFonts w:hint="eastAsia" w:ascii="宋体" w:hAnsi="宋体" w:cs="宋体"/>
          <w:szCs w:val="21"/>
        </w:rPr>
        <w:t xml:space="preserve">    </w:t>
      </w:r>
      <w:r>
        <w:rPr>
          <w:rFonts w:hint="eastAsia" w:ascii="宋体" w:hAnsi="宋体" w:cs="宋体"/>
          <w:bCs/>
          <w:szCs w:val="20"/>
          <w:u w:val="single"/>
        </w:rPr>
        <w:t xml:space="preserve">                                                                                      </w:t>
      </w:r>
    </w:p>
    <w:p>
      <w:pPr>
        <w:spacing w:line="400" w:lineRule="exact"/>
        <w:rPr>
          <w:rFonts w:ascii="宋体" w:hAnsi="宋体" w:cs="宋体"/>
          <w:bCs/>
          <w:szCs w:val="20"/>
          <w:u w:val="single"/>
        </w:rPr>
      </w:pPr>
      <w:r>
        <w:rPr>
          <w:rFonts w:hint="eastAsia" w:ascii="宋体" w:hAnsi="宋体" w:cs="宋体"/>
          <w:bCs/>
          <w:szCs w:val="20"/>
        </w:rPr>
        <w:t xml:space="preserve">    </w:t>
      </w:r>
      <w:r>
        <w:rPr>
          <w:rFonts w:hint="eastAsia" w:ascii="宋体" w:hAnsi="宋体" w:cs="宋体"/>
          <w:bCs/>
          <w:szCs w:val="20"/>
          <w:u w:val="single"/>
        </w:rPr>
        <w:t xml:space="preserve">                                                                                      </w:t>
      </w:r>
    </w:p>
    <w:p>
      <w:pPr>
        <w:spacing w:line="400" w:lineRule="exact"/>
        <w:rPr>
          <w:rFonts w:ascii="宋体" w:hAnsi="宋体" w:cs="宋体"/>
          <w:szCs w:val="21"/>
        </w:rPr>
      </w:pPr>
      <w:r>
        <w:rPr>
          <w:rFonts w:hint="eastAsia" w:ascii="宋体" w:hAnsi="宋体" w:cs="宋体"/>
          <w:bCs/>
          <w:szCs w:val="20"/>
        </w:rPr>
        <w:t xml:space="preserve">        </w:t>
      </w:r>
      <w:r>
        <w:rPr>
          <w:rFonts w:hint="eastAsia" w:ascii="宋体" w:hAnsi="宋体" w:cs="宋体"/>
          <w:bCs/>
          <w:szCs w:val="20"/>
          <w:u w:val="single"/>
        </w:rPr>
        <w:t>采购人/代理机构</w:t>
      </w:r>
      <w:r>
        <w:rPr>
          <w:rFonts w:hint="eastAsia" w:ascii="宋体" w:hAnsi="宋体" w:cs="宋体"/>
          <w:bCs/>
          <w:szCs w:val="20"/>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bCs/>
          <w:szCs w:val="20"/>
        </w:rPr>
        <w:t xml:space="preserve">就质疑事项作出了答复/没有在法定期限内作出答复。                                                                                             </w:t>
      </w:r>
    </w:p>
    <w:p>
      <w:pPr>
        <w:spacing w:line="400" w:lineRule="exact"/>
        <w:ind w:left="25" w:leftChars="12" w:firstLine="413" w:firstLineChars="196"/>
        <w:rPr>
          <w:rFonts w:ascii="宋体" w:hAnsi="宋体" w:cs="宋体"/>
          <w:b/>
          <w:szCs w:val="21"/>
        </w:rPr>
      </w:pPr>
      <w:r>
        <w:rPr>
          <w:rFonts w:hint="eastAsia" w:ascii="宋体" w:hAnsi="宋体" w:cs="宋体"/>
          <w:b/>
          <w:szCs w:val="21"/>
        </w:rPr>
        <w:t>四、投诉事项具体内容</w:t>
      </w:r>
    </w:p>
    <w:p>
      <w:pPr>
        <w:spacing w:line="400" w:lineRule="exact"/>
        <w:ind w:left="25" w:leftChars="12" w:firstLine="413" w:firstLineChars="197"/>
        <w:rPr>
          <w:rFonts w:ascii="宋体" w:hAnsi="宋体" w:cs="宋体"/>
          <w:bCs/>
          <w:szCs w:val="20"/>
          <w:u w:val="single"/>
        </w:rPr>
      </w:pPr>
      <w:r>
        <w:rPr>
          <w:rFonts w:hint="eastAsia" w:ascii="宋体" w:hAnsi="宋体" w:cs="宋体"/>
          <w:szCs w:val="21"/>
        </w:rPr>
        <w:t>投诉事项1：</w:t>
      </w:r>
      <w:r>
        <w:rPr>
          <w:rFonts w:hint="eastAsia" w:ascii="宋体" w:hAnsi="宋体" w:cs="宋体"/>
          <w:bCs/>
          <w:szCs w:val="20"/>
          <w:u w:val="single"/>
        </w:rPr>
        <w:t xml:space="preserve">                                                                           </w:t>
      </w:r>
    </w:p>
    <w:p>
      <w:pPr>
        <w:spacing w:line="400" w:lineRule="exact"/>
        <w:ind w:firstLine="420"/>
        <w:rPr>
          <w:rFonts w:ascii="宋体" w:hAnsi="宋体" w:cs="宋体"/>
          <w:bCs/>
          <w:szCs w:val="20"/>
          <w:u w:val="single"/>
        </w:rPr>
      </w:pPr>
      <w:r>
        <w:rPr>
          <w:rFonts w:hint="eastAsia" w:ascii="宋体" w:hAnsi="宋体" w:cs="宋体"/>
          <w:bCs/>
          <w:szCs w:val="20"/>
        </w:rPr>
        <w:t>事实依据：</w:t>
      </w:r>
      <w:r>
        <w:rPr>
          <w:rFonts w:hint="eastAsia" w:ascii="宋体" w:hAnsi="宋体" w:cs="宋体"/>
          <w:szCs w:val="21"/>
        </w:rPr>
        <w:t xml:space="preserve"> </w:t>
      </w:r>
      <w:r>
        <w:rPr>
          <w:rFonts w:hint="eastAsia" w:ascii="宋体" w:hAnsi="宋体" w:cs="宋体"/>
          <w:bCs/>
          <w:szCs w:val="20"/>
          <w:u w:val="single"/>
        </w:rPr>
        <w:t xml:space="preserve">                                                                                      </w:t>
      </w:r>
    </w:p>
    <w:p>
      <w:pPr>
        <w:spacing w:line="400" w:lineRule="exact"/>
        <w:ind w:left="25" w:leftChars="12" w:firstLine="413" w:firstLineChars="197"/>
        <w:rPr>
          <w:rFonts w:ascii="宋体" w:hAnsi="宋体" w:cs="宋体"/>
          <w:szCs w:val="21"/>
        </w:rPr>
      </w:pPr>
      <w:r>
        <w:rPr>
          <w:rFonts w:hint="eastAsia" w:ascii="宋体" w:hAnsi="宋体" w:cs="宋体"/>
          <w:bCs/>
          <w:szCs w:val="20"/>
          <w:u w:val="single"/>
        </w:rPr>
        <w:t xml:space="preserve">                                                                                        </w:t>
      </w:r>
    </w:p>
    <w:p>
      <w:pPr>
        <w:spacing w:line="400" w:lineRule="exact"/>
        <w:ind w:firstLine="420"/>
        <w:rPr>
          <w:rFonts w:ascii="宋体" w:hAnsi="宋体" w:cs="宋体"/>
          <w:bCs/>
          <w:szCs w:val="20"/>
          <w:u w:val="single"/>
        </w:rPr>
      </w:pPr>
      <w:r>
        <w:rPr>
          <w:rFonts w:hint="eastAsia" w:ascii="宋体" w:hAnsi="宋体" w:cs="宋体"/>
          <w:bCs/>
          <w:szCs w:val="20"/>
        </w:rPr>
        <w:t>法律依据：</w:t>
      </w:r>
      <w:r>
        <w:rPr>
          <w:rFonts w:hint="eastAsia" w:ascii="宋体" w:hAnsi="宋体" w:cs="宋体"/>
          <w:szCs w:val="21"/>
        </w:rPr>
        <w:t xml:space="preserve"> </w:t>
      </w:r>
      <w:r>
        <w:rPr>
          <w:rFonts w:hint="eastAsia" w:ascii="宋体" w:hAnsi="宋体" w:cs="宋体"/>
          <w:bCs/>
          <w:szCs w:val="20"/>
          <w:u w:val="single"/>
        </w:rPr>
        <w:t xml:space="preserve">                                                                                      </w:t>
      </w:r>
    </w:p>
    <w:p>
      <w:pPr>
        <w:spacing w:line="400" w:lineRule="exact"/>
        <w:ind w:left="25" w:leftChars="12" w:firstLine="308" w:firstLineChars="147"/>
        <w:rPr>
          <w:rFonts w:ascii="宋体" w:hAnsi="宋体" w:cs="宋体"/>
          <w:bCs/>
          <w:szCs w:val="20"/>
          <w:u w:val="single"/>
        </w:rPr>
      </w:pPr>
      <w:r>
        <w:rPr>
          <w:rFonts w:hint="eastAsia" w:ascii="宋体" w:hAnsi="宋体" w:cs="宋体"/>
          <w:bCs/>
          <w:szCs w:val="20"/>
        </w:rPr>
        <w:t xml:space="preserve"> </w:t>
      </w:r>
      <w:r>
        <w:rPr>
          <w:rFonts w:hint="eastAsia" w:ascii="宋体" w:hAnsi="宋体" w:cs="宋体"/>
          <w:bCs/>
          <w:szCs w:val="20"/>
          <w:u w:val="single"/>
        </w:rPr>
        <w:t xml:space="preserve">                                                                                        </w:t>
      </w:r>
    </w:p>
    <w:p>
      <w:pPr>
        <w:spacing w:line="400" w:lineRule="exact"/>
        <w:ind w:left="25" w:leftChars="12" w:firstLine="413" w:firstLineChars="197"/>
        <w:rPr>
          <w:rFonts w:ascii="宋体" w:hAnsi="宋体" w:cs="宋体"/>
          <w:bCs/>
          <w:szCs w:val="20"/>
        </w:rPr>
      </w:pPr>
      <w:r>
        <w:rPr>
          <w:rFonts w:hint="eastAsia" w:ascii="宋体" w:hAnsi="宋体" w:cs="宋体"/>
          <w:szCs w:val="21"/>
        </w:rPr>
        <w:t xml:space="preserve">投诉事项2  </w:t>
      </w:r>
      <w:r>
        <w:rPr>
          <w:rFonts w:hint="eastAsia" w:ascii="宋体" w:hAnsi="宋体" w:cs="宋体"/>
          <w:bCs/>
          <w:szCs w:val="20"/>
        </w:rPr>
        <w:t xml:space="preserve">   </w:t>
      </w:r>
    </w:p>
    <w:p>
      <w:pPr>
        <w:spacing w:line="400" w:lineRule="exact"/>
        <w:ind w:left="25" w:leftChars="12" w:firstLine="413" w:firstLineChars="197"/>
        <w:rPr>
          <w:rFonts w:ascii="宋体" w:hAnsi="宋体" w:cs="宋体"/>
          <w:bCs/>
          <w:szCs w:val="20"/>
        </w:rPr>
      </w:pPr>
      <w:r>
        <w:rPr>
          <w:rFonts w:hint="eastAsia" w:ascii="宋体" w:hAnsi="宋体" w:cs="宋体"/>
          <w:bCs/>
          <w:szCs w:val="20"/>
        </w:rPr>
        <w:t>……</w:t>
      </w:r>
    </w:p>
    <w:p>
      <w:pPr>
        <w:spacing w:line="400" w:lineRule="exact"/>
        <w:ind w:left="25" w:leftChars="12" w:firstLine="413" w:firstLineChars="196"/>
        <w:rPr>
          <w:rFonts w:ascii="宋体" w:hAnsi="宋体" w:cs="宋体"/>
          <w:b/>
          <w:szCs w:val="21"/>
        </w:rPr>
      </w:pPr>
      <w:r>
        <w:rPr>
          <w:rFonts w:hint="eastAsia" w:ascii="宋体" w:hAnsi="宋体" w:cs="宋体"/>
          <w:b/>
          <w:szCs w:val="21"/>
        </w:rPr>
        <w:t>五、与投诉事项相关的投诉请求：</w:t>
      </w:r>
    </w:p>
    <w:p>
      <w:pPr>
        <w:spacing w:line="400" w:lineRule="exact"/>
        <w:ind w:left="25" w:leftChars="12" w:firstLine="413" w:firstLineChars="197"/>
        <w:rPr>
          <w:rFonts w:ascii="宋体" w:hAnsi="宋体" w:cs="宋体"/>
          <w:szCs w:val="21"/>
        </w:rPr>
      </w:pPr>
      <w:r>
        <w:rPr>
          <w:rFonts w:hint="eastAsia" w:ascii="宋体" w:hAnsi="宋体" w:cs="宋体"/>
          <w:szCs w:val="21"/>
        </w:rPr>
        <w:t>请求：</w:t>
      </w:r>
      <w:r>
        <w:rPr>
          <w:rFonts w:hint="eastAsia" w:ascii="宋体" w:hAnsi="宋体" w:cs="宋体"/>
          <w:bCs/>
          <w:szCs w:val="20"/>
          <w:u w:val="single"/>
        </w:rPr>
        <w:t xml:space="preserve">                                                                                 </w:t>
      </w:r>
    </w:p>
    <w:p>
      <w:pPr>
        <w:spacing w:line="400" w:lineRule="exact"/>
        <w:ind w:left="25" w:leftChars="12" w:firstLine="308" w:firstLineChars="147"/>
        <w:rPr>
          <w:rFonts w:ascii="宋体" w:hAnsi="宋体" w:cs="宋体"/>
          <w:szCs w:val="21"/>
        </w:rPr>
      </w:pPr>
    </w:p>
    <w:p>
      <w:pPr>
        <w:spacing w:line="400" w:lineRule="exact"/>
        <w:ind w:left="25" w:leftChars="12" w:firstLine="413" w:firstLineChars="197"/>
        <w:rPr>
          <w:rFonts w:ascii="宋体" w:hAnsi="宋体" w:cs="宋体"/>
          <w:szCs w:val="21"/>
        </w:rPr>
      </w:pPr>
      <w:r>
        <w:rPr>
          <w:rFonts w:hint="eastAsia" w:ascii="宋体" w:hAnsi="宋体" w:cs="宋体"/>
          <w:szCs w:val="21"/>
        </w:rPr>
        <w:t>签字（签章）：                                       公章：</w:t>
      </w:r>
    </w:p>
    <w:p>
      <w:pPr>
        <w:spacing w:line="400" w:lineRule="exact"/>
        <w:ind w:left="25" w:leftChars="12" w:firstLine="308" w:firstLineChars="147"/>
        <w:rPr>
          <w:rFonts w:ascii="宋体" w:hAnsi="宋体" w:cs="宋体"/>
          <w:szCs w:val="21"/>
        </w:rPr>
      </w:pPr>
    </w:p>
    <w:p>
      <w:pPr>
        <w:spacing w:line="400" w:lineRule="exact"/>
        <w:ind w:left="25" w:leftChars="12" w:firstLine="413" w:firstLineChars="197"/>
        <w:rPr>
          <w:rFonts w:ascii="宋体" w:hAnsi="宋体" w:cs="宋体"/>
          <w:szCs w:val="21"/>
        </w:rPr>
      </w:pPr>
      <w:r>
        <w:rPr>
          <w:rFonts w:hint="eastAsia" w:ascii="宋体" w:hAnsi="宋体" w:cs="宋体"/>
          <w:szCs w:val="21"/>
        </w:rPr>
        <w:t>日期：</w:t>
      </w:r>
    </w:p>
    <w:p>
      <w:pPr>
        <w:spacing w:line="360" w:lineRule="exact"/>
        <w:ind w:left="25" w:leftChars="12" w:firstLine="413" w:firstLineChars="197"/>
        <w:rPr>
          <w:rFonts w:ascii="宋体" w:hAnsi="宋体" w:cs="宋体"/>
          <w:szCs w:val="21"/>
        </w:rPr>
      </w:pPr>
      <w:r>
        <w:rPr>
          <w:rFonts w:hint="eastAsia" w:ascii="宋体" w:hAnsi="宋体" w:cs="宋体"/>
          <w:bCs/>
          <w:szCs w:val="20"/>
        </w:rPr>
        <w:t xml:space="preserve">                                                                                 </w:t>
      </w:r>
    </w:p>
    <w:p>
      <w:pPr>
        <w:snapToGrid w:val="0"/>
        <w:spacing w:line="340" w:lineRule="exact"/>
        <w:rPr>
          <w:rFonts w:ascii="宋体" w:hAnsi="宋体" w:cs="宋体"/>
          <w:b/>
          <w:szCs w:val="21"/>
        </w:rPr>
      </w:pPr>
    </w:p>
    <w:p>
      <w:pPr>
        <w:spacing w:line="360" w:lineRule="auto"/>
        <w:ind w:left="25" w:leftChars="12" w:firstLine="310" w:firstLineChars="147"/>
        <w:rPr>
          <w:rFonts w:ascii="宋体" w:hAnsi="宋体" w:cs="宋体"/>
          <w:b/>
          <w:szCs w:val="21"/>
        </w:rPr>
      </w:pPr>
      <w:r>
        <w:rPr>
          <w:rFonts w:hint="eastAsia" w:ascii="宋体" w:hAnsi="宋体" w:cs="宋体"/>
          <w:b/>
          <w:szCs w:val="21"/>
        </w:rPr>
        <w:t>说明：</w:t>
      </w:r>
    </w:p>
    <w:p>
      <w:pPr>
        <w:spacing w:line="360" w:lineRule="auto"/>
        <w:ind w:left="25" w:leftChars="12" w:firstLine="310" w:firstLineChars="147"/>
        <w:rPr>
          <w:rFonts w:ascii="宋体" w:hAnsi="宋体" w:cs="宋体"/>
          <w:b/>
          <w:szCs w:val="21"/>
        </w:rPr>
      </w:pPr>
      <w:r>
        <w:rPr>
          <w:rFonts w:hint="eastAsia" w:ascii="宋体" w:hAnsi="宋体" w:cs="宋体"/>
          <w:b/>
          <w:szCs w:val="21"/>
        </w:rPr>
        <w:t>1.投诉人提起投诉时，应当提交投诉书和必要的证明材料，并按照被投诉人和与投诉事项有关的供应商数量提供投诉书副本。</w:t>
      </w:r>
    </w:p>
    <w:p>
      <w:pPr>
        <w:spacing w:line="360" w:lineRule="auto"/>
        <w:ind w:left="25" w:leftChars="12" w:firstLine="310" w:firstLineChars="147"/>
        <w:rPr>
          <w:rFonts w:ascii="宋体" w:hAnsi="宋体"/>
          <w:b/>
          <w:szCs w:val="20"/>
        </w:rPr>
      </w:pPr>
      <w:r>
        <w:rPr>
          <w:rFonts w:hint="eastAsia" w:ascii="宋体" w:hAnsi="宋体" w:cs="宋体"/>
          <w:b/>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10" w:firstLineChars="147"/>
        <w:rPr>
          <w:rFonts w:ascii="宋体" w:hAnsi="宋体" w:cs="宋体"/>
          <w:b/>
          <w:szCs w:val="21"/>
        </w:rPr>
      </w:pPr>
      <w:r>
        <w:rPr>
          <w:rFonts w:hint="eastAsia" w:ascii="宋体" w:hAnsi="宋体" w:cs="宋体"/>
          <w:b/>
          <w:szCs w:val="21"/>
        </w:rPr>
        <w:t>3.投诉书应简要列明质疑事项，质疑函、质疑答复等作为附件材料提供。</w:t>
      </w:r>
    </w:p>
    <w:p>
      <w:pPr>
        <w:spacing w:line="360" w:lineRule="auto"/>
        <w:ind w:left="25" w:leftChars="12" w:firstLine="310" w:firstLineChars="147"/>
        <w:rPr>
          <w:rFonts w:ascii="宋体" w:hAnsi="宋体" w:cs="宋体"/>
          <w:b/>
          <w:szCs w:val="21"/>
        </w:rPr>
      </w:pPr>
      <w:r>
        <w:rPr>
          <w:rFonts w:hint="eastAsia" w:ascii="宋体" w:hAnsi="宋体" w:cs="宋体"/>
          <w:b/>
          <w:szCs w:val="21"/>
        </w:rPr>
        <w:t>4.投诉书的投诉事项应具体、明确，并有必要的事实依据和法律依据。</w:t>
      </w:r>
    </w:p>
    <w:p>
      <w:pPr>
        <w:spacing w:line="360" w:lineRule="auto"/>
        <w:ind w:left="25" w:leftChars="12" w:firstLine="310" w:firstLineChars="147"/>
        <w:rPr>
          <w:rFonts w:ascii="宋体" w:hAnsi="宋体" w:cs="宋体"/>
          <w:b/>
          <w:szCs w:val="21"/>
        </w:rPr>
      </w:pPr>
      <w:r>
        <w:rPr>
          <w:rFonts w:hint="eastAsia" w:ascii="宋体" w:hAnsi="宋体" w:cs="宋体"/>
          <w:b/>
          <w:szCs w:val="21"/>
        </w:rPr>
        <w:t>5.投诉书的投诉请求应与投诉事项相关。</w:t>
      </w:r>
    </w:p>
    <w:p>
      <w:pPr>
        <w:spacing w:line="360" w:lineRule="auto"/>
        <w:ind w:left="25" w:leftChars="12" w:firstLine="310" w:firstLineChars="147"/>
        <w:rPr>
          <w:rFonts w:ascii="宋体" w:hAnsi="宋体" w:cs="宋体"/>
          <w:b/>
          <w:szCs w:val="21"/>
        </w:rPr>
      </w:pPr>
      <w:r>
        <w:rPr>
          <w:rFonts w:hint="eastAsia" w:ascii="宋体" w:hAnsi="宋体" w:cs="宋体"/>
          <w:b/>
          <w:szCs w:val="21"/>
        </w:rPr>
        <w:t>6.投诉人为自然人的，投诉书应由本人签字；投诉人为法人或者其他组织的，投诉书应由法定代表人、主要负责人，或者其授权代表签字或者盖章，并加盖公章。</w:t>
      </w:r>
    </w:p>
    <w:p/>
    <w:p>
      <w:pPr>
        <w:pStyle w:val="6"/>
        <w:spacing w:beforeAutospacing="0" w:afterAutospacing="0" w:line="560" w:lineRule="exact"/>
        <w:rPr>
          <w:sz w:val="21"/>
          <w:szCs w:val="21"/>
        </w:rPr>
      </w:pPr>
    </w:p>
    <w:p>
      <w:pPr>
        <w:pStyle w:val="6"/>
        <w:spacing w:beforeAutospacing="0" w:afterAutospacing="0" w:line="560" w:lineRule="exact"/>
        <w:rPr>
          <w:sz w:val="21"/>
          <w:szCs w:val="21"/>
        </w:rPr>
      </w:pPr>
    </w:p>
    <w:p>
      <w:pPr>
        <w:pStyle w:val="6"/>
        <w:spacing w:beforeAutospacing="0" w:afterAutospacing="0" w:line="560" w:lineRule="exact"/>
        <w:rPr>
          <w:sz w:val="21"/>
          <w:szCs w:val="21"/>
        </w:rPr>
      </w:pPr>
    </w:p>
    <w:p>
      <w:pPr>
        <w:pStyle w:val="6"/>
        <w:spacing w:beforeAutospacing="0" w:afterAutospacing="0" w:line="560" w:lineRule="exact"/>
        <w:rPr>
          <w:sz w:val="21"/>
          <w:szCs w:val="21"/>
        </w:rPr>
      </w:pPr>
    </w:p>
    <w:p>
      <w:pPr>
        <w:pStyle w:val="6"/>
        <w:spacing w:beforeAutospacing="0" w:afterAutospacing="0" w:line="560" w:lineRule="exact"/>
        <w:jc w:val="both"/>
        <w:rPr>
          <w:rFonts w:hint="eastAsia"/>
          <w:sz w:val="21"/>
          <w:szCs w:val="21"/>
        </w:rPr>
      </w:pPr>
    </w:p>
    <w:p>
      <w:pPr>
        <w:rPr>
          <w:rFonts w:hint="eastAsia"/>
          <w:sz w:val="21"/>
          <w:szCs w:val="21"/>
        </w:rPr>
      </w:pPr>
    </w:p>
    <w:p>
      <w:pPr>
        <w:pStyle w:val="2"/>
        <w:rPr>
          <w:rFonts w:hint="eastAsia"/>
          <w:sz w:val="21"/>
          <w:szCs w:val="21"/>
        </w:rPr>
      </w:pPr>
    </w:p>
    <w:p>
      <w:pPr>
        <w:pStyle w:val="5"/>
        <w:rPr>
          <w:rFonts w:hint="eastAsia"/>
          <w:sz w:val="21"/>
          <w:szCs w:val="21"/>
        </w:rPr>
      </w:pPr>
    </w:p>
    <w:p>
      <w:pPr>
        <w:pStyle w:val="6"/>
        <w:spacing w:beforeAutospacing="0" w:afterAutospacing="0" w:line="560" w:lineRule="exact"/>
        <w:jc w:val="both"/>
        <w:rPr>
          <w:rFonts w:hint="eastAsia"/>
          <w:sz w:val="21"/>
          <w:szCs w:val="21"/>
        </w:rPr>
      </w:pPr>
    </w:p>
    <w:p>
      <w:pPr>
        <w:pStyle w:val="6"/>
        <w:spacing w:beforeAutospacing="0" w:afterAutospacing="0" w:line="560" w:lineRule="exact"/>
        <w:jc w:val="both"/>
        <w:rPr>
          <w:sz w:val="21"/>
          <w:szCs w:val="21"/>
        </w:rPr>
      </w:pPr>
      <w:r>
        <w:rPr>
          <w:rFonts w:hint="eastAsia"/>
          <w:sz w:val="21"/>
          <w:szCs w:val="21"/>
        </w:rPr>
        <w:t>附表</w:t>
      </w:r>
      <w:r>
        <w:rPr>
          <w:rFonts w:hint="eastAsia"/>
          <w:sz w:val="21"/>
          <w:szCs w:val="21"/>
          <w:lang w:val="en-US" w:eastAsia="zh-CN"/>
        </w:rPr>
        <w:t>3</w:t>
      </w:r>
      <w:r>
        <w:rPr>
          <w:rFonts w:hint="eastAsia"/>
          <w:sz w:val="21"/>
          <w:szCs w:val="21"/>
        </w:rPr>
        <w:t>：</w:t>
      </w:r>
    </w:p>
    <w:p>
      <w:pPr>
        <w:pStyle w:val="6"/>
        <w:spacing w:beforeAutospacing="0" w:afterAutospacing="0" w:line="560" w:lineRule="exact"/>
        <w:jc w:val="both"/>
      </w:pPr>
    </w:p>
    <w:p>
      <w:pPr>
        <w:pStyle w:val="6"/>
        <w:spacing w:beforeAutospacing="0" w:afterAutospacing="0" w:line="560" w:lineRule="exact"/>
        <w:jc w:val="both"/>
      </w:pPr>
      <w:r>
        <w:drawing>
          <wp:anchor distT="0" distB="0" distL="114300" distR="114300" simplePos="0" relativeHeight="251665408" behindDoc="0" locked="0" layoutInCell="1" allowOverlap="1">
            <wp:simplePos x="0" y="0"/>
            <wp:positionH relativeFrom="column">
              <wp:posOffset>107315</wp:posOffset>
            </wp:positionH>
            <wp:positionV relativeFrom="paragraph">
              <wp:posOffset>31115</wp:posOffset>
            </wp:positionV>
            <wp:extent cx="6189980" cy="6805930"/>
            <wp:effectExtent l="0" t="0" r="1270" b="13970"/>
            <wp:wrapNone/>
            <wp:docPr id="2"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9"/>
                    <pic:cNvPicPr>
                      <a:picLocks noChangeAspect="1"/>
                    </pic:cNvPicPr>
                  </pic:nvPicPr>
                  <pic:blipFill>
                    <a:blip r:embed="rId16"/>
                    <a:stretch>
                      <a:fillRect/>
                    </a:stretch>
                  </pic:blipFill>
                  <pic:spPr>
                    <a:xfrm>
                      <a:off x="0" y="0"/>
                      <a:ext cx="6189980" cy="6805930"/>
                    </a:xfrm>
                    <a:prstGeom prst="rect">
                      <a:avLst/>
                    </a:prstGeom>
                    <a:noFill/>
                    <a:ln>
                      <a:noFill/>
                    </a:ln>
                  </pic:spPr>
                </pic:pic>
              </a:graphicData>
            </a:graphic>
          </wp:anchor>
        </w:drawing>
      </w:r>
    </w:p>
    <w:p>
      <w:pPr>
        <w:pStyle w:val="6"/>
        <w:spacing w:beforeAutospacing="0" w:afterAutospacing="0" w:line="560" w:lineRule="exact"/>
        <w:jc w:val="both"/>
      </w:pPr>
    </w:p>
    <w:p>
      <w:pPr>
        <w:pStyle w:val="6"/>
        <w:spacing w:beforeAutospacing="0" w:afterAutospacing="0" w:line="560" w:lineRule="exact"/>
        <w:jc w:val="both"/>
      </w:pPr>
    </w:p>
    <w:p>
      <w:pPr>
        <w:pStyle w:val="6"/>
        <w:spacing w:beforeAutospacing="0" w:afterAutospacing="0" w:line="560" w:lineRule="exact"/>
        <w:jc w:val="both"/>
      </w:pPr>
    </w:p>
    <w:p>
      <w:pPr>
        <w:pStyle w:val="6"/>
        <w:spacing w:beforeAutospacing="0" w:afterAutospacing="0" w:line="560" w:lineRule="exact"/>
        <w:jc w:val="both"/>
      </w:pPr>
    </w:p>
    <w:p>
      <w:pPr>
        <w:pStyle w:val="6"/>
        <w:spacing w:beforeAutospacing="0" w:afterAutospacing="0" w:line="560" w:lineRule="exact"/>
        <w:jc w:val="both"/>
      </w:pPr>
    </w:p>
    <w:p>
      <w:pPr>
        <w:pStyle w:val="6"/>
        <w:spacing w:beforeAutospacing="0" w:afterAutospacing="0" w:line="560" w:lineRule="exact"/>
        <w:jc w:val="both"/>
      </w:pPr>
    </w:p>
    <w:p>
      <w:pPr>
        <w:pStyle w:val="6"/>
        <w:spacing w:beforeAutospacing="0" w:afterAutospacing="0" w:line="560" w:lineRule="exact"/>
        <w:jc w:val="both"/>
      </w:pPr>
    </w:p>
    <w:p>
      <w:pPr>
        <w:pStyle w:val="6"/>
        <w:spacing w:beforeAutospacing="0" w:afterAutospacing="0" w:line="560" w:lineRule="exact"/>
        <w:jc w:val="both"/>
      </w:pPr>
    </w:p>
    <w:p>
      <w:pPr>
        <w:pStyle w:val="6"/>
        <w:spacing w:beforeAutospacing="0" w:afterAutospacing="0" w:line="560" w:lineRule="exact"/>
        <w:jc w:val="both"/>
      </w:pPr>
    </w:p>
    <w:p>
      <w:pPr>
        <w:pStyle w:val="6"/>
        <w:spacing w:beforeAutospacing="0" w:afterAutospacing="0" w:line="560" w:lineRule="exact"/>
        <w:jc w:val="both"/>
      </w:pPr>
    </w:p>
    <w:p>
      <w:pPr>
        <w:pStyle w:val="6"/>
        <w:spacing w:beforeAutospacing="0" w:afterAutospacing="0" w:line="560" w:lineRule="exact"/>
        <w:jc w:val="both"/>
      </w:pPr>
    </w:p>
    <w:p>
      <w:pPr>
        <w:pStyle w:val="6"/>
        <w:spacing w:beforeAutospacing="0" w:afterAutospacing="0" w:line="560" w:lineRule="exact"/>
        <w:jc w:val="both"/>
      </w:pPr>
    </w:p>
    <w:p>
      <w:pPr>
        <w:pStyle w:val="6"/>
        <w:spacing w:beforeAutospacing="0" w:afterAutospacing="0" w:line="560" w:lineRule="exact"/>
        <w:jc w:val="both"/>
      </w:pPr>
    </w:p>
    <w:p>
      <w:pPr>
        <w:pStyle w:val="6"/>
        <w:spacing w:beforeAutospacing="0" w:afterAutospacing="0" w:line="560" w:lineRule="exact"/>
        <w:jc w:val="both"/>
      </w:pPr>
    </w:p>
    <w:p>
      <w:pPr>
        <w:pStyle w:val="6"/>
        <w:spacing w:beforeAutospacing="0" w:afterAutospacing="0" w:line="560" w:lineRule="exact"/>
        <w:jc w:val="both"/>
      </w:pPr>
    </w:p>
    <w:p>
      <w:pPr>
        <w:pStyle w:val="6"/>
        <w:spacing w:beforeAutospacing="0" w:afterAutospacing="0" w:line="560" w:lineRule="exact"/>
        <w:jc w:val="both"/>
      </w:pPr>
    </w:p>
    <w:p>
      <w:pPr>
        <w:pStyle w:val="6"/>
        <w:spacing w:beforeAutospacing="0" w:afterAutospacing="0" w:line="560" w:lineRule="exact"/>
        <w:jc w:val="both"/>
      </w:pPr>
    </w:p>
    <w:p>
      <w:pPr>
        <w:pStyle w:val="6"/>
        <w:spacing w:beforeAutospacing="0" w:afterAutospacing="0" w:line="560" w:lineRule="exact"/>
        <w:jc w:val="both"/>
      </w:pPr>
    </w:p>
    <w:p>
      <w:pPr>
        <w:pStyle w:val="6"/>
        <w:spacing w:beforeAutospacing="0" w:afterAutospacing="0" w:line="560" w:lineRule="exact"/>
        <w:jc w:val="both"/>
        <w:rPr>
          <w:sz w:val="21"/>
          <w:szCs w:val="21"/>
        </w:rPr>
      </w:pPr>
    </w:p>
    <w:p>
      <w:pPr>
        <w:pStyle w:val="6"/>
        <w:numPr>
          <w:ilvl w:val="0"/>
          <w:numId w:val="5"/>
        </w:numPr>
        <w:spacing w:beforeAutospacing="0" w:afterAutospacing="0" w:line="560" w:lineRule="exact"/>
      </w:pPr>
      <w:r>
        <w:rPr>
          <w:rFonts w:hint="eastAsia"/>
          <w:sz w:val="21"/>
          <w:szCs w:val="21"/>
        </w:rPr>
        <w:br w:type="page"/>
      </w:r>
      <w:bookmarkStart w:id="17" w:name="_Toc24064"/>
      <w:r>
        <w:rPr>
          <w:rFonts w:hint="eastAsia"/>
        </w:rPr>
        <w:t>货物采购需求</w:t>
      </w:r>
      <w:bookmarkEnd w:id="17"/>
    </w:p>
    <w:p>
      <w:pPr>
        <w:pStyle w:val="25"/>
      </w:pPr>
    </w:p>
    <w:p>
      <w:pPr>
        <w:pStyle w:val="25"/>
      </w:pPr>
    </w:p>
    <w:p>
      <w:pPr>
        <w:rPr>
          <w:rFonts w:ascii="宋体" w:hAnsi="宋体"/>
          <w:b/>
          <w:bCs/>
          <w:szCs w:val="21"/>
        </w:rPr>
      </w:pPr>
      <w:r>
        <w:rPr>
          <w:rFonts w:hint="eastAsia" w:ascii="宋体" w:hAnsi="宋体"/>
          <w:b/>
          <w:bCs/>
          <w:szCs w:val="21"/>
        </w:rPr>
        <w:t>说明：</w:t>
      </w:r>
    </w:p>
    <w:p>
      <w:pPr>
        <w:pStyle w:val="201"/>
        <w:spacing w:line="360" w:lineRule="auto"/>
        <w:jc w:val="left"/>
        <w:rPr>
          <w:b/>
          <w:bCs/>
          <w:szCs w:val="21"/>
        </w:rPr>
      </w:pPr>
      <w:r>
        <w:rPr>
          <w:rFonts w:hint="eastAsia"/>
          <w:szCs w:val="21"/>
        </w:rPr>
        <w:t>一、</w:t>
      </w:r>
      <w:r>
        <w:rPr>
          <w:rFonts w:hint="eastAsia"/>
          <w:b/>
          <w:bCs/>
          <w:szCs w:val="21"/>
        </w:rPr>
        <w:t>本表中的品牌、型号仅起参考作用，投标人可选用其他品牌、型号替代，</w:t>
      </w:r>
      <w:r>
        <w:rPr>
          <w:rFonts w:hint="eastAsia" w:ascii="宋体" w:hAnsi="宋体" w:cs="宋体"/>
          <w:b/>
          <w:bCs/>
          <w:szCs w:val="21"/>
        </w:rPr>
        <w:t>但这些替代的品牌型号要实质上相当于或优于参考品牌型号要求</w:t>
      </w:r>
      <w:r>
        <w:rPr>
          <w:rFonts w:hint="eastAsia"/>
          <w:b/>
          <w:bCs/>
          <w:szCs w:val="21"/>
        </w:rPr>
        <w:t xml:space="preserve">。 </w:t>
      </w:r>
    </w:p>
    <w:p>
      <w:pPr>
        <w:pStyle w:val="201"/>
        <w:spacing w:line="360" w:lineRule="auto"/>
        <w:jc w:val="left"/>
        <w:rPr>
          <w:b/>
          <w:bCs/>
          <w:szCs w:val="21"/>
        </w:rPr>
      </w:pPr>
      <w:r>
        <w:rPr>
          <w:rFonts w:hint="eastAsia"/>
          <w:szCs w:val="21"/>
        </w:rPr>
        <w:t>二、</w:t>
      </w:r>
      <w:r>
        <w:rPr>
          <w:rFonts w:hint="eastAsia"/>
          <w:b/>
          <w:bCs/>
          <w:szCs w:val="21"/>
        </w:rPr>
        <w:t xml:space="preserve">采购需求表中带有★的技术参数为实质性要求，投标人提供货物不得低于该技术指标或要求，否则投标无效。 </w:t>
      </w:r>
    </w:p>
    <w:p>
      <w:pPr>
        <w:pStyle w:val="201"/>
        <w:spacing w:line="360" w:lineRule="auto"/>
        <w:jc w:val="left"/>
        <w:rPr>
          <w:rFonts w:hint="eastAsia" w:ascii="宋体" w:hAnsi="宋体" w:cs="宋体"/>
          <w:b/>
          <w:bCs/>
          <w:szCs w:val="21"/>
          <w:highlight w:val="cyan"/>
          <w:lang w:val="en-US" w:eastAsia="zh-CN"/>
        </w:rPr>
      </w:pPr>
      <w:r>
        <w:rPr>
          <w:rFonts w:hint="eastAsia"/>
          <w:szCs w:val="21"/>
        </w:rPr>
        <w:t>三、根据财库〔2019〕9 号及财库〔2019〕19 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Pr>
          <w:rFonts w:hint="eastAsia" w:ascii="宋体" w:hAnsi="宋体" w:cs="宋体"/>
          <w:szCs w:val="21"/>
        </w:rPr>
        <w:t>▲</w:t>
      </w:r>
      <w:r>
        <w:rPr>
          <w:rFonts w:hint="eastAsia"/>
          <w:szCs w:val="21"/>
        </w:rPr>
        <w:t>”的品目，</w:t>
      </w:r>
      <w:r>
        <w:rPr>
          <w:rFonts w:ascii="宋体" w:hAnsi="宋体" w:cs="宋体"/>
          <w:spacing w:val="-2"/>
          <w:szCs w:val="21"/>
        </w:rPr>
        <w:t>属于政府强制采购节能产品。</w:t>
      </w:r>
      <w:r>
        <w:rPr>
          <w:rFonts w:hint="eastAsia" w:ascii="宋体" w:hAnsi="宋体" w:cs="宋体"/>
          <w:b/>
          <w:bCs/>
          <w:spacing w:val="-2"/>
          <w:szCs w:val="21"/>
          <w:highlight w:val="none"/>
          <w:lang w:val="en-US" w:eastAsia="zh-CN"/>
        </w:rPr>
        <w:t>本项目不涉及政府强制采购节能产品</w:t>
      </w:r>
      <w:r>
        <w:rPr>
          <w:rFonts w:ascii="宋体" w:hAnsi="宋体" w:cs="宋体"/>
          <w:b/>
          <w:bCs/>
          <w:szCs w:val="21"/>
          <w:highlight w:val="none"/>
        </w:rPr>
        <w:t>。</w:t>
      </w:r>
      <w:r>
        <w:rPr>
          <w:rFonts w:hint="eastAsia" w:ascii="宋体" w:hAnsi="宋体" w:cs="宋体"/>
          <w:b/>
          <w:bCs/>
          <w:szCs w:val="21"/>
          <w:highlight w:val="none"/>
          <w:lang w:val="en-US" w:eastAsia="zh-CN"/>
        </w:rPr>
        <w:t xml:space="preserve"> </w:t>
      </w:r>
    </w:p>
    <w:p>
      <w:pPr>
        <w:pStyle w:val="201"/>
        <w:spacing w:line="360" w:lineRule="auto"/>
        <w:jc w:val="left"/>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四</w:t>
      </w:r>
      <w:r>
        <w:rPr>
          <w:rFonts w:hint="eastAsia" w:ascii="宋体" w:hAnsi="宋体" w:cs="宋体"/>
          <w:b/>
          <w:bCs/>
          <w:color w:val="auto"/>
          <w:sz w:val="21"/>
          <w:szCs w:val="21"/>
          <w:highlight w:val="none"/>
          <w:lang w:eastAsia="zh-CN"/>
        </w:rPr>
        <w:t>、中小企业划分标准是指国务院有关部门根据企业从业人员、营业收入、资产总额等指标制定的中小企业划型标准，详见《关于印发中小企业划型标准规定的通知》（工信部联企业〔2011〕300号）。</w:t>
      </w:r>
    </w:p>
    <w:p>
      <w:pPr>
        <w:pStyle w:val="201"/>
        <w:spacing w:line="360" w:lineRule="auto"/>
        <w:jc w:val="left"/>
        <w:rPr>
          <w:rFonts w:hint="eastAsia" w:ascii="宋体" w:hAnsi="宋体" w:cs="宋体"/>
          <w:b/>
          <w:bCs/>
          <w:szCs w:val="21"/>
          <w:lang w:val="en-US" w:eastAsia="zh-CN"/>
        </w:rPr>
      </w:pPr>
      <w:r>
        <w:rPr>
          <w:rFonts w:hint="eastAsia" w:ascii="宋体" w:hAnsi="宋体" w:cs="宋体"/>
          <w:b/>
          <w:bCs/>
          <w:color w:val="auto"/>
          <w:sz w:val="21"/>
          <w:szCs w:val="21"/>
          <w:highlight w:val="none"/>
          <w:lang w:eastAsia="zh-CN"/>
        </w:rPr>
        <w:t>本项目所属行业为“</w:t>
      </w:r>
      <w:r>
        <w:rPr>
          <w:rFonts w:hint="eastAsia" w:ascii="宋体" w:hAnsi="宋体" w:cs="宋体"/>
          <w:b/>
          <w:bCs/>
          <w:color w:val="auto"/>
          <w:sz w:val="21"/>
          <w:szCs w:val="21"/>
          <w:highlight w:val="none"/>
          <w:lang w:val="en-US" w:eastAsia="zh-CN"/>
        </w:rPr>
        <w:t>制造业</w:t>
      </w:r>
      <w:r>
        <w:rPr>
          <w:rFonts w:hint="eastAsia" w:ascii="宋体" w:hAnsi="宋体" w:cs="宋体"/>
          <w:b/>
          <w:bCs/>
          <w:color w:val="auto"/>
          <w:sz w:val="21"/>
          <w:szCs w:val="21"/>
          <w:highlight w:val="none"/>
          <w:lang w:eastAsia="zh-CN"/>
        </w:rPr>
        <w:t>”。</w:t>
      </w:r>
    </w:p>
    <w:p>
      <w:pPr>
        <w:pStyle w:val="25"/>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A分标：</w:t>
      </w:r>
    </w:p>
    <w:tbl>
      <w:tblPr>
        <w:tblStyle w:val="43"/>
        <w:tblW w:w="10214" w:type="dxa"/>
        <w:jc w:val="center"/>
        <w:tblLayout w:type="fixed"/>
        <w:tblCellMar>
          <w:top w:w="0" w:type="dxa"/>
          <w:left w:w="108" w:type="dxa"/>
          <w:bottom w:w="0" w:type="dxa"/>
          <w:right w:w="108" w:type="dxa"/>
        </w:tblCellMar>
      </w:tblPr>
      <w:tblGrid>
        <w:gridCol w:w="599"/>
        <w:gridCol w:w="1290"/>
        <w:gridCol w:w="1505"/>
        <w:gridCol w:w="4383"/>
        <w:gridCol w:w="697"/>
        <w:gridCol w:w="690"/>
        <w:gridCol w:w="1044"/>
        <w:gridCol w:w="6"/>
      </w:tblGrid>
      <w:tr>
        <w:tblPrEx>
          <w:tblCellMar>
            <w:top w:w="0" w:type="dxa"/>
            <w:left w:w="108" w:type="dxa"/>
            <w:bottom w:w="0" w:type="dxa"/>
            <w:right w:w="108" w:type="dxa"/>
          </w:tblCellMar>
        </w:tblPrEx>
        <w:trPr>
          <w:trHeight w:val="633"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货物名称</w:t>
            </w:r>
          </w:p>
        </w:tc>
        <w:tc>
          <w:tcPr>
            <w:tcW w:w="58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主要技术规格及配置</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数量</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参考单价（元）</w:t>
            </w:r>
          </w:p>
        </w:tc>
      </w:tr>
      <w:tr>
        <w:tblPrEx>
          <w:tblCellMar>
            <w:top w:w="0" w:type="dxa"/>
            <w:left w:w="108" w:type="dxa"/>
            <w:bottom w:w="0" w:type="dxa"/>
            <w:right w:w="108" w:type="dxa"/>
          </w:tblCellMar>
        </w:tblPrEx>
        <w:trPr>
          <w:trHeight w:val="1568"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Cs w:val="21"/>
                <w:highlight w:val="none"/>
                <w:lang w:val="en-US" w:eastAsia="zh-CN"/>
              </w:rPr>
              <w:t>高清</w:t>
            </w:r>
            <w:r>
              <w:rPr>
                <w:rFonts w:hint="eastAsia" w:ascii="宋体" w:hAnsi="宋体" w:cs="宋体"/>
                <w:color w:val="000000"/>
                <w:szCs w:val="21"/>
                <w:highlight w:val="none"/>
              </w:rPr>
              <w:t>电子胃肠镜系统</w:t>
            </w:r>
          </w:p>
        </w:tc>
        <w:tc>
          <w:tcPr>
            <w:tcW w:w="5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360" w:lineRule="auto"/>
              <w:rPr>
                <w:rFonts w:hint="eastAsia" w:ascii="宋体" w:hAnsi="宋体" w:eastAsia="宋体" w:cs="宋体"/>
                <w:b/>
                <w:bCs/>
                <w:sz w:val="21"/>
                <w:szCs w:val="21"/>
              </w:rPr>
            </w:pPr>
            <w:r>
              <w:rPr>
                <w:rFonts w:hint="eastAsia" w:ascii="宋体" w:hAnsi="宋体" w:eastAsia="宋体" w:cs="宋体"/>
                <w:b/>
                <w:bCs/>
                <w:sz w:val="21"/>
                <w:szCs w:val="21"/>
              </w:rPr>
              <w:t>1、图像处理装置</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1.1 支持HDTV、SDTV、数字信号输出、图像可采用1080P线图片信息有效扫描线（可选择RGB、YPbPr、SDI、DVI输出），保证输出高保真图像。</w:t>
            </w:r>
          </w:p>
          <w:p>
            <w:pPr>
              <w:numPr>
                <w:ilvl w:val="0"/>
                <w:numId w:val="0"/>
              </w:numPr>
              <w:spacing w:line="360" w:lineRule="auto"/>
              <w:rPr>
                <w:rFonts w:hint="eastAsia" w:ascii="宋体" w:hAnsi="宋体" w:eastAsia="宋体" w:cs="宋体"/>
                <w:sz w:val="21"/>
                <w:szCs w:val="21"/>
              </w:rPr>
            </w:pPr>
            <w:r>
              <w:rPr>
                <w:rFonts w:hint="eastAsia"/>
                <w:b/>
                <w:bCs/>
                <w:szCs w:val="21"/>
              </w:rPr>
              <w:t>★</w:t>
            </w:r>
            <w:r>
              <w:rPr>
                <w:rFonts w:hint="eastAsia" w:ascii="宋体" w:hAnsi="宋体" w:eastAsia="宋体" w:cs="宋体"/>
                <w:sz w:val="21"/>
                <w:szCs w:val="21"/>
              </w:rPr>
              <w:t>1.2 具有光学染色成像技术（窄波光成像），利用两段窄波光照射（≥415nm、≤540nm），可凸现粘膜下毛细血管和粘膜表面腺管开口等结构。</w:t>
            </w:r>
          </w:p>
          <w:p>
            <w:pPr>
              <w:numPr>
                <w:ilvl w:val="0"/>
                <w:numId w:val="0"/>
              </w:numPr>
              <w:spacing w:line="360" w:lineRule="auto"/>
              <w:rPr>
                <w:rFonts w:hint="eastAsia" w:ascii="宋体" w:hAnsi="宋体" w:eastAsia="宋体" w:cs="宋体"/>
                <w:sz w:val="21"/>
                <w:szCs w:val="21"/>
              </w:rPr>
            </w:pPr>
            <w:r>
              <w:rPr>
                <w:rFonts w:hint="eastAsia"/>
                <w:b/>
                <w:bCs/>
                <w:szCs w:val="21"/>
              </w:rPr>
              <w:t>★</w:t>
            </w:r>
            <w:r>
              <w:rPr>
                <w:rFonts w:hint="eastAsia" w:ascii="宋体" w:hAnsi="宋体" w:eastAsia="宋体" w:cs="宋体"/>
                <w:sz w:val="21"/>
                <w:szCs w:val="21"/>
              </w:rPr>
              <w:t>1.3 具有自体荧光成像技术，可将光源输出并经粘膜反射的绿光和自体荧光自动分配到</w:t>
            </w:r>
            <w:r>
              <w:rPr>
                <w:rFonts w:hint="eastAsia" w:ascii="宋体" w:hAnsi="宋体" w:cs="宋体"/>
                <w:sz w:val="21"/>
                <w:szCs w:val="21"/>
                <w:lang w:val="en-US" w:eastAsia="zh-CN"/>
              </w:rPr>
              <w:t>图像展示器</w:t>
            </w:r>
            <w:r>
              <w:rPr>
                <w:rFonts w:hint="eastAsia" w:ascii="宋体" w:hAnsi="宋体" w:eastAsia="宋体" w:cs="宋体"/>
                <w:sz w:val="21"/>
                <w:szCs w:val="21"/>
              </w:rPr>
              <w:t>的R、G、B通道形成自体荧光影像；可识别肿瘤性病变和正常组织。</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1.4 具有血色素指数色彩强调功能，强调粘膜细微色彩改变，从而更易查明细微的病变改变。</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1.5 具有自动亮度调节功能，根据视野明暗变化自动调节图像亮度。</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1.6 测光模式分为三种，平均、峰值、全自动三种，保证任何时候都可获得良好的观察环境。</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1.7 具有构造强调功能，能够突出细微结构的构造。</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1.8 具有轮廓强调功能，能够突出病变部位范围和轮廓。</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1.9 具有电子放大功能，将正常显示的光学图像放大≥1.8倍。</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1.10 具有快速实时冻结功能，能从按下冻结之前的图像中挑选色差最少的图像显示出来。</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1.11 具有图像记录和回放功能。</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1.12 具备自动白平衡功能。</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1.13 影像处理中心与冷光源分体具备独立的电源系统及散热系统。</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1.14 具有患者数据录入功能，存贮≥50名患者资料数据。</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 xml:space="preserve">1.15 具有数据存储功能：可通过机器缓存存储或者便携存储工具存储图片。      </w:t>
            </w:r>
          </w:p>
          <w:p>
            <w:pPr>
              <w:numPr>
                <w:ilvl w:val="0"/>
                <w:numId w:val="0"/>
              </w:numPr>
              <w:spacing w:line="360" w:lineRule="auto"/>
              <w:rPr>
                <w:rFonts w:hint="eastAsia" w:ascii="宋体" w:hAnsi="宋体" w:eastAsia="宋体" w:cs="宋体"/>
                <w:b/>
                <w:bCs/>
                <w:sz w:val="21"/>
                <w:szCs w:val="21"/>
                <w:highlight w:val="cyan"/>
              </w:rPr>
            </w:pPr>
            <w:r>
              <w:rPr>
                <w:rFonts w:hint="eastAsia" w:ascii="宋体" w:hAnsi="宋体" w:eastAsia="宋体" w:cs="宋体"/>
                <w:b/>
                <w:bCs/>
                <w:sz w:val="21"/>
                <w:szCs w:val="21"/>
              </w:rPr>
              <w:t>2、</w:t>
            </w:r>
            <w:r>
              <w:rPr>
                <w:rFonts w:hint="eastAsia" w:ascii="宋体" w:hAnsi="宋体" w:eastAsia="宋体" w:cs="宋体"/>
                <w:b/>
                <w:bCs/>
                <w:sz w:val="21"/>
                <w:szCs w:val="21"/>
                <w:highlight w:val="none"/>
              </w:rPr>
              <w:t>内窥镜冷光源</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2.1 氙气光源，300瓦氙气短弧灯，无臭氧；可持续照明≥500小时，应急灯评价寿命≥500小时。</w:t>
            </w:r>
          </w:p>
          <w:p>
            <w:pPr>
              <w:numPr>
                <w:ilvl w:val="0"/>
                <w:numId w:val="0"/>
              </w:numPr>
              <w:spacing w:line="360" w:lineRule="auto"/>
              <w:rPr>
                <w:rFonts w:hint="eastAsia" w:ascii="宋体" w:hAnsi="宋体" w:eastAsia="宋体" w:cs="宋体"/>
                <w:sz w:val="21"/>
                <w:szCs w:val="21"/>
              </w:rPr>
            </w:pPr>
            <w:r>
              <w:rPr>
                <w:rFonts w:hint="eastAsia"/>
                <w:b/>
                <w:bCs/>
                <w:szCs w:val="21"/>
              </w:rPr>
              <w:t>★</w:t>
            </w:r>
            <w:r>
              <w:rPr>
                <w:rFonts w:hint="eastAsia" w:ascii="宋体" w:hAnsi="宋体" w:eastAsia="宋体" w:cs="宋体"/>
                <w:sz w:val="21"/>
                <w:szCs w:val="21"/>
              </w:rPr>
              <w:t>2.2 可经滤光片过滤后输出≥415nm、≤540nm两种波长的窄波光用于照射黏膜以获得特殊光成像画面。</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2.3 输出的特殊光波长：共两种波长，≥415nm、≤540nm。</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2.4 照明光线颜色转换：通过切换专用滤光片得以实现，通过面板按键进行切换。</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2.5 散热模式：强制冷空气散热，前方进冷风后方排出热风。</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2.6 自动亮度调节模式：伺服光圈模式。</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2.7 自动曝光：≥17档。</w:t>
            </w:r>
          </w:p>
          <w:p>
            <w:pPr>
              <w:numPr>
                <w:ilvl w:val="0"/>
                <w:numId w:val="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2.8 气泵具备4级压力开关（关,高,中,低）。</w:t>
            </w:r>
          </w:p>
          <w:p>
            <w:pPr>
              <w:numPr>
                <w:ilvl w:val="0"/>
                <w:numId w:val="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2.9 调光电缆在机器的后端，可通过数字信号输出模式与主机连接，减少信号的衰减。</w:t>
            </w:r>
          </w:p>
          <w:p>
            <w:pPr>
              <w:numPr>
                <w:ilvl w:val="0"/>
                <w:numId w:val="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2.10 可在有效降噪的同时，提高图像由暗到明的转化速度。</w:t>
            </w:r>
          </w:p>
          <w:p>
            <w:pPr>
              <w:numPr>
                <w:ilvl w:val="0"/>
                <w:numId w:val="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2.11 为可拆卸式水瓶加压，实现送水。</w:t>
            </w:r>
          </w:p>
          <w:p>
            <w:pPr>
              <w:numPr>
                <w:ilvl w:val="0"/>
                <w:numId w:val="0"/>
              </w:numPr>
              <w:spacing w:line="360" w:lineRule="auto"/>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rPr>
              <w:t>3、</w:t>
            </w:r>
            <w:r>
              <w:rPr>
                <w:rFonts w:hint="eastAsia" w:ascii="宋体" w:hAnsi="宋体" w:eastAsia="宋体" w:cs="宋体"/>
                <w:b/>
                <w:bCs/>
                <w:sz w:val="21"/>
                <w:szCs w:val="21"/>
                <w:highlight w:val="none"/>
              </w:rPr>
              <w:t>高清晰度</w:t>
            </w:r>
            <w:r>
              <w:rPr>
                <w:rFonts w:hint="eastAsia" w:ascii="宋体" w:hAnsi="宋体" w:cs="宋体"/>
                <w:b/>
                <w:bCs/>
                <w:sz w:val="21"/>
                <w:szCs w:val="21"/>
                <w:highlight w:val="none"/>
                <w:lang w:val="en-US" w:eastAsia="zh-CN"/>
              </w:rPr>
              <w:t>图像展示器</w:t>
            </w:r>
          </w:p>
          <w:p>
            <w:pPr>
              <w:numPr>
                <w:ilvl w:val="0"/>
                <w:numId w:val="0"/>
              </w:numPr>
              <w:spacing w:line="360" w:lineRule="auto"/>
              <w:rPr>
                <w:rFonts w:hint="eastAsia" w:ascii="宋体" w:hAnsi="宋体" w:eastAsia="宋体" w:cs="宋体"/>
                <w:sz w:val="21"/>
                <w:szCs w:val="21"/>
              </w:rPr>
            </w:pPr>
            <w:r>
              <w:rPr>
                <w:rFonts w:hint="eastAsia"/>
                <w:b/>
                <w:bCs/>
                <w:szCs w:val="21"/>
              </w:rPr>
              <w:t>★</w:t>
            </w:r>
            <w:r>
              <w:rPr>
                <w:rFonts w:hint="eastAsia" w:ascii="宋体" w:hAnsi="宋体" w:eastAsia="宋体" w:cs="宋体"/>
                <w:sz w:val="21"/>
                <w:szCs w:val="21"/>
              </w:rPr>
              <w:t>3.1</w:t>
            </w:r>
            <w:r>
              <w:rPr>
                <w:rFonts w:hint="eastAsia" w:ascii="宋体" w:hAnsi="宋体" w:cs="宋体"/>
                <w:sz w:val="21"/>
                <w:szCs w:val="21"/>
                <w:lang w:val="en-US" w:eastAsia="zh-CN"/>
              </w:rPr>
              <w:t>展示器</w:t>
            </w:r>
            <w:r>
              <w:rPr>
                <w:rFonts w:hint="eastAsia" w:ascii="宋体" w:hAnsi="宋体" w:eastAsia="宋体" w:cs="宋体"/>
                <w:sz w:val="21"/>
                <w:szCs w:val="21"/>
              </w:rPr>
              <w:t>：≥31.5寸，可提供稳定、无闪烁的4K超高清晰图像。</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3.2 具备RGB-W多点调整、高精度中间色管理功能。</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3.3 输入/输出信号：12G、3G、HDMI、SDI信号接口。</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3.4 屏幕长宽对比16:9、高亮度、高对比度、高质量图像。</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3.5 多种显示模式：画中画、画外画，能够同时查看不同的实时图像。</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3.6 可翻转，为诊疗过程提供合适的图像显示和布局。</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3.7 分辨率：≥3840×2160点。</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3.8 对比率：≥1000:1。</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3.9 色量：≥10.7亿。</w:t>
            </w:r>
          </w:p>
          <w:p>
            <w:pPr>
              <w:numPr>
                <w:ilvl w:val="0"/>
                <w:numId w:val="0"/>
              </w:numPr>
              <w:spacing w:line="360" w:lineRule="auto"/>
              <w:rPr>
                <w:rFonts w:hint="eastAsia" w:ascii="宋体" w:hAnsi="宋体" w:eastAsia="宋体" w:cs="宋体"/>
                <w:b/>
                <w:bCs/>
                <w:sz w:val="21"/>
                <w:szCs w:val="21"/>
              </w:rPr>
            </w:pPr>
            <w:r>
              <w:rPr>
                <w:rFonts w:hint="eastAsia" w:ascii="宋体" w:hAnsi="宋体" w:eastAsia="宋体" w:cs="宋体"/>
                <w:b/>
                <w:bCs/>
                <w:sz w:val="21"/>
                <w:szCs w:val="21"/>
              </w:rPr>
              <w:t>4、内镜专用台车</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4.1上下左右可旋式支架，方便固定固定</w:t>
            </w:r>
            <w:r>
              <w:rPr>
                <w:rFonts w:hint="eastAsia" w:ascii="宋体" w:hAnsi="宋体" w:cs="宋体"/>
                <w:sz w:val="21"/>
                <w:szCs w:val="21"/>
                <w:lang w:val="en-US" w:eastAsia="zh-CN"/>
              </w:rPr>
              <w:t>显示屏</w:t>
            </w:r>
            <w:r>
              <w:rPr>
                <w:rFonts w:hint="eastAsia" w:ascii="宋体" w:hAnsi="宋体" w:eastAsia="宋体" w:cs="宋体"/>
                <w:sz w:val="21"/>
                <w:szCs w:val="21"/>
              </w:rPr>
              <w:t>，方便操作者不同角度观察图像。</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4.2可升降支架，可同时悬挂两根镜子。</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4.3可调节底板，随时调整主机放置高度，以便配合周边设备同时配置。</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4.4可拉伸键盘托盘，方便医生不同角度操作。光滑防水设计,键盘面无接缝,符合医院的卫生要求。</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4.5内置式电源，保证人身安全。</w:t>
            </w:r>
          </w:p>
          <w:p>
            <w:pPr>
              <w:numPr>
                <w:ilvl w:val="0"/>
                <w:numId w:val="0"/>
              </w:numPr>
              <w:spacing w:line="360" w:lineRule="auto"/>
              <w:rPr>
                <w:rFonts w:hint="eastAsia" w:ascii="宋体" w:hAnsi="宋体" w:eastAsia="宋体" w:cs="宋体"/>
                <w:b/>
                <w:bCs/>
                <w:sz w:val="21"/>
                <w:szCs w:val="21"/>
              </w:rPr>
            </w:pPr>
            <w:r>
              <w:rPr>
                <w:rFonts w:hint="eastAsia" w:ascii="宋体" w:hAnsi="宋体" w:eastAsia="宋体" w:cs="宋体"/>
                <w:b/>
                <w:bCs/>
                <w:sz w:val="21"/>
                <w:szCs w:val="21"/>
              </w:rPr>
              <w:t>5、高清电子肠镜 (2条)</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5.1视野角：170度（0度直视）</w:t>
            </w:r>
            <w:r>
              <w:rPr>
                <w:rFonts w:hint="eastAsia" w:ascii="宋体" w:hAnsi="宋体" w:cs="宋体"/>
                <w:sz w:val="21"/>
                <w:szCs w:val="21"/>
                <w:lang w:eastAsia="zh-CN"/>
              </w:rPr>
              <w:t>。</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5.2景深：5-100mm</w:t>
            </w:r>
            <w:r>
              <w:rPr>
                <w:rFonts w:hint="eastAsia" w:ascii="宋体" w:hAnsi="宋体" w:cs="宋体"/>
                <w:sz w:val="21"/>
                <w:szCs w:val="21"/>
                <w:lang w:eastAsia="zh-CN"/>
              </w:rPr>
              <w:t>。</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5.3照明方式：光导方式</w:t>
            </w:r>
            <w:r>
              <w:rPr>
                <w:rFonts w:hint="eastAsia" w:ascii="宋体" w:hAnsi="宋体" w:cs="宋体"/>
                <w:sz w:val="21"/>
                <w:szCs w:val="21"/>
                <w:lang w:eastAsia="zh-CN"/>
              </w:rPr>
              <w:t>。</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5.4插入部外径≤12.2mm</w:t>
            </w:r>
            <w:r>
              <w:rPr>
                <w:rFonts w:hint="eastAsia" w:ascii="宋体" w:hAnsi="宋体" w:cs="宋体"/>
                <w:sz w:val="21"/>
                <w:szCs w:val="21"/>
                <w:lang w:eastAsia="zh-CN"/>
              </w:rPr>
              <w:t>。</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5.5先端部外径≤12.4mm</w:t>
            </w:r>
            <w:r>
              <w:rPr>
                <w:rFonts w:hint="eastAsia" w:ascii="宋体" w:hAnsi="宋体" w:cs="宋体"/>
                <w:sz w:val="21"/>
                <w:szCs w:val="21"/>
                <w:lang w:eastAsia="zh-CN"/>
              </w:rPr>
              <w:t>。</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5.6弯曲角度：上下各180度，左右各160度</w:t>
            </w:r>
            <w:r>
              <w:rPr>
                <w:rFonts w:hint="eastAsia" w:ascii="宋体" w:hAnsi="宋体" w:cs="宋体"/>
                <w:sz w:val="21"/>
                <w:szCs w:val="21"/>
                <w:lang w:eastAsia="zh-CN"/>
              </w:rPr>
              <w:t>。</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5.7全长1655mm，有效长度1330mm</w:t>
            </w:r>
            <w:r>
              <w:rPr>
                <w:rFonts w:hint="eastAsia" w:ascii="宋体" w:hAnsi="宋体" w:cs="宋体"/>
                <w:sz w:val="21"/>
                <w:szCs w:val="21"/>
                <w:lang w:eastAsia="zh-CN"/>
              </w:rPr>
              <w:t>。</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5.8钳子管道：≥3.2mm</w:t>
            </w:r>
            <w:r>
              <w:rPr>
                <w:rFonts w:hint="eastAsia" w:ascii="宋体" w:hAnsi="宋体" w:cs="宋体"/>
                <w:sz w:val="21"/>
                <w:szCs w:val="21"/>
                <w:lang w:eastAsia="zh-CN"/>
              </w:rPr>
              <w:t>。</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导</w:t>
            </w:r>
            <w:r>
              <w:rPr>
                <w:rFonts w:hint="eastAsia" w:ascii="宋体" w:hAnsi="宋体" w:eastAsia="宋体" w:cs="宋体"/>
                <w:sz w:val="21"/>
                <w:szCs w:val="21"/>
              </w:rPr>
              <w:t>光束：三条，能提供高的亮度，避免钳子等器械产生阴影，影响视野。</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5.1</w:t>
            </w:r>
            <w:r>
              <w:rPr>
                <w:rFonts w:hint="eastAsia" w:ascii="宋体" w:hAnsi="宋体" w:cs="宋体"/>
                <w:sz w:val="21"/>
                <w:szCs w:val="21"/>
                <w:lang w:val="en-US" w:eastAsia="zh-CN"/>
              </w:rPr>
              <w:t>0</w:t>
            </w:r>
            <w:r>
              <w:rPr>
                <w:rFonts w:hint="eastAsia" w:ascii="宋体" w:hAnsi="宋体" w:eastAsia="宋体" w:cs="宋体"/>
                <w:sz w:val="21"/>
                <w:szCs w:val="21"/>
              </w:rPr>
              <w:t>插入性、操作性很好：插入管具有独特的渐软型设计。</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插入管表面非常光滑，弹性和钢性好</w:t>
            </w:r>
            <w:r>
              <w:rPr>
                <w:rFonts w:hint="eastAsia" w:ascii="宋体" w:hAnsi="宋体" w:cs="宋体"/>
                <w:sz w:val="21"/>
                <w:szCs w:val="21"/>
                <w:lang w:eastAsia="zh-CN"/>
              </w:rPr>
              <w:t>。</w:t>
            </w:r>
          </w:p>
          <w:p>
            <w:pPr>
              <w:numPr>
                <w:ilvl w:val="0"/>
                <w:numId w:val="0"/>
              </w:numPr>
              <w:spacing w:line="360" w:lineRule="auto"/>
              <w:rPr>
                <w:rFonts w:hint="eastAsia" w:ascii="宋体" w:hAnsi="宋体" w:cs="宋体"/>
                <w:sz w:val="21"/>
                <w:szCs w:val="21"/>
                <w:lang w:eastAsia="zh-CN"/>
              </w:rPr>
            </w:pPr>
            <w:r>
              <w:rPr>
                <w:rFonts w:hint="eastAsia" w:ascii="宋体" w:hAnsi="宋体" w:eastAsia="宋体" w:cs="宋体"/>
                <w:sz w:val="21"/>
                <w:szCs w:val="21"/>
              </w:rPr>
              <w:t>5.1</w:t>
            </w:r>
            <w:r>
              <w:rPr>
                <w:rFonts w:hint="eastAsia" w:ascii="宋体" w:hAnsi="宋体" w:cs="宋体"/>
                <w:sz w:val="21"/>
                <w:szCs w:val="21"/>
                <w:lang w:val="en-US" w:eastAsia="zh-CN"/>
              </w:rPr>
              <w:t>1</w:t>
            </w:r>
            <w:r>
              <w:rPr>
                <w:rFonts w:hint="eastAsia" w:ascii="宋体" w:hAnsi="宋体" w:eastAsia="宋体" w:cs="宋体"/>
                <w:sz w:val="21"/>
                <w:szCs w:val="21"/>
              </w:rPr>
              <w:t>镜身轻量化</w:t>
            </w:r>
            <w:r>
              <w:rPr>
                <w:rFonts w:hint="eastAsia" w:ascii="宋体" w:hAnsi="宋体" w:cs="宋体"/>
                <w:sz w:val="21"/>
                <w:szCs w:val="21"/>
                <w:lang w:eastAsia="zh-CN"/>
              </w:rPr>
              <w:t>。</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5.1</w:t>
            </w:r>
            <w:r>
              <w:rPr>
                <w:rFonts w:hint="eastAsia" w:ascii="宋体" w:hAnsi="宋体" w:cs="宋体"/>
                <w:sz w:val="21"/>
                <w:szCs w:val="21"/>
                <w:lang w:val="en-US" w:eastAsia="zh-CN"/>
              </w:rPr>
              <w:t>2</w:t>
            </w:r>
            <w:r>
              <w:rPr>
                <w:rFonts w:hint="eastAsia" w:ascii="宋体" w:hAnsi="宋体" w:eastAsia="宋体" w:cs="宋体"/>
                <w:sz w:val="21"/>
                <w:szCs w:val="21"/>
              </w:rPr>
              <w:t>镜身洗涤性能良好</w:t>
            </w:r>
            <w:r>
              <w:rPr>
                <w:rFonts w:hint="eastAsia" w:ascii="宋体" w:hAnsi="宋体" w:cs="宋体"/>
                <w:sz w:val="21"/>
                <w:szCs w:val="21"/>
                <w:lang w:eastAsia="zh-CN"/>
              </w:rPr>
              <w:t>。</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5.1</w:t>
            </w:r>
            <w:r>
              <w:rPr>
                <w:rFonts w:hint="eastAsia" w:ascii="宋体" w:hAnsi="宋体" w:cs="宋体"/>
                <w:sz w:val="21"/>
                <w:szCs w:val="21"/>
                <w:lang w:val="en-US" w:eastAsia="zh-CN"/>
              </w:rPr>
              <w:t>3</w:t>
            </w:r>
            <w:r>
              <w:rPr>
                <w:rFonts w:hint="eastAsia" w:ascii="宋体" w:hAnsi="宋体" w:eastAsia="宋体" w:cs="宋体"/>
                <w:sz w:val="21"/>
                <w:szCs w:val="21"/>
              </w:rPr>
              <w:t>送气、送水管道和活检管道分别独立清洗消毒，有效防止感染。</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5.1</w:t>
            </w:r>
            <w:r>
              <w:rPr>
                <w:rFonts w:hint="eastAsia" w:ascii="宋体" w:hAnsi="宋体" w:cs="宋体"/>
                <w:sz w:val="21"/>
                <w:szCs w:val="21"/>
                <w:lang w:val="en-US" w:eastAsia="zh-CN"/>
              </w:rPr>
              <w:t>4</w:t>
            </w:r>
            <w:r>
              <w:rPr>
                <w:rFonts w:hint="eastAsia" w:ascii="宋体" w:hAnsi="宋体" w:eastAsia="宋体" w:cs="宋体"/>
                <w:sz w:val="21"/>
                <w:szCs w:val="21"/>
              </w:rPr>
              <w:t>具备副送水功能，插入附件，能进行有效吸引。</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5.1</w:t>
            </w:r>
            <w:r>
              <w:rPr>
                <w:rFonts w:hint="eastAsia" w:ascii="宋体" w:hAnsi="宋体" w:cs="宋体"/>
                <w:sz w:val="21"/>
                <w:szCs w:val="21"/>
                <w:lang w:val="en-US" w:eastAsia="zh-CN"/>
              </w:rPr>
              <w:t>5</w:t>
            </w:r>
            <w:r>
              <w:rPr>
                <w:rFonts w:hint="eastAsia" w:ascii="宋体" w:hAnsi="宋体" w:eastAsia="宋体" w:cs="宋体"/>
                <w:sz w:val="21"/>
                <w:szCs w:val="21"/>
              </w:rPr>
              <w:t>消毒灭菌性良好：送水、送气、吸引按钮、清洁用具活检等器具均可高温、高压灭菌，减少了交叉感染情况的发生。</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5.1</w:t>
            </w:r>
            <w:r>
              <w:rPr>
                <w:rFonts w:hint="eastAsia" w:ascii="宋体" w:hAnsi="宋体" w:cs="宋体"/>
                <w:sz w:val="21"/>
                <w:szCs w:val="21"/>
                <w:lang w:val="en-US" w:eastAsia="zh-CN"/>
              </w:rPr>
              <w:t>6</w:t>
            </w:r>
            <w:r>
              <w:rPr>
                <w:rFonts w:hint="eastAsia" w:ascii="宋体" w:hAnsi="宋体" w:eastAsia="宋体" w:cs="宋体"/>
                <w:sz w:val="21"/>
                <w:szCs w:val="21"/>
              </w:rPr>
              <w:t>激光兼容性：YAG，810mm二极管</w:t>
            </w:r>
            <w:r>
              <w:rPr>
                <w:rFonts w:hint="eastAsia" w:ascii="宋体" w:hAnsi="宋体" w:cs="宋体"/>
                <w:sz w:val="21"/>
                <w:szCs w:val="21"/>
                <w:lang w:eastAsia="zh-CN"/>
              </w:rPr>
              <w:t>。</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5.1</w:t>
            </w:r>
            <w:r>
              <w:rPr>
                <w:rFonts w:hint="eastAsia" w:ascii="宋体" w:hAnsi="宋体" w:cs="宋体"/>
                <w:sz w:val="21"/>
                <w:szCs w:val="21"/>
                <w:lang w:val="en-US" w:eastAsia="zh-CN"/>
              </w:rPr>
              <w:t>7</w:t>
            </w:r>
            <w:r>
              <w:rPr>
                <w:rFonts w:hint="eastAsia" w:ascii="宋体" w:hAnsi="宋体" w:eastAsia="宋体" w:cs="宋体"/>
                <w:sz w:val="21"/>
                <w:szCs w:val="21"/>
              </w:rPr>
              <w:t>高频兼容性、可变硬度、</w:t>
            </w:r>
            <w:r>
              <w:rPr>
                <w:rFonts w:hint="eastAsia" w:ascii="宋体" w:hAnsi="宋体" w:eastAsia="宋体" w:cs="宋体"/>
                <w:sz w:val="21"/>
                <w:szCs w:val="21"/>
                <w:highlight w:val="none"/>
              </w:rPr>
              <w:t>内镜</w:t>
            </w:r>
            <w:r>
              <w:rPr>
                <w:rFonts w:hint="eastAsia" w:ascii="宋体" w:hAnsi="宋体" w:eastAsia="宋体" w:cs="宋体"/>
                <w:sz w:val="21"/>
                <w:szCs w:val="21"/>
              </w:rPr>
              <w:t>信息记忆功能</w:t>
            </w:r>
            <w:r>
              <w:rPr>
                <w:rFonts w:hint="eastAsia" w:ascii="宋体" w:hAnsi="宋体" w:cs="宋体"/>
                <w:sz w:val="21"/>
                <w:szCs w:val="21"/>
                <w:lang w:eastAsia="zh-CN"/>
              </w:rPr>
              <w:t>。</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5.1</w:t>
            </w:r>
            <w:r>
              <w:rPr>
                <w:rFonts w:hint="eastAsia" w:ascii="宋体" w:hAnsi="宋体" w:cs="宋体"/>
                <w:sz w:val="21"/>
                <w:szCs w:val="21"/>
                <w:lang w:val="en-US" w:eastAsia="zh-CN"/>
              </w:rPr>
              <w:t>8</w:t>
            </w:r>
            <w:r>
              <w:rPr>
                <w:rFonts w:hint="eastAsia" w:ascii="宋体" w:hAnsi="宋体" w:eastAsia="宋体" w:cs="宋体"/>
                <w:sz w:val="21"/>
                <w:szCs w:val="21"/>
              </w:rPr>
              <w:t>强力传导功能有助于以较小的力量向内镜先端部传导较强的力量。</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val="en-US" w:eastAsia="zh-CN"/>
              </w:rPr>
              <w:t>19</w:t>
            </w:r>
            <w:r>
              <w:rPr>
                <w:rFonts w:hint="eastAsia" w:ascii="宋体" w:hAnsi="宋体" w:eastAsia="宋体" w:cs="宋体"/>
                <w:sz w:val="21"/>
                <w:szCs w:val="21"/>
              </w:rPr>
              <w:t>智能弯曲部位于常规弯曲部近端，当内镜先端部触及结肠壁时，此弯曲部将自动弯曲，可防止内镜先端卡在褶皱中，有助于顺利的插入，大大减少患者不适。</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5.2</w:t>
            </w:r>
            <w:r>
              <w:rPr>
                <w:rFonts w:hint="eastAsia" w:ascii="宋体" w:hAnsi="宋体" w:cs="宋体"/>
                <w:sz w:val="21"/>
                <w:szCs w:val="21"/>
                <w:lang w:val="en-US" w:eastAsia="zh-CN"/>
              </w:rPr>
              <w:t>0</w:t>
            </w:r>
            <w:r>
              <w:rPr>
                <w:rFonts w:hint="eastAsia" w:ascii="宋体" w:hAnsi="宋体" w:eastAsia="宋体" w:cs="宋体"/>
                <w:sz w:val="21"/>
                <w:szCs w:val="21"/>
              </w:rPr>
              <w:t>防水连接，内镜与主机连接一步到位，无需内镜电缆，无需防水帽。</w:t>
            </w:r>
          </w:p>
          <w:p>
            <w:pPr>
              <w:numPr>
                <w:ilvl w:val="0"/>
                <w:numId w:val="0"/>
              </w:numPr>
              <w:spacing w:line="360" w:lineRule="auto"/>
              <w:rPr>
                <w:rFonts w:hint="eastAsia" w:ascii="宋体" w:hAnsi="宋体" w:eastAsia="宋体" w:cs="宋体"/>
                <w:b/>
                <w:bCs/>
                <w:sz w:val="21"/>
                <w:szCs w:val="21"/>
              </w:rPr>
            </w:pPr>
            <w:r>
              <w:rPr>
                <w:rFonts w:hint="eastAsia" w:ascii="宋体" w:hAnsi="宋体" w:eastAsia="宋体" w:cs="宋体"/>
                <w:b/>
                <w:bCs/>
                <w:sz w:val="21"/>
                <w:szCs w:val="21"/>
              </w:rPr>
              <w:t>6、治疗型电子胃镜</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6.1视野角度：140°</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6.2景深：3-100mm</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6.3最小可视距离：距离先端≤3.0mm</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6.4先端部外径 ≤9.9mm；</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6.5插入部外径 ≤9.9mm；</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6.7弯曲部角度：上210度、下90度；左100度、右100度；</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6.8钳子管道内径≥3.2mm；</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6.9插入部有效长度1030mm；</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6.10高频电兼容性能：可兼容</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6.11内镜信息记忆：内置记忆芯片，可存储相关参数及白平衡信息，可提示器械伸出方向。</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6.12遥控功能：按钮数量≥4个，可按需要将主机功能设置在任意一个按钮上，至少可遥控图像大小、图像强调、图像冻结四种功能</w:t>
            </w:r>
            <w:r>
              <w:rPr>
                <w:rFonts w:hint="eastAsia" w:ascii="宋体" w:hAnsi="宋体" w:cs="宋体"/>
                <w:sz w:val="21"/>
                <w:szCs w:val="21"/>
                <w:lang w:eastAsia="zh-CN"/>
              </w:rPr>
              <w:t>。</w:t>
            </w:r>
            <w:r>
              <w:rPr>
                <w:rFonts w:hint="eastAsia" w:ascii="宋体" w:hAnsi="宋体" w:eastAsia="宋体" w:cs="宋体"/>
                <w:sz w:val="21"/>
                <w:szCs w:val="21"/>
              </w:rPr>
              <w:t xml:space="preserve"> </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6.13具备副送水功能：内镜具备副送水管道（非附件管道），能连接内镜专用送水泵，可有效冲洗粘膜表面保持诊疗过程中消化道视野清洗。</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6.14采用了高分辨率CCD（光电耦合器），可实现高清晰画质。拥有3.2mm大钳道，插入附件的同时，能进行有效的吸引。是一款从常规诊断到治疗的多用途内镜。</w:t>
            </w:r>
          </w:p>
          <w:p>
            <w:pPr>
              <w:numPr>
                <w:ilvl w:val="0"/>
                <w:numId w:val="0"/>
              </w:numPr>
              <w:spacing w:line="360" w:lineRule="auto"/>
              <w:rPr>
                <w:rFonts w:hint="eastAsia" w:ascii="宋体" w:hAnsi="宋体" w:eastAsia="宋体" w:cs="宋体"/>
                <w:b/>
                <w:bCs/>
                <w:sz w:val="21"/>
                <w:szCs w:val="21"/>
              </w:rPr>
            </w:pPr>
            <w:r>
              <w:rPr>
                <w:rFonts w:hint="eastAsia" w:ascii="宋体" w:hAnsi="宋体" w:eastAsia="宋体" w:cs="宋体"/>
                <w:b/>
                <w:bCs/>
                <w:sz w:val="21"/>
                <w:szCs w:val="21"/>
              </w:rPr>
              <w:t>7、光学放大胃镜</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7.1采用顺次成像技术获取黏膜组织高色彩还原度的影像；</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7.2.具备NBI窄带光影像功能，可获得黏膜结构及微下血管的高对比度影像</w:t>
            </w:r>
            <w:r>
              <w:rPr>
                <w:rFonts w:hint="eastAsia" w:ascii="宋体" w:hAnsi="宋体" w:cs="宋体"/>
                <w:sz w:val="21"/>
                <w:szCs w:val="21"/>
                <w:lang w:eastAsia="zh-CN"/>
              </w:rPr>
              <w:t>。</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7.3.可通过操作手柄处放大拨杆操作对观察目标进行无极光学放大</w:t>
            </w:r>
            <w:r>
              <w:rPr>
                <w:rFonts w:hint="eastAsia" w:ascii="宋体" w:hAnsi="宋体" w:cs="宋体"/>
                <w:sz w:val="21"/>
                <w:szCs w:val="21"/>
                <w:lang w:eastAsia="zh-CN"/>
              </w:rPr>
              <w:t>。</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 xml:space="preserve">7.4.视野角度：140°（常规观察）/95°（放大观察） </w:t>
            </w:r>
            <w:r>
              <w:rPr>
                <w:rFonts w:hint="eastAsia" w:ascii="宋体" w:hAnsi="宋体" w:cs="宋体"/>
                <w:sz w:val="21"/>
                <w:szCs w:val="21"/>
                <w:lang w:eastAsia="zh-CN"/>
              </w:rPr>
              <w:t>。</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7.5.景深：7-100mm（常规观察）1.5-3mm（放大观察）</w:t>
            </w:r>
            <w:r>
              <w:rPr>
                <w:rFonts w:hint="eastAsia" w:ascii="宋体" w:hAnsi="宋体" w:cs="宋体"/>
                <w:sz w:val="21"/>
                <w:szCs w:val="21"/>
                <w:lang w:eastAsia="zh-CN"/>
              </w:rPr>
              <w:t>。</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7.6.最小可视距离：距离先端≤3.0mm</w:t>
            </w:r>
            <w:r>
              <w:rPr>
                <w:rFonts w:hint="eastAsia" w:ascii="宋体" w:hAnsi="宋体" w:cs="宋体"/>
                <w:sz w:val="21"/>
                <w:szCs w:val="21"/>
                <w:lang w:eastAsia="zh-CN"/>
              </w:rPr>
              <w:t>。</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7.7.先端部外径 ≤9.9mm</w:t>
            </w:r>
            <w:r>
              <w:rPr>
                <w:rFonts w:hint="eastAsia" w:ascii="宋体" w:hAnsi="宋体" w:cs="宋体"/>
                <w:sz w:val="21"/>
                <w:szCs w:val="21"/>
                <w:lang w:eastAsia="zh-CN"/>
              </w:rPr>
              <w:t>。</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7.8.插入部外径 ≤9.6mm</w:t>
            </w:r>
            <w:r>
              <w:rPr>
                <w:rFonts w:hint="eastAsia" w:ascii="宋体" w:hAnsi="宋体" w:cs="宋体"/>
                <w:sz w:val="21"/>
                <w:szCs w:val="21"/>
                <w:lang w:eastAsia="zh-CN"/>
              </w:rPr>
              <w:t>。</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7.9.弯曲部角度：上210度、下90度；左100度、右100度</w:t>
            </w:r>
            <w:r>
              <w:rPr>
                <w:rFonts w:hint="eastAsia" w:ascii="宋体" w:hAnsi="宋体" w:cs="宋体"/>
                <w:sz w:val="21"/>
                <w:szCs w:val="21"/>
                <w:lang w:eastAsia="zh-CN"/>
              </w:rPr>
              <w:t>。</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7.10.钳子管道内径≥2.8mm</w:t>
            </w:r>
            <w:r>
              <w:rPr>
                <w:rFonts w:hint="eastAsia" w:ascii="宋体" w:hAnsi="宋体" w:cs="宋体"/>
                <w:sz w:val="21"/>
                <w:szCs w:val="21"/>
                <w:lang w:eastAsia="zh-CN"/>
              </w:rPr>
              <w:t>。</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7.11.插入部有效长度1030mm</w:t>
            </w:r>
            <w:r>
              <w:rPr>
                <w:rFonts w:hint="eastAsia" w:ascii="宋体" w:hAnsi="宋体" w:cs="宋体"/>
                <w:sz w:val="21"/>
                <w:szCs w:val="21"/>
                <w:lang w:eastAsia="zh-CN"/>
              </w:rPr>
              <w:t>。</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7.12.高频电兼容性能：可兼容</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7.13.内镜信息记忆：内置记忆芯片，可存储相关参数及白平衡信息，可提示器械伸出方向。</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 xml:space="preserve">7.14.遥控功能：按钮数量≥4个，可按需要将主机功能设置在任意一个按钮上，至少可遥控图像大小、图像强调、图像冻结四种功能； </w:t>
            </w:r>
          </w:p>
          <w:p>
            <w:pPr>
              <w:numPr>
                <w:ilvl w:val="0"/>
                <w:numId w:val="0"/>
              </w:numPr>
              <w:spacing w:line="360" w:lineRule="auto"/>
              <w:rPr>
                <w:rFonts w:hint="eastAsia" w:eastAsia="宋体"/>
                <w:lang w:val="en-US" w:eastAsia="zh-CN"/>
              </w:rPr>
            </w:pPr>
            <w:r>
              <w:rPr>
                <w:rFonts w:hint="eastAsia" w:ascii="宋体" w:hAnsi="宋体" w:eastAsia="宋体" w:cs="宋体"/>
                <w:sz w:val="21"/>
                <w:szCs w:val="21"/>
              </w:rPr>
              <w:t>7.15.具备副送水功能：内镜具备副送水管道（非附件管道），能连接内镜专用送水泵，可有效冲洗粘膜表面保持诊疗过程中消化道视野清洗。</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 </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szCs w:val="21"/>
                <w:lang w:val="en-US"/>
              </w:rPr>
            </w:pPr>
            <w:r>
              <w:rPr>
                <w:rFonts w:hint="eastAsia" w:ascii="宋体" w:hAnsi="宋体" w:cs="宋体"/>
                <w:color w:val="000000"/>
                <w:kern w:val="0"/>
                <w:szCs w:val="21"/>
                <w:highlight w:val="none"/>
                <w:lang w:val="en-US" w:eastAsia="zh-CN" w:bidi="ar"/>
              </w:rPr>
              <w:t>4400000</w:t>
            </w:r>
          </w:p>
        </w:tc>
      </w:tr>
      <w:tr>
        <w:tblPrEx>
          <w:tblCellMar>
            <w:top w:w="0" w:type="dxa"/>
            <w:left w:w="108" w:type="dxa"/>
            <w:bottom w:w="0" w:type="dxa"/>
            <w:right w:w="108" w:type="dxa"/>
          </w:tblCellMar>
        </w:tblPrEx>
        <w:trPr>
          <w:gridAfter w:val="1"/>
          <w:wAfter w:w="6" w:type="dxa"/>
          <w:trHeight w:val="338" w:hRule="atLeast"/>
          <w:jc w:val="center"/>
        </w:trPr>
        <w:tc>
          <w:tcPr>
            <w:tcW w:w="10208"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ascii="宋体" w:hAnsi="宋体" w:cs="宋体"/>
                <w:szCs w:val="21"/>
              </w:rPr>
            </w:pPr>
            <w:r>
              <w:rPr>
                <w:rFonts w:hint="eastAsia" w:ascii="宋体" w:hAnsi="宋体"/>
                <w:b/>
                <w:bCs/>
                <w:kern w:val="0"/>
                <w:szCs w:val="21"/>
              </w:rPr>
              <w:t>商务要求</w:t>
            </w:r>
          </w:p>
        </w:tc>
      </w:tr>
      <w:tr>
        <w:tblPrEx>
          <w:tblCellMar>
            <w:top w:w="0" w:type="dxa"/>
            <w:left w:w="108" w:type="dxa"/>
            <w:bottom w:w="0" w:type="dxa"/>
            <w:right w:w="108" w:type="dxa"/>
          </w:tblCellMar>
        </w:tblPrEx>
        <w:trPr>
          <w:gridAfter w:val="1"/>
          <w:wAfter w:w="6" w:type="dxa"/>
          <w:trHeight w:val="570" w:hRule="atLeast"/>
          <w:jc w:val="center"/>
        </w:trPr>
        <w:tc>
          <w:tcPr>
            <w:tcW w:w="3394"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int="default" w:ascii="宋体" w:hAnsi="宋体" w:eastAsia="宋体"/>
                <w:szCs w:val="21"/>
                <w:lang w:val="en-US" w:eastAsia="zh-CN"/>
              </w:rPr>
            </w:pPr>
            <w:r>
              <w:rPr>
                <w:rFonts w:hint="eastAsia" w:ascii="宋体" w:hAnsi="宋体"/>
                <w:kern w:val="0"/>
                <w:szCs w:val="21"/>
                <w:lang w:val="en-US" w:eastAsia="zh-CN"/>
              </w:rPr>
              <w:t>售后服务要求</w:t>
            </w:r>
          </w:p>
        </w:tc>
        <w:tc>
          <w:tcPr>
            <w:tcW w:w="6814"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1.售后服务基本要求（以下费用包含在投标报价中，采购人不再就此费用另行支付）：</w:t>
            </w:r>
          </w:p>
          <w:p>
            <w:pPr>
              <w:adjustRightInd w:val="0"/>
              <w:spacing w:line="360" w:lineRule="auto"/>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（1）按照国家有关产品“三包”规定执行“三包”，免费保修期不少于</w:t>
            </w:r>
            <w:r>
              <w:rPr>
                <w:rFonts w:hint="eastAsia" w:asciiTheme="majorEastAsia" w:hAnsiTheme="majorEastAsia" w:eastAsiaTheme="majorEastAsia" w:cstheme="majorEastAsia"/>
                <w:kern w:val="0"/>
                <w:szCs w:val="21"/>
                <w:lang w:val="en-US" w:eastAsia="zh-CN"/>
              </w:rPr>
              <w:t>12</w:t>
            </w:r>
            <w:r>
              <w:rPr>
                <w:rFonts w:hint="eastAsia" w:asciiTheme="majorEastAsia" w:hAnsiTheme="majorEastAsia" w:eastAsiaTheme="majorEastAsia" w:cstheme="majorEastAsia"/>
                <w:kern w:val="0"/>
                <w:szCs w:val="21"/>
              </w:rPr>
              <w:t xml:space="preserve"> 个月（自验收合格之日起计算）。厂家免费保修期承诺优于本条款要求的，按厂家</w:t>
            </w:r>
            <w:r>
              <w:rPr>
                <w:rFonts w:hint="eastAsia" w:asciiTheme="majorEastAsia" w:hAnsiTheme="majorEastAsia" w:eastAsiaTheme="majorEastAsia" w:cstheme="majorEastAsia"/>
                <w:kern w:val="0"/>
                <w:szCs w:val="21"/>
                <w:highlight w:val="none"/>
                <w:lang w:eastAsia="zh-CN"/>
              </w:rPr>
              <w:t>（</w:t>
            </w:r>
            <w:r>
              <w:rPr>
                <w:rFonts w:hint="eastAsia" w:asciiTheme="majorEastAsia" w:hAnsiTheme="majorEastAsia" w:eastAsiaTheme="majorEastAsia" w:cstheme="majorEastAsia"/>
                <w:kern w:val="0"/>
                <w:szCs w:val="21"/>
                <w:highlight w:val="none"/>
                <w:lang w:val="en-US" w:eastAsia="zh-CN"/>
              </w:rPr>
              <w:t>或全国总代）</w:t>
            </w:r>
            <w:r>
              <w:rPr>
                <w:rFonts w:hint="eastAsia" w:asciiTheme="majorEastAsia" w:hAnsiTheme="majorEastAsia" w:eastAsiaTheme="majorEastAsia" w:cstheme="majorEastAsia"/>
                <w:kern w:val="0"/>
                <w:szCs w:val="21"/>
                <w:highlight w:val="none"/>
              </w:rPr>
              <w:t>承诺</w:t>
            </w:r>
            <w:r>
              <w:rPr>
                <w:rFonts w:hint="eastAsia" w:asciiTheme="majorEastAsia" w:hAnsiTheme="majorEastAsia" w:eastAsiaTheme="majorEastAsia" w:cstheme="majorEastAsia"/>
                <w:kern w:val="0"/>
                <w:szCs w:val="21"/>
              </w:rPr>
              <w:t>执行。</w:t>
            </w:r>
          </w:p>
          <w:p>
            <w:pPr>
              <w:adjustRightInd w:val="0"/>
              <w:spacing w:line="360" w:lineRule="auto"/>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（2）采购范围内的货物送货上门，装卸、安装调试合格，提供技术培训，直至采购人技术人员可熟练操作使用。</w:t>
            </w:r>
          </w:p>
          <w:p>
            <w:pPr>
              <w:adjustRightInd w:val="0"/>
              <w:spacing w:line="360" w:lineRule="auto"/>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（3）故障解决及保修要求：</w:t>
            </w:r>
          </w:p>
          <w:p>
            <w:pPr>
              <w:adjustRightInd w:val="0"/>
              <w:spacing w:line="360" w:lineRule="auto"/>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①免费保修期内上门提供维修服务，出现故障时，2小时内响应，12小时内到达现场，维修需更备件的, 常用备件24小时内更换解决故障,重要备件48小时内更换解决故障。</w:t>
            </w:r>
          </w:p>
          <w:p>
            <w:pPr>
              <w:adjustRightInd w:val="0"/>
              <w:spacing w:line="360" w:lineRule="auto"/>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②免费保修期内定期上门检查、上门维修（维修费和元器件费）；维修中如需要更换配件的，要求更换的配件应跟被更换的品牌、类型相一致。</w:t>
            </w:r>
          </w:p>
          <w:p>
            <w:pPr>
              <w:adjustRightInd w:val="0"/>
              <w:spacing w:line="360" w:lineRule="auto"/>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③所投产品生产厂家在国内具有零配件库存，以保证及时的零配件供应。</w:t>
            </w:r>
          </w:p>
          <w:p>
            <w:pPr>
              <w:adjustRightInd w:val="0"/>
              <w:spacing w:line="360" w:lineRule="auto"/>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④若产品自带软件的，则须提供免费保修期内提供升级服务。</w:t>
            </w:r>
          </w:p>
          <w:p>
            <w:pPr>
              <w:adjustRightInd w:val="0"/>
              <w:spacing w:line="360" w:lineRule="auto"/>
              <w:rPr>
                <w:rFonts w:ascii="宋体" w:hAnsi="宋体"/>
                <w:szCs w:val="21"/>
              </w:rPr>
            </w:pPr>
            <w:r>
              <w:rPr>
                <w:rFonts w:hint="eastAsia" w:asciiTheme="majorEastAsia" w:hAnsiTheme="majorEastAsia" w:eastAsiaTheme="majorEastAsia" w:cstheme="majorEastAsia"/>
                <w:kern w:val="0"/>
                <w:szCs w:val="21"/>
              </w:rPr>
              <w:t>2.投标人根据以上售后服务要求，于投标文件中必须提供相应的售后服务承诺书。</w:t>
            </w:r>
          </w:p>
        </w:tc>
      </w:tr>
      <w:tr>
        <w:tblPrEx>
          <w:tblCellMar>
            <w:top w:w="0" w:type="dxa"/>
            <w:left w:w="108" w:type="dxa"/>
            <w:bottom w:w="0" w:type="dxa"/>
            <w:right w:w="108" w:type="dxa"/>
          </w:tblCellMar>
        </w:tblPrEx>
        <w:trPr>
          <w:gridAfter w:val="1"/>
          <w:wAfter w:w="6" w:type="dxa"/>
          <w:trHeight w:val="535" w:hRule="atLeast"/>
          <w:jc w:val="center"/>
        </w:trPr>
        <w:tc>
          <w:tcPr>
            <w:tcW w:w="3394"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kern w:val="0"/>
                <w:szCs w:val="21"/>
              </w:rPr>
            </w:pPr>
            <w:r>
              <w:rPr>
                <w:rFonts w:hint="eastAsia" w:ascii="宋体" w:hAnsi="宋体"/>
                <w:kern w:val="0"/>
                <w:szCs w:val="21"/>
              </w:rPr>
              <w:t>交货时间及地点、方式</w:t>
            </w:r>
          </w:p>
        </w:tc>
        <w:tc>
          <w:tcPr>
            <w:tcW w:w="6814" w:type="dxa"/>
            <w:gridSpan w:val="4"/>
            <w:tcBorders>
              <w:top w:val="single" w:color="auto" w:sz="4" w:space="0"/>
              <w:left w:val="single" w:color="auto" w:sz="4" w:space="0"/>
              <w:bottom w:val="single" w:color="auto" w:sz="4" w:space="0"/>
              <w:right w:val="single" w:color="auto" w:sz="4" w:space="0"/>
            </w:tcBorders>
            <w:vAlign w:val="center"/>
          </w:tcPr>
          <w:p>
            <w:pPr>
              <w:pStyle w:val="156"/>
              <w:spacing w:line="360" w:lineRule="auto"/>
              <w:rPr>
                <w:rFonts w:ascii="宋体" w:hAnsi="宋体"/>
                <w:szCs w:val="21"/>
                <w:highlight w:val="none"/>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交付使用时间：</w:t>
            </w:r>
            <w:r>
              <w:rPr>
                <w:rFonts w:hint="eastAsia" w:ascii="宋体" w:hAnsi="宋体"/>
                <w:szCs w:val="21"/>
                <w:highlight w:val="none"/>
              </w:rPr>
              <w:t>自签订合同之日起</w:t>
            </w:r>
            <w:r>
              <w:rPr>
                <w:rFonts w:hint="eastAsia" w:ascii="宋体" w:hAnsi="宋体"/>
                <w:szCs w:val="21"/>
                <w:highlight w:val="none"/>
                <w:lang w:val="en-US" w:eastAsia="zh-CN"/>
              </w:rPr>
              <w:t>90</w:t>
            </w:r>
            <w:r>
              <w:rPr>
                <w:rFonts w:hint="eastAsia" w:ascii="宋体" w:hAnsi="宋体"/>
                <w:szCs w:val="21"/>
                <w:highlight w:val="none"/>
              </w:rPr>
              <w:t>日内交货并安装调试合格交付使用。</w:t>
            </w:r>
          </w:p>
          <w:p>
            <w:pPr>
              <w:pStyle w:val="156"/>
              <w:spacing w:line="360" w:lineRule="auto"/>
              <w:rPr>
                <w:rFonts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交货地点：</w:t>
            </w:r>
            <w:r>
              <w:rPr>
                <w:rFonts w:hint="eastAsia" w:ascii="宋体" w:hAnsi="宋体"/>
                <w:szCs w:val="21"/>
                <w:lang w:val="en-US" w:eastAsia="zh-CN"/>
              </w:rPr>
              <w:t>兴安</w:t>
            </w:r>
            <w:r>
              <w:rPr>
                <w:rFonts w:hint="eastAsia" w:ascii="宋体" w:hAnsi="宋体"/>
                <w:szCs w:val="21"/>
                <w:lang w:eastAsia="zh-CN"/>
              </w:rPr>
              <w:t>县人民医院</w:t>
            </w:r>
            <w:r>
              <w:rPr>
                <w:rFonts w:hint="eastAsia" w:ascii="宋体" w:hAnsi="宋体"/>
                <w:szCs w:val="21"/>
              </w:rPr>
              <w:t>（</w:t>
            </w:r>
            <w:r>
              <w:rPr>
                <w:rFonts w:hint="eastAsia" w:ascii="宋体" w:hAnsi="宋体"/>
                <w:bCs/>
                <w:szCs w:val="21"/>
              </w:rPr>
              <w:t>采购人指定地点）</w:t>
            </w:r>
            <w:r>
              <w:rPr>
                <w:rFonts w:hint="eastAsia" w:ascii="宋体" w:hAnsi="宋体"/>
                <w:szCs w:val="21"/>
              </w:rPr>
              <w:t>。</w:t>
            </w:r>
          </w:p>
          <w:p>
            <w:pPr>
              <w:pStyle w:val="156"/>
              <w:spacing w:line="360" w:lineRule="auto"/>
              <w:rPr>
                <w:rFonts w:ascii="宋体" w:hAnsi="宋体"/>
                <w:szCs w:val="21"/>
              </w:rPr>
            </w:pPr>
            <w:r>
              <w:rPr>
                <w:rFonts w:hint="eastAsia" w:ascii="宋体" w:hAnsi="宋体"/>
                <w:bCs/>
                <w:szCs w:val="21"/>
              </w:rPr>
              <w:t>3</w:t>
            </w:r>
            <w:r>
              <w:rPr>
                <w:rFonts w:hint="eastAsia" w:ascii="宋体" w:hAnsi="宋体"/>
                <w:bCs/>
                <w:szCs w:val="21"/>
                <w:lang w:val="en-US" w:eastAsia="zh-CN"/>
              </w:rPr>
              <w:t>.</w:t>
            </w:r>
            <w:r>
              <w:rPr>
                <w:rFonts w:hint="eastAsia" w:ascii="宋体" w:hAnsi="宋体"/>
                <w:bCs/>
                <w:szCs w:val="21"/>
              </w:rPr>
              <w:t>交货方式：现场交货。</w:t>
            </w:r>
          </w:p>
        </w:tc>
      </w:tr>
      <w:tr>
        <w:tblPrEx>
          <w:tblCellMar>
            <w:top w:w="0" w:type="dxa"/>
            <w:left w:w="108" w:type="dxa"/>
            <w:bottom w:w="0" w:type="dxa"/>
            <w:right w:w="108" w:type="dxa"/>
          </w:tblCellMar>
        </w:tblPrEx>
        <w:trPr>
          <w:gridAfter w:val="1"/>
          <w:wAfter w:w="6" w:type="dxa"/>
          <w:trHeight w:val="636" w:hRule="atLeast"/>
          <w:jc w:val="center"/>
        </w:trPr>
        <w:tc>
          <w:tcPr>
            <w:tcW w:w="3394"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kern w:val="0"/>
                <w:szCs w:val="21"/>
              </w:rPr>
            </w:pPr>
            <w:r>
              <w:rPr>
                <w:rFonts w:hint="eastAsia" w:ascii="宋体" w:hAnsi="宋体"/>
                <w:kern w:val="0"/>
                <w:szCs w:val="21"/>
              </w:rPr>
              <w:t>付款方式</w:t>
            </w:r>
          </w:p>
        </w:tc>
        <w:tc>
          <w:tcPr>
            <w:tcW w:w="6814" w:type="dxa"/>
            <w:gridSpan w:val="4"/>
            <w:tcBorders>
              <w:top w:val="single" w:color="auto" w:sz="4" w:space="0"/>
              <w:left w:val="single" w:color="auto" w:sz="4" w:space="0"/>
              <w:bottom w:val="single" w:color="auto" w:sz="4" w:space="0"/>
              <w:right w:val="single" w:color="auto" w:sz="4" w:space="0"/>
            </w:tcBorders>
            <w:vAlign w:val="center"/>
          </w:tcPr>
          <w:p>
            <w:pPr>
              <w:pStyle w:val="20"/>
              <w:spacing w:line="360" w:lineRule="auto"/>
              <w:rPr>
                <w:rFonts w:hint="eastAsia" w:ascii="宋体" w:hAnsi="宋体" w:eastAsia="宋体"/>
                <w:bCs/>
                <w:szCs w:val="21"/>
                <w:lang w:eastAsia="zh-CN"/>
              </w:rPr>
            </w:pPr>
            <w:r>
              <w:rPr>
                <w:rFonts w:hint="eastAsia" w:ascii="宋体" w:hAnsi="宋体" w:cs="宋体"/>
                <w:kern w:val="2"/>
                <w:sz w:val="21"/>
                <w:szCs w:val="21"/>
                <w:highlight w:val="none"/>
              </w:rPr>
              <w:t>付款方式：货到安装并验收合格后一月内付款90%，剩下的10%一年后付完。</w:t>
            </w:r>
          </w:p>
        </w:tc>
      </w:tr>
      <w:tr>
        <w:tblPrEx>
          <w:tblCellMar>
            <w:top w:w="0" w:type="dxa"/>
            <w:left w:w="108" w:type="dxa"/>
            <w:bottom w:w="0" w:type="dxa"/>
            <w:right w:w="108" w:type="dxa"/>
          </w:tblCellMar>
        </w:tblPrEx>
        <w:trPr>
          <w:gridAfter w:val="1"/>
          <w:wAfter w:w="6" w:type="dxa"/>
          <w:trHeight w:val="1263" w:hRule="atLeast"/>
          <w:jc w:val="center"/>
        </w:trPr>
        <w:tc>
          <w:tcPr>
            <w:tcW w:w="3394"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int="default" w:ascii="宋体" w:hAnsi="宋体" w:eastAsia="宋体"/>
                <w:szCs w:val="21"/>
                <w:lang w:val="en-US" w:eastAsia="zh-CN"/>
              </w:rPr>
            </w:pPr>
            <w:r>
              <w:rPr>
                <w:rFonts w:hint="eastAsia" w:ascii="宋体" w:hAnsi="宋体" w:cs="宋体"/>
                <w:szCs w:val="21"/>
                <w:lang w:val="en-US" w:eastAsia="zh-CN"/>
              </w:rPr>
              <w:t>验收标准</w:t>
            </w:r>
          </w:p>
        </w:tc>
        <w:tc>
          <w:tcPr>
            <w:tcW w:w="6814" w:type="dxa"/>
            <w:gridSpan w:val="4"/>
            <w:tcBorders>
              <w:top w:val="single" w:color="auto" w:sz="4" w:space="0"/>
              <w:left w:val="single" w:color="auto" w:sz="4" w:space="0"/>
              <w:bottom w:val="single" w:color="auto" w:sz="4" w:space="0"/>
              <w:right w:val="single" w:color="auto" w:sz="4" w:space="0"/>
            </w:tcBorders>
            <w:vAlign w:val="center"/>
          </w:tcPr>
          <w:p>
            <w:pPr>
              <w:pStyle w:val="156"/>
              <w:spacing w:line="360" w:lineRule="auto"/>
              <w:rPr>
                <w:rFonts w:hint="eastAsia" w:ascii="宋体" w:hAnsi="宋体" w:cs="宋体"/>
                <w:kern w:val="2"/>
                <w:szCs w:val="21"/>
              </w:rPr>
            </w:pPr>
            <w:r>
              <w:rPr>
                <w:rFonts w:hint="eastAsia" w:ascii="宋体" w:hAnsi="宋体" w:cs="宋体"/>
                <w:kern w:val="2"/>
                <w:szCs w:val="21"/>
              </w:rPr>
              <w:t>1.投标人提供的产品必须符合国家、行业强制执行的相关质量标准要求以及产品制造厂家合格产品的出厂质量标准。</w:t>
            </w:r>
          </w:p>
          <w:p>
            <w:pPr>
              <w:pStyle w:val="156"/>
              <w:spacing w:line="360" w:lineRule="auto"/>
              <w:rPr>
                <w:rFonts w:hint="eastAsia" w:ascii="宋体" w:hAnsi="宋体" w:cs="宋体"/>
                <w:kern w:val="2"/>
                <w:szCs w:val="21"/>
              </w:rPr>
            </w:pPr>
            <w:r>
              <w:rPr>
                <w:rFonts w:hint="eastAsia" w:ascii="宋体" w:hAnsi="宋体" w:cs="宋体"/>
                <w:kern w:val="2"/>
                <w:szCs w:val="21"/>
              </w:rPr>
              <w:t>2.设备需全新、完好、无破损，产品到货后，采购人现场根据招标文件要求及投标文件承诺逐条对应进行核验，必要时，采购人有权邀请国家质量监督检验部门或国家认可的检测机构参与共同验收。如产品不满足招标文件要求、中标人投标承诺或国家、行业强制执行的相关质量标准要求以及产品制造厂家合格产品的出厂质量标准，采购人有权终止合同执行并全部退货，由此造成采购人的经济损失由中标人承担全部赔偿责任。</w:t>
            </w:r>
          </w:p>
          <w:p>
            <w:pPr>
              <w:pStyle w:val="156"/>
              <w:spacing w:line="360" w:lineRule="auto"/>
              <w:rPr>
                <w:rFonts w:hint="eastAsia" w:ascii="宋体" w:hAnsi="宋体" w:cs="宋体"/>
                <w:kern w:val="2"/>
                <w:szCs w:val="21"/>
              </w:rPr>
            </w:pPr>
            <w:r>
              <w:rPr>
                <w:rFonts w:hint="eastAsia" w:ascii="宋体" w:hAnsi="宋体" w:cs="宋体"/>
                <w:kern w:val="2"/>
                <w:szCs w:val="21"/>
              </w:rPr>
              <w:t>3.中标人必须于供货时向采购人提供所投医疗器械产品由行政主管部门核准资格文件、产品注册时的检测检验报告书，产品彩页（或参数说明书），产品白皮书（如有）等资料材料，以便核实相关技术参数，否则不予验收。</w:t>
            </w:r>
          </w:p>
          <w:p>
            <w:pPr>
              <w:pStyle w:val="156"/>
              <w:spacing w:line="360" w:lineRule="auto"/>
              <w:rPr>
                <w:rFonts w:ascii="宋体" w:hAnsi="宋体"/>
                <w:szCs w:val="21"/>
              </w:rPr>
            </w:pPr>
            <w:r>
              <w:rPr>
                <w:rFonts w:hint="eastAsia" w:ascii="宋体" w:hAnsi="宋体" w:cs="宋体"/>
                <w:kern w:val="2"/>
                <w:szCs w:val="21"/>
              </w:rPr>
              <w:t>4.中标人售后服务承诺若超出国家有关产品“三包”规定范围的，中标人于供货前必须向采购人提供生产厂家或总代理商针对所投产品出具的售后服务承诺书原件，否则不予验收。</w:t>
            </w:r>
          </w:p>
        </w:tc>
      </w:tr>
      <w:tr>
        <w:tblPrEx>
          <w:tblCellMar>
            <w:top w:w="0" w:type="dxa"/>
            <w:left w:w="108" w:type="dxa"/>
            <w:bottom w:w="0" w:type="dxa"/>
            <w:right w:w="108" w:type="dxa"/>
          </w:tblCellMar>
        </w:tblPrEx>
        <w:trPr>
          <w:gridAfter w:val="1"/>
          <w:wAfter w:w="6" w:type="dxa"/>
          <w:trHeight w:val="1263" w:hRule="atLeast"/>
          <w:jc w:val="center"/>
        </w:trPr>
        <w:tc>
          <w:tcPr>
            <w:tcW w:w="3394"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szCs w:val="21"/>
              </w:rPr>
            </w:pPr>
            <w:r>
              <w:rPr>
                <w:rFonts w:hint="eastAsia" w:ascii="宋体" w:hAnsi="宋体" w:cs="宋体"/>
                <w:szCs w:val="21"/>
              </w:rPr>
              <w:t>其他要求</w:t>
            </w:r>
          </w:p>
        </w:tc>
        <w:tc>
          <w:tcPr>
            <w:tcW w:w="681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1.</w:t>
            </w:r>
            <w:r>
              <w:rPr>
                <w:rFonts w:hint="eastAsia" w:asciiTheme="majorEastAsia" w:hAnsiTheme="majorEastAsia" w:eastAsiaTheme="majorEastAsia" w:cstheme="majorEastAsia"/>
                <w:szCs w:val="21"/>
              </w:rPr>
              <w:t>售后服务服务过程中如有违反约定的情况，采购人有权扣除质保金。</w:t>
            </w:r>
          </w:p>
          <w:p>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2.</w:t>
            </w:r>
            <w:r>
              <w:rPr>
                <w:rFonts w:hint="eastAsia" w:asciiTheme="majorEastAsia" w:hAnsiTheme="majorEastAsia" w:eastAsiaTheme="majorEastAsia" w:cstheme="majorEastAsia"/>
                <w:szCs w:val="21"/>
              </w:rPr>
              <w:t>投标报价的费用包括：</w:t>
            </w:r>
          </w:p>
          <w:p>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（1）货物的价格；</w:t>
            </w:r>
          </w:p>
          <w:p>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（2）货物的标准附件、备品备件、专用工具的价格；</w:t>
            </w:r>
          </w:p>
          <w:p>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（3）运输、装卸、调试、培训、技术支持、售后服务等费用；</w:t>
            </w:r>
          </w:p>
          <w:p>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（4）包括安装费</w:t>
            </w:r>
            <w:r>
              <w:rPr>
                <w:rFonts w:hint="eastAsia" w:asciiTheme="majorEastAsia" w:hAnsiTheme="majorEastAsia" w:eastAsiaTheme="majorEastAsia" w:cstheme="majorEastAsia"/>
                <w:kern w:val="0"/>
                <w:szCs w:val="21"/>
              </w:rPr>
              <w:t>用、</w:t>
            </w:r>
            <w:r>
              <w:rPr>
                <w:rFonts w:hint="eastAsia" w:asciiTheme="majorEastAsia" w:hAnsiTheme="majorEastAsia" w:eastAsiaTheme="majorEastAsia" w:cstheme="majorEastAsia"/>
                <w:szCs w:val="21"/>
              </w:rPr>
              <w:t>必要的保险费用和各项税费。</w:t>
            </w:r>
          </w:p>
          <w:p>
            <w:pPr>
              <w:spacing w:line="360" w:lineRule="auto"/>
              <w:jc w:val="left"/>
              <w:rPr>
                <w:rFonts w:hint="eastAsia" w:asciiTheme="majorEastAsia" w:hAnsiTheme="majorEastAsia" w:eastAsiaTheme="majorEastAsia" w:cstheme="majorEastAsia"/>
                <w:szCs w:val="21"/>
                <w:highlight w:val="none"/>
                <w:lang w:eastAsia="zh-CN"/>
              </w:rPr>
            </w:pPr>
            <w:r>
              <w:rPr>
                <w:rFonts w:hint="eastAsia" w:asciiTheme="majorEastAsia" w:hAnsiTheme="majorEastAsia" w:eastAsiaTheme="majorEastAsia" w:cstheme="majorEastAsia"/>
                <w:szCs w:val="21"/>
                <w:lang w:val="en-US" w:eastAsia="zh-CN"/>
              </w:rPr>
              <w:t>3.</w:t>
            </w:r>
            <w:r>
              <w:rPr>
                <w:rFonts w:hint="eastAsia" w:asciiTheme="majorEastAsia" w:hAnsiTheme="majorEastAsia" w:eastAsiaTheme="majorEastAsia" w:cstheme="majorEastAsia"/>
                <w:szCs w:val="21"/>
              </w:rPr>
              <w:t>本标段政府采购预算</w:t>
            </w:r>
            <w:r>
              <w:rPr>
                <w:rFonts w:hint="eastAsia" w:asciiTheme="majorEastAsia" w:hAnsiTheme="majorEastAsia" w:eastAsiaTheme="majorEastAsia" w:cstheme="majorEastAsia"/>
                <w:szCs w:val="21"/>
                <w:highlight w:val="none"/>
              </w:rPr>
              <w:t>金额为：</w:t>
            </w:r>
            <w:r>
              <w:rPr>
                <w:rFonts w:hint="eastAsia" w:asciiTheme="majorEastAsia" w:hAnsiTheme="majorEastAsia" w:eastAsiaTheme="majorEastAsia" w:cstheme="majorEastAsia"/>
                <w:szCs w:val="21"/>
                <w:highlight w:val="none"/>
                <w:lang w:val="en-US" w:eastAsia="zh-CN"/>
              </w:rPr>
              <w:t>肆佰肆拾万</w:t>
            </w:r>
            <w:r>
              <w:rPr>
                <w:rFonts w:hint="eastAsia" w:ascii="宋体" w:hAnsi="宋体" w:cs="宋体"/>
                <w:kern w:val="0"/>
                <w:szCs w:val="21"/>
                <w:highlight w:val="none"/>
              </w:rPr>
              <w:t>元整（</w:t>
            </w:r>
            <w:r>
              <w:rPr>
                <w:rFonts w:hint="eastAsia" w:ascii="宋体" w:hAnsi="宋体" w:cs="宋体"/>
                <w:szCs w:val="21"/>
                <w:highlight w:val="none"/>
              </w:rPr>
              <w:t>¥</w:t>
            </w:r>
            <w:r>
              <w:rPr>
                <w:rFonts w:hint="eastAsia" w:ascii="宋体" w:hAnsi="宋体" w:cs="宋体"/>
                <w:szCs w:val="21"/>
                <w:highlight w:val="none"/>
                <w:lang w:val="en-US" w:eastAsia="zh-CN"/>
              </w:rPr>
              <w:t>4400000</w:t>
            </w:r>
            <w:r>
              <w:rPr>
                <w:rFonts w:hint="eastAsia" w:ascii="宋体" w:hAnsi="宋体" w:cs="宋体"/>
                <w:szCs w:val="21"/>
                <w:highlight w:val="none"/>
              </w:rPr>
              <w:t>元）</w:t>
            </w:r>
            <w:r>
              <w:rPr>
                <w:rFonts w:hint="eastAsia" w:asciiTheme="majorEastAsia" w:hAnsiTheme="majorEastAsia" w:eastAsiaTheme="majorEastAsia" w:cstheme="majorEastAsia"/>
                <w:szCs w:val="21"/>
                <w:highlight w:val="none"/>
              </w:rPr>
              <w:t>,投标人投标报价超过采购预算价的为无效投标</w:t>
            </w:r>
            <w:r>
              <w:rPr>
                <w:rFonts w:hint="eastAsia" w:asciiTheme="majorEastAsia" w:hAnsiTheme="majorEastAsia" w:eastAsiaTheme="majorEastAsia" w:cstheme="majorEastAsia"/>
                <w:szCs w:val="21"/>
                <w:highlight w:val="none"/>
                <w:lang w:eastAsia="zh-CN"/>
              </w:rPr>
              <w:t>。</w:t>
            </w:r>
          </w:p>
          <w:p>
            <w:pPr>
              <w:spacing w:line="360" w:lineRule="auto"/>
              <w:jc w:val="left"/>
              <w:rPr>
                <w:rFonts w:hint="default" w:asciiTheme="majorEastAsia" w:hAnsiTheme="majorEastAsia" w:eastAsiaTheme="majorEastAsia" w:cstheme="majorEastAsia"/>
                <w:b/>
                <w:bCs/>
                <w:szCs w:val="21"/>
                <w:highlight w:val="none"/>
                <w:lang w:val="en-US" w:eastAsia="zh-CN"/>
              </w:rPr>
            </w:pPr>
            <w:r>
              <w:rPr>
                <w:rFonts w:hint="eastAsia" w:asciiTheme="majorEastAsia" w:hAnsiTheme="majorEastAsia" w:eastAsiaTheme="majorEastAsia" w:cstheme="majorEastAsia"/>
                <w:b/>
                <w:bCs/>
                <w:szCs w:val="21"/>
                <w:lang w:val="en-US" w:eastAsia="zh-CN"/>
              </w:rPr>
              <w:t>4.</w:t>
            </w:r>
            <w:r>
              <w:rPr>
                <w:rFonts w:hint="eastAsia" w:asciiTheme="majorEastAsia" w:hAnsiTheme="majorEastAsia" w:eastAsiaTheme="majorEastAsia" w:cstheme="majorEastAsia"/>
                <w:b/>
                <w:bCs/>
                <w:szCs w:val="21"/>
                <w:highlight w:val="none"/>
              </w:rPr>
              <w:t>进口产品说明</w:t>
            </w:r>
            <w:r>
              <w:rPr>
                <w:rFonts w:hint="eastAsia" w:asciiTheme="majorEastAsia" w:hAnsiTheme="majorEastAsia" w:eastAsiaTheme="majorEastAsia" w:cstheme="majorEastAsia"/>
                <w:b/>
                <w:bCs/>
                <w:szCs w:val="21"/>
                <w:highlight w:val="none"/>
                <w:lang w:val="en-US" w:eastAsia="zh-CN"/>
              </w:rPr>
              <w:t xml:space="preserve">  </w:t>
            </w:r>
          </w:p>
          <w:p>
            <w:pPr>
              <w:spacing w:line="360" w:lineRule="auto"/>
              <w:jc w:val="left"/>
              <w:rPr>
                <w:rFonts w:hint="eastAsia" w:asciiTheme="majorEastAsia" w:hAnsiTheme="majorEastAsia" w:eastAsiaTheme="majorEastAsia" w:cstheme="majorEastAsia"/>
                <w:b w:val="0"/>
                <w:bCs w:val="0"/>
                <w:szCs w:val="21"/>
              </w:rPr>
            </w:pPr>
            <w:r>
              <w:rPr>
                <w:rFonts w:hint="eastAsia" w:asciiTheme="majorEastAsia" w:hAnsiTheme="majorEastAsia" w:eastAsiaTheme="majorEastAsia" w:cstheme="majorEastAsia"/>
                <w:b w:val="0"/>
                <w:bCs w:val="0"/>
                <w:szCs w:val="21"/>
              </w:rPr>
              <w:sym w:font="Wingdings 2" w:char="0052"/>
            </w:r>
            <w:r>
              <w:rPr>
                <w:rFonts w:hint="eastAsia" w:asciiTheme="majorEastAsia" w:hAnsiTheme="majorEastAsia" w:eastAsiaTheme="majorEastAsia" w:cstheme="majorEastAsia"/>
                <w:b w:val="0"/>
                <w:bCs w:val="0"/>
                <w:szCs w:val="21"/>
              </w:rPr>
              <w:t>本</w:t>
            </w:r>
            <w:r>
              <w:rPr>
                <w:rFonts w:hint="eastAsia" w:asciiTheme="majorEastAsia" w:hAnsiTheme="majorEastAsia" w:eastAsiaTheme="majorEastAsia" w:cstheme="majorEastAsia"/>
                <w:b w:val="0"/>
                <w:bCs w:val="0"/>
                <w:szCs w:val="21"/>
                <w:lang w:val="en-US" w:eastAsia="zh-CN"/>
              </w:rPr>
              <w:t>分标</w:t>
            </w:r>
            <w:r>
              <w:rPr>
                <w:rFonts w:hint="eastAsia" w:asciiTheme="majorEastAsia" w:hAnsiTheme="majorEastAsia" w:eastAsiaTheme="majorEastAsia" w:cstheme="majorEastAsia"/>
                <w:b w:val="0"/>
                <w:bCs w:val="0"/>
                <w:szCs w:val="21"/>
              </w:rPr>
              <w:t>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p>
          <w:p>
            <w:pPr>
              <w:spacing w:line="360" w:lineRule="auto"/>
              <w:jc w:val="left"/>
              <w:rPr>
                <w:rFonts w:hint="eastAsia" w:asciiTheme="majorEastAsia" w:hAnsiTheme="majorEastAsia" w:eastAsiaTheme="majorEastAsia" w:cstheme="majorEastAsia"/>
                <w:b w:val="0"/>
                <w:bCs w:val="0"/>
                <w:szCs w:val="21"/>
              </w:rPr>
            </w:pPr>
            <w:r>
              <w:rPr>
                <w:rFonts w:hint="eastAsia" w:asciiTheme="majorEastAsia" w:hAnsiTheme="majorEastAsia" w:eastAsiaTheme="majorEastAsia" w:cstheme="majorEastAsia"/>
                <w:b w:val="0"/>
                <w:bCs w:val="0"/>
                <w:szCs w:val="21"/>
                <w:lang w:eastAsia="zh-CN"/>
              </w:rPr>
              <w:t>□</w:t>
            </w:r>
            <w:r>
              <w:rPr>
                <w:rFonts w:hint="eastAsia" w:asciiTheme="majorEastAsia" w:hAnsiTheme="majorEastAsia" w:eastAsiaTheme="majorEastAsia" w:cstheme="majorEastAsia"/>
                <w:b w:val="0"/>
                <w:bCs w:val="0"/>
                <w:szCs w:val="21"/>
              </w:rPr>
              <w:t>本分标货物所涉及的货物不接受进口产品（即通过中国海关报关验放进入中国境内且产自关境外的产品）参与投标，如有进口产品参与投标的作无效标处理。</w:t>
            </w:r>
          </w:p>
          <w:p>
            <w:pPr>
              <w:keepNext w:val="0"/>
              <w:keepLines w:val="0"/>
              <w:pageBreakBefore w:val="0"/>
              <w:tabs>
                <w:tab w:val="left" w:pos="180"/>
                <w:tab w:val="left" w:pos="1620"/>
              </w:tabs>
              <w:kinsoku/>
              <w:wordWrap/>
              <w:overflowPunct/>
              <w:topLinePunct w:val="0"/>
              <w:autoSpaceDE/>
              <w:autoSpaceDN/>
              <w:bidi w:val="0"/>
              <w:adjustRightInd/>
              <w:snapToGrid/>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核心产品</w:t>
            </w:r>
          </w:p>
          <w:p>
            <w:pPr>
              <w:pStyle w:val="22"/>
              <w:spacing w:line="360" w:lineRule="auto"/>
              <w:rPr>
                <w:rFonts w:hint="eastAsia"/>
                <w:highlight w:val="none"/>
              </w:rPr>
            </w:pPr>
            <w:r>
              <w:rPr>
                <w:rFonts w:hint="eastAsia" w:ascii="宋体" w:hAnsi="宋体" w:eastAsia="宋体" w:cs="宋体"/>
                <w:color w:val="auto"/>
                <w:sz w:val="21"/>
                <w:szCs w:val="21"/>
                <w:highlight w:val="none"/>
                <w:lang w:val="en-US" w:eastAsia="zh-CN"/>
              </w:rPr>
              <w:t>本分标</w:t>
            </w:r>
            <w:r>
              <w:rPr>
                <w:rFonts w:hint="eastAsia" w:ascii="宋体" w:hAnsi="宋体" w:eastAsia="宋体" w:cs="宋体"/>
                <w:color w:val="auto"/>
                <w:sz w:val="21"/>
                <w:szCs w:val="21"/>
                <w:highlight w:val="none"/>
              </w:rPr>
              <w:t>“采购清单及技术参数”表中的</w:t>
            </w:r>
            <w:r>
              <w:rPr>
                <w:rFonts w:hint="eastAsia" w:ascii="宋体" w:hAnsi="宋体" w:eastAsia="宋体" w:cs="宋体"/>
                <w:b/>
                <w:bCs/>
                <w:color w:val="auto"/>
                <w:sz w:val="21"/>
                <w:szCs w:val="21"/>
                <w:highlight w:val="none"/>
              </w:rPr>
              <w:t>第</w:t>
            </w:r>
            <w:r>
              <w:rPr>
                <w:rFonts w:hint="eastAsia" w:ascii="宋体" w:hAnsi="宋体" w:cs="宋体"/>
                <w:b/>
                <w:bCs/>
                <w:color w:val="auto"/>
                <w:sz w:val="21"/>
                <w:szCs w:val="21"/>
                <w:highlight w:val="none"/>
                <w:u w:val="none"/>
                <w:lang w:val="en-US" w:eastAsia="zh-CN"/>
              </w:rPr>
              <w:t>1</w:t>
            </w:r>
            <w:r>
              <w:rPr>
                <w:rFonts w:hint="eastAsia" w:ascii="宋体" w:hAnsi="宋体" w:eastAsia="宋体" w:cs="宋体"/>
                <w:b/>
                <w:bCs/>
                <w:color w:val="auto"/>
                <w:sz w:val="21"/>
                <w:szCs w:val="21"/>
                <w:highlight w:val="none"/>
              </w:rPr>
              <w:t>项</w:t>
            </w:r>
            <w:r>
              <w:rPr>
                <w:rFonts w:hint="eastAsia" w:ascii="宋体" w:hAnsi="宋体" w:eastAsia="宋体" w:cs="宋体"/>
                <w:b w:val="0"/>
                <w:bCs w:val="0"/>
                <w:color w:val="auto"/>
                <w:sz w:val="21"/>
                <w:szCs w:val="21"/>
                <w:highlight w:val="none"/>
                <w:lang w:val="en-US" w:eastAsia="zh-CN"/>
              </w:rPr>
              <w:t>所涉及的货物</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高清电子胃肠镜系统</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为核心产品</w:t>
            </w:r>
            <w:r>
              <w:rPr>
                <w:rFonts w:hint="eastAsia" w:ascii="宋体" w:hAnsi="宋体" w:eastAsia="宋体" w:cs="宋体"/>
                <w:color w:val="auto"/>
                <w:sz w:val="21"/>
                <w:szCs w:val="21"/>
                <w:highlight w:val="none"/>
              </w:rPr>
              <w:t>。提供相同品牌产品且通过资格审查、符合性审查的不同投标人参加同一合同项下投标的，按一家投标人计算，评审后得分最高的同品牌投标人获得中标人推荐资格；评审得分相同的，评标价最低的同品牌投标人获得中标人推荐资格，评标价也相同的，由评标委员会以抽签方式确定中标候选人，其他同品牌投标人不作为中标候选人。</w:t>
            </w:r>
          </w:p>
          <w:p>
            <w:pPr>
              <w:pStyle w:val="156"/>
              <w:spacing w:line="360" w:lineRule="auto"/>
            </w:pPr>
            <w:r>
              <w:rPr>
                <w:rFonts w:hint="eastAsia" w:asciiTheme="majorEastAsia" w:hAnsiTheme="majorEastAsia" w:eastAsiaTheme="majorEastAsia" w:cstheme="majorEastAsia"/>
                <w:b/>
                <w:bCs/>
                <w:szCs w:val="21"/>
              </w:rPr>
              <w:t>注：以上标注“★”号的技术参数为重要技术参数，必须满足，否则，投标无效。</w:t>
            </w:r>
          </w:p>
        </w:tc>
      </w:tr>
    </w:tbl>
    <w:p>
      <w:pPr>
        <w:pStyle w:val="25"/>
        <w:ind w:left="0" w:leftChars="0" w:firstLine="0" w:firstLineChars="0"/>
      </w:pPr>
    </w:p>
    <w:p>
      <w:pPr>
        <w:pStyle w:val="6"/>
        <w:spacing w:beforeAutospacing="0" w:afterAutospacing="0" w:line="560" w:lineRule="exact"/>
        <w:jc w:val="both"/>
        <w:rPr>
          <w:rFonts w:hint="eastAsia"/>
          <w:lang w:val="en-US" w:eastAsia="zh-CN"/>
        </w:rPr>
      </w:pPr>
      <w:bookmarkStart w:id="18" w:name="_Toc13030"/>
    </w:p>
    <w:p>
      <w:pPr>
        <w:rPr>
          <w:rFonts w:hint="eastAsia"/>
          <w:lang w:val="en-US" w:eastAsia="zh-CN"/>
        </w:rPr>
      </w:pPr>
    </w:p>
    <w:p>
      <w:pPr>
        <w:pStyle w:val="2"/>
        <w:rPr>
          <w:rFonts w:hint="eastAsia"/>
          <w:lang w:val="en-US" w:eastAsia="zh-CN"/>
        </w:rPr>
      </w:pPr>
    </w:p>
    <w:p>
      <w:pPr>
        <w:pStyle w:val="5"/>
        <w:rPr>
          <w:rFonts w:hint="eastAsia"/>
          <w:lang w:val="en-US" w:eastAsia="zh-CN"/>
        </w:rPr>
      </w:pPr>
    </w:p>
    <w:p>
      <w:pPr>
        <w:pStyle w:val="5"/>
        <w:rPr>
          <w:rFonts w:hint="eastAsia"/>
          <w:lang w:val="en-US" w:eastAsia="zh-CN"/>
        </w:rPr>
      </w:pPr>
    </w:p>
    <w:p>
      <w:pPr>
        <w:pStyle w:val="5"/>
        <w:ind w:left="0" w:leftChars="0" w:firstLine="0" w:firstLineChars="0"/>
        <w:rPr>
          <w:rFonts w:hint="eastAsia"/>
          <w:lang w:val="en-US" w:eastAsia="zh-CN"/>
        </w:rPr>
      </w:pPr>
    </w:p>
    <w:p>
      <w:pPr>
        <w:pStyle w:val="5"/>
        <w:ind w:left="0" w:leftChars="0" w:firstLine="0" w:firstLineChars="0"/>
        <w:rPr>
          <w:rFonts w:hint="eastAsia"/>
          <w:lang w:val="en-US" w:eastAsia="zh-CN"/>
        </w:rPr>
      </w:pPr>
    </w:p>
    <w:p>
      <w:pPr>
        <w:pStyle w:val="5"/>
        <w:ind w:left="0" w:leftChars="0" w:firstLine="0" w:firstLineChars="0"/>
        <w:rPr>
          <w:rFonts w:hint="eastAsia"/>
          <w:lang w:val="en-US" w:eastAsia="zh-CN"/>
        </w:rPr>
      </w:pPr>
    </w:p>
    <w:p>
      <w:pPr>
        <w:pStyle w:val="5"/>
        <w:ind w:left="0" w:leftChars="0" w:firstLine="0" w:firstLineChars="0"/>
        <w:rPr>
          <w:rFonts w:hint="eastAsia"/>
          <w:lang w:val="en-US" w:eastAsia="zh-CN"/>
        </w:rPr>
      </w:pPr>
    </w:p>
    <w:p>
      <w:pPr>
        <w:pStyle w:val="5"/>
        <w:ind w:left="0" w:leftChars="0" w:firstLine="0" w:firstLineChars="0"/>
        <w:rPr>
          <w:rFonts w:hint="eastAsia"/>
          <w:lang w:val="en-US" w:eastAsia="zh-CN"/>
        </w:rPr>
      </w:pPr>
    </w:p>
    <w:p>
      <w:pPr>
        <w:pStyle w:val="5"/>
        <w:ind w:left="0" w:leftChars="0" w:firstLine="0" w:firstLineChars="0"/>
        <w:rPr>
          <w:rFonts w:hint="eastAsia"/>
          <w:lang w:val="en-US" w:eastAsia="zh-CN"/>
        </w:rPr>
      </w:pPr>
    </w:p>
    <w:p>
      <w:pPr>
        <w:pStyle w:val="5"/>
        <w:ind w:left="0" w:leftChars="0" w:firstLine="0" w:firstLineChars="0"/>
        <w:rPr>
          <w:rFonts w:hint="eastAsia"/>
          <w:lang w:val="en-US" w:eastAsia="zh-CN"/>
        </w:rPr>
      </w:pPr>
    </w:p>
    <w:p>
      <w:pPr>
        <w:pStyle w:val="5"/>
        <w:ind w:left="0" w:leftChars="0" w:firstLine="0" w:firstLineChars="0"/>
        <w:rPr>
          <w:rFonts w:hint="eastAsia"/>
          <w:lang w:val="en-US" w:eastAsia="zh-CN"/>
        </w:rPr>
      </w:pPr>
    </w:p>
    <w:p>
      <w:pPr>
        <w:pStyle w:val="5"/>
        <w:ind w:left="0" w:leftChars="0" w:firstLine="0" w:firstLineChars="0"/>
        <w:rPr>
          <w:rFonts w:hint="eastAsia"/>
          <w:lang w:val="en-US" w:eastAsia="zh-CN"/>
        </w:rPr>
      </w:pPr>
    </w:p>
    <w:p>
      <w:pPr>
        <w:pStyle w:val="5"/>
        <w:ind w:left="0" w:leftChars="0" w:firstLine="0" w:firstLineChars="0"/>
        <w:rPr>
          <w:rFonts w:hint="eastAsia"/>
          <w:lang w:val="en-US" w:eastAsia="zh-CN"/>
        </w:rPr>
      </w:pPr>
    </w:p>
    <w:p>
      <w:pPr>
        <w:pStyle w:val="5"/>
        <w:ind w:left="0" w:leftChars="0" w:firstLine="0" w:firstLineChars="0"/>
        <w:rPr>
          <w:rFonts w:hint="eastAsia"/>
          <w:lang w:val="en-US" w:eastAsia="zh-CN"/>
        </w:rPr>
      </w:pPr>
    </w:p>
    <w:p>
      <w:pPr>
        <w:pStyle w:val="5"/>
        <w:ind w:left="0" w:leftChars="0" w:firstLine="0" w:firstLineChars="0"/>
        <w:rPr>
          <w:rFonts w:hint="eastAsia"/>
          <w:lang w:val="en-US" w:eastAsia="zh-CN"/>
        </w:rPr>
      </w:pPr>
    </w:p>
    <w:p>
      <w:pPr>
        <w:pStyle w:val="5"/>
        <w:ind w:left="0" w:leftChars="0" w:firstLine="0" w:firstLineChars="0"/>
        <w:rPr>
          <w:rFonts w:hint="eastAsia"/>
          <w:lang w:val="en-US" w:eastAsia="zh-CN"/>
        </w:rPr>
      </w:pPr>
    </w:p>
    <w:p>
      <w:pPr>
        <w:pStyle w:val="5"/>
        <w:ind w:left="0" w:leftChars="0" w:firstLine="0" w:firstLineChars="0"/>
        <w:rPr>
          <w:rFonts w:hint="eastAsia"/>
          <w:lang w:val="en-US" w:eastAsia="zh-CN"/>
        </w:rPr>
      </w:pPr>
    </w:p>
    <w:p>
      <w:pPr>
        <w:pStyle w:val="6"/>
        <w:spacing w:beforeAutospacing="0" w:afterAutospacing="0" w:line="560" w:lineRule="exact"/>
        <w:jc w:val="both"/>
        <w:rPr>
          <w:rFonts w:hint="default"/>
          <w:lang w:val="en-US"/>
        </w:rPr>
      </w:pPr>
      <w:r>
        <w:rPr>
          <w:rFonts w:hint="eastAsia"/>
          <w:lang w:val="en-US" w:eastAsia="zh-CN"/>
        </w:rPr>
        <w:t>B分标:</w:t>
      </w:r>
    </w:p>
    <w:tbl>
      <w:tblPr>
        <w:tblStyle w:val="43"/>
        <w:tblW w:w="10214" w:type="dxa"/>
        <w:jc w:val="center"/>
        <w:tblLayout w:type="fixed"/>
        <w:tblCellMar>
          <w:top w:w="0" w:type="dxa"/>
          <w:left w:w="108" w:type="dxa"/>
          <w:bottom w:w="0" w:type="dxa"/>
          <w:right w:w="108" w:type="dxa"/>
        </w:tblCellMar>
      </w:tblPr>
      <w:tblGrid>
        <w:gridCol w:w="599"/>
        <w:gridCol w:w="1290"/>
        <w:gridCol w:w="1505"/>
        <w:gridCol w:w="4383"/>
        <w:gridCol w:w="697"/>
        <w:gridCol w:w="690"/>
        <w:gridCol w:w="1044"/>
        <w:gridCol w:w="6"/>
      </w:tblGrid>
      <w:tr>
        <w:tblPrEx>
          <w:tblCellMar>
            <w:top w:w="0" w:type="dxa"/>
            <w:left w:w="108" w:type="dxa"/>
            <w:bottom w:w="0" w:type="dxa"/>
            <w:right w:w="108" w:type="dxa"/>
          </w:tblCellMar>
        </w:tblPrEx>
        <w:trPr>
          <w:trHeight w:val="633"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货物名称</w:t>
            </w:r>
          </w:p>
        </w:tc>
        <w:tc>
          <w:tcPr>
            <w:tcW w:w="58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主要技术规格及配置</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数量</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参考单价（元）</w:t>
            </w:r>
          </w:p>
        </w:tc>
      </w:tr>
      <w:tr>
        <w:tblPrEx>
          <w:tblCellMar>
            <w:top w:w="0" w:type="dxa"/>
            <w:left w:w="108" w:type="dxa"/>
            <w:bottom w:w="0" w:type="dxa"/>
            <w:right w:w="108" w:type="dxa"/>
          </w:tblCellMar>
        </w:tblPrEx>
        <w:trPr>
          <w:trHeight w:val="1568"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highlight w:val="none"/>
              </w:rPr>
              <w:t>电子</w:t>
            </w:r>
            <w:r>
              <w:rPr>
                <w:rFonts w:hint="eastAsia" w:ascii="宋体" w:hAnsi="宋体" w:cs="宋体"/>
                <w:color w:val="000000"/>
                <w:szCs w:val="21"/>
                <w:highlight w:val="none"/>
                <w:lang w:val="en-US" w:eastAsia="zh-CN"/>
              </w:rPr>
              <w:t>十二指肠内窥镜</w:t>
            </w:r>
          </w:p>
        </w:tc>
        <w:tc>
          <w:tcPr>
            <w:tcW w:w="5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★1、CCD 类型 黑白CCD</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2、视野角度 ≥100°</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3、视野方向：15°</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4、景    深:5-60 mm</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 xml:space="preserve">5、先端部直径≤13.5 mm </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 xml:space="preserve">6、插入部直径≤11.3 mm </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 xml:space="preserve">7、钳子管道内径≥4.15 mm </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8、弯曲角度:上120°、下90°、左90°、右110°</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 xml:space="preserve">9、有效长度：1240 mm </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 xml:space="preserve">10、导丝固定功能： 有 </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11、大钳道设计易于进行器械交换，兼容附件范围广，特别是内置V型槽的抬钳器设计，可以固定导丝，配合丰富的V式系统配件可实现单人操作，提高胆胰治疗效率，缩短检查时间，保护医护人员的身体健康。</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★12、抬钳器设有V形槽，以更轻松牢固地固定导丝。</w:t>
            </w:r>
          </w:p>
          <w:p>
            <w:pPr>
              <w:numPr>
                <w:ilvl w:val="0"/>
                <w:numId w:val="0"/>
              </w:numPr>
              <w:spacing w:line="360" w:lineRule="auto"/>
              <w:rPr>
                <w:rFonts w:hint="eastAsia" w:eastAsia="宋体"/>
                <w:lang w:val="en-US" w:eastAsia="zh-CN"/>
              </w:rPr>
            </w:pPr>
            <w:r>
              <w:rPr>
                <w:rFonts w:hint="eastAsia" w:ascii="宋体" w:hAnsi="宋体" w:eastAsia="宋体" w:cs="宋体"/>
                <w:sz w:val="21"/>
                <w:szCs w:val="21"/>
              </w:rPr>
              <w:t>13、内镜具有信息记忆功能。内镜中载有记忆芯片，能储存多项内镜信息。当内镜连接到图像处理装置上时，内镜信息会自动显示在监视器中，方便信息管理。</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 </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szCs w:val="21"/>
                <w:lang w:val="en-US"/>
              </w:rPr>
            </w:pPr>
            <w:r>
              <w:rPr>
                <w:rFonts w:hint="eastAsia" w:ascii="宋体" w:hAnsi="宋体" w:cs="宋体"/>
                <w:color w:val="000000"/>
                <w:kern w:val="0"/>
                <w:szCs w:val="21"/>
                <w:highlight w:val="none"/>
                <w:lang w:val="en-US" w:eastAsia="zh-CN" w:bidi="ar"/>
              </w:rPr>
              <w:t>980000</w:t>
            </w:r>
          </w:p>
        </w:tc>
      </w:tr>
      <w:tr>
        <w:tblPrEx>
          <w:tblCellMar>
            <w:top w:w="0" w:type="dxa"/>
            <w:left w:w="108" w:type="dxa"/>
            <w:bottom w:w="0" w:type="dxa"/>
            <w:right w:w="108" w:type="dxa"/>
          </w:tblCellMar>
        </w:tblPrEx>
        <w:trPr>
          <w:gridAfter w:val="1"/>
          <w:wAfter w:w="6" w:type="dxa"/>
          <w:trHeight w:val="338" w:hRule="atLeast"/>
          <w:jc w:val="center"/>
        </w:trPr>
        <w:tc>
          <w:tcPr>
            <w:tcW w:w="10208"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ascii="宋体" w:hAnsi="宋体" w:cs="宋体"/>
                <w:szCs w:val="21"/>
              </w:rPr>
            </w:pPr>
            <w:r>
              <w:rPr>
                <w:rFonts w:hint="eastAsia" w:ascii="宋体" w:hAnsi="宋体"/>
                <w:b/>
                <w:bCs/>
                <w:kern w:val="0"/>
                <w:szCs w:val="21"/>
              </w:rPr>
              <w:t>商务要求</w:t>
            </w:r>
          </w:p>
        </w:tc>
      </w:tr>
      <w:tr>
        <w:tblPrEx>
          <w:tblCellMar>
            <w:top w:w="0" w:type="dxa"/>
            <w:left w:w="108" w:type="dxa"/>
            <w:bottom w:w="0" w:type="dxa"/>
            <w:right w:w="108" w:type="dxa"/>
          </w:tblCellMar>
        </w:tblPrEx>
        <w:trPr>
          <w:gridAfter w:val="1"/>
          <w:wAfter w:w="6" w:type="dxa"/>
          <w:trHeight w:val="570" w:hRule="atLeast"/>
          <w:jc w:val="center"/>
        </w:trPr>
        <w:tc>
          <w:tcPr>
            <w:tcW w:w="3394"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int="default" w:ascii="宋体" w:hAnsi="宋体" w:eastAsia="宋体"/>
                <w:szCs w:val="21"/>
                <w:lang w:val="en-US" w:eastAsia="zh-CN"/>
              </w:rPr>
            </w:pPr>
            <w:r>
              <w:rPr>
                <w:rFonts w:hint="eastAsia" w:ascii="宋体" w:hAnsi="宋体"/>
                <w:kern w:val="0"/>
                <w:szCs w:val="21"/>
                <w:lang w:val="en-US" w:eastAsia="zh-CN"/>
              </w:rPr>
              <w:t>售后服务要求</w:t>
            </w:r>
          </w:p>
        </w:tc>
        <w:tc>
          <w:tcPr>
            <w:tcW w:w="6814"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1.售后服务基本要求（以下费用包含在投标报价中，采购人不再就此费用另行支付）：</w:t>
            </w:r>
          </w:p>
          <w:p>
            <w:pPr>
              <w:adjustRightInd w:val="0"/>
              <w:spacing w:line="360" w:lineRule="auto"/>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（1）按照国家有关产品“三包”规定执行“三包”，免费保修期不少于</w:t>
            </w:r>
            <w:r>
              <w:rPr>
                <w:rFonts w:hint="eastAsia" w:asciiTheme="majorEastAsia" w:hAnsiTheme="majorEastAsia" w:eastAsiaTheme="majorEastAsia" w:cstheme="majorEastAsia"/>
                <w:kern w:val="0"/>
                <w:szCs w:val="21"/>
                <w:lang w:val="en-US" w:eastAsia="zh-CN"/>
              </w:rPr>
              <w:t>12</w:t>
            </w:r>
            <w:r>
              <w:rPr>
                <w:rFonts w:hint="eastAsia" w:asciiTheme="majorEastAsia" w:hAnsiTheme="majorEastAsia" w:eastAsiaTheme="majorEastAsia" w:cstheme="majorEastAsia"/>
                <w:kern w:val="0"/>
                <w:szCs w:val="21"/>
              </w:rPr>
              <w:t xml:space="preserve"> 个月（自验收合格之日起计算）。厂家免费保修期承诺优于本条款要求的，按厂家</w:t>
            </w:r>
            <w:r>
              <w:rPr>
                <w:rFonts w:hint="eastAsia" w:asciiTheme="majorEastAsia" w:hAnsiTheme="majorEastAsia" w:eastAsiaTheme="majorEastAsia" w:cstheme="majorEastAsia"/>
                <w:kern w:val="0"/>
                <w:szCs w:val="21"/>
                <w:highlight w:val="none"/>
                <w:lang w:eastAsia="zh-CN"/>
              </w:rPr>
              <w:t>（</w:t>
            </w:r>
            <w:r>
              <w:rPr>
                <w:rFonts w:hint="eastAsia" w:asciiTheme="majorEastAsia" w:hAnsiTheme="majorEastAsia" w:eastAsiaTheme="majorEastAsia" w:cstheme="majorEastAsia"/>
                <w:kern w:val="0"/>
                <w:szCs w:val="21"/>
                <w:highlight w:val="none"/>
                <w:lang w:val="en-US" w:eastAsia="zh-CN"/>
              </w:rPr>
              <w:t>或全国总代）</w:t>
            </w:r>
            <w:r>
              <w:rPr>
                <w:rFonts w:hint="eastAsia" w:asciiTheme="majorEastAsia" w:hAnsiTheme="majorEastAsia" w:eastAsiaTheme="majorEastAsia" w:cstheme="majorEastAsia"/>
                <w:kern w:val="0"/>
                <w:szCs w:val="21"/>
                <w:highlight w:val="none"/>
              </w:rPr>
              <w:t>承诺</w:t>
            </w:r>
            <w:r>
              <w:rPr>
                <w:rFonts w:hint="eastAsia" w:asciiTheme="majorEastAsia" w:hAnsiTheme="majorEastAsia" w:eastAsiaTheme="majorEastAsia" w:cstheme="majorEastAsia"/>
                <w:kern w:val="0"/>
                <w:szCs w:val="21"/>
              </w:rPr>
              <w:t>执行。</w:t>
            </w:r>
          </w:p>
          <w:p>
            <w:pPr>
              <w:adjustRightInd w:val="0"/>
              <w:spacing w:line="360" w:lineRule="auto"/>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（2）采购范围内的货物送货上门，装卸、安装调试合格，提供技术培训，直至采购人技术人员可熟练操作使用。</w:t>
            </w:r>
          </w:p>
          <w:p>
            <w:pPr>
              <w:adjustRightInd w:val="0"/>
              <w:spacing w:line="360" w:lineRule="auto"/>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（3）故障解决及保修要求：</w:t>
            </w:r>
          </w:p>
          <w:p>
            <w:pPr>
              <w:adjustRightInd w:val="0"/>
              <w:spacing w:line="360" w:lineRule="auto"/>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①免费保修期内上门提供维修服务，出现故障时，2小时内响应，12小时内到达现场，维修需更备件的, 常用备件24小时内更换解决故障,重要备件48小时内更换解决故障。</w:t>
            </w:r>
          </w:p>
          <w:p>
            <w:pPr>
              <w:adjustRightInd w:val="0"/>
              <w:spacing w:line="360" w:lineRule="auto"/>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②免费保修期内定期上门检查、上门维修（维修费和元器件费）；维修中如需要更换配件的，要求更换的配件应跟被更换的品牌、类型相一致。</w:t>
            </w:r>
          </w:p>
          <w:p>
            <w:pPr>
              <w:adjustRightInd w:val="0"/>
              <w:spacing w:line="360" w:lineRule="auto"/>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③所投产品生产厂家在国内具有零配件库存，以保证及时的零配件供应。</w:t>
            </w:r>
          </w:p>
          <w:p>
            <w:pPr>
              <w:adjustRightInd w:val="0"/>
              <w:spacing w:line="360" w:lineRule="auto"/>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④若产品自带软件的，则须提供免费保修期内提供升级服务。</w:t>
            </w:r>
          </w:p>
          <w:p>
            <w:pPr>
              <w:adjustRightInd w:val="0"/>
              <w:spacing w:line="360" w:lineRule="auto"/>
              <w:rPr>
                <w:rFonts w:ascii="宋体" w:hAnsi="宋体"/>
                <w:szCs w:val="21"/>
              </w:rPr>
            </w:pPr>
            <w:r>
              <w:rPr>
                <w:rFonts w:hint="eastAsia" w:asciiTheme="majorEastAsia" w:hAnsiTheme="majorEastAsia" w:eastAsiaTheme="majorEastAsia" w:cstheme="majorEastAsia"/>
                <w:kern w:val="0"/>
                <w:szCs w:val="21"/>
              </w:rPr>
              <w:t>2.投标人根据以上售后服务要求，于投标文件中必须提供相应的售后服务承诺书。</w:t>
            </w:r>
          </w:p>
        </w:tc>
      </w:tr>
      <w:tr>
        <w:tblPrEx>
          <w:tblCellMar>
            <w:top w:w="0" w:type="dxa"/>
            <w:left w:w="108" w:type="dxa"/>
            <w:bottom w:w="0" w:type="dxa"/>
            <w:right w:w="108" w:type="dxa"/>
          </w:tblCellMar>
        </w:tblPrEx>
        <w:trPr>
          <w:gridAfter w:val="1"/>
          <w:wAfter w:w="6" w:type="dxa"/>
          <w:trHeight w:val="950" w:hRule="atLeast"/>
          <w:jc w:val="center"/>
        </w:trPr>
        <w:tc>
          <w:tcPr>
            <w:tcW w:w="3394"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kern w:val="0"/>
                <w:szCs w:val="21"/>
              </w:rPr>
            </w:pPr>
            <w:r>
              <w:rPr>
                <w:rFonts w:hint="eastAsia" w:ascii="宋体" w:hAnsi="宋体"/>
                <w:kern w:val="0"/>
                <w:szCs w:val="21"/>
              </w:rPr>
              <w:t>交货时间及地点、方式</w:t>
            </w:r>
          </w:p>
        </w:tc>
        <w:tc>
          <w:tcPr>
            <w:tcW w:w="6814" w:type="dxa"/>
            <w:gridSpan w:val="4"/>
            <w:tcBorders>
              <w:top w:val="single" w:color="auto" w:sz="4" w:space="0"/>
              <w:left w:val="single" w:color="auto" w:sz="4" w:space="0"/>
              <w:bottom w:val="single" w:color="auto" w:sz="4" w:space="0"/>
              <w:right w:val="single" w:color="auto" w:sz="4" w:space="0"/>
            </w:tcBorders>
            <w:vAlign w:val="center"/>
          </w:tcPr>
          <w:p>
            <w:pPr>
              <w:pStyle w:val="156"/>
              <w:spacing w:line="360" w:lineRule="auto"/>
              <w:rPr>
                <w:rFonts w:ascii="宋体" w:hAnsi="宋体"/>
                <w:szCs w:val="21"/>
                <w:highlight w:val="none"/>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交付使用时间：</w:t>
            </w:r>
            <w:r>
              <w:rPr>
                <w:rFonts w:hint="eastAsia" w:ascii="宋体" w:hAnsi="宋体"/>
                <w:szCs w:val="21"/>
                <w:highlight w:val="none"/>
              </w:rPr>
              <w:t>自签订合同之日起</w:t>
            </w:r>
            <w:r>
              <w:rPr>
                <w:rFonts w:hint="eastAsia" w:ascii="宋体" w:hAnsi="宋体"/>
                <w:szCs w:val="21"/>
                <w:highlight w:val="none"/>
                <w:lang w:val="en-US" w:eastAsia="zh-CN"/>
              </w:rPr>
              <w:t>90</w:t>
            </w:r>
            <w:r>
              <w:rPr>
                <w:rFonts w:hint="eastAsia" w:ascii="宋体" w:hAnsi="宋体"/>
                <w:szCs w:val="21"/>
                <w:highlight w:val="none"/>
              </w:rPr>
              <w:t>日内交货并安装调试合格交付使用。</w:t>
            </w:r>
          </w:p>
          <w:p>
            <w:pPr>
              <w:pStyle w:val="156"/>
              <w:spacing w:line="360" w:lineRule="auto"/>
              <w:rPr>
                <w:rFonts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交货地点：</w:t>
            </w:r>
            <w:r>
              <w:rPr>
                <w:rFonts w:hint="eastAsia" w:ascii="宋体" w:hAnsi="宋体"/>
                <w:szCs w:val="21"/>
                <w:lang w:val="en-US" w:eastAsia="zh-CN"/>
              </w:rPr>
              <w:t>兴安</w:t>
            </w:r>
            <w:r>
              <w:rPr>
                <w:rFonts w:hint="eastAsia" w:ascii="宋体" w:hAnsi="宋体"/>
                <w:szCs w:val="21"/>
                <w:lang w:eastAsia="zh-CN"/>
              </w:rPr>
              <w:t>县人民医院</w:t>
            </w:r>
            <w:r>
              <w:rPr>
                <w:rFonts w:hint="eastAsia" w:ascii="宋体" w:hAnsi="宋体"/>
                <w:szCs w:val="21"/>
              </w:rPr>
              <w:t>（</w:t>
            </w:r>
            <w:r>
              <w:rPr>
                <w:rFonts w:hint="eastAsia" w:ascii="宋体" w:hAnsi="宋体"/>
                <w:bCs/>
                <w:szCs w:val="21"/>
              </w:rPr>
              <w:t>采购人指定地点）</w:t>
            </w:r>
            <w:r>
              <w:rPr>
                <w:rFonts w:hint="eastAsia" w:ascii="宋体" w:hAnsi="宋体"/>
                <w:szCs w:val="21"/>
              </w:rPr>
              <w:t>。</w:t>
            </w:r>
          </w:p>
          <w:p>
            <w:pPr>
              <w:pStyle w:val="156"/>
              <w:spacing w:line="360" w:lineRule="auto"/>
              <w:rPr>
                <w:rFonts w:ascii="宋体" w:hAnsi="宋体"/>
                <w:szCs w:val="21"/>
              </w:rPr>
            </w:pPr>
            <w:r>
              <w:rPr>
                <w:rFonts w:hint="eastAsia" w:ascii="宋体" w:hAnsi="宋体"/>
                <w:bCs/>
                <w:szCs w:val="21"/>
              </w:rPr>
              <w:t>3</w:t>
            </w:r>
            <w:r>
              <w:rPr>
                <w:rFonts w:hint="eastAsia" w:ascii="宋体" w:hAnsi="宋体"/>
                <w:bCs/>
                <w:szCs w:val="21"/>
                <w:lang w:val="en-US" w:eastAsia="zh-CN"/>
              </w:rPr>
              <w:t>.</w:t>
            </w:r>
            <w:r>
              <w:rPr>
                <w:rFonts w:hint="eastAsia" w:ascii="宋体" w:hAnsi="宋体"/>
                <w:bCs/>
                <w:szCs w:val="21"/>
              </w:rPr>
              <w:t>交货方式：现场交货。</w:t>
            </w:r>
          </w:p>
        </w:tc>
      </w:tr>
      <w:tr>
        <w:tblPrEx>
          <w:tblCellMar>
            <w:top w:w="0" w:type="dxa"/>
            <w:left w:w="108" w:type="dxa"/>
            <w:bottom w:w="0" w:type="dxa"/>
            <w:right w:w="108" w:type="dxa"/>
          </w:tblCellMar>
        </w:tblPrEx>
        <w:trPr>
          <w:gridAfter w:val="1"/>
          <w:wAfter w:w="6" w:type="dxa"/>
          <w:trHeight w:val="636" w:hRule="atLeast"/>
          <w:jc w:val="center"/>
        </w:trPr>
        <w:tc>
          <w:tcPr>
            <w:tcW w:w="3394"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kern w:val="0"/>
                <w:szCs w:val="21"/>
              </w:rPr>
            </w:pPr>
            <w:r>
              <w:rPr>
                <w:rFonts w:hint="eastAsia" w:ascii="宋体" w:hAnsi="宋体"/>
                <w:kern w:val="0"/>
                <w:szCs w:val="21"/>
              </w:rPr>
              <w:t>付款方式</w:t>
            </w:r>
          </w:p>
        </w:tc>
        <w:tc>
          <w:tcPr>
            <w:tcW w:w="6814" w:type="dxa"/>
            <w:gridSpan w:val="4"/>
            <w:tcBorders>
              <w:top w:val="single" w:color="auto" w:sz="4" w:space="0"/>
              <w:left w:val="single" w:color="auto" w:sz="4" w:space="0"/>
              <w:bottom w:val="single" w:color="auto" w:sz="4" w:space="0"/>
              <w:right w:val="single" w:color="auto" w:sz="4" w:space="0"/>
            </w:tcBorders>
            <w:vAlign w:val="center"/>
          </w:tcPr>
          <w:p>
            <w:pPr>
              <w:pStyle w:val="20"/>
              <w:spacing w:line="360" w:lineRule="auto"/>
              <w:rPr>
                <w:rFonts w:hint="eastAsia" w:ascii="宋体" w:hAnsi="宋体" w:eastAsia="宋体"/>
                <w:bCs/>
                <w:szCs w:val="21"/>
                <w:lang w:eastAsia="zh-CN"/>
              </w:rPr>
            </w:pPr>
            <w:r>
              <w:rPr>
                <w:rFonts w:hint="eastAsia" w:ascii="宋体" w:hAnsi="宋体" w:cs="宋体"/>
                <w:kern w:val="2"/>
                <w:sz w:val="21"/>
                <w:szCs w:val="21"/>
                <w:highlight w:val="none"/>
              </w:rPr>
              <w:t>付款方式：货到安装并验收合格后一月内付款90%，剩下的10%一年后付完。</w:t>
            </w:r>
          </w:p>
        </w:tc>
      </w:tr>
      <w:tr>
        <w:tblPrEx>
          <w:tblCellMar>
            <w:top w:w="0" w:type="dxa"/>
            <w:left w:w="108" w:type="dxa"/>
            <w:bottom w:w="0" w:type="dxa"/>
            <w:right w:w="108" w:type="dxa"/>
          </w:tblCellMar>
        </w:tblPrEx>
        <w:trPr>
          <w:gridAfter w:val="1"/>
          <w:wAfter w:w="6" w:type="dxa"/>
          <w:trHeight w:val="578" w:hRule="atLeast"/>
          <w:jc w:val="center"/>
        </w:trPr>
        <w:tc>
          <w:tcPr>
            <w:tcW w:w="3394"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int="default" w:ascii="宋体" w:hAnsi="宋体" w:eastAsia="宋体"/>
                <w:szCs w:val="21"/>
                <w:lang w:val="en-US" w:eastAsia="zh-CN"/>
              </w:rPr>
            </w:pPr>
            <w:r>
              <w:rPr>
                <w:rFonts w:hint="eastAsia" w:ascii="宋体" w:hAnsi="宋体" w:cs="宋体"/>
                <w:szCs w:val="21"/>
                <w:lang w:val="en-US" w:eastAsia="zh-CN"/>
              </w:rPr>
              <w:t>验收标准</w:t>
            </w:r>
          </w:p>
        </w:tc>
        <w:tc>
          <w:tcPr>
            <w:tcW w:w="6814" w:type="dxa"/>
            <w:gridSpan w:val="4"/>
            <w:tcBorders>
              <w:top w:val="single" w:color="auto" w:sz="4" w:space="0"/>
              <w:left w:val="single" w:color="auto" w:sz="4" w:space="0"/>
              <w:bottom w:val="single" w:color="auto" w:sz="4" w:space="0"/>
              <w:right w:val="single" w:color="auto" w:sz="4" w:space="0"/>
            </w:tcBorders>
            <w:vAlign w:val="center"/>
          </w:tcPr>
          <w:p>
            <w:pPr>
              <w:pStyle w:val="156"/>
              <w:spacing w:line="360" w:lineRule="auto"/>
              <w:rPr>
                <w:rFonts w:hint="eastAsia" w:ascii="宋体" w:hAnsi="宋体" w:cs="宋体"/>
                <w:kern w:val="2"/>
                <w:szCs w:val="21"/>
              </w:rPr>
            </w:pPr>
            <w:r>
              <w:rPr>
                <w:rFonts w:hint="eastAsia" w:ascii="宋体" w:hAnsi="宋体" w:cs="宋体"/>
                <w:kern w:val="2"/>
                <w:szCs w:val="21"/>
              </w:rPr>
              <w:t>1.投标人提供的产品必须符合国家、行业强制执行的相关质量标准要求以及产品制造厂家合格产品的出厂质量标准。</w:t>
            </w:r>
          </w:p>
          <w:p>
            <w:pPr>
              <w:pStyle w:val="156"/>
              <w:spacing w:line="360" w:lineRule="auto"/>
              <w:rPr>
                <w:rFonts w:hint="eastAsia" w:ascii="宋体" w:hAnsi="宋体" w:cs="宋体"/>
                <w:kern w:val="2"/>
                <w:szCs w:val="21"/>
              </w:rPr>
            </w:pPr>
            <w:r>
              <w:rPr>
                <w:rFonts w:hint="eastAsia" w:ascii="宋体" w:hAnsi="宋体" w:cs="宋体"/>
                <w:kern w:val="2"/>
                <w:szCs w:val="21"/>
              </w:rPr>
              <w:t>2.设备需全新、完好、无破损，产品到货后，采购人现场根据招标文件要求及投标文件承诺逐条对应进行核验，必要时，采购人有权邀请国家质量监督检验部门或国家认可的检测机构参与共同验收。如产品不满足招标文件要求、中标人投标承诺或国家、行业强制执行的相关质量标准要求以及产品制造厂家合格产品的出厂质量标准，采购人有权终止合同执行并全部退货，由此造成采购人的经济损失由中标人承担全部赔偿责任。</w:t>
            </w:r>
          </w:p>
          <w:p>
            <w:pPr>
              <w:pStyle w:val="156"/>
              <w:spacing w:line="360" w:lineRule="auto"/>
              <w:rPr>
                <w:rFonts w:hint="eastAsia" w:ascii="宋体" w:hAnsi="宋体" w:cs="宋体"/>
                <w:kern w:val="2"/>
                <w:szCs w:val="21"/>
              </w:rPr>
            </w:pPr>
            <w:r>
              <w:rPr>
                <w:rFonts w:hint="eastAsia" w:ascii="宋体" w:hAnsi="宋体" w:cs="宋体"/>
                <w:kern w:val="2"/>
                <w:szCs w:val="21"/>
              </w:rPr>
              <w:t>3.中标人必须于供货时向采购人提供所投医疗器械产品由行政主管部门核准资格文件、产品注册时的检测检验报告书，产品彩页（或参数说明书），产品白皮书（如有）等资料材料，以便核实相关技术参数，否则不予验收。</w:t>
            </w:r>
          </w:p>
          <w:p>
            <w:pPr>
              <w:pStyle w:val="156"/>
              <w:spacing w:line="360" w:lineRule="auto"/>
              <w:rPr>
                <w:rFonts w:ascii="宋体" w:hAnsi="宋体"/>
                <w:szCs w:val="21"/>
              </w:rPr>
            </w:pPr>
            <w:r>
              <w:rPr>
                <w:rFonts w:hint="eastAsia" w:ascii="宋体" w:hAnsi="宋体" w:cs="宋体"/>
                <w:kern w:val="2"/>
                <w:szCs w:val="21"/>
              </w:rPr>
              <w:t>4.中标人售后服务承诺若超出国家有关产品“三包”规定范围的，中标人于供货前必须向采购人提供生产厂家或总代理商针对所投产品出具的售后服务承诺书原件，否则不予验收。</w:t>
            </w:r>
          </w:p>
        </w:tc>
      </w:tr>
      <w:tr>
        <w:tblPrEx>
          <w:tblCellMar>
            <w:top w:w="0" w:type="dxa"/>
            <w:left w:w="108" w:type="dxa"/>
            <w:bottom w:w="0" w:type="dxa"/>
            <w:right w:w="108" w:type="dxa"/>
          </w:tblCellMar>
        </w:tblPrEx>
        <w:trPr>
          <w:gridAfter w:val="1"/>
          <w:wAfter w:w="6" w:type="dxa"/>
          <w:trHeight w:val="1263" w:hRule="atLeast"/>
          <w:jc w:val="center"/>
        </w:trPr>
        <w:tc>
          <w:tcPr>
            <w:tcW w:w="3394"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szCs w:val="21"/>
              </w:rPr>
            </w:pPr>
            <w:r>
              <w:rPr>
                <w:rFonts w:hint="eastAsia" w:ascii="宋体" w:hAnsi="宋体" w:cs="宋体"/>
                <w:szCs w:val="21"/>
              </w:rPr>
              <w:t>其他要求</w:t>
            </w:r>
          </w:p>
        </w:tc>
        <w:tc>
          <w:tcPr>
            <w:tcW w:w="681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1.</w:t>
            </w:r>
            <w:r>
              <w:rPr>
                <w:rFonts w:hint="eastAsia" w:asciiTheme="majorEastAsia" w:hAnsiTheme="majorEastAsia" w:eastAsiaTheme="majorEastAsia" w:cstheme="majorEastAsia"/>
                <w:szCs w:val="21"/>
              </w:rPr>
              <w:t>售后服务服务过程中如有违反约定的情况，采购人有权扣除质保金。</w:t>
            </w:r>
          </w:p>
          <w:p>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2.</w:t>
            </w:r>
            <w:r>
              <w:rPr>
                <w:rFonts w:hint="eastAsia" w:asciiTheme="majorEastAsia" w:hAnsiTheme="majorEastAsia" w:eastAsiaTheme="majorEastAsia" w:cstheme="majorEastAsia"/>
                <w:szCs w:val="21"/>
              </w:rPr>
              <w:t>投标报价的费用包括：</w:t>
            </w:r>
          </w:p>
          <w:p>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（1）货物的价格；</w:t>
            </w:r>
          </w:p>
          <w:p>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（2）货物的标准附件、备品备件、专用工具的价格；</w:t>
            </w:r>
          </w:p>
          <w:p>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（3）运输、装卸、调试、培训、技术支持、售后服务等费用；</w:t>
            </w:r>
          </w:p>
          <w:p>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（4）包括安装费</w:t>
            </w:r>
            <w:r>
              <w:rPr>
                <w:rFonts w:hint="eastAsia" w:asciiTheme="majorEastAsia" w:hAnsiTheme="majorEastAsia" w:eastAsiaTheme="majorEastAsia" w:cstheme="majorEastAsia"/>
                <w:kern w:val="0"/>
                <w:szCs w:val="21"/>
              </w:rPr>
              <w:t>用、</w:t>
            </w:r>
            <w:r>
              <w:rPr>
                <w:rFonts w:hint="eastAsia" w:asciiTheme="majorEastAsia" w:hAnsiTheme="majorEastAsia" w:eastAsiaTheme="majorEastAsia" w:cstheme="majorEastAsia"/>
                <w:szCs w:val="21"/>
              </w:rPr>
              <w:t>必要的保险费用和各项税费。</w:t>
            </w:r>
          </w:p>
          <w:p>
            <w:pPr>
              <w:spacing w:line="360" w:lineRule="auto"/>
              <w:jc w:val="left"/>
              <w:rPr>
                <w:rFonts w:hint="eastAsia" w:asciiTheme="majorEastAsia" w:hAnsiTheme="majorEastAsia" w:eastAsiaTheme="majorEastAsia" w:cstheme="majorEastAsia"/>
                <w:szCs w:val="21"/>
                <w:highlight w:val="none"/>
                <w:lang w:eastAsia="zh-CN"/>
              </w:rPr>
            </w:pPr>
            <w:r>
              <w:rPr>
                <w:rFonts w:hint="eastAsia" w:asciiTheme="majorEastAsia" w:hAnsiTheme="majorEastAsia" w:eastAsiaTheme="majorEastAsia" w:cstheme="majorEastAsia"/>
                <w:szCs w:val="21"/>
                <w:lang w:val="en-US" w:eastAsia="zh-CN"/>
              </w:rPr>
              <w:t>3.</w:t>
            </w:r>
            <w:r>
              <w:rPr>
                <w:rFonts w:hint="eastAsia" w:asciiTheme="majorEastAsia" w:hAnsiTheme="majorEastAsia" w:eastAsiaTheme="majorEastAsia" w:cstheme="majorEastAsia"/>
                <w:szCs w:val="21"/>
              </w:rPr>
              <w:t>本标段政府采购预算</w:t>
            </w:r>
            <w:r>
              <w:rPr>
                <w:rFonts w:hint="eastAsia" w:asciiTheme="majorEastAsia" w:hAnsiTheme="majorEastAsia" w:eastAsiaTheme="majorEastAsia" w:cstheme="majorEastAsia"/>
                <w:szCs w:val="21"/>
                <w:highlight w:val="none"/>
              </w:rPr>
              <w:t>金额为：</w:t>
            </w:r>
            <w:r>
              <w:rPr>
                <w:rFonts w:hint="eastAsia" w:asciiTheme="majorEastAsia" w:hAnsiTheme="majorEastAsia" w:eastAsiaTheme="majorEastAsia" w:cstheme="majorEastAsia"/>
                <w:szCs w:val="21"/>
                <w:highlight w:val="none"/>
                <w:lang w:val="en-US" w:eastAsia="zh-CN"/>
              </w:rPr>
              <w:t>玖拾捌万</w:t>
            </w:r>
            <w:r>
              <w:rPr>
                <w:rFonts w:hint="eastAsia" w:ascii="宋体" w:hAnsi="宋体" w:cs="宋体"/>
                <w:kern w:val="0"/>
                <w:szCs w:val="21"/>
                <w:highlight w:val="none"/>
              </w:rPr>
              <w:t>元整（</w:t>
            </w:r>
            <w:r>
              <w:rPr>
                <w:rFonts w:hint="eastAsia" w:ascii="宋体" w:hAnsi="宋体" w:cs="宋体"/>
                <w:szCs w:val="21"/>
                <w:highlight w:val="none"/>
              </w:rPr>
              <w:t>¥</w:t>
            </w:r>
            <w:r>
              <w:rPr>
                <w:rFonts w:hint="eastAsia" w:ascii="宋体" w:hAnsi="宋体" w:cs="宋体"/>
                <w:szCs w:val="21"/>
                <w:highlight w:val="none"/>
                <w:lang w:val="en-US" w:eastAsia="zh-CN"/>
              </w:rPr>
              <w:t>980000</w:t>
            </w:r>
            <w:r>
              <w:rPr>
                <w:rFonts w:hint="eastAsia" w:ascii="宋体" w:hAnsi="宋体" w:cs="宋体"/>
                <w:szCs w:val="21"/>
                <w:highlight w:val="none"/>
              </w:rPr>
              <w:t>元）</w:t>
            </w:r>
            <w:r>
              <w:rPr>
                <w:rFonts w:hint="eastAsia" w:asciiTheme="majorEastAsia" w:hAnsiTheme="majorEastAsia" w:eastAsiaTheme="majorEastAsia" w:cstheme="majorEastAsia"/>
                <w:szCs w:val="21"/>
                <w:highlight w:val="none"/>
              </w:rPr>
              <w:t>,投标人投标报价超过采购预算价的为无效投标</w:t>
            </w:r>
            <w:r>
              <w:rPr>
                <w:rFonts w:hint="eastAsia" w:asciiTheme="majorEastAsia" w:hAnsiTheme="majorEastAsia" w:eastAsiaTheme="majorEastAsia" w:cstheme="majorEastAsia"/>
                <w:szCs w:val="21"/>
                <w:highlight w:val="none"/>
                <w:lang w:eastAsia="zh-CN"/>
              </w:rPr>
              <w:t>。</w:t>
            </w:r>
          </w:p>
          <w:p>
            <w:pPr>
              <w:spacing w:line="360" w:lineRule="auto"/>
              <w:jc w:val="left"/>
              <w:rPr>
                <w:rFonts w:hint="default" w:asciiTheme="majorEastAsia" w:hAnsiTheme="majorEastAsia" w:eastAsiaTheme="majorEastAsia" w:cstheme="majorEastAsia"/>
                <w:b/>
                <w:bCs/>
                <w:szCs w:val="21"/>
                <w:highlight w:val="yellow"/>
                <w:lang w:val="en-US" w:eastAsia="zh-CN"/>
              </w:rPr>
            </w:pPr>
            <w:r>
              <w:rPr>
                <w:rFonts w:hint="eastAsia" w:asciiTheme="majorEastAsia" w:hAnsiTheme="majorEastAsia" w:eastAsiaTheme="majorEastAsia" w:cstheme="majorEastAsia"/>
                <w:b/>
                <w:bCs/>
                <w:szCs w:val="21"/>
                <w:lang w:val="en-US" w:eastAsia="zh-CN"/>
              </w:rPr>
              <w:t>4.</w:t>
            </w:r>
            <w:r>
              <w:rPr>
                <w:rFonts w:hint="eastAsia" w:asciiTheme="majorEastAsia" w:hAnsiTheme="majorEastAsia" w:eastAsiaTheme="majorEastAsia" w:cstheme="majorEastAsia"/>
                <w:b/>
                <w:bCs/>
                <w:szCs w:val="21"/>
                <w:highlight w:val="none"/>
              </w:rPr>
              <w:t>进口产品说明</w:t>
            </w:r>
            <w:r>
              <w:rPr>
                <w:rFonts w:hint="eastAsia" w:asciiTheme="majorEastAsia" w:hAnsiTheme="majorEastAsia" w:eastAsiaTheme="majorEastAsia" w:cstheme="majorEastAsia"/>
                <w:b/>
                <w:bCs/>
                <w:szCs w:val="21"/>
                <w:highlight w:val="none"/>
                <w:lang w:val="en-US" w:eastAsia="zh-CN"/>
              </w:rPr>
              <w:t xml:space="preserve">  </w:t>
            </w:r>
          </w:p>
          <w:p>
            <w:pPr>
              <w:spacing w:line="360" w:lineRule="auto"/>
              <w:jc w:val="left"/>
              <w:rPr>
                <w:rFonts w:hint="eastAsia" w:asciiTheme="majorEastAsia" w:hAnsiTheme="majorEastAsia" w:eastAsiaTheme="majorEastAsia" w:cstheme="majorEastAsia"/>
                <w:b w:val="0"/>
                <w:bCs w:val="0"/>
                <w:szCs w:val="21"/>
              </w:rPr>
            </w:pPr>
            <w:r>
              <w:rPr>
                <w:rFonts w:hint="eastAsia" w:asciiTheme="majorEastAsia" w:hAnsiTheme="majorEastAsia" w:eastAsiaTheme="majorEastAsia" w:cstheme="majorEastAsia"/>
                <w:b w:val="0"/>
                <w:bCs w:val="0"/>
                <w:szCs w:val="21"/>
              </w:rPr>
              <w:sym w:font="Wingdings 2" w:char="0052"/>
            </w:r>
            <w:r>
              <w:rPr>
                <w:rFonts w:hint="eastAsia" w:asciiTheme="majorEastAsia" w:hAnsiTheme="majorEastAsia" w:eastAsiaTheme="majorEastAsia" w:cstheme="majorEastAsia"/>
                <w:b w:val="0"/>
                <w:bCs w:val="0"/>
                <w:szCs w:val="21"/>
              </w:rPr>
              <w:t>本</w:t>
            </w:r>
            <w:r>
              <w:rPr>
                <w:rFonts w:hint="eastAsia" w:asciiTheme="majorEastAsia" w:hAnsiTheme="majorEastAsia" w:eastAsiaTheme="majorEastAsia" w:cstheme="majorEastAsia"/>
                <w:b w:val="0"/>
                <w:bCs w:val="0"/>
                <w:szCs w:val="21"/>
                <w:lang w:val="en-US" w:eastAsia="zh-CN"/>
              </w:rPr>
              <w:t>分标</w:t>
            </w:r>
            <w:r>
              <w:rPr>
                <w:rFonts w:hint="eastAsia" w:asciiTheme="majorEastAsia" w:hAnsiTheme="majorEastAsia" w:eastAsiaTheme="majorEastAsia" w:cstheme="majorEastAsia"/>
                <w:b w:val="0"/>
                <w:bCs w:val="0"/>
                <w:szCs w:val="21"/>
              </w:rPr>
              <w:t>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p>
          <w:p>
            <w:pPr>
              <w:spacing w:line="360" w:lineRule="auto"/>
              <w:jc w:val="left"/>
              <w:rPr>
                <w:rFonts w:hint="eastAsia" w:asciiTheme="majorEastAsia" w:hAnsiTheme="majorEastAsia" w:eastAsiaTheme="majorEastAsia" w:cstheme="majorEastAsia"/>
                <w:b w:val="0"/>
                <w:bCs w:val="0"/>
                <w:szCs w:val="21"/>
              </w:rPr>
            </w:pPr>
            <w:r>
              <w:rPr>
                <w:rFonts w:hint="eastAsia" w:asciiTheme="majorEastAsia" w:hAnsiTheme="majorEastAsia" w:eastAsiaTheme="majorEastAsia" w:cstheme="majorEastAsia"/>
                <w:b w:val="0"/>
                <w:bCs w:val="0"/>
                <w:szCs w:val="21"/>
                <w:lang w:eastAsia="zh-CN"/>
              </w:rPr>
              <w:t>□</w:t>
            </w:r>
            <w:r>
              <w:rPr>
                <w:rFonts w:hint="eastAsia" w:asciiTheme="majorEastAsia" w:hAnsiTheme="majorEastAsia" w:eastAsiaTheme="majorEastAsia" w:cstheme="majorEastAsia"/>
                <w:b w:val="0"/>
                <w:bCs w:val="0"/>
                <w:szCs w:val="21"/>
              </w:rPr>
              <w:t>本分标货物所涉及的货物不接受进口产品（即通过中国海关报关验放进入中国境内且产自关境外的产品）参与投标，如有进口产品参与投标的作无效标处理。</w:t>
            </w:r>
          </w:p>
          <w:p>
            <w:pPr>
              <w:keepNext w:val="0"/>
              <w:keepLines w:val="0"/>
              <w:pageBreakBefore w:val="0"/>
              <w:tabs>
                <w:tab w:val="left" w:pos="180"/>
                <w:tab w:val="left" w:pos="1620"/>
              </w:tabs>
              <w:kinsoku/>
              <w:wordWrap/>
              <w:overflowPunct/>
              <w:topLinePunct w:val="0"/>
              <w:autoSpaceDE/>
              <w:autoSpaceDN/>
              <w:bidi w:val="0"/>
              <w:adjustRightInd/>
              <w:snapToGrid/>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核心产品</w:t>
            </w:r>
          </w:p>
          <w:p>
            <w:pPr>
              <w:pStyle w:val="22"/>
              <w:spacing w:line="360" w:lineRule="auto"/>
              <w:rPr>
                <w:rFonts w:hint="eastAsia"/>
              </w:rPr>
            </w:pPr>
            <w:r>
              <w:rPr>
                <w:rFonts w:hint="eastAsia" w:ascii="宋体" w:hAnsi="宋体" w:eastAsia="宋体" w:cs="宋体"/>
                <w:color w:val="auto"/>
                <w:sz w:val="21"/>
                <w:szCs w:val="21"/>
                <w:highlight w:val="none"/>
                <w:lang w:val="en-US" w:eastAsia="zh-CN"/>
              </w:rPr>
              <w:t>本分标</w:t>
            </w:r>
            <w:r>
              <w:rPr>
                <w:rFonts w:hint="eastAsia" w:ascii="宋体" w:hAnsi="宋体" w:eastAsia="宋体" w:cs="宋体"/>
                <w:color w:val="auto"/>
                <w:sz w:val="21"/>
                <w:szCs w:val="21"/>
                <w:highlight w:val="none"/>
              </w:rPr>
              <w:t>“采购清单及技术参数”表中的</w:t>
            </w:r>
            <w:r>
              <w:rPr>
                <w:rFonts w:hint="eastAsia" w:ascii="宋体" w:hAnsi="宋体" w:eastAsia="宋体" w:cs="宋体"/>
                <w:b/>
                <w:bCs/>
                <w:color w:val="auto"/>
                <w:sz w:val="21"/>
                <w:szCs w:val="21"/>
                <w:highlight w:val="none"/>
              </w:rPr>
              <w:t>第</w:t>
            </w:r>
            <w:r>
              <w:rPr>
                <w:rFonts w:hint="eastAsia" w:ascii="宋体" w:hAnsi="宋体" w:cs="宋体"/>
                <w:b/>
                <w:bCs/>
                <w:color w:val="auto"/>
                <w:sz w:val="21"/>
                <w:szCs w:val="21"/>
                <w:highlight w:val="none"/>
                <w:u w:val="none"/>
                <w:lang w:val="en-US" w:eastAsia="zh-CN"/>
              </w:rPr>
              <w:t>1</w:t>
            </w:r>
            <w:r>
              <w:rPr>
                <w:rFonts w:hint="eastAsia" w:ascii="宋体" w:hAnsi="宋体" w:eastAsia="宋体" w:cs="宋体"/>
                <w:b/>
                <w:bCs/>
                <w:color w:val="auto"/>
                <w:sz w:val="21"/>
                <w:szCs w:val="21"/>
                <w:highlight w:val="none"/>
              </w:rPr>
              <w:t>项</w:t>
            </w:r>
            <w:r>
              <w:rPr>
                <w:rFonts w:hint="eastAsia" w:ascii="宋体" w:hAnsi="宋体" w:eastAsia="宋体" w:cs="宋体"/>
                <w:b w:val="0"/>
                <w:bCs w:val="0"/>
                <w:color w:val="auto"/>
                <w:sz w:val="21"/>
                <w:szCs w:val="21"/>
                <w:highlight w:val="none"/>
                <w:lang w:val="en-US" w:eastAsia="zh-CN"/>
              </w:rPr>
              <w:t>所涉及的货物</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电子十二指肠内窥镜</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为核心产品</w:t>
            </w:r>
            <w:r>
              <w:rPr>
                <w:rFonts w:hint="eastAsia" w:ascii="宋体" w:hAnsi="宋体" w:eastAsia="宋体" w:cs="宋体"/>
                <w:color w:val="auto"/>
                <w:sz w:val="21"/>
                <w:szCs w:val="21"/>
                <w:highlight w:val="none"/>
              </w:rPr>
              <w:t>。提供相同品牌产品且通过资格审查、符合性审查的不同投标人参加同一合同项下投标的，按一家投标人计算，评审后得分最高的同品牌投标人获得中标人推荐资格；评审得分相同的，评标价最低的同品牌投标人获得中标人推荐资格，评标价也相同的，由评标委员会以抽签方式确定中标候选人，其他同品牌投标人不作为中标候选人。</w:t>
            </w:r>
          </w:p>
          <w:p>
            <w:pPr>
              <w:pStyle w:val="156"/>
              <w:spacing w:line="360" w:lineRule="auto"/>
            </w:pPr>
            <w:r>
              <w:rPr>
                <w:rFonts w:hint="eastAsia" w:asciiTheme="majorEastAsia" w:hAnsiTheme="majorEastAsia" w:eastAsiaTheme="majorEastAsia" w:cstheme="majorEastAsia"/>
                <w:b/>
                <w:bCs/>
                <w:szCs w:val="21"/>
              </w:rPr>
              <w:t>注：以上标注“★”号的技术参数为重要技术参数，必须满足，否则，投标无效。</w:t>
            </w:r>
          </w:p>
        </w:tc>
      </w:tr>
    </w:tbl>
    <w:p>
      <w:pPr>
        <w:pStyle w:val="2"/>
      </w:pPr>
    </w:p>
    <w:p>
      <w:pPr>
        <w:pStyle w:val="5"/>
        <w:ind w:left="0" w:leftChars="0" w:firstLine="0" w:firstLineChars="0"/>
      </w:pPr>
    </w:p>
    <w:p>
      <w:pPr>
        <w:pStyle w:val="5"/>
        <w:ind w:left="0" w:leftChars="0" w:firstLine="0" w:firstLineChars="0"/>
      </w:pPr>
    </w:p>
    <w:p>
      <w:pPr>
        <w:pStyle w:val="5"/>
        <w:ind w:left="0" w:leftChars="0" w:firstLine="0" w:firstLineChars="0"/>
      </w:pPr>
    </w:p>
    <w:p>
      <w:pPr>
        <w:pStyle w:val="6"/>
        <w:spacing w:beforeAutospacing="0" w:afterAutospacing="0" w:line="560" w:lineRule="exact"/>
        <w:jc w:val="both"/>
        <w:rPr>
          <w:rFonts w:hint="default"/>
          <w:lang w:val="en-US"/>
        </w:rPr>
      </w:pPr>
      <w:r>
        <w:rPr>
          <w:rFonts w:hint="eastAsia"/>
          <w:lang w:val="en-US" w:eastAsia="zh-CN"/>
        </w:rPr>
        <w:t>C分标:</w:t>
      </w:r>
    </w:p>
    <w:tbl>
      <w:tblPr>
        <w:tblStyle w:val="43"/>
        <w:tblW w:w="10214" w:type="dxa"/>
        <w:jc w:val="center"/>
        <w:tblLayout w:type="fixed"/>
        <w:tblCellMar>
          <w:top w:w="0" w:type="dxa"/>
          <w:left w:w="108" w:type="dxa"/>
          <w:bottom w:w="0" w:type="dxa"/>
          <w:right w:w="108" w:type="dxa"/>
        </w:tblCellMar>
      </w:tblPr>
      <w:tblGrid>
        <w:gridCol w:w="599"/>
        <w:gridCol w:w="1290"/>
        <w:gridCol w:w="1505"/>
        <w:gridCol w:w="4383"/>
        <w:gridCol w:w="697"/>
        <w:gridCol w:w="690"/>
        <w:gridCol w:w="1044"/>
        <w:gridCol w:w="6"/>
      </w:tblGrid>
      <w:tr>
        <w:tblPrEx>
          <w:tblCellMar>
            <w:top w:w="0" w:type="dxa"/>
            <w:left w:w="108" w:type="dxa"/>
            <w:bottom w:w="0" w:type="dxa"/>
            <w:right w:w="108" w:type="dxa"/>
          </w:tblCellMar>
        </w:tblPrEx>
        <w:trPr>
          <w:trHeight w:val="633"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货物名称</w:t>
            </w:r>
          </w:p>
        </w:tc>
        <w:tc>
          <w:tcPr>
            <w:tcW w:w="58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主要技术规格及配置</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数量</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参考单价（元）</w:t>
            </w:r>
          </w:p>
        </w:tc>
      </w:tr>
      <w:tr>
        <w:tblPrEx>
          <w:tblCellMar>
            <w:top w:w="0" w:type="dxa"/>
            <w:left w:w="108" w:type="dxa"/>
            <w:bottom w:w="0" w:type="dxa"/>
            <w:right w:w="108" w:type="dxa"/>
          </w:tblCellMar>
        </w:tblPrEx>
        <w:trPr>
          <w:trHeight w:val="12982"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highlight w:val="none"/>
              </w:rPr>
              <w:t>反搏泵</w:t>
            </w:r>
          </w:p>
        </w:tc>
        <w:tc>
          <w:tcPr>
            <w:tcW w:w="5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360" w:lineRule="auto"/>
              <w:rPr>
                <w:rFonts w:hint="eastAsia"/>
              </w:rPr>
            </w:pPr>
            <w:r>
              <w:rPr>
                <w:rFonts w:hint="eastAsia"/>
              </w:rPr>
              <w:t>1.电源</w:t>
            </w:r>
          </w:p>
          <w:p>
            <w:pPr>
              <w:numPr>
                <w:ilvl w:val="0"/>
                <w:numId w:val="0"/>
              </w:numPr>
              <w:spacing w:line="360" w:lineRule="auto"/>
              <w:rPr>
                <w:rFonts w:hint="eastAsia"/>
              </w:rPr>
            </w:pPr>
            <w:r>
              <w:rPr>
                <w:rFonts w:hint="eastAsia"/>
              </w:rPr>
              <w:t>(1)交流电源：电源范围110V-240V；电流2.8A（240V）;频率47-63Hz。</w:t>
            </w:r>
          </w:p>
          <w:p>
            <w:pPr>
              <w:numPr>
                <w:ilvl w:val="0"/>
                <w:numId w:val="0"/>
              </w:numPr>
              <w:spacing w:line="360" w:lineRule="auto"/>
              <w:rPr>
                <w:rFonts w:hint="eastAsia"/>
              </w:rPr>
            </w:pPr>
            <w:r>
              <w:rPr>
                <w:rFonts w:hint="eastAsia"/>
              </w:rPr>
              <w:t>(2)电池供电：充满后可工作90分钟（40CC导管，80次/分钟心率，1:1反搏）；充电时间4小时（充至80%电量）。</w:t>
            </w:r>
          </w:p>
          <w:p>
            <w:pPr>
              <w:numPr>
                <w:ilvl w:val="0"/>
                <w:numId w:val="0"/>
              </w:numPr>
              <w:spacing w:line="360" w:lineRule="auto"/>
              <w:rPr>
                <w:rFonts w:hint="eastAsia"/>
              </w:rPr>
            </w:pPr>
            <w:r>
              <w:rPr>
                <w:rFonts w:hint="eastAsia"/>
              </w:rPr>
              <w:t>2.物理质量</w:t>
            </w:r>
          </w:p>
          <w:p>
            <w:pPr>
              <w:numPr>
                <w:ilvl w:val="0"/>
                <w:numId w:val="0"/>
              </w:numPr>
              <w:spacing w:line="360" w:lineRule="auto"/>
              <w:rPr>
                <w:rFonts w:hint="eastAsia"/>
              </w:rPr>
            </w:pPr>
            <w:r>
              <w:rPr>
                <w:rFonts w:hint="eastAsia"/>
              </w:rPr>
              <w:t>工作全重：48千克。</w:t>
            </w:r>
          </w:p>
          <w:p>
            <w:pPr>
              <w:numPr>
                <w:ilvl w:val="0"/>
                <w:numId w:val="0"/>
              </w:numPr>
              <w:spacing w:line="360" w:lineRule="auto"/>
              <w:rPr>
                <w:rFonts w:hint="eastAsia"/>
              </w:rPr>
            </w:pPr>
            <w:r>
              <w:rPr>
                <w:rFonts w:hint="eastAsia"/>
              </w:rPr>
              <w:t>3.显示</w:t>
            </w:r>
          </w:p>
          <w:p>
            <w:pPr>
              <w:numPr>
                <w:ilvl w:val="0"/>
                <w:numId w:val="0"/>
              </w:numPr>
              <w:spacing w:line="360" w:lineRule="auto"/>
              <w:rPr>
                <w:rFonts w:hint="eastAsia"/>
              </w:rPr>
            </w:pPr>
            <w:r>
              <w:rPr>
                <w:rFonts w:hint="eastAsia"/>
              </w:rPr>
              <w:t>(1)显示</w:t>
            </w:r>
            <w:r>
              <w:rPr>
                <w:rFonts w:hint="eastAsia"/>
                <w:lang w:val="en-US" w:eastAsia="zh-CN"/>
              </w:rPr>
              <w:t>屏</w:t>
            </w:r>
            <w:r>
              <w:rPr>
                <w:rFonts w:hint="eastAsia"/>
              </w:rPr>
              <w:t>：单一的，13.3吋触摸屏。</w:t>
            </w:r>
          </w:p>
          <w:p>
            <w:pPr>
              <w:numPr>
                <w:ilvl w:val="0"/>
                <w:numId w:val="0"/>
              </w:numPr>
              <w:spacing w:line="360" w:lineRule="auto"/>
              <w:rPr>
                <w:rFonts w:hint="eastAsia"/>
              </w:rPr>
            </w:pPr>
            <w:r>
              <w:rPr>
                <w:rFonts w:hint="eastAsia"/>
              </w:rPr>
              <w:t>(2)显示语言：中/英文可选。</w:t>
            </w:r>
          </w:p>
          <w:p>
            <w:pPr>
              <w:numPr>
                <w:ilvl w:val="0"/>
                <w:numId w:val="0"/>
              </w:numPr>
              <w:spacing w:line="360" w:lineRule="auto"/>
              <w:rPr>
                <w:rFonts w:hint="eastAsia"/>
              </w:rPr>
            </w:pPr>
            <w:r>
              <w:rPr>
                <w:rFonts w:hint="eastAsia"/>
              </w:rPr>
              <w:t>★(3)波形显示：ECG，AP ，BP波形；ECG可以显示充气间隔；可以精确显示导管压力。</w:t>
            </w:r>
          </w:p>
          <w:p>
            <w:pPr>
              <w:numPr>
                <w:ilvl w:val="0"/>
                <w:numId w:val="0"/>
              </w:numPr>
              <w:spacing w:line="360" w:lineRule="auto"/>
              <w:rPr>
                <w:rFonts w:hint="eastAsia"/>
              </w:rPr>
            </w:pPr>
            <w:r>
              <w:rPr>
                <w:rFonts w:hint="eastAsia"/>
              </w:rPr>
              <w:t>（4）生理数据：心率，被辅助收缩压／舒张压／平均压／反搏压，无辅助收缩压／舒张压／平均压。</w:t>
            </w:r>
          </w:p>
          <w:p>
            <w:pPr>
              <w:numPr>
                <w:ilvl w:val="0"/>
                <w:numId w:val="0"/>
              </w:numPr>
              <w:spacing w:line="360" w:lineRule="auto"/>
              <w:rPr>
                <w:rFonts w:hint="eastAsia"/>
              </w:rPr>
            </w:pPr>
            <w:r>
              <w:rPr>
                <w:rFonts w:hint="eastAsia"/>
              </w:rPr>
              <w:t>（5）图标显示</w:t>
            </w:r>
          </w:p>
          <w:p>
            <w:pPr>
              <w:numPr>
                <w:ilvl w:val="0"/>
                <w:numId w:val="0"/>
              </w:numPr>
              <w:spacing w:line="360" w:lineRule="auto"/>
              <w:rPr>
                <w:rFonts w:hint="eastAsia"/>
              </w:rPr>
            </w:pPr>
            <w:r>
              <w:rPr>
                <w:rFonts w:hint="eastAsia"/>
              </w:rPr>
              <w:t>①电池容量，氦气瓶容量；</w:t>
            </w:r>
          </w:p>
          <w:p>
            <w:pPr>
              <w:numPr>
                <w:ilvl w:val="0"/>
                <w:numId w:val="0"/>
              </w:numPr>
              <w:spacing w:line="360" w:lineRule="auto"/>
              <w:rPr>
                <w:rFonts w:hint="eastAsia"/>
              </w:rPr>
            </w:pPr>
            <w:r>
              <w:rPr>
                <w:rFonts w:hint="eastAsia"/>
              </w:rPr>
              <w:t>②可以显示氦气瓶压力数值;</w:t>
            </w:r>
          </w:p>
          <w:p>
            <w:pPr>
              <w:numPr>
                <w:ilvl w:val="0"/>
                <w:numId w:val="0"/>
              </w:numPr>
              <w:spacing w:line="360" w:lineRule="auto"/>
              <w:rPr>
                <w:rFonts w:hint="eastAsia"/>
              </w:rPr>
            </w:pPr>
            <w:r>
              <w:rPr>
                <w:rFonts w:hint="eastAsia"/>
              </w:rPr>
              <w:t>★③可以精确显示导管充气量。</w:t>
            </w:r>
          </w:p>
          <w:p>
            <w:pPr>
              <w:numPr>
                <w:ilvl w:val="0"/>
                <w:numId w:val="0"/>
              </w:numPr>
              <w:spacing w:line="360" w:lineRule="auto"/>
              <w:rPr>
                <w:rFonts w:hint="eastAsia"/>
              </w:rPr>
            </w:pPr>
            <w:r>
              <w:rPr>
                <w:rFonts w:hint="eastAsia"/>
              </w:rPr>
              <w:t>★(6)报警显示：报警信息按照高级（红色），中级（黄色），低级（蓝色）分级显示；文字提示报警信息；报警角可以</w:t>
            </w:r>
            <w:r>
              <w:rPr>
                <w:rFonts w:hint="eastAsia"/>
                <w:lang w:val="en-US" w:eastAsia="zh-CN"/>
              </w:rPr>
              <w:t>360</w:t>
            </w:r>
            <w:r>
              <w:rPr>
                <w:rFonts w:hint="eastAsia"/>
              </w:rPr>
              <w:t>度可见，可以暂停声音报警。</w:t>
            </w:r>
          </w:p>
          <w:p>
            <w:pPr>
              <w:numPr>
                <w:ilvl w:val="0"/>
                <w:numId w:val="0"/>
              </w:numPr>
              <w:spacing w:line="360" w:lineRule="auto"/>
              <w:rPr>
                <w:rFonts w:hint="eastAsia"/>
              </w:rPr>
            </w:pPr>
            <w:r>
              <w:rPr>
                <w:rFonts w:hint="eastAsia"/>
              </w:rPr>
              <w:t>4.控制</w:t>
            </w:r>
          </w:p>
          <w:p>
            <w:pPr>
              <w:numPr>
                <w:ilvl w:val="0"/>
                <w:numId w:val="0"/>
              </w:numPr>
              <w:spacing w:line="360" w:lineRule="auto"/>
              <w:rPr>
                <w:rFonts w:hint="eastAsia"/>
              </w:rPr>
            </w:pPr>
            <w:r>
              <w:rPr>
                <w:rFonts w:hint="eastAsia"/>
              </w:rPr>
              <w:t>★(1)单一触摸屏控制；按键控制；报警角控制。</w:t>
            </w:r>
          </w:p>
          <w:p>
            <w:pPr>
              <w:numPr>
                <w:ilvl w:val="0"/>
                <w:numId w:val="0"/>
              </w:numPr>
              <w:spacing w:line="360" w:lineRule="auto"/>
              <w:rPr>
                <w:rFonts w:hint="eastAsia"/>
              </w:rPr>
            </w:pPr>
            <w:r>
              <w:rPr>
                <w:rFonts w:hint="eastAsia"/>
              </w:rPr>
              <w:t>★(2)关键/常用功能双重控制：触摸屏/按键：辅助启动，辅助频率，屏幕冻结，打印，参考线设置。</w:t>
            </w:r>
          </w:p>
          <w:p>
            <w:pPr>
              <w:numPr>
                <w:ilvl w:val="0"/>
                <w:numId w:val="0"/>
              </w:numPr>
              <w:spacing w:line="360" w:lineRule="auto"/>
              <w:rPr>
                <w:rFonts w:hint="eastAsia"/>
              </w:rPr>
            </w:pPr>
            <w:r>
              <w:rPr>
                <w:rFonts w:hint="eastAsia"/>
              </w:rPr>
              <w:t>5.工作模式</w:t>
            </w:r>
          </w:p>
          <w:p>
            <w:pPr>
              <w:numPr>
                <w:ilvl w:val="0"/>
                <w:numId w:val="0"/>
              </w:numPr>
              <w:spacing w:line="360" w:lineRule="auto"/>
              <w:rPr>
                <w:rFonts w:hint="eastAsia"/>
              </w:rPr>
            </w:pPr>
            <w:r>
              <w:rPr>
                <w:rFonts w:hint="eastAsia"/>
              </w:rPr>
              <w:t>（1）自动／手动。</w:t>
            </w:r>
          </w:p>
          <w:p>
            <w:pPr>
              <w:numPr>
                <w:ilvl w:val="0"/>
                <w:numId w:val="0"/>
              </w:numPr>
              <w:spacing w:line="360" w:lineRule="auto"/>
              <w:rPr>
                <w:rFonts w:hint="eastAsia"/>
              </w:rPr>
            </w:pPr>
            <w:r>
              <w:rPr>
                <w:rFonts w:hint="eastAsia"/>
              </w:rPr>
              <w:t>★①工作模式转换过程不影响正常反搏。</w:t>
            </w:r>
          </w:p>
          <w:p>
            <w:pPr>
              <w:numPr>
                <w:ilvl w:val="0"/>
                <w:numId w:val="0"/>
              </w:numPr>
              <w:spacing w:line="360" w:lineRule="auto"/>
              <w:rPr>
                <w:rFonts w:hint="eastAsia"/>
              </w:rPr>
            </w:pPr>
            <w:r>
              <w:rPr>
                <w:rFonts w:hint="eastAsia"/>
              </w:rPr>
              <w:t>②工作模式转换，设备自动保留原有设置。</w:t>
            </w:r>
          </w:p>
          <w:p>
            <w:pPr>
              <w:numPr>
                <w:ilvl w:val="0"/>
                <w:numId w:val="0"/>
              </w:numPr>
              <w:spacing w:line="360" w:lineRule="auto"/>
              <w:rPr>
                <w:rFonts w:hint="eastAsia"/>
              </w:rPr>
            </w:pPr>
            <w:r>
              <w:rPr>
                <w:rFonts w:hint="eastAsia"/>
              </w:rPr>
              <w:t>（2）自动模式：自动选择信号源；自动选择触发模式（6种）；自动选择时相算法；实时评估ECG导联状态；自动选择最佳ECG导联（7种）。</w:t>
            </w:r>
          </w:p>
          <w:p>
            <w:pPr>
              <w:numPr>
                <w:ilvl w:val="0"/>
                <w:numId w:val="0"/>
              </w:numPr>
              <w:spacing w:line="360" w:lineRule="auto"/>
              <w:rPr>
                <w:rFonts w:hint="eastAsia"/>
              </w:rPr>
            </w:pPr>
            <w:r>
              <w:rPr>
                <w:rFonts w:hint="eastAsia"/>
              </w:rPr>
              <w:t>（3）手动模式：可以选择信号源；选择触发模式；调整时相；选择ECG导联。</w:t>
            </w:r>
          </w:p>
          <w:p>
            <w:pPr>
              <w:numPr>
                <w:ilvl w:val="0"/>
                <w:numId w:val="0"/>
              </w:numPr>
              <w:spacing w:line="360" w:lineRule="auto"/>
              <w:rPr>
                <w:rFonts w:hint="eastAsia"/>
              </w:rPr>
            </w:pPr>
            <w:r>
              <w:rPr>
                <w:rFonts w:hint="eastAsia"/>
              </w:rPr>
              <w:t>6.触发模式</w:t>
            </w:r>
          </w:p>
          <w:p>
            <w:pPr>
              <w:numPr>
                <w:ilvl w:val="0"/>
                <w:numId w:val="0"/>
              </w:numPr>
              <w:spacing w:line="360" w:lineRule="auto"/>
              <w:rPr>
                <w:rFonts w:hint="eastAsia"/>
              </w:rPr>
            </w:pPr>
            <w:r>
              <w:rPr>
                <w:rFonts w:hint="eastAsia"/>
              </w:rPr>
              <w:t>７种：Pattern／Peak/Aifb／起搏器V／A-V／起搏器A／AP／机内设置。</w:t>
            </w:r>
          </w:p>
          <w:p>
            <w:pPr>
              <w:numPr>
                <w:ilvl w:val="0"/>
                <w:numId w:val="0"/>
              </w:numPr>
              <w:spacing w:line="360" w:lineRule="auto"/>
              <w:rPr>
                <w:rFonts w:hint="eastAsia"/>
              </w:rPr>
            </w:pPr>
            <w:r>
              <w:rPr>
                <w:rFonts w:hint="eastAsia"/>
              </w:rPr>
              <w:t>（1）Pattern模式：适合窦性，慢心率（＜130次/分钟）。</w:t>
            </w:r>
          </w:p>
          <w:p>
            <w:pPr>
              <w:numPr>
                <w:ilvl w:val="0"/>
                <w:numId w:val="0"/>
              </w:numPr>
              <w:spacing w:line="360" w:lineRule="auto"/>
              <w:rPr>
                <w:rFonts w:hint="eastAsia"/>
              </w:rPr>
            </w:pPr>
            <w:r>
              <w:rPr>
                <w:rFonts w:hint="eastAsia"/>
              </w:rPr>
              <w:t>（2）Peak模式：高心率（＞130次/分钟）或部分房颤心律（R波排不安全）。</w:t>
            </w:r>
          </w:p>
          <w:p>
            <w:pPr>
              <w:numPr>
                <w:ilvl w:val="0"/>
                <w:numId w:val="0"/>
              </w:numPr>
              <w:spacing w:line="360" w:lineRule="auto"/>
              <w:rPr>
                <w:rFonts w:hint="eastAsia"/>
              </w:rPr>
            </w:pPr>
            <w:r>
              <w:rPr>
                <w:rFonts w:hint="eastAsia"/>
              </w:rPr>
              <w:t>★（3）Aifb模式：房颤心律（结合R波排气安全分析的结果，自动开启/关闭Afib模式）.</w:t>
            </w:r>
          </w:p>
          <w:p>
            <w:pPr>
              <w:numPr>
                <w:ilvl w:val="0"/>
                <w:numId w:val="0"/>
              </w:numPr>
              <w:spacing w:line="360" w:lineRule="auto"/>
              <w:rPr>
                <w:rFonts w:hint="eastAsia"/>
              </w:rPr>
            </w:pPr>
            <w:r>
              <w:rPr>
                <w:rFonts w:hint="eastAsia"/>
              </w:rPr>
              <w:t>(4)起搏器V／A-V：心室起搏器。</w:t>
            </w:r>
          </w:p>
          <w:p>
            <w:pPr>
              <w:numPr>
                <w:ilvl w:val="0"/>
                <w:numId w:val="0"/>
              </w:numPr>
              <w:spacing w:line="360" w:lineRule="auto"/>
              <w:rPr>
                <w:rFonts w:hint="eastAsia"/>
              </w:rPr>
            </w:pPr>
            <w:r>
              <w:rPr>
                <w:rFonts w:hint="eastAsia"/>
              </w:rPr>
              <w:t>（5）起搏器A：心房起搏器。</w:t>
            </w:r>
          </w:p>
          <w:p>
            <w:pPr>
              <w:numPr>
                <w:ilvl w:val="0"/>
                <w:numId w:val="0"/>
              </w:numPr>
              <w:spacing w:line="360" w:lineRule="auto"/>
              <w:rPr>
                <w:rFonts w:hint="eastAsia"/>
              </w:rPr>
            </w:pPr>
            <w:r>
              <w:rPr>
                <w:rFonts w:hint="eastAsia"/>
              </w:rPr>
              <w:t>（6）AP：压力搏动。</w:t>
            </w:r>
          </w:p>
          <w:p>
            <w:pPr>
              <w:numPr>
                <w:ilvl w:val="0"/>
                <w:numId w:val="0"/>
              </w:numPr>
              <w:spacing w:line="360" w:lineRule="auto"/>
              <w:rPr>
                <w:rFonts w:hint="eastAsia"/>
              </w:rPr>
            </w:pPr>
            <w:r>
              <w:rPr>
                <w:rFonts w:hint="eastAsia"/>
              </w:rPr>
              <w:t>（7）机内设置：机器设置固定频率。</w:t>
            </w:r>
          </w:p>
          <w:p>
            <w:pPr>
              <w:numPr>
                <w:ilvl w:val="0"/>
                <w:numId w:val="0"/>
              </w:numPr>
              <w:spacing w:line="360" w:lineRule="auto"/>
              <w:rPr>
                <w:rFonts w:hint="eastAsia"/>
              </w:rPr>
            </w:pPr>
            <w:r>
              <w:rPr>
                <w:rFonts w:hint="eastAsia"/>
              </w:rPr>
              <w:t>7.排气分析</w:t>
            </w:r>
          </w:p>
          <w:p>
            <w:pPr>
              <w:numPr>
                <w:ilvl w:val="0"/>
                <w:numId w:val="0"/>
              </w:numPr>
              <w:spacing w:line="360" w:lineRule="auto"/>
              <w:rPr>
                <w:rFonts w:hint="eastAsia"/>
              </w:rPr>
            </w:pPr>
            <w:r>
              <w:rPr>
                <w:rFonts w:hint="eastAsia"/>
              </w:rPr>
              <w:t>★实时计算排气速度，评估R波排气安全性。</w:t>
            </w:r>
          </w:p>
          <w:p>
            <w:pPr>
              <w:numPr>
                <w:ilvl w:val="0"/>
                <w:numId w:val="0"/>
              </w:numPr>
              <w:spacing w:line="360" w:lineRule="auto"/>
              <w:rPr>
                <w:rFonts w:hint="eastAsia"/>
              </w:rPr>
            </w:pPr>
            <w:r>
              <w:rPr>
                <w:rFonts w:hint="eastAsia"/>
              </w:rPr>
              <w:t>8.辅助频率</w:t>
            </w:r>
          </w:p>
          <w:p>
            <w:pPr>
              <w:numPr>
                <w:ilvl w:val="0"/>
                <w:numId w:val="0"/>
              </w:numPr>
              <w:spacing w:line="360" w:lineRule="auto"/>
              <w:rPr>
                <w:rFonts w:hint="eastAsia"/>
              </w:rPr>
            </w:pPr>
            <w:r>
              <w:rPr>
                <w:rFonts w:hint="eastAsia"/>
              </w:rPr>
              <w:t>★4种： 1:1/1:2/1:4/1:8</w:t>
            </w:r>
          </w:p>
          <w:p>
            <w:pPr>
              <w:numPr>
                <w:ilvl w:val="0"/>
                <w:numId w:val="0"/>
              </w:numPr>
              <w:spacing w:line="360" w:lineRule="auto"/>
              <w:rPr>
                <w:rFonts w:hint="eastAsia"/>
              </w:rPr>
            </w:pPr>
            <w:r>
              <w:rPr>
                <w:rFonts w:hint="eastAsia"/>
              </w:rPr>
              <w:t>9.动力系统</w:t>
            </w:r>
          </w:p>
          <w:p>
            <w:pPr>
              <w:numPr>
                <w:ilvl w:val="0"/>
                <w:numId w:val="0"/>
              </w:numPr>
              <w:spacing w:line="360" w:lineRule="auto"/>
              <w:rPr>
                <w:rFonts w:hint="eastAsia"/>
              </w:rPr>
            </w:pPr>
            <w:r>
              <w:rPr>
                <w:rFonts w:hint="eastAsia"/>
              </w:rPr>
              <w:t>★（1）驱动方式：步进式马达加钛合金风箱。</w:t>
            </w:r>
          </w:p>
          <w:p>
            <w:pPr>
              <w:numPr>
                <w:ilvl w:val="0"/>
                <w:numId w:val="0"/>
              </w:numPr>
              <w:spacing w:line="360" w:lineRule="auto"/>
              <w:rPr>
                <w:rFonts w:hint="eastAsia"/>
              </w:rPr>
            </w:pPr>
            <w:r>
              <w:rPr>
                <w:rFonts w:hint="eastAsia"/>
              </w:rPr>
              <w:t>（2）增压系统。</w:t>
            </w:r>
          </w:p>
          <w:p>
            <w:pPr>
              <w:numPr>
                <w:ilvl w:val="0"/>
                <w:numId w:val="0"/>
              </w:numPr>
              <w:spacing w:line="360" w:lineRule="auto"/>
              <w:rPr>
                <w:rFonts w:hint="eastAsia"/>
              </w:rPr>
            </w:pPr>
            <w:r>
              <w:rPr>
                <w:rFonts w:hint="eastAsia"/>
              </w:rPr>
              <w:t>（3）反搏频率：可达</w:t>
            </w:r>
            <w:r>
              <w:rPr>
                <w:rFonts w:hint="eastAsia"/>
                <w:lang w:val="en-US" w:eastAsia="zh-CN"/>
              </w:rPr>
              <w:t>200</w:t>
            </w:r>
            <w:r>
              <w:rPr>
                <w:rFonts w:hint="eastAsia"/>
              </w:rPr>
              <w:t>次／分钟。</w:t>
            </w:r>
          </w:p>
          <w:p>
            <w:pPr>
              <w:numPr>
                <w:ilvl w:val="0"/>
                <w:numId w:val="0"/>
              </w:numPr>
              <w:spacing w:line="360" w:lineRule="auto"/>
              <w:rPr>
                <w:rFonts w:hint="eastAsia"/>
              </w:rPr>
            </w:pPr>
            <w:r>
              <w:rPr>
                <w:rFonts w:hint="eastAsia"/>
              </w:rPr>
              <w:t>★（4）反搏容量：</w:t>
            </w:r>
            <w:r>
              <w:rPr>
                <w:rFonts w:hint="eastAsia"/>
                <w:lang w:val="en-US" w:eastAsia="zh-CN"/>
              </w:rPr>
              <w:t>0-50</w:t>
            </w:r>
            <w:r>
              <w:rPr>
                <w:rFonts w:hint="eastAsia"/>
              </w:rPr>
              <w:t>毫升，可精确调整，调整精度</w:t>
            </w:r>
            <w:r>
              <w:rPr>
                <w:rFonts w:hint="eastAsia"/>
                <w:lang w:val="en-US" w:eastAsia="zh-CN"/>
              </w:rPr>
              <w:t>0.5</w:t>
            </w:r>
            <w:r>
              <w:rPr>
                <w:rFonts w:hint="eastAsia"/>
              </w:rPr>
              <w:t>毫升。</w:t>
            </w:r>
          </w:p>
          <w:p>
            <w:pPr>
              <w:numPr>
                <w:ilvl w:val="0"/>
                <w:numId w:val="0"/>
              </w:numPr>
              <w:spacing w:line="360" w:lineRule="auto"/>
              <w:rPr>
                <w:rFonts w:hint="eastAsia"/>
              </w:rPr>
            </w:pPr>
            <w:r>
              <w:rPr>
                <w:rFonts w:hint="eastAsia"/>
              </w:rPr>
              <w:t>★（5）除水：每</w:t>
            </w:r>
            <w:r>
              <w:rPr>
                <w:rFonts w:hint="eastAsia"/>
                <w:lang w:val="en-US" w:eastAsia="zh-CN"/>
              </w:rPr>
              <w:t>20</w:t>
            </w:r>
            <w:r>
              <w:rPr>
                <w:rFonts w:hint="eastAsia"/>
              </w:rPr>
              <w:t>分钟一次；自动完成，不影响正常辅助。</w:t>
            </w:r>
          </w:p>
          <w:p>
            <w:pPr>
              <w:numPr>
                <w:ilvl w:val="0"/>
                <w:numId w:val="0"/>
              </w:numPr>
              <w:spacing w:line="360" w:lineRule="auto"/>
              <w:rPr>
                <w:rFonts w:hint="eastAsia"/>
              </w:rPr>
            </w:pPr>
            <w:r>
              <w:rPr>
                <w:rFonts w:hint="eastAsia"/>
              </w:rPr>
              <w:t>★（6）气体补充：自动补充。</w:t>
            </w:r>
          </w:p>
          <w:p>
            <w:pPr>
              <w:numPr>
                <w:ilvl w:val="0"/>
                <w:numId w:val="0"/>
              </w:numPr>
              <w:spacing w:line="360" w:lineRule="auto"/>
              <w:rPr>
                <w:rFonts w:hint="eastAsia"/>
              </w:rPr>
            </w:pPr>
            <w:r>
              <w:rPr>
                <w:rFonts w:hint="eastAsia"/>
              </w:rPr>
              <w:t>（7）驱动气体：氦气；可用一次性氦气瓶或重复使用氦气瓶。</w:t>
            </w:r>
          </w:p>
          <w:p>
            <w:pPr>
              <w:numPr>
                <w:ilvl w:val="0"/>
                <w:numId w:val="0"/>
              </w:numPr>
              <w:spacing w:line="360" w:lineRule="auto"/>
              <w:rPr>
                <w:rFonts w:hint="eastAsia"/>
              </w:rPr>
            </w:pPr>
            <w:r>
              <w:rPr>
                <w:rFonts w:hint="eastAsia"/>
              </w:rPr>
              <w:t>10.辅助功能</w:t>
            </w:r>
          </w:p>
          <w:p>
            <w:pPr>
              <w:numPr>
                <w:ilvl w:val="0"/>
                <w:numId w:val="0"/>
              </w:numPr>
              <w:spacing w:line="360" w:lineRule="auto"/>
              <w:rPr>
                <w:rFonts w:hint="eastAsia"/>
              </w:rPr>
            </w:pPr>
            <w:r>
              <w:rPr>
                <w:rFonts w:hint="eastAsia"/>
              </w:rPr>
              <w:t>（1）患者数据报告：可以显示并打印记录全部反搏相关的患者信息。</w:t>
            </w:r>
          </w:p>
          <w:p>
            <w:pPr>
              <w:numPr>
                <w:ilvl w:val="0"/>
                <w:numId w:val="0"/>
              </w:numPr>
              <w:spacing w:line="360" w:lineRule="auto"/>
              <w:rPr>
                <w:rFonts w:hint="eastAsia"/>
              </w:rPr>
            </w:pPr>
            <w:r>
              <w:rPr>
                <w:rFonts w:hint="eastAsia"/>
              </w:rPr>
              <w:t>开机自检清单:清单式提示功能自检结果。</w:t>
            </w:r>
          </w:p>
          <w:p>
            <w:pPr>
              <w:numPr>
                <w:ilvl w:val="0"/>
                <w:numId w:val="0"/>
              </w:numPr>
              <w:spacing w:line="360" w:lineRule="auto"/>
              <w:rPr>
                <w:rFonts w:hint="eastAsia"/>
              </w:rPr>
            </w:pPr>
            <w:r>
              <w:rPr>
                <w:rFonts w:hint="eastAsia"/>
              </w:rPr>
              <w:t>★（2）报警历史记录：可以显示并打印最近100次报警。</w:t>
            </w:r>
          </w:p>
          <w:p>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.配置</w:t>
            </w:r>
            <w:r>
              <w:rPr>
                <w:rFonts w:hint="eastAsia" w:ascii="宋体" w:hAnsi="宋体" w:cs="宋体"/>
                <w:sz w:val="21"/>
                <w:szCs w:val="21"/>
                <w:lang w:val="en-US" w:eastAsia="zh-CN"/>
              </w:rPr>
              <w:t>清</w:t>
            </w:r>
            <w:r>
              <w:rPr>
                <w:rFonts w:hint="eastAsia" w:ascii="宋体" w:hAnsi="宋体" w:eastAsia="宋体" w:cs="宋体"/>
                <w:sz w:val="21"/>
                <w:szCs w:val="21"/>
                <w:lang w:val="en-US" w:eastAsia="zh-CN"/>
              </w:rPr>
              <w:t>单</w:t>
            </w:r>
          </w:p>
          <w:tbl>
            <w:tblPr>
              <w:tblStyle w:val="43"/>
              <w:tblpPr w:leftFromText="180" w:rightFromText="180" w:vertAnchor="text" w:horzAnchor="margin" w:tblpXSpec="center" w:tblpY="314"/>
              <w:tblW w:w="4859" w:type="dxa"/>
              <w:tblInd w:w="0" w:type="dxa"/>
              <w:tblLayout w:type="fixed"/>
              <w:tblCellMar>
                <w:top w:w="0" w:type="dxa"/>
                <w:left w:w="108" w:type="dxa"/>
                <w:bottom w:w="0" w:type="dxa"/>
                <w:right w:w="108" w:type="dxa"/>
              </w:tblCellMar>
            </w:tblPr>
            <w:tblGrid>
              <w:gridCol w:w="873"/>
              <w:gridCol w:w="2522"/>
              <w:gridCol w:w="1464"/>
            </w:tblGrid>
            <w:tr>
              <w:tblPrEx>
                <w:tblCellMar>
                  <w:top w:w="0" w:type="dxa"/>
                  <w:left w:w="108" w:type="dxa"/>
                  <w:bottom w:w="0" w:type="dxa"/>
                  <w:right w:w="108" w:type="dxa"/>
                </w:tblCellMar>
              </w:tblPrEx>
              <w:trPr>
                <w:trHeight w:val="484" w:hRule="atLeast"/>
              </w:trPr>
              <w:tc>
                <w:tcPr>
                  <w:tcW w:w="873"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2522"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464" w:type="dxa"/>
                  <w:tcBorders>
                    <w:top w:val="single" w:color="auto" w:sz="8" w:space="0"/>
                    <w:left w:val="single" w:color="auto" w:sz="4"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b/>
                      <w:bCs/>
                      <w:sz w:val="21"/>
                      <w:szCs w:val="21"/>
                    </w:rPr>
                  </w:pPr>
                  <w:r>
                    <w:rPr>
                      <w:rFonts w:hint="eastAsia" w:ascii="宋体" w:hAnsi="宋体" w:eastAsia="宋体" w:cs="宋体"/>
                      <w:b/>
                      <w:bCs/>
                      <w:sz w:val="21"/>
                      <w:szCs w:val="21"/>
                    </w:rPr>
                    <w:t>数量</w:t>
                  </w:r>
                </w:p>
              </w:tc>
            </w:tr>
            <w:tr>
              <w:tblPrEx>
                <w:tblCellMar>
                  <w:top w:w="0" w:type="dxa"/>
                  <w:left w:w="108" w:type="dxa"/>
                  <w:bottom w:w="0" w:type="dxa"/>
                  <w:right w:w="108" w:type="dxa"/>
                </w:tblCellMar>
              </w:tblPrEx>
              <w:trPr>
                <w:trHeight w:val="484" w:hRule="atLeast"/>
              </w:trPr>
              <w:tc>
                <w:tcPr>
                  <w:tcW w:w="873"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2522"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rPr>
                    <w:t>主机</w:t>
                  </w:r>
                </w:p>
              </w:tc>
              <w:tc>
                <w:tcPr>
                  <w:tcW w:w="1464" w:type="dxa"/>
                  <w:tcBorders>
                    <w:top w:val="nil"/>
                    <w:left w:val="single" w:color="auto" w:sz="4"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Times New Roman"/>
                      <w:sz w:val="21"/>
                      <w:szCs w:val="21"/>
                    </w:rPr>
                  </w:pPr>
                  <w:r>
                    <w:rPr>
                      <w:rFonts w:ascii="宋体" w:hAnsi="宋体" w:eastAsia="宋体" w:cs="Times New Roman"/>
                      <w:sz w:val="21"/>
                      <w:szCs w:val="21"/>
                    </w:rPr>
                    <w:t>1</w:t>
                  </w:r>
                </w:p>
              </w:tc>
            </w:tr>
            <w:tr>
              <w:tblPrEx>
                <w:tblCellMar>
                  <w:top w:w="0" w:type="dxa"/>
                  <w:left w:w="108" w:type="dxa"/>
                  <w:bottom w:w="0" w:type="dxa"/>
                  <w:right w:w="108" w:type="dxa"/>
                </w:tblCellMar>
              </w:tblPrEx>
              <w:trPr>
                <w:trHeight w:val="484" w:hRule="atLeast"/>
              </w:trPr>
              <w:tc>
                <w:tcPr>
                  <w:tcW w:w="873"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2522"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rPr>
                    <w:t>触摸屏</w:t>
                  </w:r>
                </w:p>
              </w:tc>
              <w:tc>
                <w:tcPr>
                  <w:tcW w:w="1464" w:type="dxa"/>
                  <w:tcBorders>
                    <w:top w:val="nil"/>
                    <w:left w:val="single" w:color="auto" w:sz="4"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Times New Roman"/>
                      <w:sz w:val="21"/>
                      <w:szCs w:val="21"/>
                    </w:rPr>
                  </w:pPr>
                  <w:r>
                    <w:rPr>
                      <w:rFonts w:ascii="宋体" w:hAnsi="宋体" w:eastAsia="宋体" w:cs="Times New Roman"/>
                      <w:sz w:val="21"/>
                      <w:szCs w:val="21"/>
                    </w:rPr>
                    <w:t>1</w:t>
                  </w:r>
                </w:p>
              </w:tc>
            </w:tr>
            <w:tr>
              <w:tblPrEx>
                <w:tblCellMar>
                  <w:top w:w="0" w:type="dxa"/>
                  <w:left w:w="108" w:type="dxa"/>
                  <w:bottom w:w="0" w:type="dxa"/>
                  <w:right w:w="108" w:type="dxa"/>
                </w:tblCellMar>
              </w:tblPrEx>
              <w:trPr>
                <w:trHeight w:val="484" w:hRule="atLeast"/>
              </w:trPr>
              <w:tc>
                <w:tcPr>
                  <w:tcW w:w="873"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rPr>
                    <w:t>3</w:t>
                  </w:r>
                </w:p>
              </w:tc>
              <w:tc>
                <w:tcPr>
                  <w:tcW w:w="2522"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rPr>
                    <w:t>显示屏连接线</w:t>
                  </w:r>
                </w:p>
              </w:tc>
              <w:tc>
                <w:tcPr>
                  <w:tcW w:w="1464" w:type="dxa"/>
                  <w:tcBorders>
                    <w:top w:val="nil"/>
                    <w:left w:val="single" w:color="auto" w:sz="4"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Times New Roman"/>
                      <w:sz w:val="21"/>
                      <w:szCs w:val="21"/>
                    </w:rPr>
                  </w:pPr>
                  <w:r>
                    <w:rPr>
                      <w:rFonts w:ascii="宋体" w:hAnsi="宋体" w:eastAsia="宋体" w:cs="Times New Roman"/>
                      <w:sz w:val="21"/>
                      <w:szCs w:val="21"/>
                    </w:rPr>
                    <w:t>1</w:t>
                  </w:r>
                </w:p>
              </w:tc>
            </w:tr>
            <w:tr>
              <w:tblPrEx>
                <w:tblCellMar>
                  <w:top w:w="0" w:type="dxa"/>
                  <w:left w:w="108" w:type="dxa"/>
                  <w:bottom w:w="0" w:type="dxa"/>
                  <w:right w:w="108" w:type="dxa"/>
                </w:tblCellMar>
              </w:tblPrEx>
              <w:trPr>
                <w:trHeight w:val="484" w:hRule="atLeast"/>
              </w:trPr>
              <w:tc>
                <w:tcPr>
                  <w:tcW w:w="873"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rPr>
                    <w:t>4</w:t>
                  </w:r>
                </w:p>
              </w:tc>
              <w:tc>
                <w:tcPr>
                  <w:tcW w:w="2522"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宋体" w:hAnsi="宋体" w:eastAsia="宋体" w:cs="Times New Roman"/>
                      <w:sz w:val="21"/>
                      <w:szCs w:val="21"/>
                    </w:rPr>
                  </w:pPr>
                  <w:r>
                    <w:rPr>
                      <w:rFonts w:ascii="宋体" w:hAnsi="宋体" w:eastAsia="宋体" w:cs="Times New Roman"/>
                      <w:sz w:val="21"/>
                      <w:szCs w:val="21"/>
                    </w:rPr>
                    <w:t>ECG</w:t>
                  </w:r>
                  <w:r>
                    <w:rPr>
                      <w:rFonts w:hint="eastAsia" w:ascii="宋体" w:hAnsi="宋体" w:eastAsia="宋体" w:cs="Times New Roman"/>
                      <w:sz w:val="21"/>
                      <w:szCs w:val="21"/>
                    </w:rPr>
                    <w:t>导联连线</w:t>
                  </w:r>
                </w:p>
              </w:tc>
              <w:tc>
                <w:tcPr>
                  <w:tcW w:w="1464" w:type="dxa"/>
                  <w:tcBorders>
                    <w:top w:val="nil"/>
                    <w:left w:val="single" w:color="auto" w:sz="4"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Times New Roman"/>
                      <w:sz w:val="21"/>
                      <w:szCs w:val="21"/>
                    </w:rPr>
                  </w:pPr>
                  <w:r>
                    <w:rPr>
                      <w:rFonts w:ascii="宋体" w:hAnsi="宋体" w:eastAsia="宋体" w:cs="Times New Roman"/>
                      <w:sz w:val="21"/>
                      <w:szCs w:val="21"/>
                    </w:rPr>
                    <w:t>1</w:t>
                  </w:r>
                </w:p>
              </w:tc>
            </w:tr>
            <w:tr>
              <w:tblPrEx>
                <w:tblCellMar>
                  <w:top w:w="0" w:type="dxa"/>
                  <w:left w:w="108" w:type="dxa"/>
                  <w:bottom w:w="0" w:type="dxa"/>
                  <w:right w:w="108" w:type="dxa"/>
                </w:tblCellMar>
              </w:tblPrEx>
              <w:trPr>
                <w:trHeight w:val="484" w:hRule="atLeast"/>
              </w:trPr>
              <w:tc>
                <w:tcPr>
                  <w:tcW w:w="873"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5</w:t>
                  </w:r>
                </w:p>
              </w:tc>
              <w:tc>
                <w:tcPr>
                  <w:tcW w:w="2522"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动脉压力缆线</w:t>
                  </w:r>
                </w:p>
              </w:tc>
              <w:tc>
                <w:tcPr>
                  <w:tcW w:w="1464" w:type="dxa"/>
                  <w:tcBorders>
                    <w:top w:val="nil"/>
                    <w:left w:val="single" w:color="auto" w:sz="4"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Times New Roman"/>
                      <w:sz w:val="21"/>
                      <w:szCs w:val="21"/>
                      <w:highlight w:val="none"/>
                    </w:rPr>
                  </w:pPr>
                  <w:r>
                    <w:rPr>
                      <w:rFonts w:ascii="宋体" w:hAnsi="宋体" w:eastAsia="宋体" w:cs="Times New Roman"/>
                      <w:sz w:val="21"/>
                      <w:szCs w:val="21"/>
                      <w:highlight w:val="none"/>
                    </w:rPr>
                    <w:t>1</w:t>
                  </w:r>
                </w:p>
              </w:tc>
            </w:tr>
            <w:tr>
              <w:tblPrEx>
                <w:tblCellMar>
                  <w:top w:w="0" w:type="dxa"/>
                  <w:left w:w="108" w:type="dxa"/>
                  <w:bottom w:w="0" w:type="dxa"/>
                  <w:right w:w="108" w:type="dxa"/>
                </w:tblCellMar>
              </w:tblPrEx>
              <w:trPr>
                <w:trHeight w:val="484" w:hRule="atLeast"/>
              </w:trPr>
              <w:tc>
                <w:tcPr>
                  <w:tcW w:w="873"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rPr>
                    <w:t>6</w:t>
                  </w:r>
                </w:p>
              </w:tc>
              <w:tc>
                <w:tcPr>
                  <w:tcW w:w="2522"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rPr>
                    <w:t>P</w:t>
                  </w:r>
                  <w:r>
                    <w:rPr>
                      <w:rFonts w:ascii="宋体" w:hAnsi="宋体" w:eastAsia="宋体" w:cs="宋体"/>
                      <w:sz w:val="21"/>
                      <w:szCs w:val="21"/>
                    </w:rPr>
                    <w:t>—</w:t>
                  </w:r>
                  <w:r>
                    <w:rPr>
                      <w:rFonts w:hint="eastAsia" w:ascii="宋体" w:hAnsi="宋体" w:eastAsia="宋体" w:cs="宋体"/>
                      <w:sz w:val="21"/>
                      <w:szCs w:val="21"/>
                    </w:rPr>
                    <w:t>P线</w:t>
                  </w:r>
                </w:p>
              </w:tc>
              <w:tc>
                <w:tcPr>
                  <w:tcW w:w="1464" w:type="dxa"/>
                  <w:tcBorders>
                    <w:top w:val="nil"/>
                    <w:left w:val="single" w:color="auto" w:sz="4"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w:t>
                  </w:r>
                </w:p>
              </w:tc>
            </w:tr>
            <w:tr>
              <w:tblPrEx>
                <w:tblCellMar>
                  <w:top w:w="0" w:type="dxa"/>
                  <w:left w:w="108" w:type="dxa"/>
                  <w:bottom w:w="0" w:type="dxa"/>
                  <w:right w:w="108" w:type="dxa"/>
                </w:tblCellMar>
              </w:tblPrEx>
              <w:trPr>
                <w:trHeight w:val="484" w:hRule="atLeast"/>
              </w:trPr>
              <w:tc>
                <w:tcPr>
                  <w:tcW w:w="873"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7</w:t>
                  </w:r>
                </w:p>
              </w:tc>
              <w:tc>
                <w:tcPr>
                  <w:tcW w:w="2522"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氦气罐</w:t>
                  </w:r>
                </w:p>
              </w:tc>
              <w:tc>
                <w:tcPr>
                  <w:tcW w:w="1464" w:type="dxa"/>
                  <w:tcBorders>
                    <w:top w:val="nil"/>
                    <w:left w:val="single" w:color="auto" w:sz="4"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r>
            <w:tr>
              <w:tblPrEx>
                <w:tblCellMar>
                  <w:top w:w="0" w:type="dxa"/>
                  <w:left w:w="108" w:type="dxa"/>
                  <w:bottom w:w="0" w:type="dxa"/>
                  <w:right w:w="108" w:type="dxa"/>
                </w:tblCellMar>
              </w:tblPrEx>
              <w:trPr>
                <w:trHeight w:val="484" w:hRule="atLeast"/>
              </w:trPr>
              <w:tc>
                <w:tcPr>
                  <w:tcW w:w="873"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rPr>
                    <w:t>8</w:t>
                  </w:r>
                </w:p>
              </w:tc>
              <w:tc>
                <w:tcPr>
                  <w:tcW w:w="2522"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rPr>
                    <w:t>氦气转接头</w:t>
                  </w:r>
                </w:p>
              </w:tc>
              <w:tc>
                <w:tcPr>
                  <w:tcW w:w="1464" w:type="dxa"/>
                  <w:tcBorders>
                    <w:top w:val="nil"/>
                    <w:left w:val="single" w:color="auto" w:sz="4"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Times New Roman"/>
                      <w:sz w:val="21"/>
                      <w:szCs w:val="21"/>
                    </w:rPr>
                  </w:pPr>
                  <w:r>
                    <w:rPr>
                      <w:rFonts w:ascii="宋体" w:hAnsi="宋体" w:eastAsia="宋体" w:cs="Times New Roman"/>
                      <w:sz w:val="21"/>
                      <w:szCs w:val="21"/>
                    </w:rPr>
                    <w:t>1</w:t>
                  </w:r>
                </w:p>
              </w:tc>
            </w:tr>
            <w:tr>
              <w:tblPrEx>
                <w:tblCellMar>
                  <w:top w:w="0" w:type="dxa"/>
                  <w:left w:w="108" w:type="dxa"/>
                  <w:bottom w:w="0" w:type="dxa"/>
                  <w:right w:w="108" w:type="dxa"/>
                </w:tblCellMar>
              </w:tblPrEx>
              <w:trPr>
                <w:trHeight w:val="484" w:hRule="atLeast"/>
              </w:trPr>
              <w:tc>
                <w:tcPr>
                  <w:tcW w:w="873"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rPr>
                    <w:t>9</w:t>
                  </w:r>
                </w:p>
              </w:tc>
              <w:tc>
                <w:tcPr>
                  <w:tcW w:w="2522"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rPr>
                    <w:t>打印纸</w:t>
                  </w:r>
                </w:p>
              </w:tc>
              <w:tc>
                <w:tcPr>
                  <w:tcW w:w="1464" w:type="dxa"/>
                  <w:tcBorders>
                    <w:top w:val="nil"/>
                    <w:left w:val="single" w:color="auto" w:sz="4"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Times New Roman"/>
                      <w:sz w:val="21"/>
                      <w:szCs w:val="21"/>
                    </w:rPr>
                  </w:pPr>
                  <w:r>
                    <w:rPr>
                      <w:rFonts w:ascii="宋体" w:hAnsi="宋体" w:eastAsia="宋体" w:cs="Times New Roman"/>
                      <w:sz w:val="21"/>
                      <w:szCs w:val="21"/>
                    </w:rPr>
                    <w:t>1</w:t>
                  </w:r>
                </w:p>
              </w:tc>
            </w:tr>
            <w:tr>
              <w:tblPrEx>
                <w:tblCellMar>
                  <w:top w:w="0" w:type="dxa"/>
                  <w:left w:w="108" w:type="dxa"/>
                  <w:bottom w:w="0" w:type="dxa"/>
                  <w:right w:w="108" w:type="dxa"/>
                </w:tblCellMar>
              </w:tblPrEx>
              <w:trPr>
                <w:trHeight w:val="484" w:hRule="atLeast"/>
              </w:trPr>
              <w:tc>
                <w:tcPr>
                  <w:tcW w:w="873"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rPr>
                    <w:t>10</w:t>
                  </w:r>
                </w:p>
              </w:tc>
              <w:tc>
                <w:tcPr>
                  <w:tcW w:w="2522"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内置热敏打印</w:t>
                  </w:r>
                  <w:r>
                    <w:rPr>
                      <w:rFonts w:hint="eastAsia" w:ascii="宋体" w:hAnsi="宋体" w:cs="宋体"/>
                      <w:sz w:val="21"/>
                      <w:szCs w:val="21"/>
                      <w:lang w:val="en-US" w:eastAsia="zh-CN"/>
                    </w:rPr>
                    <w:t>设备</w:t>
                  </w:r>
                </w:p>
              </w:tc>
              <w:tc>
                <w:tcPr>
                  <w:tcW w:w="1464" w:type="dxa"/>
                  <w:tcBorders>
                    <w:top w:val="nil"/>
                    <w:left w:val="single" w:color="auto" w:sz="4"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Times New Roman"/>
                      <w:sz w:val="21"/>
                      <w:szCs w:val="21"/>
                    </w:rPr>
                  </w:pPr>
                  <w:r>
                    <w:rPr>
                      <w:rFonts w:ascii="宋体" w:hAnsi="宋体" w:eastAsia="宋体" w:cs="Times New Roman"/>
                      <w:sz w:val="21"/>
                      <w:szCs w:val="21"/>
                    </w:rPr>
                    <w:t>1</w:t>
                  </w:r>
                </w:p>
              </w:tc>
            </w:tr>
            <w:tr>
              <w:tblPrEx>
                <w:tblCellMar>
                  <w:top w:w="0" w:type="dxa"/>
                  <w:left w:w="108" w:type="dxa"/>
                  <w:bottom w:w="0" w:type="dxa"/>
                  <w:right w:w="108" w:type="dxa"/>
                </w:tblCellMar>
              </w:tblPrEx>
              <w:trPr>
                <w:trHeight w:val="484" w:hRule="atLeast"/>
              </w:trPr>
              <w:tc>
                <w:tcPr>
                  <w:tcW w:w="873"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rPr>
                    <w:t>11</w:t>
                  </w:r>
                </w:p>
              </w:tc>
              <w:tc>
                <w:tcPr>
                  <w:tcW w:w="2522"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rPr>
                    <w:t>内置蓄电池</w:t>
                  </w:r>
                </w:p>
              </w:tc>
              <w:tc>
                <w:tcPr>
                  <w:tcW w:w="1464" w:type="dxa"/>
                  <w:tcBorders>
                    <w:top w:val="nil"/>
                    <w:left w:val="single" w:color="auto" w:sz="4"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Times New Roman"/>
                      <w:sz w:val="21"/>
                      <w:szCs w:val="21"/>
                    </w:rPr>
                  </w:pPr>
                  <w:r>
                    <w:rPr>
                      <w:rFonts w:ascii="宋体" w:hAnsi="宋体" w:eastAsia="宋体" w:cs="Times New Roman"/>
                      <w:sz w:val="21"/>
                      <w:szCs w:val="21"/>
                    </w:rPr>
                    <w:t>1</w:t>
                  </w:r>
                </w:p>
              </w:tc>
            </w:tr>
            <w:tr>
              <w:tblPrEx>
                <w:tblCellMar>
                  <w:top w:w="0" w:type="dxa"/>
                  <w:left w:w="108" w:type="dxa"/>
                  <w:bottom w:w="0" w:type="dxa"/>
                  <w:right w:w="108" w:type="dxa"/>
                </w:tblCellMar>
              </w:tblPrEx>
              <w:trPr>
                <w:trHeight w:val="484" w:hRule="atLeast"/>
              </w:trPr>
              <w:tc>
                <w:tcPr>
                  <w:tcW w:w="873"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rPr>
                    <w:t>12</w:t>
                  </w:r>
                </w:p>
              </w:tc>
              <w:tc>
                <w:tcPr>
                  <w:tcW w:w="2522"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rPr>
                    <w:t>英文操作手册</w:t>
                  </w:r>
                </w:p>
              </w:tc>
              <w:tc>
                <w:tcPr>
                  <w:tcW w:w="1464" w:type="dxa"/>
                  <w:tcBorders>
                    <w:top w:val="nil"/>
                    <w:left w:val="single" w:color="auto" w:sz="4"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Times New Roman"/>
                      <w:sz w:val="21"/>
                      <w:szCs w:val="21"/>
                    </w:rPr>
                  </w:pPr>
                  <w:r>
                    <w:rPr>
                      <w:rFonts w:ascii="宋体" w:hAnsi="宋体" w:eastAsia="宋体" w:cs="Times New Roman"/>
                      <w:sz w:val="21"/>
                      <w:szCs w:val="21"/>
                    </w:rPr>
                    <w:t>1</w:t>
                  </w:r>
                </w:p>
              </w:tc>
            </w:tr>
            <w:tr>
              <w:tblPrEx>
                <w:tblCellMar>
                  <w:top w:w="0" w:type="dxa"/>
                  <w:left w:w="108" w:type="dxa"/>
                  <w:bottom w:w="0" w:type="dxa"/>
                  <w:right w:w="108" w:type="dxa"/>
                </w:tblCellMar>
              </w:tblPrEx>
              <w:trPr>
                <w:trHeight w:val="484" w:hRule="atLeast"/>
              </w:trPr>
              <w:tc>
                <w:tcPr>
                  <w:tcW w:w="873"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rPr>
                    <w:t>13</w:t>
                  </w:r>
                </w:p>
              </w:tc>
              <w:tc>
                <w:tcPr>
                  <w:tcW w:w="2522"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rPr>
                    <w:t>中文操作手册</w:t>
                  </w:r>
                </w:p>
              </w:tc>
              <w:tc>
                <w:tcPr>
                  <w:tcW w:w="1464" w:type="dxa"/>
                  <w:tcBorders>
                    <w:top w:val="nil"/>
                    <w:left w:val="single" w:color="auto" w:sz="4"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Times New Roman"/>
                      <w:sz w:val="21"/>
                      <w:szCs w:val="21"/>
                    </w:rPr>
                  </w:pPr>
                  <w:r>
                    <w:rPr>
                      <w:rFonts w:ascii="宋体" w:hAnsi="宋体" w:eastAsia="宋体" w:cs="Times New Roman"/>
                      <w:sz w:val="21"/>
                      <w:szCs w:val="21"/>
                    </w:rPr>
                    <w:t>1</w:t>
                  </w:r>
                </w:p>
              </w:tc>
            </w:tr>
            <w:tr>
              <w:tblPrEx>
                <w:tblCellMar>
                  <w:top w:w="0" w:type="dxa"/>
                  <w:left w:w="108" w:type="dxa"/>
                  <w:bottom w:w="0" w:type="dxa"/>
                  <w:right w:w="108" w:type="dxa"/>
                </w:tblCellMar>
              </w:tblPrEx>
              <w:trPr>
                <w:trHeight w:val="484" w:hRule="atLeast"/>
              </w:trPr>
              <w:tc>
                <w:tcPr>
                  <w:tcW w:w="873"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rPr>
                    <w:t>14</w:t>
                  </w:r>
                </w:p>
              </w:tc>
              <w:tc>
                <w:tcPr>
                  <w:tcW w:w="2522"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rPr>
                    <w:t>静脉输液架</w:t>
                  </w:r>
                </w:p>
              </w:tc>
              <w:tc>
                <w:tcPr>
                  <w:tcW w:w="1464" w:type="dxa"/>
                  <w:tcBorders>
                    <w:top w:val="nil"/>
                    <w:left w:val="single" w:color="auto" w:sz="4"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Times New Roman"/>
                      <w:sz w:val="21"/>
                      <w:szCs w:val="21"/>
                    </w:rPr>
                  </w:pPr>
                  <w:r>
                    <w:rPr>
                      <w:rFonts w:ascii="宋体" w:hAnsi="宋体" w:eastAsia="宋体" w:cs="Times New Roman"/>
                      <w:sz w:val="21"/>
                      <w:szCs w:val="21"/>
                    </w:rPr>
                    <w:t>1</w:t>
                  </w:r>
                </w:p>
              </w:tc>
            </w:tr>
            <w:tr>
              <w:tblPrEx>
                <w:tblCellMar>
                  <w:top w:w="0" w:type="dxa"/>
                  <w:left w:w="108" w:type="dxa"/>
                  <w:bottom w:w="0" w:type="dxa"/>
                  <w:right w:w="108" w:type="dxa"/>
                </w:tblCellMar>
              </w:tblPrEx>
              <w:trPr>
                <w:trHeight w:val="484" w:hRule="atLeast"/>
              </w:trPr>
              <w:tc>
                <w:tcPr>
                  <w:tcW w:w="873"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rPr>
                    <w:t>15</w:t>
                  </w:r>
                </w:p>
              </w:tc>
              <w:tc>
                <w:tcPr>
                  <w:tcW w:w="2522"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rPr>
                    <w:t>电源线</w:t>
                  </w:r>
                </w:p>
              </w:tc>
              <w:tc>
                <w:tcPr>
                  <w:tcW w:w="1464" w:type="dxa"/>
                  <w:tcBorders>
                    <w:top w:val="nil"/>
                    <w:left w:val="single" w:color="auto" w:sz="4"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Times New Roman"/>
                      <w:sz w:val="21"/>
                      <w:szCs w:val="21"/>
                    </w:rPr>
                  </w:pPr>
                  <w:r>
                    <w:rPr>
                      <w:rFonts w:ascii="宋体" w:hAnsi="宋体" w:eastAsia="宋体" w:cs="Times New Roman"/>
                      <w:sz w:val="21"/>
                      <w:szCs w:val="21"/>
                    </w:rPr>
                    <w:t>1</w:t>
                  </w:r>
                </w:p>
              </w:tc>
            </w:tr>
            <w:tr>
              <w:tblPrEx>
                <w:tblCellMar>
                  <w:top w:w="0" w:type="dxa"/>
                  <w:left w:w="108" w:type="dxa"/>
                  <w:bottom w:w="0" w:type="dxa"/>
                  <w:right w:w="108" w:type="dxa"/>
                </w:tblCellMar>
              </w:tblPrEx>
              <w:trPr>
                <w:trHeight w:val="557" w:hRule="atLeast"/>
              </w:trPr>
              <w:tc>
                <w:tcPr>
                  <w:tcW w:w="873"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rPr>
                    <w:t>16</w:t>
                  </w:r>
                </w:p>
              </w:tc>
              <w:tc>
                <w:tcPr>
                  <w:tcW w:w="2522"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rPr>
                    <w:t>附件背包</w:t>
                  </w:r>
                </w:p>
              </w:tc>
              <w:tc>
                <w:tcPr>
                  <w:tcW w:w="1464" w:type="dxa"/>
                  <w:tcBorders>
                    <w:top w:val="nil"/>
                    <w:left w:val="single" w:color="auto" w:sz="4" w:space="0"/>
                    <w:bottom w:val="single" w:color="auto" w:sz="8" w:space="0"/>
                    <w:right w:val="single" w:color="auto" w:sz="8" w:space="0"/>
                  </w:tcBorders>
                  <w:shd w:val="clear" w:color="auto" w:fill="auto"/>
                  <w:vAlign w:val="center"/>
                </w:tcPr>
                <w:p>
                  <w:pPr>
                    <w:spacing w:after="0" w:line="240" w:lineRule="auto"/>
                    <w:jc w:val="center"/>
                    <w:rPr>
                      <w:rFonts w:ascii="宋体" w:hAnsi="宋体" w:eastAsia="宋体" w:cs="Times New Roman"/>
                      <w:sz w:val="21"/>
                      <w:szCs w:val="21"/>
                    </w:rPr>
                  </w:pPr>
                  <w:r>
                    <w:rPr>
                      <w:rFonts w:ascii="宋体" w:hAnsi="宋体" w:eastAsia="宋体" w:cs="Times New Roman"/>
                      <w:sz w:val="21"/>
                      <w:szCs w:val="21"/>
                    </w:rPr>
                    <w:t>1</w:t>
                  </w:r>
                </w:p>
              </w:tc>
            </w:tr>
          </w:tbl>
          <w:p>
            <w:pPr>
              <w:pStyle w:val="2"/>
              <w:ind w:left="0" w:leftChars="0" w:firstLine="0" w:firstLineChars="0"/>
              <w:rPr>
                <w:rFonts w:hint="eastAsia"/>
                <w:lang w:val="en-US" w:eastAsia="zh-CN"/>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 </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szCs w:val="21"/>
                <w:lang w:val="en-US"/>
              </w:rPr>
            </w:pPr>
            <w:r>
              <w:rPr>
                <w:rFonts w:hint="eastAsia" w:ascii="宋体" w:hAnsi="宋体" w:cs="宋体"/>
                <w:color w:val="000000"/>
                <w:kern w:val="0"/>
                <w:szCs w:val="21"/>
                <w:highlight w:val="none"/>
                <w:lang w:val="en-US" w:eastAsia="zh-CN" w:bidi="ar"/>
              </w:rPr>
              <w:t>1200000</w:t>
            </w:r>
          </w:p>
        </w:tc>
      </w:tr>
      <w:tr>
        <w:tblPrEx>
          <w:tblCellMar>
            <w:top w:w="0" w:type="dxa"/>
            <w:left w:w="108" w:type="dxa"/>
            <w:bottom w:w="0" w:type="dxa"/>
            <w:right w:w="108" w:type="dxa"/>
          </w:tblCellMar>
        </w:tblPrEx>
        <w:trPr>
          <w:trHeight w:val="1568"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Cs w:val="21"/>
                <w:highlight w:val="none"/>
              </w:rPr>
            </w:pPr>
            <w:r>
              <w:rPr>
                <w:rFonts w:hint="eastAsia" w:ascii="宋体" w:hAnsi="宋体" w:cs="宋体"/>
                <w:b/>
                <w:bCs/>
                <w:color w:val="000000"/>
                <w:szCs w:val="21"/>
                <w:highlight w:val="none"/>
              </w:rPr>
              <w:t>角膜地形图测试仪</w:t>
            </w:r>
          </w:p>
        </w:tc>
        <w:tc>
          <w:tcPr>
            <w:tcW w:w="5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360" w:lineRule="auto"/>
              <w:rPr>
                <w:rFonts w:hint="eastAsia"/>
              </w:rPr>
            </w:pPr>
            <w:r>
              <w:rPr>
                <w:rFonts w:hint="eastAsia"/>
              </w:rPr>
              <w:t>★1、Placido环数量：50环，小圆锥设计，投射面积更广，覆盖角膜范围更大；可提供更多数据及更准确的分析。</w:t>
            </w:r>
          </w:p>
          <w:p>
            <w:pPr>
              <w:numPr>
                <w:ilvl w:val="0"/>
                <w:numId w:val="0"/>
              </w:numPr>
              <w:spacing w:line="360" w:lineRule="auto"/>
              <w:rPr>
                <w:rFonts w:hint="eastAsia"/>
              </w:rPr>
            </w:pPr>
            <w:r>
              <w:rPr>
                <w:rFonts w:hint="eastAsia"/>
              </w:rPr>
              <w:t>★2、检测点 ：18000个</w:t>
            </w:r>
          </w:p>
          <w:p>
            <w:pPr>
              <w:numPr>
                <w:ilvl w:val="0"/>
                <w:numId w:val="0"/>
              </w:numPr>
              <w:spacing w:line="360" w:lineRule="auto"/>
              <w:rPr>
                <w:rFonts w:hint="eastAsia"/>
              </w:rPr>
            </w:pPr>
            <w:r>
              <w:rPr>
                <w:rFonts w:hint="eastAsia"/>
              </w:rPr>
              <w:t>3、投影环直径：</w:t>
            </w:r>
          </w:p>
          <w:p>
            <w:pPr>
              <w:numPr>
                <w:ilvl w:val="0"/>
                <w:numId w:val="0"/>
              </w:numPr>
              <w:spacing w:line="360" w:lineRule="auto"/>
              <w:rPr>
                <w:rFonts w:hint="eastAsia"/>
              </w:rPr>
            </w:pPr>
            <w:r>
              <w:rPr>
                <w:rFonts w:hint="eastAsia"/>
              </w:rPr>
              <w:t>3.1、直径8.8mm(43D)</w:t>
            </w:r>
          </w:p>
          <w:p>
            <w:pPr>
              <w:numPr>
                <w:ilvl w:val="0"/>
                <w:numId w:val="0"/>
              </w:numPr>
              <w:spacing w:line="360" w:lineRule="auto"/>
              <w:rPr>
                <w:rFonts w:hint="eastAsia"/>
              </w:rPr>
            </w:pPr>
            <w:r>
              <w:rPr>
                <w:rFonts w:hint="eastAsia"/>
              </w:rPr>
              <w:t>3.2、直径11mm(43D)</w:t>
            </w:r>
          </w:p>
          <w:p>
            <w:pPr>
              <w:numPr>
                <w:ilvl w:val="0"/>
                <w:numId w:val="0"/>
              </w:numPr>
              <w:spacing w:line="360" w:lineRule="auto"/>
              <w:rPr>
                <w:rFonts w:hint="eastAsia"/>
              </w:rPr>
            </w:pPr>
            <w:r>
              <w:rPr>
                <w:rFonts w:hint="eastAsia"/>
              </w:rPr>
              <w:t>4、曲率半径：32.14D~61.36D (5.5mm~10.5mm)</w:t>
            </w:r>
          </w:p>
          <w:p>
            <w:pPr>
              <w:numPr>
                <w:ilvl w:val="0"/>
                <w:numId w:val="0"/>
              </w:numPr>
              <w:spacing w:line="360" w:lineRule="auto"/>
              <w:rPr>
                <w:rFonts w:hint="eastAsia"/>
              </w:rPr>
            </w:pPr>
            <w:r>
              <w:rPr>
                <w:rFonts w:hint="eastAsia"/>
              </w:rPr>
              <w:t>精度：土0.1D(±0.02mm)</w:t>
            </w:r>
          </w:p>
          <w:p>
            <w:pPr>
              <w:numPr>
                <w:ilvl w:val="0"/>
                <w:numId w:val="0"/>
              </w:numPr>
              <w:spacing w:line="360" w:lineRule="auto"/>
              <w:rPr>
                <w:rFonts w:hint="eastAsia"/>
              </w:rPr>
            </w:pPr>
            <w:r>
              <w:rPr>
                <w:rFonts w:hint="eastAsia"/>
              </w:rPr>
              <w:t>5、散光轴位：0~180°，允差：土2°</w:t>
            </w:r>
          </w:p>
          <w:p>
            <w:pPr>
              <w:numPr>
                <w:ilvl w:val="0"/>
                <w:numId w:val="0"/>
              </w:numPr>
              <w:spacing w:line="360" w:lineRule="auto"/>
              <w:rPr>
                <w:rFonts w:hint="eastAsia"/>
              </w:rPr>
            </w:pPr>
            <w:r>
              <w:rPr>
                <w:rFonts w:hint="eastAsia"/>
              </w:rPr>
              <w:t>6、白到白范围：6~17mm ，允差：土0.1mm</w:t>
            </w:r>
          </w:p>
          <w:p>
            <w:pPr>
              <w:numPr>
                <w:ilvl w:val="0"/>
                <w:numId w:val="0"/>
              </w:numPr>
              <w:spacing w:line="360" w:lineRule="auto"/>
              <w:rPr>
                <w:rFonts w:hint="eastAsia"/>
              </w:rPr>
            </w:pPr>
            <w:r>
              <w:rPr>
                <w:rFonts w:hint="eastAsia"/>
              </w:rPr>
              <w:t>7、瞳孔直径 ：1~13mm，允差：土0.1mm</w:t>
            </w:r>
          </w:p>
          <w:p>
            <w:pPr>
              <w:numPr>
                <w:ilvl w:val="0"/>
                <w:numId w:val="0"/>
              </w:numPr>
              <w:spacing w:line="360" w:lineRule="auto"/>
              <w:rPr>
                <w:rFonts w:hint="eastAsia"/>
              </w:rPr>
            </w:pPr>
            <w:r>
              <w:rPr>
                <w:rFonts w:hint="eastAsia"/>
              </w:rPr>
              <w:t>8、地形功能：</w:t>
            </w:r>
          </w:p>
          <w:p>
            <w:pPr>
              <w:numPr>
                <w:ilvl w:val="0"/>
                <w:numId w:val="0"/>
              </w:numPr>
              <w:spacing w:line="360" w:lineRule="auto"/>
              <w:rPr>
                <w:rFonts w:hint="eastAsia"/>
              </w:rPr>
            </w:pPr>
            <w:r>
              <w:rPr>
                <w:rFonts w:hint="eastAsia"/>
              </w:rPr>
              <w:t>8.1、轴向曲率</w:t>
            </w:r>
          </w:p>
          <w:p>
            <w:pPr>
              <w:numPr>
                <w:ilvl w:val="0"/>
                <w:numId w:val="0"/>
              </w:numPr>
              <w:spacing w:line="360" w:lineRule="auto"/>
              <w:rPr>
                <w:rFonts w:hint="eastAsia"/>
              </w:rPr>
            </w:pPr>
            <w:r>
              <w:rPr>
                <w:rFonts w:hint="eastAsia"/>
              </w:rPr>
              <w:t>8.2、切向曲率</w:t>
            </w:r>
          </w:p>
          <w:p>
            <w:pPr>
              <w:numPr>
                <w:ilvl w:val="0"/>
                <w:numId w:val="0"/>
              </w:numPr>
              <w:spacing w:line="360" w:lineRule="auto"/>
              <w:rPr>
                <w:rFonts w:hint="eastAsia"/>
              </w:rPr>
            </w:pPr>
            <w:r>
              <w:rPr>
                <w:rFonts w:hint="eastAsia"/>
              </w:rPr>
              <w:t>8.3、高度图</w:t>
            </w:r>
          </w:p>
          <w:p>
            <w:pPr>
              <w:numPr>
                <w:ilvl w:val="0"/>
                <w:numId w:val="0"/>
              </w:numPr>
              <w:spacing w:line="360" w:lineRule="auto"/>
              <w:rPr>
                <w:rFonts w:hint="eastAsia"/>
              </w:rPr>
            </w:pPr>
            <w:r>
              <w:rPr>
                <w:rFonts w:hint="eastAsia"/>
              </w:rPr>
              <w:t>8.4、屈光力</w:t>
            </w:r>
          </w:p>
          <w:p>
            <w:pPr>
              <w:numPr>
                <w:ilvl w:val="0"/>
                <w:numId w:val="0"/>
              </w:numPr>
              <w:spacing w:line="360" w:lineRule="auto"/>
              <w:rPr>
                <w:rFonts w:hint="eastAsia"/>
              </w:rPr>
            </w:pPr>
            <w:r>
              <w:rPr>
                <w:rFonts w:hint="eastAsia"/>
              </w:rPr>
              <w:t>9、四联图：显示角膜轴向曲率图，切向曲率图，高度图和屈光力地形图，适用于大部分的角膜病变筛查工作。</w:t>
            </w:r>
          </w:p>
          <w:p>
            <w:pPr>
              <w:numPr>
                <w:ilvl w:val="0"/>
                <w:numId w:val="0"/>
              </w:numPr>
              <w:spacing w:line="360" w:lineRule="auto"/>
              <w:rPr>
                <w:rFonts w:hint="eastAsia"/>
              </w:rPr>
            </w:pPr>
            <w:r>
              <w:rPr>
                <w:rFonts w:hint="eastAsia"/>
              </w:rPr>
              <w:t>★10、形态因子：E,Ecc,p,Q值</w:t>
            </w:r>
          </w:p>
          <w:p>
            <w:pPr>
              <w:numPr>
                <w:ilvl w:val="0"/>
                <w:numId w:val="0"/>
              </w:numPr>
              <w:spacing w:line="360" w:lineRule="auto"/>
              <w:rPr>
                <w:rFonts w:hint="eastAsia"/>
              </w:rPr>
            </w:pPr>
            <w:r>
              <w:rPr>
                <w:rFonts w:hint="eastAsia"/>
              </w:rPr>
              <w:t>11、像差：不同瞳孔直径范围内的角膜波前像差，PSF图，MTF曲线，视网膜模拟成像图。</w:t>
            </w:r>
          </w:p>
          <w:p>
            <w:pPr>
              <w:numPr>
                <w:ilvl w:val="0"/>
                <w:numId w:val="0"/>
              </w:numPr>
              <w:spacing w:line="360" w:lineRule="auto"/>
              <w:rPr>
                <w:rFonts w:hint="eastAsia"/>
              </w:rPr>
            </w:pPr>
            <w:r>
              <w:rPr>
                <w:rFonts w:hint="eastAsia"/>
              </w:rPr>
              <w:t>12、检查结果对比：支持2次结果对比，地形图差值对比。</w:t>
            </w:r>
          </w:p>
          <w:p>
            <w:pPr>
              <w:numPr>
                <w:ilvl w:val="0"/>
                <w:numId w:val="0"/>
              </w:numPr>
              <w:spacing w:line="360" w:lineRule="auto"/>
              <w:rPr>
                <w:rFonts w:hint="eastAsia"/>
              </w:rPr>
            </w:pPr>
            <w:r>
              <w:rPr>
                <w:rFonts w:hint="eastAsia"/>
              </w:rPr>
              <w:t>13、屏幕：显示屏跟机身一体设计，10.1"全触摸高清液晶屏，50°可调节显示屏。</w:t>
            </w:r>
          </w:p>
          <w:p>
            <w:pPr>
              <w:numPr>
                <w:ilvl w:val="0"/>
                <w:numId w:val="0"/>
              </w:numPr>
              <w:spacing w:line="360" w:lineRule="auto"/>
              <w:rPr>
                <w:rFonts w:hint="eastAsia"/>
              </w:rPr>
            </w:pPr>
            <w:r>
              <w:rPr>
                <w:rFonts w:hint="eastAsia"/>
              </w:rPr>
              <w:t>14、光源：白光、红外光、钴蓝光</w:t>
            </w:r>
          </w:p>
          <w:p>
            <w:pPr>
              <w:numPr>
                <w:ilvl w:val="0"/>
                <w:numId w:val="0"/>
              </w:numPr>
              <w:spacing w:line="360" w:lineRule="auto"/>
              <w:rPr>
                <w:rFonts w:hint="eastAsia"/>
              </w:rPr>
            </w:pPr>
            <w:r>
              <w:rPr>
                <w:rFonts w:hint="eastAsia"/>
              </w:rPr>
              <w:t>15、通信接口：WIFI</w:t>
            </w:r>
          </w:p>
          <w:p>
            <w:pPr>
              <w:numPr>
                <w:ilvl w:val="0"/>
                <w:numId w:val="0"/>
              </w:numPr>
              <w:spacing w:line="360" w:lineRule="auto"/>
              <w:rPr>
                <w:rFonts w:hint="eastAsia"/>
              </w:rPr>
            </w:pPr>
            <w:r>
              <w:rPr>
                <w:rFonts w:hint="eastAsia"/>
              </w:rPr>
              <w:t>16、打印</w:t>
            </w:r>
            <w:r>
              <w:rPr>
                <w:rFonts w:hint="eastAsia"/>
                <w:lang w:val="en-US" w:eastAsia="zh-CN"/>
              </w:rPr>
              <w:t>设备</w:t>
            </w:r>
            <w:r>
              <w:rPr>
                <w:rFonts w:hint="eastAsia"/>
              </w:rPr>
              <w:t>接口：WIFI, USB</w:t>
            </w:r>
          </w:p>
          <w:p>
            <w:pPr>
              <w:numPr>
                <w:ilvl w:val="0"/>
                <w:numId w:val="0"/>
              </w:numPr>
              <w:spacing w:line="360" w:lineRule="auto"/>
              <w:rPr>
                <w:rFonts w:hint="eastAsia"/>
              </w:rPr>
            </w:pPr>
            <w:r>
              <w:rPr>
                <w:rFonts w:hint="eastAsia"/>
              </w:rPr>
              <w:t>17、扩展显示接口：DisplayPort</w:t>
            </w:r>
          </w:p>
          <w:p>
            <w:pPr>
              <w:numPr>
                <w:ilvl w:val="0"/>
                <w:numId w:val="0"/>
              </w:numPr>
              <w:spacing w:line="360" w:lineRule="auto"/>
              <w:rPr>
                <w:rFonts w:hint="eastAsia"/>
              </w:rPr>
            </w:pPr>
            <w:r>
              <w:rPr>
                <w:rFonts w:hint="eastAsia"/>
              </w:rPr>
              <w:t>18、左右眼识别：自动</w:t>
            </w:r>
          </w:p>
          <w:p>
            <w:pPr>
              <w:numPr>
                <w:ilvl w:val="0"/>
                <w:numId w:val="0"/>
              </w:numPr>
              <w:spacing w:line="360" w:lineRule="auto"/>
              <w:rPr>
                <w:rFonts w:hint="eastAsia"/>
              </w:rPr>
            </w:pPr>
            <w:r>
              <w:rPr>
                <w:rFonts w:hint="eastAsia"/>
              </w:rPr>
              <w:t>19、语言：中文／英文</w:t>
            </w:r>
          </w:p>
          <w:p>
            <w:pPr>
              <w:numPr>
                <w:ilvl w:val="0"/>
                <w:numId w:val="0"/>
              </w:numPr>
              <w:spacing w:line="360" w:lineRule="auto"/>
              <w:rPr>
                <w:rFonts w:hint="eastAsia"/>
              </w:rPr>
            </w:pPr>
            <w:r>
              <w:rPr>
                <w:rFonts w:hint="eastAsia"/>
              </w:rPr>
              <w:t>20、DICOM：支持</w:t>
            </w:r>
          </w:p>
          <w:p>
            <w:pPr>
              <w:numPr>
                <w:ilvl w:val="0"/>
                <w:numId w:val="0"/>
              </w:numPr>
              <w:spacing w:line="360" w:lineRule="auto"/>
              <w:rPr>
                <w:rFonts w:hint="eastAsia"/>
              </w:rPr>
            </w:pPr>
            <w:r>
              <w:rPr>
                <w:rFonts w:hint="eastAsia"/>
              </w:rPr>
              <w:t>21、综合报告：全面呈现各项检查结果。</w:t>
            </w:r>
          </w:p>
          <w:p>
            <w:pPr>
              <w:pStyle w:val="2"/>
              <w:ind w:left="0" w:leftChars="0" w:firstLine="0" w:firstLineChars="0"/>
              <w:rPr>
                <w:rFonts w:hint="eastAsia"/>
                <w:lang w:val="en-US" w:eastAsia="zh-CN"/>
              </w:rPr>
            </w:pPr>
            <w:r>
              <w:rPr>
                <w:rFonts w:hint="eastAsia"/>
                <w:lang w:val="en-US" w:eastAsia="zh-CN"/>
              </w:rPr>
              <w:t>22、配置清单</w:t>
            </w:r>
          </w:p>
          <w:tbl>
            <w:tblPr>
              <w:tblStyle w:val="43"/>
              <w:tblpPr w:leftFromText="180" w:rightFromText="180" w:vertAnchor="text" w:horzAnchor="page" w:tblpXSpec="center" w:tblpY="503"/>
              <w:tblOverlap w:val="never"/>
              <w:tblW w:w="505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2593"/>
              <w:gridCol w:w="176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6" w:hRule="atLeast"/>
                <w:jc w:val="center"/>
              </w:trPr>
              <w:tc>
                <w:tcPr>
                  <w:tcW w:w="698" w:type="dxa"/>
                  <w:tcBorders>
                    <w:top w:val="single" w:color="000000" w:sz="6" w:space="0"/>
                    <w:left w:val="single" w:color="000000" w:sz="6" w:space="0"/>
                    <w:bottom w:val="single" w:color="000000" w:sz="6" w:space="0"/>
                    <w:right w:val="single" w:color="000000" w:sz="6" w:space="0"/>
                  </w:tcBorders>
                </w:tcPr>
                <w:p>
                  <w:pPr>
                    <w:pStyle w:val="202"/>
                    <w:spacing w:before="97"/>
                    <w:ind w:right="91"/>
                    <w:jc w:val="center"/>
                    <w:rPr>
                      <w:rFonts w:hint="eastAsia" w:ascii="宋体" w:hAnsi="宋体" w:eastAsia="宋体" w:cs="宋体"/>
                      <w:b w:val="0"/>
                      <w:bCs/>
                      <w:w w:val="98"/>
                      <w:sz w:val="21"/>
                      <w:szCs w:val="21"/>
                      <w:lang w:val="en-US" w:eastAsia="zh-CN"/>
                    </w:rPr>
                  </w:pPr>
                  <w:r>
                    <w:rPr>
                      <w:rFonts w:hint="eastAsia" w:ascii="宋体" w:hAnsi="宋体" w:eastAsia="宋体" w:cs="宋体"/>
                      <w:b w:val="0"/>
                      <w:bCs/>
                      <w:w w:val="98"/>
                      <w:sz w:val="21"/>
                      <w:szCs w:val="21"/>
                      <w:lang w:val="en-US" w:eastAsia="zh-CN"/>
                    </w:rPr>
                    <w:t>序号</w:t>
                  </w:r>
                </w:p>
              </w:tc>
              <w:tc>
                <w:tcPr>
                  <w:tcW w:w="2593" w:type="dxa"/>
                  <w:tcBorders>
                    <w:top w:val="single" w:color="000000" w:sz="6" w:space="0"/>
                    <w:left w:val="single" w:color="000000" w:sz="6" w:space="0"/>
                    <w:bottom w:val="single" w:color="000000" w:sz="6" w:space="0"/>
                    <w:right w:val="single" w:color="000000" w:sz="6" w:space="0"/>
                  </w:tcBorders>
                </w:tcPr>
                <w:p>
                  <w:pPr>
                    <w:pStyle w:val="202"/>
                    <w:spacing w:before="97"/>
                    <w:ind w:firstLine="210" w:firstLineChars="1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名称</w:t>
                  </w:r>
                </w:p>
              </w:tc>
              <w:tc>
                <w:tcPr>
                  <w:tcW w:w="1767" w:type="dxa"/>
                  <w:tcBorders>
                    <w:top w:val="single" w:color="000000" w:sz="6" w:space="0"/>
                    <w:left w:val="single" w:color="000000" w:sz="6" w:space="0"/>
                    <w:bottom w:val="single" w:color="000000" w:sz="6" w:space="0"/>
                    <w:right w:val="single" w:color="000000" w:sz="6" w:space="0"/>
                  </w:tcBorders>
                </w:tcPr>
                <w:p>
                  <w:pPr>
                    <w:pStyle w:val="202"/>
                    <w:spacing w:before="97"/>
                    <w:ind w:right="91"/>
                    <w:jc w:val="center"/>
                    <w:rPr>
                      <w:rFonts w:hint="eastAsia" w:ascii="宋体" w:hAnsi="宋体" w:eastAsia="宋体" w:cs="宋体"/>
                      <w:w w:val="99"/>
                      <w:sz w:val="21"/>
                      <w:szCs w:val="21"/>
                      <w:lang w:val="en-US" w:eastAsia="zh-CN"/>
                    </w:rPr>
                  </w:pPr>
                  <w:r>
                    <w:rPr>
                      <w:rFonts w:hint="eastAsia" w:ascii="宋体" w:hAnsi="宋体" w:eastAsia="宋体" w:cs="宋体"/>
                      <w:w w:val="99"/>
                      <w:sz w:val="21"/>
                      <w:szCs w:val="21"/>
                      <w:lang w:val="en-US" w:eastAsia="zh-CN"/>
                    </w:rPr>
                    <w:t>数量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6" w:hRule="atLeast"/>
                <w:jc w:val="center"/>
              </w:trPr>
              <w:tc>
                <w:tcPr>
                  <w:tcW w:w="698" w:type="dxa"/>
                  <w:tcBorders>
                    <w:top w:val="single" w:color="000000" w:sz="6" w:space="0"/>
                    <w:left w:val="single" w:color="000000" w:sz="6" w:space="0"/>
                    <w:bottom w:val="single" w:color="000000" w:sz="6" w:space="0"/>
                    <w:right w:val="single" w:color="000000" w:sz="6" w:space="0"/>
                  </w:tcBorders>
                </w:tcPr>
                <w:p>
                  <w:pPr>
                    <w:pStyle w:val="202"/>
                    <w:spacing w:before="97"/>
                    <w:ind w:right="91"/>
                    <w:jc w:val="center"/>
                    <w:rPr>
                      <w:rFonts w:hint="eastAsia" w:ascii="宋体" w:hAnsi="宋体" w:eastAsia="宋体" w:cs="宋体"/>
                      <w:b w:val="0"/>
                      <w:bCs/>
                      <w:sz w:val="21"/>
                      <w:szCs w:val="21"/>
                    </w:rPr>
                  </w:pPr>
                  <w:r>
                    <w:rPr>
                      <w:rFonts w:hint="eastAsia" w:ascii="宋体" w:hAnsi="宋体" w:eastAsia="宋体" w:cs="宋体"/>
                      <w:b w:val="0"/>
                      <w:bCs/>
                      <w:w w:val="98"/>
                      <w:sz w:val="21"/>
                      <w:szCs w:val="21"/>
                    </w:rPr>
                    <w:t>1</w:t>
                  </w:r>
                </w:p>
              </w:tc>
              <w:tc>
                <w:tcPr>
                  <w:tcW w:w="2593" w:type="dxa"/>
                  <w:tcBorders>
                    <w:top w:val="single" w:color="000000" w:sz="6" w:space="0"/>
                    <w:left w:val="single" w:color="000000" w:sz="6" w:space="0"/>
                    <w:bottom w:val="single" w:color="000000" w:sz="6" w:space="0"/>
                    <w:right w:val="single" w:color="000000" w:sz="6" w:space="0"/>
                  </w:tcBorders>
                </w:tcPr>
                <w:p>
                  <w:pPr>
                    <w:pStyle w:val="202"/>
                    <w:spacing w:before="97"/>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电源线</w:t>
                  </w:r>
                </w:p>
              </w:tc>
              <w:tc>
                <w:tcPr>
                  <w:tcW w:w="1767" w:type="dxa"/>
                  <w:tcBorders>
                    <w:top w:val="single" w:color="000000" w:sz="6" w:space="0"/>
                    <w:left w:val="single" w:color="000000" w:sz="6" w:space="0"/>
                    <w:bottom w:val="single" w:color="000000" w:sz="6" w:space="0"/>
                    <w:right w:val="single" w:color="000000" w:sz="6" w:space="0"/>
                  </w:tcBorders>
                </w:tcPr>
                <w:p>
                  <w:pPr>
                    <w:pStyle w:val="202"/>
                    <w:spacing w:before="97"/>
                    <w:ind w:right="91"/>
                    <w:jc w:val="center"/>
                    <w:rPr>
                      <w:rFonts w:hint="eastAsia" w:ascii="宋体" w:hAnsi="宋体" w:eastAsia="宋体" w:cs="宋体"/>
                      <w:sz w:val="21"/>
                      <w:szCs w:val="21"/>
                    </w:rPr>
                  </w:pPr>
                  <w:r>
                    <w:rPr>
                      <w:rFonts w:hint="eastAsia" w:ascii="宋体" w:hAnsi="宋体" w:eastAsia="宋体" w:cs="宋体"/>
                      <w:w w:val="99"/>
                      <w:sz w:val="21"/>
                      <w:szCs w:val="21"/>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6" w:hRule="atLeast"/>
                <w:jc w:val="center"/>
              </w:trPr>
              <w:tc>
                <w:tcPr>
                  <w:tcW w:w="698" w:type="dxa"/>
                  <w:tcBorders>
                    <w:top w:val="single" w:color="000000" w:sz="6" w:space="0"/>
                    <w:left w:val="single" w:color="000000" w:sz="6" w:space="0"/>
                    <w:bottom w:val="single" w:color="000000" w:sz="6" w:space="0"/>
                    <w:right w:val="single" w:color="000000" w:sz="6" w:space="0"/>
                  </w:tcBorders>
                </w:tcPr>
                <w:p>
                  <w:pPr>
                    <w:pStyle w:val="202"/>
                    <w:spacing w:before="97"/>
                    <w:ind w:right="91"/>
                    <w:jc w:val="center"/>
                    <w:rPr>
                      <w:rFonts w:hint="eastAsia" w:ascii="宋体" w:hAnsi="宋体" w:eastAsia="宋体" w:cs="宋体"/>
                      <w:b w:val="0"/>
                      <w:bCs/>
                      <w:sz w:val="21"/>
                      <w:szCs w:val="21"/>
                      <w:lang w:val="en-US"/>
                    </w:rPr>
                  </w:pPr>
                  <w:r>
                    <w:rPr>
                      <w:rFonts w:hint="eastAsia" w:ascii="宋体" w:hAnsi="宋体" w:eastAsia="宋体" w:cs="宋体"/>
                      <w:b w:val="0"/>
                      <w:bCs/>
                      <w:sz w:val="21"/>
                      <w:szCs w:val="21"/>
                      <w:lang w:val="en-US"/>
                    </w:rPr>
                    <w:t>2</w:t>
                  </w:r>
                </w:p>
              </w:tc>
              <w:tc>
                <w:tcPr>
                  <w:tcW w:w="2593" w:type="dxa"/>
                  <w:tcBorders>
                    <w:top w:val="single" w:color="000000" w:sz="6" w:space="0"/>
                    <w:left w:val="single" w:color="000000" w:sz="6" w:space="0"/>
                    <w:bottom w:val="single" w:color="000000" w:sz="6" w:space="0"/>
                    <w:right w:val="single" w:color="000000" w:sz="6" w:space="0"/>
                  </w:tcBorders>
                </w:tcPr>
                <w:p>
                  <w:pPr>
                    <w:pStyle w:val="202"/>
                    <w:spacing w:before="111"/>
                    <w:jc w:val="center"/>
                    <w:rPr>
                      <w:rFonts w:hint="eastAsia" w:ascii="宋体" w:hAnsi="宋体" w:eastAsia="宋体" w:cs="宋体"/>
                      <w:sz w:val="21"/>
                      <w:szCs w:val="21"/>
                    </w:rPr>
                  </w:pPr>
                  <w:r>
                    <w:rPr>
                      <w:rFonts w:hint="eastAsia" w:ascii="宋体" w:hAnsi="宋体" w:eastAsia="宋体" w:cs="宋体"/>
                      <w:sz w:val="21"/>
                      <w:szCs w:val="21"/>
                    </w:rPr>
                    <w:t>模拟眼（R8）</w:t>
                  </w:r>
                </w:p>
              </w:tc>
              <w:tc>
                <w:tcPr>
                  <w:tcW w:w="1767" w:type="dxa"/>
                  <w:tcBorders>
                    <w:top w:val="single" w:color="000000" w:sz="6" w:space="0"/>
                    <w:left w:val="single" w:color="000000" w:sz="6" w:space="0"/>
                    <w:bottom w:val="single" w:color="000000" w:sz="6" w:space="0"/>
                    <w:right w:val="single" w:color="000000" w:sz="6" w:space="0"/>
                  </w:tcBorders>
                </w:tcPr>
                <w:p>
                  <w:pPr>
                    <w:pStyle w:val="202"/>
                    <w:spacing w:before="97"/>
                    <w:ind w:right="91"/>
                    <w:jc w:val="center"/>
                    <w:rPr>
                      <w:rFonts w:hint="eastAsia" w:ascii="宋体" w:hAnsi="宋体" w:eastAsia="宋体" w:cs="宋体"/>
                      <w:sz w:val="21"/>
                      <w:szCs w:val="21"/>
                    </w:rPr>
                  </w:pPr>
                  <w:r>
                    <w:rPr>
                      <w:rFonts w:hint="eastAsia" w:ascii="宋体" w:hAnsi="宋体" w:eastAsia="宋体" w:cs="宋体"/>
                      <w:w w:val="99"/>
                      <w:sz w:val="21"/>
                      <w:szCs w:val="21"/>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3" w:hRule="atLeast"/>
                <w:jc w:val="center"/>
              </w:trPr>
              <w:tc>
                <w:tcPr>
                  <w:tcW w:w="698" w:type="dxa"/>
                  <w:tcBorders>
                    <w:top w:val="single" w:color="000000" w:sz="6" w:space="0"/>
                    <w:left w:val="single" w:color="000000" w:sz="6" w:space="0"/>
                    <w:bottom w:val="single" w:color="000000" w:sz="6" w:space="0"/>
                    <w:right w:val="single" w:color="000000" w:sz="6" w:space="0"/>
                  </w:tcBorders>
                </w:tcPr>
                <w:p>
                  <w:pPr>
                    <w:pStyle w:val="202"/>
                    <w:spacing w:before="97"/>
                    <w:ind w:right="91"/>
                    <w:jc w:val="center"/>
                    <w:rPr>
                      <w:rFonts w:hint="eastAsia" w:ascii="宋体" w:hAnsi="宋体" w:eastAsia="宋体" w:cs="宋体"/>
                      <w:b w:val="0"/>
                      <w:bCs/>
                      <w:sz w:val="21"/>
                      <w:szCs w:val="21"/>
                      <w:lang w:val="en-US"/>
                    </w:rPr>
                  </w:pPr>
                  <w:r>
                    <w:rPr>
                      <w:rFonts w:hint="eastAsia" w:ascii="宋体" w:hAnsi="宋体" w:eastAsia="宋体" w:cs="宋体"/>
                      <w:b w:val="0"/>
                      <w:bCs/>
                      <w:sz w:val="21"/>
                      <w:szCs w:val="21"/>
                      <w:lang w:val="en-US"/>
                    </w:rPr>
                    <w:t>3</w:t>
                  </w:r>
                </w:p>
              </w:tc>
              <w:tc>
                <w:tcPr>
                  <w:tcW w:w="2593" w:type="dxa"/>
                  <w:tcBorders>
                    <w:top w:val="single" w:color="000000" w:sz="6" w:space="0"/>
                    <w:left w:val="single" w:color="000000" w:sz="6" w:space="0"/>
                    <w:bottom w:val="single" w:color="000000" w:sz="6" w:space="0"/>
                    <w:right w:val="single" w:color="000000" w:sz="6" w:space="0"/>
                  </w:tcBorders>
                </w:tcPr>
                <w:p>
                  <w:pPr>
                    <w:pStyle w:val="202"/>
                    <w:spacing w:before="97"/>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仪器防尘罩</w:t>
                  </w:r>
                </w:p>
              </w:tc>
              <w:tc>
                <w:tcPr>
                  <w:tcW w:w="1767" w:type="dxa"/>
                  <w:tcBorders>
                    <w:top w:val="single" w:color="000000" w:sz="6" w:space="0"/>
                    <w:left w:val="single" w:color="000000" w:sz="6" w:space="0"/>
                    <w:bottom w:val="single" w:color="000000" w:sz="6" w:space="0"/>
                    <w:right w:val="single" w:color="000000" w:sz="6" w:space="0"/>
                  </w:tcBorders>
                </w:tcPr>
                <w:p>
                  <w:pPr>
                    <w:pStyle w:val="202"/>
                    <w:spacing w:before="97"/>
                    <w:ind w:right="91"/>
                    <w:jc w:val="center"/>
                    <w:rPr>
                      <w:rFonts w:hint="eastAsia" w:ascii="宋体" w:hAnsi="宋体" w:eastAsia="宋体" w:cs="宋体"/>
                      <w:sz w:val="21"/>
                      <w:szCs w:val="21"/>
                    </w:rPr>
                  </w:pPr>
                  <w:r>
                    <w:rPr>
                      <w:rFonts w:hint="eastAsia" w:ascii="宋体" w:hAnsi="宋体" w:eastAsia="宋体" w:cs="宋体"/>
                      <w:w w:val="99"/>
                      <w:sz w:val="21"/>
                      <w:szCs w:val="21"/>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3" w:hRule="atLeast"/>
                <w:jc w:val="center"/>
              </w:trPr>
              <w:tc>
                <w:tcPr>
                  <w:tcW w:w="698" w:type="dxa"/>
                  <w:tcBorders>
                    <w:top w:val="single" w:color="000000" w:sz="6" w:space="0"/>
                    <w:left w:val="single" w:color="000000" w:sz="6" w:space="0"/>
                    <w:bottom w:val="single" w:color="000000" w:sz="6" w:space="0"/>
                    <w:right w:val="single" w:color="000000" w:sz="6" w:space="0"/>
                  </w:tcBorders>
                </w:tcPr>
                <w:p>
                  <w:pPr>
                    <w:pStyle w:val="202"/>
                    <w:spacing w:before="95"/>
                    <w:ind w:right="91"/>
                    <w:jc w:val="center"/>
                    <w:rPr>
                      <w:rFonts w:hint="eastAsia" w:ascii="宋体" w:hAnsi="宋体" w:eastAsia="宋体" w:cs="宋体"/>
                      <w:b w:val="0"/>
                      <w:bCs/>
                      <w:sz w:val="21"/>
                      <w:szCs w:val="21"/>
                      <w:lang w:val="en-US"/>
                    </w:rPr>
                  </w:pPr>
                  <w:r>
                    <w:rPr>
                      <w:rFonts w:hint="eastAsia" w:ascii="宋体" w:hAnsi="宋体" w:eastAsia="宋体" w:cs="宋体"/>
                      <w:b w:val="0"/>
                      <w:bCs/>
                      <w:sz w:val="21"/>
                      <w:szCs w:val="21"/>
                      <w:lang w:val="en-US"/>
                    </w:rPr>
                    <w:t>4</w:t>
                  </w:r>
                </w:p>
              </w:tc>
              <w:tc>
                <w:tcPr>
                  <w:tcW w:w="2593" w:type="dxa"/>
                  <w:tcBorders>
                    <w:top w:val="single" w:color="000000" w:sz="6" w:space="0"/>
                    <w:left w:val="single" w:color="000000" w:sz="6" w:space="0"/>
                    <w:bottom w:val="single" w:color="000000" w:sz="6" w:space="0"/>
                    <w:right w:val="single" w:color="000000" w:sz="6" w:space="0"/>
                  </w:tcBorders>
                </w:tcPr>
                <w:p>
                  <w:pPr>
                    <w:pStyle w:val="202"/>
                    <w:spacing w:before="95"/>
                    <w:ind w:left="168"/>
                    <w:jc w:val="center"/>
                    <w:rPr>
                      <w:rFonts w:hint="eastAsia" w:ascii="宋体" w:hAnsi="宋体" w:eastAsia="宋体" w:cs="宋体"/>
                      <w:sz w:val="21"/>
                      <w:szCs w:val="21"/>
                    </w:rPr>
                  </w:pPr>
                  <w:r>
                    <w:rPr>
                      <w:rFonts w:hint="eastAsia" w:ascii="宋体" w:hAnsi="宋体" w:eastAsia="宋体" w:cs="宋体"/>
                      <w:sz w:val="21"/>
                      <w:szCs w:val="21"/>
                    </w:rPr>
                    <w:t>角膜地形图仪主机</w:t>
                  </w:r>
                </w:p>
              </w:tc>
              <w:tc>
                <w:tcPr>
                  <w:tcW w:w="1767" w:type="dxa"/>
                  <w:tcBorders>
                    <w:top w:val="single" w:color="000000" w:sz="6" w:space="0"/>
                    <w:left w:val="single" w:color="000000" w:sz="6" w:space="0"/>
                    <w:bottom w:val="single" w:color="000000" w:sz="6" w:space="0"/>
                    <w:right w:val="single" w:color="000000" w:sz="6" w:space="0"/>
                  </w:tcBorders>
                </w:tcPr>
                <w:p>
                  <w:pPr>
                    <w:pStyle w:val="202"/>
                    <w:spacing w:before="95"/>
                    <w:ind w:right="91"/>
                    <w:jc w:val="center"/>
                    <w:rPr>
                      <w:rFonts w:hint="eastAsia" w:ascii="宋体" w:hAnsi="宋体" w:eastAsia="宋体" w:cs="宋体"/>
                      <w:sz w:val="21"/>
                      <w:szCs w:val="21"/>
                    </w:rPr>
                  </w:pPr>
                  <w:r>
                    <w:rPr>
                      <w:rFonts w:hint="eastAsia" w:ascii="宋体" w:hAnsi="宋体" w:eastAsia="宋体" w:cs="宋体"/>
                      <w:w w:val="99"/>
                      <w:sz w:val="21"/>
                      <w:szCs w:val="21"/>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jc w:val="center"/>
              </w:trPr>
              <w:tc>
                <w:tcPr>
                  <w:tcW w:w="698" w:type="dxa"/>
                  <w:tcBorders>
                    <w:top w:val="single" w:color="000000" w:sz="6" w:space="0"/>
                    <w:left w:val="single" w:color="000000" w:sz="6" w:space="0"/>
                    <w:bottom w:val="single" w:color="000000" w:sz="6" w:space="0"/>
                    <w:right w:val="single" w:color="000000" w:sz="6" w:space="0"/>
                  </w:tcBorders>
                </w:tcPr>
                <w:p>
                  <w:pPr>
                    <w:pStyle w:val="202"/>
                    <w:spacing w:before="97"/>
                    <w:ind w:right="91"/>
                    <w:jc w:val="center"/>
                    <w:rPr>
                      <w:rFonts w:hint="eastAsia" w:ascii="宋体" w:hAnsi="宋体" w:eastAsia="宋体" w:cs="宋体"/>
                      <w:b w:val="0"/>
                      <w:bCs/>
                      <w:sz w:val="21"/>
                      <w:szCs w:val="21"/>
                      <w:lang w:val="en-US"/>
                    </w:rPr>
                  </w:pPr>
                  <w:r>
                    <w:rPr>
                      <w:rFonts w:hint="eastAsia" w:ascii="宋体" w:hAnsi="宋体" w:eastAsia="宋体" w:cs="宋体"/>
                      <w:b w:val="0"/>
                      <w:bCs/>
                      <w:sz w:val="21"/>
                      <w:szCs w:val="21"/>
                      <w:lang w:val="en-US"/>
                    </w:rPr>
                    <w:t>5</w:t>
                  </w:r>
                </w:p>
              </w:tc>
              <w:tc>
                <w:tcPr>
                  <w:tcW w:w="2593" w:type="dxa"/>
                  <w:tcBorders>
                    <w:top w:val="single" w:color="000000" w:sz="6" w:space="0"/>
                    <w:left w:val="single" w:color="000000" w:sz="6" w:space="0"/>
                    <w:bottom w:val="single" w:color="000000" w:sz="6" w:space="0"/>
                    <w:right w:val="single" w:color="000000" w:sz="6" w:space="0"/>
                  </w:tcBorders>
                </w:tcPr>
                <w:p>
                  <w:pPr>
                    <w:pStyle w:val="202"/>
                    <w:spacing w:before="97"/>
                    <w:jc w:val="center"/>
                    <w:rPr>
                      <w:rFonts w:hint="eastAsia" w:ascii="宋体" w:hAnsi="宋体" w:eastAsia="宋体" w:cs="宋体"/>
                      <w:sz w:val="21"/>
                      <w:szCs w:val="21"/>
                    </w:rPr>
                  </w:pPr>
                  <w:r>
                    <w:rPr>
                      <w:rFonts w:hint="eastAsia" w:ascii="宋体" w:hAnsi="宋体" w:eastAsia="宋体" w:cs="宋体"/>
                      <w:sz w:val="21"/>
                      <w:szCs w:val="21"/>
                    </w:rPr>
                    <w:t>电动仪器台</w:t>
                  </w:r>
                </w:p>
              </w:tc>
              <w:tc>
                <w:tcPr>
                  <w:tcW w:w="1767" w:type="dxa"/>
                  <w:tcBorders>
                    <w:top w:val="single" w:color="000000" w:sz="6" w:space="0"/>
                    <w:left w:val="single" w:color="000000" w:sz="6" w:space="0"/>
                    <w:bottom w:val="single" w:color="000000" w:sz="6" w:space="0"/>
                    <w:right w:val="single" w:color="000000" w:sz="6" w:space="0"/>
                  </w:tcBorders>
                </w:tcPr>
                <w:p>
                  <w:pPr>
                    <w:pStyle w:val="202"/>
                    <w:spacing w:before="97"/>
                    <w:ind w:right="91"/>
                    <w:jc w:val="center"/>
                    <w:rPr>
                      <w:rFonts w:hint="eastAsia" w:ascii="宋体" w:hAnsi="宋体" w:eastAsia="宋体" w:cs="宋体"/>
                      <w:sz w:val="21"/>
                      <w:szCs w:val="21"/>
                    </w:rPr>
                  </w:pPr>
                  <w:r>
                    <w:rPr>
                      <w:rFonts w:hint="eastAsia" w:ascii="宋体" w:hAnsi="宋体" w:eastAsia="宋体" w:cs="宋体"/>
                      <w:w w:val="99"/>
                      <w:sz w:val="21"/>
                      <w:szCs w:val="21"/>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jc w:val="center"/>
              </w:trPr>
              <w:tc>
                <w:tcPr>
                  <w:tcW w:w="698" w:type="dxa"/>
                  <w:tcBorders>
                    <w:top w:val="single" w:color="000000" w:sz="6" w:space="0"/>
                    <w:left w:val="single" w:color="000000" w:sz="6" w:space="0"/>
                    <w:bottom w:val="single" w:color="000000" w:sz="6" w:space="0"/>
                    <w:right w:val="single" w:color="000000" w:sz="6" w:space="0"/>
                  </w:tcBorders>
                </w:tcPr>
                <w:p>
                  <w:pPr>
                    <w:pStyle w:val="202"/>
                    <w:spacing w:before="97"/>
                    <w:ind w:right="91"/>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6</w:t>
                  </w:r>
                </w:p>
              </w:tc>
              <w:tc>
                <w:tcPr>
                  <w:tcW w:w="2593" w:type="dxa"/>
                  <w:tcBorders>
                    <w:top w:val="single" w:color="000000" w:sz="6" w:space="0"/>
                    <w:left w:val="single" w:color="000000" w:sz="6" w:space="0"/>
                    <w:bottom w:val="single" w:color="000000" w:sz="6" w:space="0"/>
                    <w:right w:val="single" w:color="000000" w:sz="6" w:space="0"/>
                  </w:tcBorders>
                </w:tcPr>
                <w:p>
                  <w:pPr>
                    <w:pStyle w:val="202"/>
                    <w:spacing w:before="97"/>
                    <w:jc w:val="center"/>
                    <w:rPr>
                      <w:rFonts w:hint="eastAsia" w:ascii="宋体" w:hAnsi="宋体" w:eastAsia="宋体" w:cs="宋体"/>
                      <w:sz w:val="21"/>
                      <w:szCs w:val="21"/>
                      <w:lang w:val="en-US"/>
                    </w:rPr>
                  </w:pPr>
                  <w:r>
                    <w:rPr>
                      <w:rFonts w:hint="eastAsia" w:ascii="宋体" w:hAnsi="宋体" w:eastAsia="宋体" w:cs="宋体"/>
                      <w:sz w:val="21"/>
                      <w:szCs w:val="21"/>
                    </w:rPr>
                    <w:t>产品标签</w:t>
                  </w:r>
                </w:p>
              </w:tc>
              <w:tc>
                <w:tcPr>
                  <w:tcW w:w="1767" w:type="dxa"/>
                  <w:tcBorders>
                    <w:top w:val="single" w:color="000000" w:sz="6" w:space="0"/>
                    <w:left w:val="single" w:color="000000" w:sz="6" w:space="0"/>
                    <w:bottom w:val="single" w:color="000000" w:sz="6" w:space="0"/>
                    <w:right w:val="single" w:color="000000" w:sz="6" w:space="0"/>
                  </w:tcBorders>
                </w:tcPr>
                <w:p>
                  <w:pPr>
                    <w:pStyle w:val="202"/>
                    <w:spacing w:before="97"/>
                    <w:ind w:right="91"/>
                    <w:jc w:val="center"/>
                    <w:rPr>
                      <w:rFonts w:hint="eastAsia" w:ascii="宋体" w:hAnsi="宋体" w:eastAsia="宋体" w:cs="宋体"/>
                      <w:sz w:val="21"/>
                      <w:szCs w:val="21"/>
                    </w:rPr>
                  </w:pPr>
                  <w:r>
                    <w:rPr>
                      <w:rFonts w:hint="eastAsia" w:ascii="宋体" w:hAnsi="宋体" w:eastAsia="宋体" w:cs="宋体"/>
                      <w:w w:val="99"/>
                      <w:sz w:val="21"/>
                      <w:szCs w:val="21"/>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6" w:hRule="atLeast"/>
                <w:jc w:val="center"/>
              </w:trPr>
              <w:tc>
                <w:tcPr>
                  <w:tcW w:w="698" w:type="dxa"/>
                  <w:tcBorders>
                    <w:top w:val="single" w:color="000000" w:sz="6" w:space="0"/>
                    <w:left w:val="single" w:color="000000" w:sz="6" w:space="0"/>
                    <w:bottom w:val="single" w:color="000000" w:sz="6" w:space="0"/>
                    <w:right w:val="single" w:color="000000" w:sz="6" w:space="0"/>
                  </w:tcBorders>
                </w:tcPr>
                <w:p>
                  <w:pPr>
                    <w:pStyle w:val="202"/>
                    <w:spacing w:before="97"/>
                    <w:ind w:left="81" w:right="169"/>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7</w:t>
                  </w:r>
                </w:p>
              </w:tc>
              <w:tc>
                <w:tcPr>
                  <w:tcW w:w="2593" w:type="dxa"/>
                  <w:tcBorders>
                    <w:top w:val="single" w:color="000000" w:sz="6" w:space="0"/>
                    <w:left w:val="single" w:color="000000" w:sz="6" w:space="0"/>
                    <w:bottom w:val="single" w:color="000000" w:sz="6" w:space="0"/>
                    <w:right w:val="single" w:color="000000" w:sz="6" w:space="0"/>
                  </w:tcBorders>
                </w:tcPr>
                <w:p>
                  <w:pPr>
                    <w:pStyle w:val="202"/>
                    <w:spacing w:before="97"/>
                    <w:ind w:left="168"/>
                    <w:jc w:val="center"/>
                    <w:rPr>
                      <w:rFonts w:hint="eastAsia" w:ascii="宋体" w:hAnsi="宋体" w:eastAsia="宋体" w:cs="宋体"/>
                      <w:sz w:val="21"/>
                      <w:szCs w:val="21"/>
                    </w:rPr>
                  </w:pPr>
                  <w:r>
                    <w:rPr>
                      <w:rFonts w:hint="eastAsia" w:ascii="宋体" w:hAnsi="宋体" w:eastAsia="宋体" w:cs="宋体"/>
                      <w:sz w:val="21"/>
                      <w:szCs w:val="21"/>
                    </w:rPr>
                    <w:t>外包装标签</w:t>
                  </w:r>
                </w:p>
              </w:tc>
              <w:tc>
                <w:tcPr>
                  <w:tcW w:w="1767" w:type="dxa"/>
                  <w:tcBorders>
                    <w:top w:val="single" w:color="000000" w:sz="6" w:space="0"/>
                    <w:left w:val="single" w:color="000000" w:sz="6" w:space="0"/>
                    <w:bottom w:val="single" w:color="000000" w:sz="6" w:space="0"/>
                    <w:right w:val="single" w:color="000000" w:sz="6" w:space="0"/>
                  </w:tcBorders>
                </w:tcPr>
                <w:p>
                  <w:pPr>
                    <w:pStyle w:val="202"/>
                    <w:spacing w:before="97"/>
                    <w:ind w:right="91"/>
                    <w:jc w:val="center"/>
                    <w:rPr>
                      <w:rFonts w:hint="eastAsia" w:ascii="宋体" w:hAnsi="宋体" w:eastAsia="宋体" w:cs="宋体"/>
                      <w:sz w:val="21"/>
                      <w:szCs w:val="21"/>
                    </w:rPr>
                  </w:pPr>
                  <w:r>
                    <w:rPr>
                      <w:rFonts w:hint="eastAsia" w:ascii="宋体" w:hAnsi="宋体" w:eastAsia="宋体" w:cs="宋体"/>
                      <w:w w:val="99"/>
                      <w:sz w:val="21"/>
                      <w:szCs w:val="21"/>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3" w:hRule="atLeast"/>
                <w:jc w:val="center"/>
              </w:trPr>
              <w:tc>
                <w:tcPr>
                  <w:tcW w:w="698" w:type="dxa"/>
                  <w:tcBorders>
                    <w:top w:val="single" w:color="000000" w:sz="6" w:space="0"/>
                    <w:left w:val="single" w:color="000000" w:sz="6" w:space="0"/>
                    <w:bottom w:val="single" w:color="000000" w:sz="6" w:space="0"/>
                    <w:right w:val="single" w:color="000000" w:sz="6" w:space="0"/>
                  </w:tcBorders>
                </w:tcPr>
                <w:p>
                  <w:pPr>
                    <w:pStyle w:val="202"/>
                    <w:spacing w:before="95"/>
                    <w:ind w:left="81" w:right="169"/>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8</w:t>
                  </w:r>
                </w:p>
              </w:tc>
              <w:tc>
                <w:tcPr>
                  <w:tcW w:w="2593" w:type="dxa"/>
                  <w:tcBorders>
                    <w:top w:val="single" w:color="000000" w:sz="6" w:space="0"/>
                    <w:left w:val="single" w:color="000000" w:sz="6" w:space="0"/>
                    <w:bottom w:val="single" w:color="000000" w:sz="6" w:space="0"/>
                    <w:right w:val="single" w:color="000000" w:sz="6" w:space="0"/>
                  </w:tcBorders>
                </w:tcPr>
                <w:p>
                  <w:pPr>
                    <w:pStyle w:val="202"/>
                    <w:spacing w:before="95"/>
                    <w:ind w:left="168"/>
                    <w:jc w:val="center"/>
                    <w:rPr>
                      <w:rFonts w:hint="eastAsia" w:ascii="宋体" w:hAnsi="宋体" w:eastAsia="宋体" w:cs="宋体"/>
                      <w:sz w:val="21"/>
                      <w:szCs w:val="21"/>
                    </w:rPr>
                  </w:pPr>
                  <w:r>
                    <w:rPr>
                      <w:rFonts w:hint="eastAsia" w:ascii="宋体" w:hAnsi="宋体" w:eastAsia="宋体" w:cs="宋体"/>
                      <w:sz w:val="21"/>
                      <w:szCs w:val="21"/>
                    </w:rPr>
                    <w:t>颚托纸</w:t>
                  </w:r>
                </w:p>
              </w:tc>
              <w:tc>
                <w:tcPr>
                  <w:tcW w:w="1767" w:type="dxa"/>
                  <w:tcBorders>
                    <w:top w:val="single" w:color="000000" w:sz="6" w:space="0"/>
                    <w:left w:val="single" w:color="000000" w:sz="6" w:space="0"/>
                    <w:bottom w:val="single" w:color="000000" w:sz="6" w:space="0"/>
                    <w:right w:val="single" w:color="000000" w:sz="6" w:space="0"/>
                  </w:tcBorders>
                </w:tcPr>
                <w:p>
                  <w:pPr>
                    <w:pStyle w:val="202"/>
                    <w:spacing w:before="95"/>
                    <w:ind w:right="91"/>
                    <w:jc w:val="center"/>
                    <w:rPr>
                      <w:rFonts w:hint="eastAsia" w:ascii="宋体" w:hAnsi="宋体" w:eastAsia="宋体" w:cs="宋体"/>
                      <w:sz w:val="21"/>
                      <w:szCs w:val="21"/>
                    </w:rPr>
                  </w:pPr>
                  <w:r>
                    <w:rPr>
                      <w:rFonts w:hint="eastAsia" w:ascii="宋体" w:hAnsi="宋体" w:eastAsia="宋体" w:cs="宋体"/>
                      <w:w w:val="99"/>
                      <w:sz w:val="21"/>
                      <w:szCs w:val="21"/>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jc w:val="center"/>
              </w:trPr>
              <w:tc>
                <w:tcPr>
                  <w:tcW w:w="698" w:type="dxa"/>
                  <w:tcBorders>
                    <w:top w:val="single" w:color="000000" w:sz="6" w:space="0"/>
                    <w:left w:val="single" w:color="000000" w:sz="6" w:space="0"/>
                    <w:bottom w:val="single" w:color="000000" w:sz="6" w:space="0"/>
                    <w:right w:val="single" w:color="000000" w:sz="6" w:space="0"/>
                  </w:tcBorders>
                </w:tcPr>
                <w:p>
                  <w:pPr>
                    <w:pStyle w:val="202"/>
                    <w:spacing w:before="97"/>
                    <w:ind w:left="81" w:right="169"/>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9</w:t>
                  </w:r>
                </w:p>
              </w:tc>
              <w:tc>
                <w:tcPr>
                  <w:tcW w:w="2593" w:type="dxa"/>
                  <w:tcBorders>
                    <w:top w:val="single" w:color="000000" w:sz="6" w:space="0"/>
                    <w:left w:val="single" w:color="000000" w:sz="6" w:space="0"/>
                    <w:bottom w:val="single" w:color="000000" w:sz="6" w:space="0"/>
                    <w:right w:val="single" w:color="000000" w:sz="6" w:space="0"/>
                  </w:tcBorders>
                </w:tcPr>
                <w:p>
                  <w:pPr>
                    <w:pStyle w:val="202"/>
                    <w:spacing w:before="97"/>
                    <w:ind w:left="168"/>
                    <w:jc w:val="center"/>
                    <w:rPr>
                      <w:rFonts w:hint="eastAsia" w:ascii="宋体" w:hAnsi="宋体" w:eastAsia="宋体" w:cs="宋体"/>
                      <w:sz w:val="21"/>
                      <w:szCs w:val="21"/>
                    </w:rPr>
                  </w:pPr>
                  <w:r>
                    <w:rPr>
                      <w:rFonts w:hint="eastAsia" w:ascii="宋体" w:hAnsi="宋体" w:eastAsia="宋体" w:cs="宋体"/>
                      <w:sz w:val="21"/>
                      <w:szCs w:val="21"/>
                    </w:rPr>
                    <w:t>颚托限重标签</w:t>
                  </w:r>
                </w:p>
              </w:tc>
              <w:tc>
                <w:tcPr>
                  <w:tcW w:w="1767" w:type="dxa"/>
                  <w:tcBorders>
                    <w:top w:val="single" w:color="000000" w:sz="6" w:space="0"/>
                    <w:left w:val="single" w:color="000000" w:sz="6" w:space="0"/>
                    <w:bottom w:val="single" w:color="000000" w:sz="6" w:space="0"/>
                    <w:right w:val="single" w:color="000000" w:sz="6" w:space="0"/>
                  </w:tcBorders>
                </w:tcPr>
                <w:p>
                  <w:pPr>
                    <w:pStyle w:val="202"/>
                    <w:spacing w:before="110"/>
                    <w:ind w:right="91"/>
                    <w:jc w:val="center"/>
                    <w:rPr>
                      <w:rFonts w:hint="eastAsia" w:ascii="宋体" w:hAnsi="宋体" w:eastAsia="宋体" w:cs="宋体"/>
                      <w:sz w:val="21"/>
                      <w:szCs w:val="21"/>
                    </w:rPr>
                  </w:pPr>
                  <w:r>
                    <w:rPr>
                      <w:rFonts w:hint="eastAsia" w:ascii="宋体" w:hAnsi="宋体" w:eastAsia="宋体" w:cs="宋体"/>
                      <w:w w:val="99"/>
                      <w:sz w:val="21"/>
                      <w:szCs w:val="21"/>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jc w:val="center"/>
              </w:trPr>
              <w:tc>
                <w:tcPr>
                  <w:tcW w:w="698" w:type="dxa"/>
                  <w:tcBorders>
                    <w:top w:val="single" w:color="000000" w:sz="6" w:space="0"/>
                    <w:left w:val="single" w:color="000000" w:sz="6" w:space="0"/>
                    <w:bottom w:val="single" w:color="000000" w:sz="6" w:space="0"/>
                    <w:right w:val="single" w:color="000000" w:sz="6" w:space="0"/>
                  </w:tcBorders>
                </w:tcPr>
                <w:p>
                  <w:pPr>
                    <w:pStyle w:val="202"/>
                    <w:spacing w:before="97"/>
                    <w:ind w:left="81" w:right="169"/>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10</w:t>
                  </w:r>
                </w:p>
              </w:tc>
              <w:tc>
                <w:tcPr>
                  <w:tcW w:w="2593" w:type="dxa"/>
                  <w:tcBorders>
                    <w:top w:val="single" w:color="000000" w:sz="6" w:space="0"/>
                    <w:left w:val="single" w:color="000000" w:sz="6" w:space="0"/>
                    <w:bottom w:val="single" w:color="000000" w:sz="6" w:space="0"/>
                    <w:right w:val="single" w:color="000000" w:sz="6" w:space="0"/>
                  </w:tcBorders>
                </w:tcPr>
                <w:p>
                  <w:pPr>
                    <w:pStyle w:val="202"/>
                    <w:spacing w:before="97"/>
                    <w:ind w:left="168"/>
                    <w:jc w:val="center"/>
                    <w:rPr>
                      <w:rFonts w:hint="eastAsia" w:ascii="宋体" w:hAnsi="宋体" w:eastAsia="宋体" w:cs="宋体"/>
                      <w:sz w:val="21"/>
                      <w:szCs w:val="21"/>
                    </w:rPr>
                  </w:pPr>
                  <w:r>
                    <w:rPr>
                      <w:rFonts w:hint="eastAsia" w:ascii="宋体" w:hAnsi="宋体" w:eastAsia="宋体" w:cs="宋体"/>
                      <w:sz w:val="21"/>
                      <w:szCs w:val="21"/>
                    </w:rPr>
                    <w:t>使用说明书</w:t>
                  </w:r>
                </w:p>
              </w:tc>
              <w:tc>
                <w:tcPr>
                  <w:tcW w:w="1767" w:type="dxa"/>
                  <w:tcBorders>
                    <w:top w:val="single" w:color="000000" w:sz="6" w:space="0"/>
                    <w:left w:val="single" w:color="000000" w:sz="6" w:space="0"/>
                    <w:bottom w:val="single" w:color="000000" w:sz="6" w:space="0"/>
                    <w:right w:val="single" w:color="000000" w:sz="6" w:space="0"/>
                  </w:tcBorders>
                </w:tcPr>
                <w:p>
                  <w:pPr>
                    <w:pStyle w:val="202"/>
                    <w:spacing w:before="110"/>
                    <w:ind w:right="91"/>
                    <w:jc w:val="center"/>
                    <w:rPr>
                      <w:rFonts w:hint="eastAsia" w:ascii="宋体" w:hAnsi="宋体" w:eastAsia="宋体" w:cs="宋体"/>
                      <w:w w:val="99"/>
                      <w:sz w:val="21"/>
                      <w:szCs w:val="21"/>
                      <w:lang w:val="en-US"/>
                    </w:rPr>
                  </w:pPr>
                  <w:r>
                    <w:rPr>
                      <w:rFonts w:hint="eastAsia" w:ascii="宋体" w:hAnsi="宋体" w:eastAsia="宋体" w:cs="宋体"/>
                      <w:w w:val="99"/>
                      <w:sz w:val="21"/>
                      <w:szCs w:val="21"/>
                      <w:lang w:val="en-US"/>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6" w:hRule="atLeast"/>
                <w:jc w:val="center"/>
              </w:trPr>
              <w:tc>
                <w:tcPr>
                  <w:tcW w:w="698" w:type="dxa"/>
                  <w:tcBorders>
                    <w:top w:val="single" w:color="000000" w:sz="6" w:space="0"/>
                    <w:left w:val="single" w:color="000000" w:sz="6" w:space="0"/>
                    <w:bottom w:val="single" w:color="000000" w:sz="6" w:space="0"/>
                    <w:right w:val="single" w:color="000000" w:sz="6" w:space="0"/>
                  </w:tcBorders>
                </w:tcPr>
                <w:p>
                  <w:pPr>
                    <w:pStyle w:val="202"/>
                    <w:spacing w:before="97"/>
                    <w:ind w:left="81" w:right="169"/>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1</w:t>
                  </w:r>
                  <w:r>
                    <w:rPr>
                      <w:rFonts w:hint="eastAsia" w:ascii="宋体" w:hAnsi="宋体" w:cs="宋体"/>
                      <w:b w:val="0"/>
                      <w:bCs/>
                      <w:sz w:val="21"/>
                      <w:szCs w:val="21"/>
                      <w:lang w:val="en-US" w:eastAsia="zh-CN"/>
                    </w:rPr>
                    <w:t>1</w:t>
                  </w:r>
                </w:p>
              </w:tc>
              <w:tc>
                <w:tcPr>
                  <w:tcW w:w="2593" w:type="dxa"/>
                  <w:tcBorders>
                    <w:top w:val="single" w:color="000000" w:sz="6" w:space="0"/>
                    <w:left w:val="single" w:color="000000" w:sz="6" w:space="0"/>
                    <w:bottom w:val="single" w:color="000000" w:sz="6" w:space="0"/>
                    <w:right w:val="single" w:color="000000" w:sz="6" w:space="0"/>
                  </w:tcBorders>
                </w:tcPr>
                <w:p>
                  <w:pPr>
                    <w:pStyle w:val="202"/>
                    <w:spacing w:before="97"/>
                    <w:ind w:left="168"/>
                    <w:jc w:val="center"/>
                    <w:rPr>
                      <w:rFonts w:hint="eastAsia" w:ascii="宋体" w:hAnsi="宋体" w:eastAsia="宋体" w:cs="宋体"/>
                      <w:sz w:val="21"/>
                      <w:szCs w:val="21"/>
                    </w:rPr>
                  </w:pPr>
                  <w:r>
                    <w:rPr>
                      <w:rFonts w:hint="eastAsia" w:ascii="宋体" w:hAnsi="宋体" w:eastAsia="宋体" w:cs="宋体"/>
                      <w:sz w:val="21"/>
                      <w:szCs w:val="21"/>
                    </w:rPr>
                    <w:t>产品合格证</w:t>
                  </w:r>
                </w:p>
              </w:tc>
              <w:tc>
                <w:tcPr>
                  <w:tcW w:w="1767" w:type="dxa"/>
                  <w:tcBorders>
                    <w:top w:val="single" w:color="000000" w:sz="6" w:space="0"/>
                    <w:left w:val="single" w:color="000000" w:sz="6" w:space="0"/>
                    <w:bottom w:val="single" w:color="000000" w:sz="6" w:space="0"/>
                    <w:right w:val="single" w:color="000000" w:sz="6" w:space="0"/>
                  </w:tcBorders>
                </w:tcPr>
                <w:p>
                  <w:pPr>
                    <w:pStyle w:val="202"/>
                    <w:spacing w:before="97"/>
                    <w:ind w:right="91"/>
                    <w:jc w:val="center"/>
                    <w:rPr>
                      <w:rFonts w:hint="eastAsia" w:ascii="宋体" w:hAnsi="宋体" w:eastAsia="宋体" w:cs="宋体"/>
                      <w:sz w:val="21"/>
                      <w:szCs w:val="21"/>
                    </w:rPr>
                  </w:pPr>
                  <w:r>
                    <w:rPr>
                      <w:rFonts w:hint="eastAsia" w:ascii="宋体" w:hAnsi="宋体" w:eastAsia="宋体" w:cs="宋体"/>
                      <w:w w:val="99"/>
                      <w:sz w:val="21"/>
                      <w:szCs w:val="21"/>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jc w:val="center"/>
              </w:trPr>
              <w:tc>
                <w:tcPr>
                  <w:tcW w:w="698" w:type="dxa"/>
                  <w:tcBorders>
                    <w:top w:val="single" w:color="000000" w:sz="6" w:space="0"/>
                    <w:left w:val="single" w:color="000000" w:sz="6" w:space="0"/>
                    <w:bottom w:val="single" w:color="000000" w:sz="6" w:space="0"/>
                    <w:right w:val="single" w:color="000000" w:sz="6" w:space="0"/>
                  </w:tcBorders>
                </w:tcPr>
                <w:p>
                  <w:pPr>
                    <w:pStyle w:val="202"/>
                    <w:spacing w:before="97"/>
                    <w:ind w:left="81" w:right="169"/>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1</w:t>
                  </w:r>
                  <w:r>
                    <w:rPr>
                      <w:rFonts w:hint="eastAsia" w:ascii="宋体" w:hAnsi="宋体" w:cs="宋体"/>
                      <w:b w:val="0"/>
                      <w:bCs/>
                      <w:sz w:val="21"/>
                      <w:szCs w:val="21"/>
                      <w:lang w:val="en-US" w:eastAsia="zh-CN"/>
                    </w:rPr>
                    <w:t>2</w:t>
                  </w:r>
                </w:p>
              </w:tc>
              <w:tc>
                <w:tcPr>
                  <w:tcW w:w="2593" w:type="dxa"/>
                  <w:tcBorders>
                    <w:top w:val="single" w:color="000000" w:sz="6" w:space="0"/>
                    <w:left w:val="single" w:color="000000" w:sz="6" w:space="0"/>
                    <w:bottom w:val="single" w:color="000000" w:sz="6" w:space="0"/>
                    <w:right w:val="single" w:color="000000" w:sz="6" w:space="0"/>
                  </w:tcBorders>
                </w:tcPr>
                <w:p>
                  <w:pPr>
                    <w:pStyle w:val="202"/>
                    <w:spacing w:before="97"/>
                    <w:ind w:left="168"/>
                    <w:jc w:val="center"/>
                    <w:rPr>
                      <w:rFonts w:hint="eastAsia" w:ascii="宋体" w:hAnsi="宋体" w:eastAsia="宋体" w:cs="宋体"/>
                      <w:sz w:val="21"/>
                      <w:szCs w:val="21"/>
                    </w:rPr>
                  </w:pPr>
                  <w:r>
                    <w:rPr>
                      <w:rFonts w:hint="eastAsia" w:ascii="宋体" w:hAnsi="宋体" w:eastAsia="宋体" w:cs="宋体"/>
                      <w:sz w:val="21"/>
                      <w:szCs w:val="21"/>
                    </w:rPr>
                    <w:t>产品保修卡</w:t>
                  </w:r>
                </w:p>
              </w:tc>
              <w:tc>
                <w:tcPr>
                  <w:tcW w:w="1767" w:type="dxa"/>
                  <w:tcBorders>
                    <w:top w:val="single" w:color="000000" w:sz="6" w:space="0"/>
                    <w:left w:val="single" w:color="000000" w:sz="6" w:space="0"/>
                    <w:bottom w:val="single" w:color="000000" w:sz="6" w:space="0"/>
                    <w:right w:val="single" w:color="000000" w:sz="6" w:space="0"/>
                  </w:tcBorders>
                </w:tcPr>
                <w:p>
                  <w:pPr>
                    <w:pStyle w:val="202"/>
                    <w:spacing w:before="97"/>
                    <w:ind w:right="91"/>
                    <w:jc w:val="center"/>
                    <w:rPr>
                      <w:rFonts w:hint="eastAsia" w:ascii="宋体" w:hAnsi="宋体" w:eastAsia="宋体" w:cs="宋体"/>
                      <w:sz w:val="21"/>
                      <w:szCs w:val="21"/>
                    </w:rPr>
                  </w:pPr>
                  <w:r>
                    <w:rPr>
                      <w:rFonts w:hint="eastAsia" w:ascii="宋体" w:hAnsi="宋体" w:eastAsia="宋体" w:cs="宋体"/>
                      <w:w w:val="99"/>
                      <w:sz w:val="21"/>
                      <w:szCs w:val="21"/>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6" w:hRule="atLeast"/>
                <w:jc w:val="center"/>
              </w:trPr>
              <w:tc>
                <w:tcPr>
                  <w:tcW w:w="698" w:type="dxa"/>
                  <w:tcBorders>
                    <w:top w:val="single" w:color="000000" w:sz="6" w:space="0"/>
                    <w:left w:val="single" w:color="000000" w:sz="6" w:space="0"/>
                    <w:bottom w:val="single" w:color="000000" w:sz="6" w:space="0"/>
                    <w:right w:val="single" w:color="000000" w:sz="6" w:space="0"/>
                  </w:tcBorders>
                </w:tcPr>
                <w:p>
                  <w:pPr>
                    <w:pStyle w:val="202"/>
                    <w:spacing w:before="97"/>
                    <w:ind w:left="81" w:right="169"/>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1</w:t>
                  </w:r>
                  <w:r>
                    <w:rPr>
                      <w:rFonts w:hint="eastAsia" w:ascii="宋体" w:hAnsi="宋体" w:cs="宋体"/>
                      <w:b w:val="0"/>
                      <w:bCs/>
                      <w:sz w:val="21"/>
                      <w:szCs w:val="21"/>
                      <w:lang w:val="en-US" w:eastAsia="zh-CN"/>
                    </w:rPr>
                    <w:t>3</w:t>
                  </w:r>
                </w:p>
              </w:tc>
              <w:tc>
                <w:tcPr>
                  <w:tcW w:w="2593" w:type="dxa"/>
                  <w:tcBorders>
                    <w:top w:val="single" w:color="000000" w:sz="6" w:space="0"/>
                    <w:left w:val="single" w:color="000000" w:sz="6" w:space="0"/>
                    <w:bottom w:val="single" w:color="000000" w:sz="6" w:space="0"/>
                    <w:right w:val="single" w:color="000000" w:sz="6" w:space="0"/>
                  </w:tcBorders>
                </w:tcPr>
                <w:p>
                  <w:pPr>
                    <w:pStyle w:val="202"/>
                    <w:spacing w:before="97"/>
                    <w:ind w:left="168"/>
                    <w:jc w:val="center"/>
                    <w:rPr>
                      <w:rFonts w:hint="eastAsia" w:ascii="宋体" w:hAnsi="宋体" w:eastAsia="宋体" w:cs="宋体"/>
                      <w:sz w:val="21"/>
                      <w:szCs w:val="21"/>
                    </w:rPr>
                  </w:pPr>
                  <w:r>
                    <w:rPr>
                      <w:rFonts w:hint="eastAsia" w:ascii="宋体" w:hAnsi="宋体" w:eastAsia="宋体" w:cs="宋体"/>
                      <w:sz w:val="21"/>
                      <w:szCs w:val="21"/>
                    </w:rPr>
                    <w:t>产品装箱清单</w:t>
                  </w:r>
                </w:p>
              </w:tc>
              <w:tc>
                <w:tcPr>
                  <w:tcW w:w="1767" w:type="dxa"/>
                  <w:tcBorders>
                    <w:top w:val="single" w:color="000000" w:sz="6" w:space="0"/>
                    <w:left w:val="single" w:color="000000" w:sz="6" w:space="0"/>
                    <w:bottom w:val="single" w:color="000000" w:sz="6" w:space="0"/>
                    <w:right w:val="single" w:color="000000" w:sz="6" w:space="0"/>
                  </w:tcBorders>
                </w:tcPr>
                <w:p>
                  <w:pPr>
                    <w:pStyle w:val="202"/>
                    <w:spacing w:before="97"/>
                    <w:ind w:right="91"/>
                    <w:jc w:val="center"/>
                    <w:rPr>
                      <w:rFonts w:hint="eastAsia" w:ascii="宋体" w:hAnsi="宋体" w:eastAsia="宋体" w:cs="宋体"/>
                      <w:sz w:val="21"/>
                      <w:szCs w:val="21"/>
                    </w:rPr>
                  </w:pPr>
                  <w:r>
                    <w:rPr>
                      <w:rFonts w:hint="eastAsia" w:ascii="宋体" w:hAnsi="宋体" w:eastAsia="宋体" w:cs="宋体"/>
                      <w:w w:val="99"/>
                      <w:sz w:val="21"/>
                      <w:szCs w:val="21"/>
                    </w:rPr>
                    <w:t>1</w:t>
                  </w:r>
                </w:p>
              </w:tc>
            </w:tr>
          </w:tbl>
          <w:p>
            <w:pPr>
              <w:pStyle w:val="5"/>
              <w:ind w:left="0" w:leftChars="0" w:firstLine="0" w:firstLineChars="0"/>
              <w:rPr>
                <w:rFonts w:hint="default"/>
                <w:lang w:val="en-US" w:eastAsia="zh-CN"/>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Cs w:val="21"/>
                <w:highlight w:val="yellow"/>
                <w:lang w:val="en-US" w:eastAsia="zh-CN" w:bidi="ar"/>
              </w:rPr>
            </w:pPr>
            <w:r>
              <w:rPr>
                <w:rFonts w:hint="eastAsia" w:ascii="宋体" w:hAnsi="宋体" w:cs="宋体"/>
                <w:color w:val="000000"/>
                <w:kern w:val="0"/>
                <w:szCs w:val="21"/>
                <w:highlight w:val="none"/>
                <w:lang w:val="en-US" w:eastAsia="zh-CN" w:bidi="ar"/>
              </w:rPr>
              <w:t>72000</w:t>
            </w:r>
          </w:p>
        </w:tc>
      </w:tr>
      <w:tr>
        <w:tblPrEx>
          <w:tblCellMar>
            <w:top w:w="0" w:type="dxa"/>
            <w:left w:w="108" w:type="dxa"/>
            <w:bottom w:w="0" w:type="dxa"/>
            <w:right w:w="108" w:type="dxa"/>
          </w:tblCellMar>
        </w:tblPrEx>
        <w:trPr>
          <w:gridAfter w:val="1"/>
          <w:wAfter w:w="6" w:type="dxa"/>
          <w:trHeight w:val="338" w:hRule="atLeast"/>
          <w:jc w:val="center"/>
        </w:trPr>
        <w:tc>
          <w:tcPr>
            <w:tcW w:w="10208"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ascii="宋体" w:hAnsi="宋体" w:cs="宋体"/>
                <w:szCs w:val="21"/>
              </w:rPr>
            </w:pPr>
            <w:r>
              <w:rPr>
                <w:rFonts w:hint="eastAsia" w:ascii="宋体" w:hAnsi="宋体"/>
                <w:b/>
                <w:bCs/>
                <w:kern w:val="0"/>
                <w:szCs w:val="21"/>
              </w:rPr>
              <w:t>商务要求</w:t>
            </w:r>
          </w:p>
        </w:tc>
      </w:tr>
      <w:tr>
        <w:tblPrEx>
          <w:tblCellMar>
            <w:top w:w="0" w:type="dxa"/>
            <w:left w:w="108" w:type="dxa"/>
            <w:bottom w:w="0" w:type="dxa"/>
            <w:right w:w="108" w:type="dxa"/>
          </w:tblCellMar>
        </w:tblPrEx>
        <w:trPr>
          <w:gridAfter w:val="1"/>
          <w:wAfter w:w="6" w:type="dxa"/>
          <w:trHeight w:val="570" w:hRule="atLeast"/>
          <w:jc w:val="center"/>
        </w:trPr>
        <w:tc>
          <w:tcPr>
            <w:tcW w:w="3394"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int="default" w:ascii="宋体" w:hAnsi="宋体" w:eastAsia="宋体"/>
                <w:szCs w:val="21"/>
                <w:lang w:val="en-US" w:eastAsia="zh-CN"/>
              </w:rPr>
            </w:pPr>
            <w:r>
              <w:rPr>
                <w:rFonts w:hint="eastAsia" w:ascii="宋体" w:hAnsi="宋体"/>
                <w:kern w:val="0"/>
                <w:szCs w:val="21"/>
                <w:lang w:val="en-US" w:eastAsia="zh-CN"/>
              </w:rPr>
              <w:t>售后服务要求</w:t>
            </w:r>
          </w:p>
        </w:tc>
        <w:tc>
          <w:tcPr>
            <w:tcW w:w="6814"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1.售后服务基本要求（以下费用包含在投标报价中，采购人不再就此费用另行支付）：</w:t>
            </w:r>
          </w:p>
          <w:p>
            <w:pPr>
              <w:adjustRightInd w:val="0"/>
              <w:spacing w:line="360" w:lineRule="auto"/>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（1）按照国家有关产品“三包”规定执行“三包”，免费保修期不少于</w:t>
            </w:r>
            <w:r>
              <w:rPr>
                <w:rFonts w:hint="eastAsia" w:asciiTheme="majorEastAsia" w:hAnsiTheme="majorEastAsia" w:eastAsiaTheme="majorEastAsia" w:cstheme="majorEastAsia"/>
                <w:kern w:val="0"/>
                <w:szCs w:val="21"/>
                <w:lang w:val="en-US" w:eastAsia="zh-CN"/>
              </w:rPr>
              <w:t>12</w:t>
            </w:r>
            <w:r>
              <w:rPr>
                <w:rFonts w:hint="eastAsia" w:asciiTheme="majorEastAsia" w:hAnsiTheme="majorEastAsia" w:eastAsiaTheme="majorEastAsia" w:cstheme="majorEastAsia"/>
                <w:kern w:val="0"/>
                <w:szCs w:val="21"/>
              </w:rPr>
              <w:t xml:space="preserve"> 个月（自验收合格之日起计算）。厂家免费保修期承诺优于本条款要求的，按厂家</w:t>
            </w:r>
            <w:r>
              <w:rPr>
                <w:rFonts w:hint="eastAsia" w:asciiTheme="majorEastAsia" w:hAnsiTheme="majorEastAsia" w:eastAsiaTheme="majorEastAsia" w:cstheme="majorEastAsia"/>
                <w:kern w:val="0"/>
                <w:szCs w:val="21"/>
                <w:lang w:eastAsia="zh-CN"/>
              </w:rPr>
              <w:t>（</w:t>
            </w:r>
            <w:r>
              <w:rPr>
                <w:rFonts w:hint="eastAsia" w:asciiTheme="majorEastAsia" w:hAnsiTheme="majorEastAsia" w:eastAsiaTheme="majorEastAsia" w:cstheme="majorEastAsia"/>
                <w:kern w:val="0"/>
                <w:szCs w:val="21"/>
                <w:highlight w:val="none"/>
                <w:lang w:val="en-US" w:eastAsia="zh-CN"/>
              </w:rPr>
              <w:t>或全国总代）</w:t>
            </w:r>
            <w:r>
              <w:rPr>
                <w:rFonts w:hint="eastAsia" w:asciiTheme="majorEastAsia" w:hAnsiTheme="majorEastAsia" w:eastAsiaTheme="majorEastAsia" w:cstheme="majorEastAsia"/>
                <w:kern w:val="0"/>
                <w:szCs w:val="21"/>
              </w:rPr>
              <w:t>承诺执行。</w:t>
            </w:r>
          </w:p>
          <w:p>
            <w:pPr>
              <w:adjustRightInd w:val="0"/>
              <w:spacing w:line="360" w:lineRule="auto"/>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（2）采购范围内的货物送货上门，装卸、安装调试合格，提供技术培训，直至采购人技术人员可熟练操作使用。</w:t>
            </w:r>
          </w:p>
          <w:p>
            <w:pPr>
              <w:adjustRightInd w:val="0"/>
              <w:spacing w:line="360" w:lineRule="auto"/>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（3）故障解决及保修要求：</w:t>
            </w:r>
          </w:p>
          <w:p>
            <w:pPr>
              <w:adjustRightInd w:val="0"/>
              <w:spacing w:line="360" w:lineRule="auto"/>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①免费保修期内上门提供维修服务，出现故障时，2小时内响应，12小时内到达现场，维修需更备件的, 常用备件24小时内更换解决故障,重要备件48小时内更换解决故障。</w:t>
            </w:r>
          </w:p>
          <w:p>
            <w:pPr>
              <w:adjustRightInd w:val="0"/>
              <w:spacing w:line="360" w:lineRule="auto"/>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②免费保修期内定期上门检查、上门维修（维修费和元器件费）；维修中如需要更换配件的，要求更换的配件应跟被更换的品牌、类型相一致。</w:t>
            </w:r>
          </w:p>
          <w:p>
            <w:pPr>
              <w:adjustRightInd w:val="0"/>
              <w:spacing w:line="360" w:lineRule="auto"/>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③所投产品生产厂家在国内具有零配件库存，以保证及时的零配件供应。</w:t>
            </w:r>
          </w:p>
          <w:p>
            <w:pPr>
              <w:adjustRightInd w:val="0"/>
              <w:spacing w:line="360" w:lineRule="auto"/>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④若产品自带软件的，则须提供免费保修期内提供升级服务。</w:t>
            </w:r>
          </w:p>
          <w:p>
            <w:pPr>
              <w:adjustRightInd w:val="0"/>
              <w:spacing w:line="360" w:lineRule="auto"/>
              <w:rPr>
                <w:rFonts w:ascii="宋体" w:hAnsi="宋体"/>
                <w:szCs w:val="21"/>
              </w:rPr>
            </w:pPr>
            <w:r>
              <w:rPr>
                <w:rFonts w:hint="eastAsia" w:asciiTheme="majorEastAsia" w:hAnsiTheme="majorEastAsia" w:eastAsiaTheme="majorEastAsia" w:cstheme="majorEastAsia"/>
                <w:kern w:val="0"/>
                <w:szCs w:val="21"/>
              </w:rPr>
              <w:t>2.投标人根据以上售后服务要求，于投标文件中必须提供相应的售后服务承诺书。</w:t>
            </w:r>
          </w:p>
        </w:tc>
      </w:tr>
      <w:tr>
        <w:tblPrEx>
          <w:tblCellMar>
            <w:top w:w="0" w:type="dxa"/>
            <w:left w:w="108" w:type="dxa"/>
            <w:bottom w:w="0" w:type="dxa"/>
            <w:right w:w="108" w:type="dxa"/>
          </w:tblCellMar>
        </w:tblPrEx>
        <w:trPr>
          <w:gridAfter w:val="1"/>
          <w:wAfter w:w="6" w:type="dxa"/>
          <w:trHeight w:val="950" w:hRule="atLeast"/>
          <w:jc w:val="center"/>
        </w:trPr>
        <w:tc>
          <w:tcPr>
            <w:tcW w:w="3394"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kern w:val="0"/>
                <w:szCs w:val="21"/>
              </w:rPr>
            </w:pPr>
            <w:r>
              <w:rPr>
                <w:rFonts w:hint="eastAsia" w:ascii="宋体" w:hAnsi="宋体"/>
                <w:kern w:val="0"/>
                <w:szCs w:val="21"/>
              </w:rPr>
              <w:t>交货时间及地点、方式</w:t>
            </w:r>
          </w:p>
        </w:tc>
        <w:tc>
          <w:tcPr>
            <w:tcW w:w="6814" w:type="dxa"/>
            <w:gridSpan w:val="4"/>
            <w:tcBorders>
              <w:top w:val="single" w:color="auto" w:sz="4" w:space="0"/>
              <w:left w:val="single" w:color="auto" w:sz="4" w:space="0"/>
              <w:bottom w:val="single" w:color="auto" w:sz="4" w:space="0"/>
              <w:right w:val="single" w:color="auto" w:sz="4" w:space="0"/>
            </w:tcBorders>
            <w:vAlign w:val="center"/>
          </w:tcPr>
          <w:p>
            <w:pPr>
              <w:pStyle w:val="156"/>
              <w:spacing w:line="360" w:lineRule="auto"/>
              <w:rPr>
                <w:rFonts w:ascii="宋体" w:hAnsi="宋体"/>
                <w:szCs w:val="21"/>
                <w:highlight w:val="none"/>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交付使用时间：</w:t>
            </w:r>
            <w:r>
              <w:rPr>
                <w:rFonts w:hint="eastAsia" w:ascii="宋体" w:hAnsi="宋体"/>
                <w:szCs w:val="21"/>
                <w:highlight w:val="none"/>
              </w:rPr>
              <w:t>自签订合同之日起</w:t>
            </w:r>
            <w:r>
              <w:rPr>
                <w:rFonts w:hint="eastAsia" w:ascii="宋体" w:hAnsi="宋体"/>
                <w:szCs w:val="21"/>
                <w:highlight w:val="none"/>
                <w:lang w:val="en-US" w:eastAsia="zh-CN"/>
              </w:rPr>
              <w:t>90</w:t>
            </w:r>
            <w:r>
              <w:rPr>
                <w:rFonts w:hint="eastAsia" w:ascii="宋体" w:hAnsi="宋体"/>
                <w:szCs w:val="21"/>
                <w:highlight w:val="none"/>
              </w:rPr>
              <w:t>日内交货并安装调试合格交付使用。</w:t>
            </w:r>
          </w:p>
          <w:p>
            <w:pPr>
              <w:pStyle w:val="156"/>
              <w:spacing w:line="360" w:lineRule="auto"/>
              <w:rPr>
                <w:rFonts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交货地点：</w:t>
            </w:r>
            <w:r>
              <w:rPr>
                <w:rFonts w:hint="eastAsia" w:ascii="宋体" w:hAnsi="宋体"/>
                <w:szCs w:val="21"/>
                <w:lang w:val="en-US" w:eastAsia="zh-CN"/>
              </w:rPr>
              <w:t>兴安</w:t>
            </w:r>
            <w:r>
              <w:rPr>
                <w:rFonts w:hint="eastAsia" w:ascii="宋体" w:hAnsi="宋体"/>
                <w:szCs w:val="21"/>
                <w:lang w:eastAsia="zh-CN"/>
              </w:rPr>
              <w:t>县人民医院</w:t>
            </w:r>
            <w:r>
              <w:rPr>
                <w:rFonts w:hint="eastAsia" w:ascii="宋体" w:hAnsi="宋体"/>
                <w:szCs w:val="21"/>
              </w:rPr>
              <w:t>（</w:t>
            </w:r>
            <w:r>
              <w:rPr>
                <w:rFonts w:hint="eastAsia" w:ascii="宋体" w:hAnsi="宋体"/>
                <w:bCs/>
                <w:szCs w:val="21"/>
              </w:rPr>
              <w:t>采购人指定地点）</w:t>
            </w:r>
            <w:r>
              <w:rPr>
                <w:rFonts w:hint="eastAsia" w:ascii="宋体" w:hAnsi="宋体"/>
                <w:szCs w:val="21"/>
              </w:rPr>
              <w:t>。</w:t>
            </w:r>
          </w:p>
          <w:p>
            <w:pPr>
              <w:pStyle w:val="156"/>
              <w:spacing w:line="360" w:lineRule="auto"/>
              <w:rPr>
                <w:rFonts w:ascii="宋体" w:hAnsi="宋体"/>
                <w:szCs w:val="21"/>
              </w:rPr>
            </w:pPr>
            <w:r>
              <w:rPr>
                <w:rFonts w:hint="eastAsia" w:ascii="宋体" w:hAnsi="宋体"/>
                <w:bCs/>
                <w:szCs w:val="21"/>
              </w:rPr>
              <w:t>3</w:t>
            </w:r>
            <w:r>
              <w:rPr>
                <w:rFonts w:hint="eastAsia" w:ascii="宋体" w:hAnsi="宋体"/>
                <w:bCs/>
                <w:szCs w:val="21"/>
                <w:lang w:val="en-US" w:eastAsia="zh-CN"/>
              </w:rPr>
              <w:t>.</w:t>
            </w:r>
            <w:r>
              <w:rPr>
                <w:rFonts w:hint="eastAsia" w:ascii="宋体" w:hAnsi="宋体"/>
                <w:bCs/>
                <w:szCs w:val="21"/>
              </w:rPr>
              <w:t>交货方式：现场交货。</w:t>
            </w:r>
          </w:p>
        </w:tc>
      </w:tr>
      <w:tr>
        <w:tblPrEx>
          <w:tblCellMar>
            <w:top w:w="0" w:type="dxa"/>
            <w:left w:w="108" w:type="dxa"/>
            <w:bottom w:w="0" w:type="dxa"/>
            <w:right w:w="108" w:type="dxa"/>
          </w:tblCellMar>
        </w:tblPrEx>
        <w:trPr>
          <w:gridAfter w:val="1"/>
          <w:wAfter w:w="6" w:type="dxa"/>
          <w:trHeight w:val="636" w:hRule="atLeast"/>
          <w:jc w:val="center"/>
        </w:trPr>
        <w:tc>
          <w:tcPr>
            <w:tcW w:w="3394"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kern w:val="0"/>
                <w:szCs w:val="21"/>
              </w:rPr>
            </w:pPr>
            <w:r>
              <w:rPr>
                <w:rFonts w:hint="eastAsia" w:ascii="宋体" w:hAnsi="宋体"/>
                <w:kern w:val="0"/>
                <w:szCs w:val="21"/>
              </w:rPr>
              <w:t>付款方式</w:t>
            </w:r>
          </w:p>
        </w:tc>
        <w:tc>
          <w:tcPr>
            <w:tcW w:w="6814" w:type="dxa"/>
            <w:gridSpan w:val="4"/>
            <w:tcBorders>
              <w:top w:val="single" w:color="auto" w:sz="4" w:space="0"/>
              <w:left w:val="single" w:color="auto" w:sz="4" w:space="0"/>
              <w:bottom w:val="single" w:color="auto" w:sz="4" w:space="0"/>
              <w:right w:val="single" w:color="auto" w:sz="4" w:space="0"/>
            </w:tcBorders>
            <w:vAlign w:val="center"/>
          </w:tcPr>
          <w:p>
            <w:pPr>
              <w:pStyle w:val="20"/>
              <w:spacing w:line="360" w:lineRule="auto"/>
              <w:rPr>
                <w:rFonts w:hint="eastAsia" w:ascii="宋体" w:hAnsi="宋体" w:eastAsia="宋体"/>
                <w:bCs/>
                <w:szCs w:val="21"/>
                <w:lang w:eastAsia="zh-CN"/>
              </w:rPr>
            </w:pPr>
            <w:r>
              <w:rPr>
                <w:rFonts w:hint="eastAsia" w:ascii="宋体" w:hAnsi="宋体" w:cs="宋体"/>
                <w:kern w:val="2"/>
                <w:sz w:val="21"/>
                <w:szCs w:val="21"/>
                <w:highlight w:val="none"/>
              </w:rPr>
              <w:t>付款方式：货到安装并验收合格后一月内付款90%，剩下的10%一年后付完。</w:t>
            </w:r>
          </w:p>
        </w:tc>
      </w:tr>
      <w:tr>
        <w:tblPrEx>
          <w:tblCellMar>
            <w:top w:w="0" w:type="dxa"/>
            <w:left w:w="108" w:type="dxa"/>
            <w:bottom w:w="0" w:type="dxa"/>
            <w:right w:w="108" w:type="dxa"/>
          </w:tblCellMar>
        </w:tblPrEx>
        <w:trPr>
          <w:gridAfter w:val="1"/>
          <w:wAfter w:w="6" w:type="dxa"/>
          <w:trHeight w:val="608" w:hRule="atLeast"/>
          <w:jc w:val="center"/>
        </w:trPr>
        <w:tc>
          <w:tcPr>
            <w:tcW w:w="3394"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int="default" w:ascii="宋体" w:hAnsi="宋体" w:eastAsia="宋体"/>
                <w:szCs w:val="21"/>
                <w:lang w:val="en-US" w:eastAsia="zh-CN"/>
              </w:rPr>
            </w:pPr>
            <w:r>
              <w:rPr>
                <w:rFonts w:hint="eastAsia" w:ascii="宋体" w:hAnsi="宋体" w:cs="宋体"/>
                <w:szCs w:val="21"/>
                <w:lang w:val="en-US" w:eastAsia="zh-CN"/>
              </w:rPr>
              <w:t>验收标准</w:t>
            </w:r>
          </w:p>
        </w:tc>
        <w:tc>
          <w:tcPr>
            <w:tcW w:w="6814" w:type="dxa"/>
            <w:gridSpan w:val="4"/>
            <w:tcBorders>
              <w:top w:val="single" w:color="auto" w:sz="4" w:space="0"/>
              <w:left w:val="single" w:color="auto" w:sz="4" w:space="0"/>
              <w:bottom w:val="single" w:color="auto" w:sz="4" w:space="0"/>
              <w:right w:val="single" w:color="auto" w:sz="4" w:space="0"/>
            </w:tcBorders>
            <w:vAlign w:val="center"/>
          </w:tcPr>
          <w:p>
            <w:pPr>
              <w:pStyle w:val="156"/>
              <w:spacing w:line="360" w:lineRule="auto"/>
              <w:rPr>
                <w:rFonts w:hint="eastAsia" w:ascii="宋体" w:hAnsi="宋体" w:cs="宋体"/>
                <w:kern w:val="2"/>
                <w:szCs w:val="21"/>
              </w:rPr>
            </w:pPr>
            <w:r>
              <w:rPr>
                <w:rFonts w:hint="eastAsia" w:ascii="宋体" w:hAnsi="宋体" w:cs="宋体"/>
                <w:kern w:val="2"/>
                <w:szCs w:val="21"/>
              </w:rPr>
              <w:t>1.投标人提供的产品必须符合国家、行业强制执行的相关质量标准要求以及产品制造厂家合格产品的出厂质量标准。</w:t>
            </w:r>
          </w:p>
          <w:p>
            <w:pPr>
              <w:pStyle w:val="156"/>
              <w:spacing w:line="360" w:lineRule="auto"/>
              <w:rPr>
                <w:rFonts w:hint="eastAsia" w:ascii="宋体" w:hAnsi="宋体" w:cs="宋体"/>
                <w:kern w:val="2"/>
                <w:szCs w:val="21"/>
              </w:rPr>
            </w:pPr>
            <w:r>
              <w:rPr>
                <w:rFonts w:hint="eastAsia" w:ascii="宋体" w:hAnsi="宋体" w:cs="宋体"/>
                <w:kern w:val="2"/>
                <w:szCs w:val="21"/>
              </w:rPr>
              <w:t>2.设备需全新、完好、无破损，产品到货后，采购人现场根据招标文件要求及投标文件承诺逐条对应进行核验，必要时，采购人有权邀请国家质量监督检验部门或国家认可的检测机构参与共同验收。如产品不满足招标文件要求、中标人投标承诺或国家、行业强制执行的相关质量标准要求以及产品制造厂家合格产品的出厂质量标准，采购人有权终止合同执行并全部退货，由此造成采购人的经济损失由中标人承担全部赔偿责任。</w:t>
            </w:r>
          </w:p>
          <w:p>
            <w:pPr>
              <w:pStyle w:val="156"/>
              <w:spacing w:line="360" w:lineRule="auto"/>
              <w:rPr>
                <w:rFonts w:hint="eastAsia" w:ascii="宋体" w:hAnsi="宋体" w:cs="宋体"/>
                <w:kern w:val="2"/>
                <w:szCs w:val="21"/>
              </w:rPr>
            </w:pPr>
            <w:r>
              <w:rPr>
                <w:rFonts w:hint="eastAsia" w:ascii="宋体" w:hAnsi="宋体" w:cs="宋体"/>
                <w:kern w:val="2"/>
                <w:szCs w:val="21"/>
              </w:rPr>
              <w:t>3.中标人必须于供货时向采购人提供所投医疗器械产品由行政主管部门核准资格文件、产品注册时的检测检验报告书，产品彩页（或参数说明书），产品白皮书（如有）等资料材料，以便核实相关技术参数，否则不予验收。</w:t>
            </w:r>
          </w:p>
          <w:p>
            <w:pPr>
              <w:pStyle w:val="156"/>
              <w:spacing w:line="360" w:lineRule="auto"/>
              <w:rPr>
                <w:rFonts w:ascii="宋体" w:hAnsi="宋体"/>
                <w:szCs w:val="21"/>
              </w:rPr>
            </w:pPr>
            <w:r>
              <w:rPr>
                <w:rFonts w:hint="eastAsia" w:ascii="宋体" w:hAnsi="宋体" w:cs="宋体"/>
                <w:kern w:val="2"/>
                <w:szCs w:val="21"/>
              </w:rPr>
              <w:t>4.中标人售后服务承诺若超出国家有关产品“三包”规定范围的，中标人于供货前必须向采购人提供生产厂家或总代理商针对所投产品出具的售后服务承诺书原件，否则不予验收。</w:t>
            </w:r>
          </w:p>
        </w:tc>
      </w:tr>
      <w:tr>
        <w:tblPrEx>
          <w:tblCellMar>
            <w:top w:w="0" w:type="dxa"/>
            <w:left w:w="108" w:type="dxa"/>
            <w:bottom w:w="0" w:type="dxa"/>
            <w:right w:w="108" w:type="dxa"/>
          </w:tblCellMar>
        </w:tblPrEx>
        <w:trPr>
          <w:gridAfter w:val="1"/>
          <w:wAfter w:w="6" w:type="dxa"/>
          <w:trHeight w:val="1263" w:hRule="atLeast"/>
          <w:jc w:val="center"/>
        </w:trPr>
        <w:tc>
          <w:tcPr>
            <w:tcW w:w="3394"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szCs w:val="21"/>
              </w:rPr>
            </w:pPr>
            <w:r>
              <w:rPr>
                <w:rFonts w:hint="eastAsia" w:ascii="宋体" w:hAnsi="宋体" w:cs="宋体"/>
                <w:szCs w:val="21"/>
              </w:rPr>
              <w:t>其他要求</w:t>
            </w:r>
          </w:p>
        </w:tc>
        <w:tc>
          <w:tcPr>
            <w:tcW w:w="681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1.</w:t>
            </w:r>
            <w:r>
              <w:rPr>
                <w:rFonts w:hint="eastAsia" w:asciiTheme="majorEastAsia" w:hAnsiTheme="majorEastAsia" w:eastAsiaTheme="majorEastAsia" w:cstheme="majorEastAsia"/>
                <w:szCs w:val="21"/>
              </w:rPr>
              <w:t>售后服务服务过程中如有违反约定的情况，采购人有权扣除质保金。</w:t>
            </w:r>
          </w:p>
          <w:p>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2.</w:t>
            </w:r>
            <w:r>
              <w:rPr>
                <w:rFonts w:hint="eastAsia" w:asciiTheme="majorEastAsia" w:hAnsiTheme="majorEastAsia" w:eastAsiaTheme="majorEastAsia" w:cstheme="majorEastAsia"/>
                <w:szCs w:val="21"/>
              </w:rPr>
              <w:t>投标报价的费用包括：</w:t>
            </w:r>
          </w:p>
          <w:p>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（1）货物的价格；</w:t>
            </w:r>
          </w:p>
          <w:p>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（2）货物的标准附件、备品备件、专用工具的价格；</w:t>
            </w:r>
          </w:p>
          <w:p>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（3）运输、装卸、调试、培训、技术支持、售后服务等费用；</w:t>
            </w:r>
          </w:p>
          <w:p>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（4）包括安装费</w:t>
            </w:r>
            <w:r>
              <w:rPr>
                <w:rFonts w:hint="eastAsia" w:asciiTheme="majorEastAsia" w:hAnsiTheme="majorEastAsia" w:eastAsiaTheme="majorEastAsia" w:cstheme="majorEastAsia"/>
                <w:kern w:val="0"/>
                <w:szCs w:val="21"/>
              </w:rPr>
              <w:t>用、</w:t>
            </w:r>
            <w:r>
              <w:rPr>
                <w:rFonts w:hint="eastAsia" w:asciiTheme="majorEastAsia" w:hAnsiTheme="majorEastAsia" w:eastAsiaTheme="majorEastAsia" w:cstheme="majorEastAsia"/>
                <w:szCs w:val="21"/>
              </w:rPr>
              <w:t>必要的保险费用和各项税费。</w:t>
            </w:r>
          </w:p>
          <w:p>
            <w:pPr>
              <w:spacing w:line="360" w:lineRule="auto"/>
              <w:jc w:val="left"/>
              <w:rPr>
                <w:rFonts w:hint="eastAsia" w:asciiTheme="majorEastAsia" w:hAnsiTheme="majorEastAsia" w:eastAsiaTheme="majorEastAsia" w:cstheme="majorEastAsia"/>
                <w:szCs w:val="21"/>
                <w:highlight w:val="none"/>
                <w:lang w:eastAsia="zh-CN"/>
              </w:rPr>
            </w:pPr>
            <w:r>
              <w:rPr>
                <w:rFonts w:hint="eastAsia" w:asciiTheme="majorEastAsia" w:hAnsiTheme="majorEastAsia" w:eastAsiaTheme="majorEastAsia" w:cstheme="majorEastAsia"/>
                <w:szCs w:val="21"/>
                <w:lang w:val="en-US" w:eastAsia="zh-CN"/>
              </w:rPr>
              <w:t>3.</w:t>
            </w:r>
            <w:r>
              <w:rPr>
                <w:rFonts w:hint="eastAsia" w:asciiTheme="majorEastAsia" w:hAnsiTheme="majorEastAsia" w:eastAsiaTheme="majorEastAsia" w:cstheme="majorEastAsia"/>
                <w:szCs w:val="21"/>
              </w:rPr>
              <w:t>本标段政府采购预算金</w:t>
            </w:r>
            <w:r>
              <w:rPr>
                <w:rFonts w:hint="eastAsia" w:asciiTheme="majorEastAsia" w:hAnsiTheme="majorEastAsia" w:eastAsiaTheme="majorEastAsia" w:cstheme="majorEastAsia"/>
                <w:szCs w:val="21"/>
                <w:highlight w:val="none"/>
              </w:rPr>
              <w:t>额为：</w:t>
            </w:r>
            <w:r>
              <w:rPr>
                <w:rFonts w:hint="eastAsia" w:asciiTheme="majorEastAsia" w:hAnsiTheme="majorEastAsia" w:eastAsiaTheme="majorEastAsia" w:cstheme="majorEastAsia"/>
                <w:szCs w:val="21"/>
                <w:highlight w:val="none"/>
                <w:lang w:val="en-US" w:eastAsia="zh-CN"/>
              </w:rPr>
              <w:t>壹佰贰拾柒万贰仟</w:t>
            </w:r>
            <w:r>
              <w:rPr>
                <w:rFonts w:hint="eastAsia" w:ascii="宋体" w:hAnsi="宋体" w:cs="宋体"/>
                <w:kern w:val="0"/>
                <w:szCs w:val="21"/>
                <w:highlight w:val="none"/>
              </w:rPr>
              <w:t>元整（</w:t>
            </w:r>
            <w:r>
              <w:rPr>
                <w:rFonts w:hint="eastAsia" w:ascii="宋体" w:hAnsi="宋体" w:cs="宋体"/>
                <w:szCs w:val="21"/>
                <w:highlight w:val="none"/>
              </w:rPr>
              <w:t>¥</w:t>
            </w:r>
            <w:r>
              <w:rPr>
                <w:rFonts w:hint="eastAsia" w:ascii="宋体" w:hAnsi="宋体" w:cs="宋体"/>
                <w:szCs w:val="21"/>
                <w:highlight w:val="none"/>
                <w:lang w:val="en-US" w:eastAsia="zh-CN"/>
              </w:rPr>
              <w:t>1272000</w:t>
            </w:r>
            <w:r>
              <w:rPr>
                <w:rFonts w:hint="eastAsia" w:ascii="宋体" w:hAnsi="宋体" w:cs="宋体"/>
                <w:szCs w:val="21"/>
                <w:highlight w:val="none"/>
              </w:rPr>
              <w:t>元）</w:t>
            </w:r>
            <w:r>
              <w:rPr>
                <w:rFonts w:hint="eastAsia" w:asciiTheme="majorEastAsia" w:hAnsiTheme="majorEastAsia" w:eastAsiaTheme="majorEastAsia" w:cstheme="majorEastAsia"/>
                <w:szCs w:val="21"/>
                <w:highlight w:val="none"/>
              </w:rPr>
              <w:t>,投标人投标报价超过采购预算价的为无效投标</w:t>
            </w:r>
            <w:r>
              <w:rPr>
                <w:rFonts w:hint="eastAsia" w:asciiTheme="majorEastAsia" w:hAnsiTheme="majorEastAsia" w:eastAsiaTheme="majorEastAsia" w:cstheme="majorEastAsia"/>
                <w:szCs w:val="21"/>
                <w:highlight w:val="none"/>
                <w:lang w:eastAsia="zh-CN"/>
              </w:rPr>
              <w:t>。</w:t>
            </w:r>
          </w:p>
          <w:p>
            <w:pPr>
              <w:spacing w:line="360" w:lineRule="auto"/>
              <w:jc w:val="left"/>
              <w:rPr>
                <w:rFonts w:hint="default" w:asciiTheme="majorEastAsia" w:hAnsiTheme="majorEastAsia" w:eastAsiaTheme="majorEastAsia" w:cstheme="majorEastAsia"/>
                <w:b/>
                <w:bCs/>
                <w:szCs w:val="21"/>
                <w:highlight w:val="yellow"/>
                <w:lang w:val="en-US" w:eastAsia="zh-CN"/>
              </w:rPr>
            </w:pPr>
            <w:r>
              <w:rPr>
                <w:rFonts w:hint="eastAsia" w:asciiTheme="majorEastAsia" w:hAnsiTheme="majorEastAsia" w:eastAsiaTheme="majorEastAsia" w:cstheme="majorEastAsia"/>
                <w:b/>
                <w:bCs/>
                <w:szCs w:val="21"/>
                <w:lang w:val="en-US" w:eastAsia="zh-CN"/>
              </w:rPr>
              <w:t>4.</w:t>
            </w:r>
            <w:r>
              <w:rPr>
                <w:rFonts w:hint="eastAsia" w:asciiTheme="majorEastAsia" w:hAnsiTheme="majorEastAsia" w:eastAsiaTheme="majorEastAsia" w:cstheme="majorEastAsia"/>
                <w:b/>
                <w:bCs/>
                <w:szCs w:val="21"/>
                <w:highlight w:val="none"/>
              </w:rPr>
              <w:t>进口产品说明</w:t>
            </w:r>
            <w:r>
              <w:rPr>
                <w:rFonts w:hint="eastAsia" w:asciiTheme="majorEastAsia" w:hAnsiTheme="majorEastAsia" w:eastAsiaTheme="majorEastAsia" w:cstheme="majorEastAsia"/>
                <w:b/>
                <w:bCs/>
                <w:szCs w:val="21"/>
                <w:highlight w:val="none"/>
                <w:lang w:val="en-US" w:eastAsia="zh-CN"/>
              </w:rPr>
              <w:t xml:space="preserve">  </w:t>
            </w:r>
          </w:p>
          <w:p>
            <w:pPr>
              <w:spacing w:line="360" w:lineRule="auto"/>
              <w:jc w:val="left"/>
              <w:rPr>
                <w:rFonts w:hint="eastAsia" w:asciiTheme="majorEastAsia" w:hAnsiTheme="majorEastAsia" w:eastAsiaTheme="majorEastAsia" w:cstheme="majorEastAsia"/>
                <w:b w:val="0"/>
                <w:bCs w:val="0"/>
                <w:szCs w:val="21"/>
              </w:rPr>
            </w:pPr>
            <w:r>
              <w:rPr>
                <w:rFonts w:hint="eastAsia" w:asciiTheme="majorEastAsia" w:hAnsiTheme="majorEastAsia" w:eastAsiaTheme="majorEastAsia" w:cstheme="majorEastAsia"/>
                <w:b w:val="0"/>
                <w:bCs w:val="0"/>
                <w:szCs w:val="21"/>
              </w:rPr>
              <w:sym w:font="Wingdings 2" w:char="0052"/>
            </w:r>
            <w:r>
              <w:rPr>
                <w:rFonts w:hint="eastAsia" w:asciiTheme="majorEastAsia" w:hAnsiTheme="majorEastAsia" w:eastAsiaTheme="majorEastAsia" w:cstheme="majorEastAsia"/>
                <w:b w:val="0"/>
                <w:bCs w:val="0"/>
                <w:szCs w:val="21"/>
              </w:rPr>
              <w:t>本</w:t>
            </w:r>
            <w:r>
              <w:rPr>
                <w:rFonts w:hint="eastAsia" w:asciiTheme="majorEastAsia" w:hAnsiTheme="majorEastAsia" w:eastAsiaTheme="majorEastAsia" w:cstheme="majorEastAsia"/>
                <w:b w:val="0"/>
                <w:bCs w:val="0"/>
                <w:szCs w:val="21"/>
                <w:lang w:val="en-US" w:eastAsia="zh-CN"/>
              </w:rPr>
              <w:t>分标</w:t>
            </w:r>
            <w:r>
              <w:rPr>
                <w:rFonts w:hint="eastAsia" w:asciiTheme="majorEastAsia" w:hAnsiTheme="majorEastAsia" w:eastAsiaTheme="majorEastAsia" w:cstheme="majorEastAsia"/>
                <w:b w:val="0"/>
                <w:bCs w:val="0"/>
                <w:szCs w:val="21"/>
              </w:rPr>
              <w:t>所涉及的货物</w:t>
            </w:r>
            <w:r>
              <w:rPr>
                <w:rFonts w:hint="eastAsia" w:asciiTheme="majorEastAsia" w:hAnsiTheme="majorEastAsia" w:eastAsiaTheme="majorEastAsia" w:cstheme="majorEastAsia"/>
                <w:b/>
                <w:bCs/>
                <w:szCs w:val="21"/>
                <w:lang w:eastAsia="zh-CN"/>
              </w:rPr>
              <w:t>“反搏泵”</w:t>
            </w:r>
            <w:r>
              <w:rPr>
                <w:rFonts w:hint="eastAsia" w:asciiTheme="majorEastAsia" w:hAnsiTheme="majorEastAsia" w:eastAsiaTheme="majorEastAsia" w:cstheme="majorEastAsia"/>
                <w:b w:val="0"/>
                <w:bCs w:val="0"/>
                <w:szCs w:val="21"/>
              </w:rPr>
              <w:t>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p>
          <w:p>
            <w:pPr>
              <w:spacing w:line="360" w:lineRule="auto"/>
              <w:jc w:val="left"/>
              <w:rPr>
                <w:rFonts w:hint="eastAsia" w:asciiTheme="majorEastAsia" w:hAnsiTheme="majorEastAsia" w:eastAsiaTheme="majorEastAsia" w:cstheme="majorEastAsia"/>
                <w:b w:val="0"/>
                <w:bCs w:val="0"/>
                <w:szCs w:val="21"/>
              </w:rPr>
            </w:pPr>
            <w:r>
              <w:rPr>
                <w:rFonts w:hint="eastAsia" w:asciiTheme="majorEastAsia" w:hAnsiTheme="majorEastAsia" w:eastAsiaTheme="majorEastAsia" w:cstheme="majorEastAsia"/>
                <w:b w:val="0"/>
                <w:bCs w:val="0"/>
                <w:szCs w:val="21"/>
                <w:lang w:eastAsia="zh-CN"/>
              </w:rPr>
              <w:sym w:font="Wingdings 2" w:char="0052"/>
            </w:r>
            <w:r>
              <w:rPr>
                <w:rFonts w:hint="eastAsia" w:asciiTheme="majorEastAsia" w:hAnsiTheme="majorEastAsia" w:eastAsiaTheme="majorEastAsia" w:cstheme="majorEastAsia"/>
                <w:b w:val="0"/>
                <w:bCs w:val="0"/>
                <w:szCs w:val="21"/>
              </w:rPr>
              <w:t>本分标货物所涉及的货物</w:t>
            </w:r>
            <w:r>
              <w:rPr>
                <w:rFonts w:hint="eastAsia" w:asciiTheme="majorEastAsia" w:hAnsiTheme="majorEastAsia" w:eastAsiaTheme="majorEastAsia" w:cstheme="majorEastAsia"/>
                <w:b/>
                <w:bCs/>
                <w:szCs w:val="21"/>
                <w:lang w:eastAsia="zh-CN"/>
              </w:rPr>
              <w:t>“角膜地形图测试仪”</w:t>
            </w:r>
            <w:r>
              <w:rPr>
                <w:rFonts w:hint="eastAsia" w:asciiTheme="majorEastAsia" w:hAnsiTheme="majorEastAsia" w:eastAsiaTheme="majorEastAsia" w:cstheme="majorEastAsia"/>
                <w:b w:val="0"/>
                <w:bCs w:val="0"/>
                <w:szCs w:val="21"/>
              </w:rPr>
              <w:t>不接受进口产品（即通过中国海关报关验放进入中国境内且产自关境外的产品）参与投标，如有进口产品参与投标的作无效标处理。</w:t>
            </w:r>
          </w:p>
          <w:p>
            <w:pPr>
              <w:keepNext w:val="0"/>
              <w:keepLines w:val="0"/>
              <w:pageBreakBefore w:val="0"/>
              <w:tabs>
                <w:tab w:val="left" w:pos="180"/>
                <w:tab w:val="left" w:pos="1620"/>
              </w:tabs>
              <w:kinsoku/>
              <w:wordWrap/>
              <w:overflowPunct/>
              <w:topLinePunct w:val="0"/>
              <w:autoSpaceDE/>
              <w:autoSpaceDN/>
              <w:bidi w:val="0"/>
              <w:adjustRightInd/>
              <w:snapToGrid/>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核心产品</w:t>
            </w:r>
          </w:p>
          <w:p>
            <w:pPr>
              <w:pStyle w:val="22"/>
              <w:spacing w:line="360" w:lineRule="auto"/>
              <w:rPr>
                <w:rFonts w:hint="eastAsia"/>
              </w:rPr>
            </w:pPr>
            <w:r>
              <w:rPr>
                <w:rFonts w:hint="eastAsia" w:ascii="宋体" w:hAnsi="宋体" w:eastAsia="宋体" w:cs="宋体"/>
                <w:color w:val="auto"/>
                <w:sz w:val="21"/>
                <w:szCs w:val="21"/>
                <w:highlight w:val="none"/>
                <w:lang w:val="en-US" w:eastAsia="zh-CN"/>
              </w:rPr>
              <w:t>本分标</w:t>
            </w:r>
            <w:r>
              <w:rPr>
                <w:rFonts w:hint="eastAsia" w:ascii="宋体" w:hAnsi="宋体" w:eastAsia="宋体" w:cs="宋体"/>
                <w:color w:val="auto"/>
                <w:sz w:val="21"/>
                <w:szCs w:val="21"/>
                <w:highlight w:val="none"/>
              </w:rPr>
              <w:t>“采购清单及技术参数”表中的</w:t>
            </w:r>
            <w:r>
              <w:rPr>
                <w:rFonts w:hint="eastAsia" w:ascii="宋体" w:hAnsi="宋体" w:eastAsia="宋体" w:cs="宋体"/>
                <w:b/>
                <w:bCs/>
                <w:color w:val="auto"/>
                <w:sz w:val="21"/>
                <w:szCs w:val="21"/>
                <w:highlight w:val="none"/>
              </w:rPr>
              <w:t>第</w:t>
            </w:r>
            <w:r>
              <w:rPr>
                <w:rFonts w:hint="eastAsia" w:ascii="宋体" w:hAnsi="宋体" w:cs="宋体"/>
                <w:b/>
                <w:bCs/>
                <w:color w:val="auto"/>
                <w:sz w:val="21"/>
                <w:szCs w:val="21"/>
                <w:highlight w:val="none"/>
                <w:u w:val="none"/>
                <w:lang w:val="en-US" w:eastAsia="zh-CN"/>
              </w:rPr>
              <w:t>1</w:t>
            </w:r>
            <w:r>
              <w:rPr>
                <w:rFonts w:hint="eastAsia" w:ascii="宋体" w:hAnsi="宋体" w:eastAsia="宋体" w:cs="宋体"/>
                <w:b/>
                <w:bCs/>
                <w:color w:val="auto"/>
                <w:sz w:val="21"/>
                <w:szCs w:val="21"/>
                <w:highlight w:val="none"/>
              </w:rPr>
              <w:t>项</w:t>
            </w:r>
            <w:r>
              <w:rPr>
                <w:rFonts w:hint="eastAsia" w:ascii="宋体" w:hAnsi="宋体" w:eastAsia="宋体" w:cs="宋体"/>
                <w:b w:val="0"/>
                <w:bCs w:val="0"/>
                <w:color w:val="auto"/>
                <w:sz w:val="21"/>
                <w:szCs w:val="21"/>
                <w:highlight w:val="none"/>
                <w:lang w:val="en-US" w:eastAsia="zh-CN"/>
              </w:rPr>
              <w:t>所涉及的货物</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反搏泵</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为核心产品</w:t>
            </w:r>
            <w:r>
              <w:rPr>
                <w:rFonts w:hint="eastAsia" w:ascii="宋体" w:hAnsi="宋体" w:eastAsia="宋体" w:cs="宋体"/>
                <w:color w:val="auto"/>
                <w:sz w:val="21"/>
                <w:szCs w:val="21"/>
                <w:highlight w:val="none"/>
              </w:rPr>
              <w:t>。提供相同品牌产品且通过资格审查、符合性审查的不同投标人参加同一合同项下投标的，按一家投标人计算，评审后得分最高的同品牌投标人获得中标人推荐资格；评审得分相同的，评标价最低的同品牌投标人获得中标人推荐资格，评标价也相同的，由评标委员会以抽签方式确定中标候选人，其他同品牌投标人不作为中标候选人。</w:t>
            </w:r>
          </w:p>
          <w:p>
            <w:pPr>
              <w:pStyle w:val="156"/>
              <w:spacing w:line="360" w:lineRule="auto"/>
            </w:pPr>
            <w:r>
              <w:rPr>
                <w:rFonts w:hint="eastAsia" w:asciiTheme="majorEastAsia" w:hAnsiTheme="majorEastAsia" w:eastAsiaTheme="majorEastAsia" w:cstheme="majorEastAsia"/>
                <w:b/>
                <w:bCs/>
                <w:szCs w:val="21"/>
              </w:rPr>
              <w:t>注：以上标注“★”号的技术参数为重要技术参数，必须满足，否则，投标无效。</w:t>
            </w:r>
          </w:p>
        </w:tc>
      </w:tr>
    </w:tbl>
    <w:p>
      <w:pPr>
        <w:pStyle w:val="5"/>
        <w:ind w:left="0" w:leftChars="0" w:firstLine="0" w:firstLineChars="0"/>
        <w:rPr>
          <w:rFonts w:hint="eastAsia" w:eastAsia="宋体"/>
          <w:lang w:eastAsia="zh-CN"/>
        </w:rPr>
        <w:sectPr>
          <w:footerReference r:id="rId10" w:type="default"/>
          <w:pgSz w:w="11906" w:h="16838"/>
          <w:pgMar w:top="1134" w:right="1134" w:bottom="1134" w:left="1134" w:header="851" w:footer="992" w:gutter="0"/>
          <w:pgNumType w:start="1"/>
          <w:cols w:space="720" w:num="1"/>
          <w:docGrid w:type="lines" w:linePitch="312" w:charSpace="0"/>
        </w:sectPr>
      </w:pPr>
      <w:r>
        <w:rPr>
          <w:rFonts w:hint="eastAsia"/>
          <w:lang w:eastAsia="zh-CN"/>
        </w:rPr>
        <w:t xml:space="preserve"> </w:t>
      </w:r>
    </w:p>
    <w:bookmarkEnd w:id="18"/>
    <w:p>
      <w:pPr>
        <w:numPr>
          <w:ilvl w:val="0"/>
          <w:numId w:val="5"/>
        </w:numPr>
        <w:ind w:left="0" w:leftChars="0" w:firstLine="0" w:firstLineChars="0"/>
        <w:jc w:val="center"/>
        <w:rPr>
          <w:rStyle w:val="67"/>
          <w:rFonts w:hint="eastAsia"/>
          <w:highlight w:val="none"/>
        </w:rPr>
      </w:pPr>
      <w:bookmarkStart w:id="19" w:name="_Toc3268"/>
      <w:r>
        <w:rPr>
          <w:rStyle w:val="67"/>
          <w:rFonts w:hint="eastAsia"/>
          <w:highlight w:val="none"/>
        </w:rPr>
        <w:t xml:space="preserve"> 评标办法</w:t>
      </w:r>
      <w:bookmarkEnd w:id="19"/>
    </w:p>
    <w:p>
      <w:pPr>
        <w:pStyle w:val="60"/>
        <w:rPr>
          <w:rFonts w:hint="eastAsia" w:ascii="宋体" w:hAnsi="宋体" w:cs="宋体"/>
          <w:b/>
          <w:bCs w:val="0"/>
          <w:sz w:val="28"/>
          <w:szCs w:val="28"/>
          <w:lang w:val="en-US" w:eastAsia="zh-CN"/>
        </w:rPr>
      </w:pPr>
    </w:p>
    <w:p>
      <w:pPr>
        <w:pStyle w:val="60"/>
        <w:rPr>
          <w:rFonts w:hint="default" w:ascii="宋体" w:hAnsi="宋体" w:eastAsia="宋体" w:cs="宋体"/>
          <w:b/>
          <w:bCs w:val="0"/>
          <w:sz w:val="28"/>
          <w:szCs w:val="28"/>
          <w:lang w:val="en-US" w:eastAsia="zh-CN"/>
        </w:rPr>
      </w:pPr>
      <w:r>
        <w:rPr>
          <w:rFonts w:hint="eastAsia" w:ascii="宋体" w:hAnsi="宋体" w:cs="宋体"/>
          <w:b/>
          <w:bCs w:val="0"/>
          <w:sz w:val="28"/>
          <w:szCs w:val="28"/>
          <w:lang w:val="en-US" w:eastAsia="zh-CN"/>
        </w:rPr>
        <w:t>A、B分标：</w:t>
      </w:r>
    </w:p>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一、评审依据及方式</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1. 评审依据：</w:t>
      </w:r>
      <w:r>
        <w:rPr>
          <w:rFonts w:hint="eastAsia" w:ascii="宋体" w:hAnsi="宋体" w:eastAsia="宋体" w:cs="宋体"/>
          <w:sz w:val="21"/>
          <w:szCs w:val="21"/>
          <w:lang w:val="en-US" w:eastAsia="zh-CN"/>
        </w:rPr>
        <w:t>评标委员会</w:t>
      </w:r>
      <w:r>
        <w:rPr>
          <w:rFonts w:hint="eastAsia" w:ascii="宋体" w:hAnsi="宋体" w:eastAsia="宋体" w:cs="宋体"/>
          <w:sz w:val="21"/>
          <w:szCs w:val="21"/>
        </w:rPr>
        <w:t>以</w:t>
      </w:r>
      <w:r>
        <w:rPr>
          <w:rFonts w:hint="eastAsia" w:ascii="宋体" w:hAnsi="宋体" w:eastAsia="宋体" w:cs="宋体"/>
          <w:sz w:val="21"/>
          <w:szCs w:val="21"/>
          <w:lang w:val="en-US" w:eastAsia="zh-CN"/>
        </w:rPr>
        <w:t>招标</w:t>
      </w:r>
      <w:r>
        <w:rPr>
          <w:rFonts w:hint="eastAsia" w:ascii="宋体" w:hAnsi="宋体" w:eastAsia="宋体" w:cs="宋体"/>
          <w:sz w:val="21"/>
          <w:szCs w:val="21"/>
        </w:rPr>
        <w:t>文件和</w:t>
      </w:r>
      <w:r>
        <w:rPr>
          <w:rFonts w:hint="eastAsia" w:ascii="宋体" w:hAnsi="宋体" w:eastAsia="宋体" w:cs="宋体"/>
          <w:sz w:val="21"/>
          <w:szCs w:val="21"/>
          <w:lang w:val="en-US" w:eastAsia="zh-CN"/>
        </w:rPr>
        <w:t>投标</w:t>
      </w:r>
      <w:r>
        <w:rPr>
          <w:rFonts w:hint="eastAsia" w:ascii="宋体" w:hAnsi="宋体" w:eastAsia="宋体" w:cs="宋体"/>
          <w:sz w:val="21"/>
          <w:szCs w:val="21"/>
        </w:rPr>
        <w:t>文件为</w:t>
      </w:r>
      <w:r>
        <w:rPr>
          <w:rFonts w:hint="eastAsia" w:ascii="宋体" w:hAnsi="宋体" w:eastAsia="宋体" w:cs="宋体"/>
          <w:sz w:val="21"/>
          <w:szCs w:val="21"/>
          <w:lang w:eastAsia="zh-CN"/>
        </w:rPr>
        <w:t>评审</w:t>
      </w:r>
      <w:r>
        <w:rPr>
          <w:rFonts w:hint="eastAsia" w:ascii="宋体" w:hAnsi="宋体" w:eastAsia="宋体" w:cs="宋体"/>
          <w:sz w:val="21"/>
          <w:szCs w:val="21"/>
        </w:rPr>
        <w:t>依据，对供应商的</w:t>
      </w:r>
      <w:r>
        <w:rPr>
          <w:rFonts w:hint="eastAsia" w:ascii="宋体" w:hAnsi="宋体" w:eastAsia="宋体" w:cs="宋体"/>
          <w:sz w:val="21"/>
          <w:szCs w:val="21"/>
          <w:lang w:val="en-US" w:eastAsia="zh-CN"/>
        </w:rPr>
        <w:t>投标</w:t>
      </w:r>
      <w:r>
        <w:rPr>
          <w:rFonts w:hint="eastAsia" w:ascii="宋体" w:hAnsi="宋体" w:eastAsia="宋体" w:cs="宋体"/>
          <w:sz w:val="21"/>
          <w:szCs w:val="21"/>
        </w:rPr>
        <w:t>报价、技术、商务等三个方面内容按百分制打分。</w:t>
      </w:r>
    </w:p>
    <w:p>
      <w:pPr>
        <w:spacing w:line="360" w:lineRule="auto"/>
        <w:ind w:left="210" w:leftChars="100" w:firstLine="210" w:firstLineChars="100"/>
        <w:rPr>
          <w:rFonts w:hint="eastAsia" w:ascii="宋体" w:hAnsi="宋体" w:eastAsia="宋体" w:cs="宋体"/>
          <w:sz w:val="21"/>
          <w:szCs w:val="21"/>
        </w:rPr>
      </w:pPr>
      <w:r>
        <w:rPr>
          <w:rFonts w:hint="eastAsia" w:ascii="宋体" w:hAnsi="宋体" w:eastAsia="宋体" w:cs="宋体"/>
          <w:sz w:val="21"/>
          <w:szCs w:val="21"/>
        </w:rPr>
        <w:t>2. 评审方式：以封闭方式进行</w:t>
      </w:r>
      <w:r>
        <w:rPr>
          <w:rFonts w:hint="eastAsia" w:ascii="宋体" w:hAnsi="宋体" w:eastAsia="宋体" w:cs="宋体"/>
          <w:sz w:val="21"/>
          <w:szCs w:val="21"/>
          <w:lang w:eastAsia="zh-CN"/>
        </w:rPr>
        <w:t>评审</w:t>
      </w:r>
      <w:r>
        <w:rPr>
          <w:rFonts w:hint="eastAsia" w:ascii="宋体" w:hAnsi="宋体" w:eastAsia="宋体" w:cs="宋体"/>
          <w:sz w:val="21"/>
          <w:szCs w:val="21"/>
        </w:rPr>
        <w:t>。</w:t>
      </w:r>
    </w:p>
    <w:p>
      <w:pPr>
        <w:spacing w:line="360" w:lineRule="auto"/>
        <w:ind w:left="210" w:leftChars="100" w:firstLine="210" w:firstLineChars="100"/>
        <w:rPr>
          <w:rFonts w:hint="eastAsia" w:ascii="宋体" w:hAnsi="宋体" w:eastAsia="宋体" w:cs="宋体"/>
          <w:sz w:val="21"/>
          <w:szCs w:val="21"/>
        </w:rPr>
      </w:pPr>
      <w:r>
        <w:rPr>
          <w:rFonts w:hint="eastAsia" w:ascii="宋体" w:hAnsi="宋体" w:eastAsia="宋体" w:cs="宋体"/>
          <w:sz w:val="21"/>
          <w:szCs w:val="21"/>
        </w:rPr>
        <w:t>3. 根据财库〔2012〕69号文规定，采购人和采购代理机构、</w:t>
      </w:r>
      <w:r>
        <w:rPr>
          <w:rFonts w:hint="eastAsia" w:ascii="宋体" w:hAnsi="宋体" w:eastAsia="宋体" w:cs="宋体"/>
          <w:sz w:val="21"/>
          <w:szCs w:val="21"/>
          <w:lang w:eastAsia="zh-CN"/>
        </w:rPr>
        <w:t>评标委员会成员</w:t>
      </w:r>
      <w:r>
        <w:rPr>
          <w:rFonts w:hint="eastAsia" w:ascii="宋体" w:hAnsi="宋体" w:eastAsia="宋体" w:cs="宋体"/>
          <w:sz w:val="21"/>
          <w:szCs w:val="21"/>
        </w:rPr>
        <w:t>要严格遵守政府采购相关法律制度，依法履行各自职责，公正、客观、审慎地组织和参与评审工作。</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二、评审办法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（一）对进入详评的，采用综合评分法。</w:t>
      </w:r>
    </w:p>
    <w:p>
      <w:pPr>
        <w:pStyle w:val="27"/>
        <w:pBdr>
          <w:top w:val="none" w:color="auto" w:sz="0" w:space="1"/>
          <w:left w:val="none" w:color="auto" w:sz="0" w:space="4"/>
          <w:bottom w:val="none" w:color="auto" w:sz="0" w:space="1"/>
          <w:right w:val="none" w:color="auto" w:sz="0" w:space="4"/>
        </w:pBdr>
        <w:tabs>
          <w:tab w:val="left" w:pos="4214"/>
        </w:tabs>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（二）计分办法（按四舍五入取至小数点后二位）</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价格分………………………………………………………………………………</w:t>
      </w:r>
      <w:r>
        <w:rPr>
          <w:rFonts w:hint="eastAsia" w:ascii="宋体" w:hAnsi="宋体" w:eastAsia="宋体" w:cs="宋体"/>
          <w:b/>
          <w:bCs/>
          <w:sz w:val="21"/>
          <w:szCs w:val="21"/>
          <w:lang w:val="en-US" w:eastAsia="zh-CN"/>
        </w:rPr>
        <w:t>满分</w:t>
      </w:r>
      <w:r>
        <w:rPr>
          <w:rFonts w:hint="eastAsia" w:ascii="宋体" w:hAnsi="宋体" w:eastAsia="宋体" w:cs="宋体"/>
          <w:b/>
          <w:bCs/>
          <w:sz w:val="21"/>
          <w:szCs w:val="21"/>
        </w:rPr>
        <w:t>30分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（1）按照《政府采购促进中小企业发展管理办法》（财库[2020]46号）规定和《关于进一步加大政府采购支持中小企业力度的通知》（财库〔2022〕19号）规定：</w:t>
      </w:r>
    </w:p>
    <w:p>
      <w:pPr>
        <w:spacing w:line="360" w:lineRule="auto"/>
        <w:rPr>
          <w:rFonts w:hint="eastAsia" w:ascii="宋体" w:hAnsi="宋体" w:eastAsia="宋体" w:cs="宋体"/>
          <w:sz w:val="21"/>
          <w:szCs w:val="21"/>
        </w:rPr>
      </w:pPr>
      <w:r>
        <w:rPr>
          <w:rFonts w:hint="eastAsia" w:ascii="宋体" w:hAnsi="宋体" w:eastAsia="宋体" w:cs="宋体"/>
          <w:sz w:val="21"/>
          <w:szCs w:val="21"/>
        </w:rPr>
        <w:t>①对供应商认定为小型和微型企业且所投产品为小型、微型企业产品的（以投标文件提供的《中小企业声明函》为准），投标报价给予20%的扣除，扣除后的价格为评标报价，即评标报价=投标报价×（1-20%）；</w:t>
      </w:r>
    </w:p>
    <w:p>
      <w:pPr>
        <w:spacing w:line="360" w:lineRule="auto"/>
        <w:rPr>
          <w:rFonts w:hint="eastAsia" w:ascii="宋体" w:hAnsi="宋体" w:eastAsia="宋体" w:cs="宋体"/>
          <w:sz w:val="21"/>
          <w:szCs w:val="21"/>
        </w:rPr>
      </w:pPr>
      <w:r>
        <w:rPr>
          <w:rFonts w:hint="eastAsia" w:ascii="宋体" w:hAnsi="宋体" w:eastAsia="宋体" w:cs="宋体"/>
          <w:sz w:val="21"/>
          <w:szCs w:val="21"/>
        </w:rPr>
        <w:t>②除上述情况外，评标报价=投标报价。</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注：①小型、微型企业提供中型企业制造的货物的，视同为中型企业。</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 xml:space="preserve">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 xml:space="preserve"> ②评标报价为投标人的投标报价进行政策性扣除后的价格，评标报价只是作为评标时使用。最终中标人的中标金额＝投标报价。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根据《关于政府采购支持监狱企业发展有关问题的通知》（财库[2014]68号）、《关于促进残疾人就业政府采购政策的通知》（财库[2017]141号），监狱企业和符合条件的残疾人福利性单位视同小型、微型企业，享受小型、微型企业评审中价格扣除的政府采购政策。监狱企业和残疾人福利性单位属于小型、微型企业的，不重复享受政策。</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（3）以进入评标的最低的评标报价为30分。</w:t>
      </w:r>
    </w:p>
    <w:p>
      <w:pPr>
        <w:spacing w:line="360" w:lineRule="auto"/>
        <w:ind w:firstLine="2310" w:firstLineChars="1100"/>
        <w:rPr>
          <w:rFonts w:hint="eastAsia" w:ascii="宋体" w:hAnsi="宋体" w:eastAsia="宋体" w:cs="宋体"/>
          <w:sz w:val="21"/>
          <w:szCs w:val="21"/>
        </w:rPr>
      </w:pPr>
      <w:r>
        <w:rPr>
          <w:rFonts w:hint="eastAsia" w:ascii="宋体" w:hAnsi="宋体" w:eastAsia="宋体" w:cs="宋体"/>
          <w:sz w:val="21"/>
          <w:szCs w:val="21"/>
        </w:rPr>
        <w:t xml:space="preserve">供应商最低投标报价金额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（4）价格分 =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×30分</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供应商投标报价金额  </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2、技术分………………………………………………………………………………</w:t>
      </w:r>
      <w:r>
        <w:rPr>
          <w:rFonts w:hint="eastAsia" w:ascii="宋体" w:hAnsi="宋体" w:eastAsia="宋体" w:cs="宋体"/>
          <w:b/>
          <w:bCs/>
          <w:sz w:val="21"/>
          <w:szCs w:val="21"/>
          <w:lang w:val="en-US" w:eastAsia="zh-CN"/>
        </w:rPr>
        <w:t>满分</w:t>
      </w:r>
      <w:r>
        <w:rPr>
          <w:rFonts w:hint="eastAsia" w:ascii="宋体" w:hAnsi="宋体" w:eastAsia="宋体" w:cs="宋体"/>
          <w:b/>
          <w:bCs/>
          <w:sz w:val="21"/>
          <w:szCs w:val="21"/>
        </w:rPr>
        <w:t>4</w:t>
      </w:r>
      <w:r>
        <w:rPr>
          <w:rFonts w:hint="eastAsia" w:ascii="宋体" w:hAnsi="宋体" w:cs="宋体"/>
          <w:b/>
          <w:bCs/>
          <w:sz w:val="21"/>
          <w:szCs w:val="21"/>
          <w:lang w:val="en-US" w:eastAsia="zh-CN"/>
        </w:rPr>
        <w:t>5</w:t>
      </w:r>
      <w:r>
        <w:rPr>
          <w:rFonts w:hint="eastAsia" w:ascii="宋体" w:hAnsi="宋体" w:eastAsia="宋体" w:cs="宋体"/>
          <w:b/>
          <w:bCs/>
          <w:sz w:val="21"/>
          <w:szCs w:val="21"/>
        </w:rPr>
        <w:t>分</w:t>
      </w:r>
    </w:p>
    <w:p>
      <w:pPr>
        <w:pStyle w:val="16"/>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评委根据招标文件要求，对通过资格性和符合性审查进入详评的各投标人投标文件的“技术需求”响应情况进行独立评审，并按如下计分方式确定得分:</w:t>
      </w:r>
    </w:p>
    <w:p>
      <w:pPr>
        <w:pStyle w:val="27"/>
        <w:spacing w:line="360" w:lineRule="auto"/>
        <w:ind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rPr>
        <w:t>①基本分</w:t>
      </w:r>
      <w:r>
        <w:rPr>
          <w:rFonts w:hint="eastAsia" w:ascii="宋体" w:hAnsi="宋体" w:eastAsia="宋体" w:cs="宋体"/>
          <w:bCs/>
          <w:sz w:val="21"/>
          <w:szCs w:val="21"/>
          <w:lang w:eastAsia="zh-CN"/>
        </w:rPr>
        <w:t>：</w:t>
      </w:r>
      <w:r>
        <w:rPr>
          <w:rFonts w:hint="eastAsia" w:ascii="宋体" w:hAnsi="宋体" w:eastAsia="宋体" w:cs="宋体"/>
          <w:bCs/>
          <w:sz w:val="21"/>
          <w:szCs w:val="21"/>
        </w:rPr>
        <w:t>技术参数完全满足招标文件的前提下（所有技术参数无偏离或正偏离）的得满分4</w:t>
      </w:r>
      <w:r>
        <w:rPr>
          <w:rFonts w:hint="eastAsia" w:hAnsi="宋体" w:cs="宋体"/>
          <w:bCs/>
          <w:sz w:val="21"/>
          <w:szCs w:val="21"/>
          <w:lang w:val="en-US" w:eastAsia="zh-CN"/>
        </w:rPr>
        <w:t>5</w:t>
      </w:r>
      <w:r>
        <w:rPr>
          <w:rFonts w:hint="eastAsia" w:ascii="宋体" w:hAnsi="宋体" w:eastAsia="宋体" w:cs="宋体"/>
          <w:bCs/>
          <w:sz w:val="21"/>
          <w:szCs w:val="21"/>
        </w:rPr>
        <w:t>分</w:t>
      </w:r>
      <w:r>
        <w:rPr>
          <w:rFonts w:hint="eastAsia" w:ascii="宋体" w:hAnsi="宋体" w:eastAsia="宋体" w:cs="宋体"/>
          <w:bCs/>
          <w:sz w:val="21"/>
          <w:szCs w:val="21"/>
          <w:lang w:eastAsia="zh-CN"/>
        </w:rPr>
        <w:t>；</w:t>
      </w:r>
    </w:p>
    <w:p>
      <w:pPr>
        <w:pStyle w:val="27"/>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②负偏离扣分</w:t>
      </w:r>
      <w:r>
        <w:rPr>
          <w:rFonts w:hint="eastAsia" w:ascii="宋体" w:hAnsi="宋体" w:eastAsia="宋体" w:cs="宋体"/>
          <w:bCs/>
          <w:sz w:val="21"/>
          <w:szCs w:val="21"/>
          <w:lang w:eastAsia="zh-CN"/>
        </w:rPr>
        <w:t>：</w:t>
      </w:r>
      <w:r>
        <w:rPr>
          <w:rFonts w:hint="eastAsia" w:ascii="宋体" w:hAnsi="宋体" w:eastAsia="宋体" w:cs="宋体"/>
          <w:bCs/>
          <w:sz w:val="21"/>
          <w:szCs w:val="21"/>
        </w:rPr>
        <w:t>投标人对未标注“★”项条款发生负偏离的，每有一项扣5分</w:t>
      </w:r>
      <w:r>
        <w:rPr>
          <w:rFonts w:hint="eastAsia" w:ascii="宋体" w:hAnsi="宋体" w:eastAsia="宋体" w:cs="宋体"/>
          <w:bCs/>
          <w:sz w:val="21"/>
          <w:szCs w:val="21"/>
          <w:lang w:eastAsia="zh-CN"/>
        </w:rPr>
        <w:t>；</w:t>
      </w:r>
      <w:r>
        <w:rPr>
          <w:rFonts w:hint="eastAsia" w:ascii="宋体" w:hAnsi="宋体" w:eastAsia="宋体" w:cs="宋体"/>
          <w:bCs/>
          <w:sz w:val="21"/>
          <w:szCs w:val="21"/>
        </w:rPr>
        <w:t>本条最多扣4</w:t>
      </w:r>
      <w:r>
        <w:rPr>
          <w:rFonts w:hint="eastAsia" w:hAnsi="宋体" w:cs="宋体"/>
          <w:bCs/>
          <w:sz w:val="21"/>
          <w:szCs w:val="21"/>
          <w:lang w:val="en-US" w:eastAsia="zh-CN"/>
        </w:rPr>
        <w:t>5</w:t>
      </w:r>
      <w:r>
        <w:rPr>
          <w:rFonts w:hint="eastAsia" w:ascii="宋体" w:hAnsi="宋体" w:eastAsia="宋体" w:cs="宋体"/>
          <w:bCs/>
          <w:sz w:val="21"/>
          <w:szCs w:val="21"/>
        </w:rPr>
        <w:t>分。</w:t>
      </w:r>
    </w:p>
    <w:p>
      <w:pPr>
        <w:pStyle w:val="27"/>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val="0"/>
          <w:sz w:val="21"/>
          <w:szCs w:val="21"/>
          <w:lang w:val="en-US" w:eastAsia="zh-CN"/>
        </w:rPr>
        <w:t>3、商务分</w:t>
      </w:r>
      <w:r>
        <w:rPr>
          <w:rFonts w:hint="eastAsia" w:ascii="宋体" w:hAnsi="宋体" w:eastAsia="宋体" w:cs="宋体"/>
          <w:b/>
          <w:bCs w:val="0"/>
          <w:sz w:val="21"/>
          <w:szCs w:val="21"/>
        </w:rPr>
        <w:t>………</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满分</w:t>
      </w:r>
      <w:r>
        <w:rPr>
          <w:rFonts w:hint="eastAsia" w:hAnsi="宋体" w:cs="宋体"/>
          <w:b/>
          <w:bCs/>
          <w:sz w:val="21"/>
          <w:szCs w:val="21"/>
          <w:lang w:val="en-US" w:eastAsia="zh-CN"/>
        </w:rPr>
        <w:t>25</w:t>
      </w:r>
      <w:r>
        <w:rPr>
          <w:rFonts w:hint="eastAsia" w:ascii="宋体" w:hAnsi="宋体" w:eastAsia="宋体" w:cs="宋体"/>
          <w:b/>
          <w:bCs/>
          <w:sz w:val="21"/>
          <w:szCs w:val="21"/>
        </w:rPr>
        <w:t>分</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（1）售后服务方案分（满分13分）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评标委员会根据投标人提供的售后服务方案【包括但不限于：①到达故障现场时间；②售后人员配备情况；③故障出现解决方案；④定期维护（注明时间）；⑤免费技术培训方案；⑥免费保修（维护）期外维修方案；⑦本地化售后服务措施；⑧其他优惠措施、安装要求及方案等】内容进行独立评审并独立打分，最多得13分：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一档（1分）：上述①</w:t>
      </w:r>
      <w:r>
        <w:rPr>
          <w:rFonts w:hint="eastAsia" w:ascii="宋体" w:hAnsi="宋体" w:cs="宋体"/>
          <w:sz w:val="21"/>
          <w:szCs w:val="21"/>
          <w:lang w:val="en-US" w:eastAsia="zh-CN"/>
        </w:rPr>
        <w:t>-</w:t>
      </w:r>
      <w:r>
        <w:rPr>
          <w:rFonts w:hint="eastAsia" w:ascii="宋体" w:hAnsi="宋体" w:eastAsia="宋体" w:cs="宋体"/>
          <w:sz w:val="21"/>
          <w:szCs w:val="21"/>
        </w:rPr>
        <w:t>⑦</w:t>
      </w:r>
      <w:r>
        <w:rPr>
          <w:rFonts w:hint="eastAsia" w:ascii="宋体" w:hAnsi="宋体" w:cs="宋体"/>
          <w:sz w:val="21"/>
          <w:szCs w:val="21"/>
          <w:lang w:val="en-US" w:eastAsia="zh-CN"/>
        </w:rPr>
        <w:t>项</w:t>
      </w:r>
      <w:r>
        <w:rPr>
          <w:rFonts w:hint="eastAsia" w:ascii="宋体" w:hAnsi="宋体" w:eastAsia="宋体" w:cs="宋体"/>
          <w:sz w:val="21"/>
          <w:szCs w:val="21"/>
        </w:rPr>
        <w:t>评审因素经评审合理</w:t>
      </w:r>
      <w:r>
        <w:rPr>
          <w:rFonts w:hint="eastAsia" w:ascii="宋体" w:hAnsi="宋体" w:cs="宋体"/>
          <w:sz w:val="21"/>
          <w:szCs w:val="21"/>
          <w:lang w:val="en-US" w:eastAsia="zh-CN"/>
        </w:rPr>
        <w:t>但没有一项优秀</w:t>
      </w:r>
      <w:r>
        <w:rPr>
          <w:rFonts w:hint="eastAsia" w:ascii="宋体" w:hAnsi="宋体" w:eastAsia="宋体" w:cs="宋体"/>
          <w:sz w:val="21"/>
          <w:szCs w:val="21"/>
        </w:rPr>
        <w:t>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二档（3分）：上述①</w:t>
      </w:r>
      <w:r>
        <w:rPr>
          <w:rFonts w:hint="eastAsia" w:ascii="宋体" w:hAnsi="宋体" w:cs="宋体"/>
          <w:sz w:val="21"/>
          <w:szCs w:val="21"/>
          <w:lang w:val="en-US" w:eastAsia="zh-CN"/>
        </w:rPr>
        <w:t>-</w:t>
      </w:r>
      <w:r>
        <w:rPr>
          <w:rFonts w:hint="eastAsia" w:ascii="宋体" w:hAnsi="宋体" w:eastAsia="宋体" w:cs="宋体"/>
          <w:sz w:val="21"/>
          <w:szCs w:val="21"/>
        </w:rPr>
        <w:t>⑦</w:t>
      </w:r>
      <w:r>
        <w:rPr>
          <w:rFonts w:hint="eastAsia" w:ascii="宋体" w:hAnsi="宋体" w:cs="宋体"/>
          <w:sz w:val="21"/>
          <w:szCs w:val="21"/>
          <w:lang w:val="en-US" w:eastAsia="zh-CN"/>
        </w:rPr>
        <w:t>项</w:t>
      </w:r>
      <w:r>
        <w:rPr>
          <w:rFonts w:hint="eastAsia" w:ascii="宋体" w:hAnsi="宋体" w:eastAsia="宋体" w:cs="宋体"/>
          <w:sz w:val="21"/>
          <w:szCs w:val="21"/>
        </w:rPr>
        <w:t>评审因素经评审合理</w:t>
      </w:r>
      <w:r>
        <w:rPr>
          <w:rFonts w:hint="eastAsia" w:ascii="宋体" w:hAnsi="宋体" w:cs="宋体"/>
          <w:sz w:val="21"/>
          <w:szCs w:val="21"/>
          <w:lang w:val="en-US" w:eastAsia="zh-CN"/>
        </w:rPr>
        <w:t>且有两项优秀</w:t>
      </w:r>
      <w:r>
        <w:rPr>
          <w:rFonts w:hint="eastAsia" w:ascii="宋体" w:hAnsi="宋体" w:eastAsia="宋体" w:cs="宋体"/>
          <w:sz w:val="21"/>
          <w:szCs w:val="21"/>
        </w:rPr>
        <w:t xml:space="preserve">的。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三档（5分）：上述①</w:t>
      </w:r>
      <w:r>
        <w:rPr>
          <w:rFonts w:hint="eastAsia" w:ascii="宋体" w:hAnsi="宋体" w:cs="宋体"/>
          <w:sz w:val="21"/>
          <w:szCs w:val="21"/>
          <w:lang w:val="en-US" w:eastAsia="zh-CN"/>
        </w:rPr>
        <w:t>-</w:t>
      </w:r>
      <w:r>
        <w:rPr>
          <w:rFonts w:hint="eastAsia" w:ascii="宋体" w:hAnsi="宋体" w:eastAsia="宋体" w:cs="宋体"/>
          <w:sz w:val="21"/>
          <w:szCs w:val="21"/>
        </w:rPr>
        <w:t>⑦</w:t>
      </w:r>
      <w:r>
        <w:rPr>
          <w:rFonts w:hint="eastAsia" w:ascii="宋体" w:hAnsi="宋体" w:cs="宋体"/>
          <w:sz w:val="21"/>
          <w:szCs w:val="21"/>
          <w:lang w:val="en-US" w:eastAsia="zh-CN"/>
        </w:rPr>
        <w:t>项</w:t>
      </w:r>
      <w:r>
        <w:rPr>
          <w:rFonts w:hint="eastAsia" w:ascii="宋体" w:hAnsi="宋体" w:eastAsia="宋体" w:cs="宋体"/>
          <w:sz w:val="21"/>
          <w:szCs w:val="21"/>
        </w:rPr>
        <w:t>评审因素经评审合理</w:t>
      </w:r>
      <w:r>
        <w:rPr>
          <w:rFonts w:hint="eastAsia" w:ascii="宋体" w:hAnsi="宋体" w:cs="宋体"/>
          <w:sz w:val="21"/>
          <w:szCs w:val="21"/>
          <w:lang w:val="en-US" w:eastAsia="zh-CN"/>
        </w:rPr>
        <w:t>且</w:t>
      </w:r>
      <w:r>
        <w:rPr>
          <w:rFonts w:hint="eastAsia" w:ascii="宋体" w:hAnsi="宋体" w:eastAsia="宋体" w:cs="宋体"/>
          <w:sz w:val="21"/>
          <w:szCs w:val="21"/>
        </w:rPr>
        <w:t>有三项</w:t>
      </w:r>
      <w:r>
        <w:rPr>
          <w:rFonts w:hint="eastAsia" w:ascii="宋体" w:hAnsi="宋体" w:cs="宋体"/>
          <w:sz w:val="21"/>
          <w:szCs w:val="21"/>
          <w:lang w:val="en-US" w:eastAsia="zh-CN"/>
        </w:rPr>
        <w:t>优秀</w:t>
      </w:r>
      <w:r>
        <w:rPr>
          <w:rFonts w:hint="eastAsia" w:ascii="宋体" w:hAnsi="宋体" w:eastAsia="宋体" w:cs="宋体"/>
          <w:sz w:val="21"/>
          <w:szCs w:val="21"/>
        </w:rPr>
        <w:t>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四档（7分）：上述①</w:t>
      </w:r>
      <w:r>
        <w:rPr>
          <w:rFonts w:hint="eastAsia" w:ascii="宋体" w:hAnsi="宋体" w:cs="宋体"/>
          <w:sz w:val="21"/>
          <w:szCs w:val="21"/>
          <w:lang w:val="en-US" w:eastAsia="zh-CN"/>
        </w:rPr>
        <w:t>-</w:t>
      </w:r>
      <w:r>
        <w:rPr>
          <w:rFonts w:hint="eastAsia" w:ascii="宋体" w:hAnsi="宋体" w:eastAsia="宋体" w:cs="宋体"/>
          <w:sz w:val="21"/>
          <w:szCs w:val="21"/>
        </w:rPr>
        <w:t>⑦</w:t>
      </w:r>
      <w:r>
        <w:rPr>
          <w:rFonts w:hint="eastAsia" w:ascii="宋体" w:hAnsi="宋体" w:cs="宋体"/>
          <w:sz w:val="21"/>
          <w:szCs w:val="21"/>
          <w:lang w:val="en-US" w:eastAsia="zh-CN"/>
        </w:rPr>
        <w:t>项</w:t>
      </w:r>
      <w:r>
        <w:rPr>
          <w:rFonts w:hint="eastAsia" w:ascii="宋体" w:hAnsi="宋体" w:eastAsia="宋体" w:cs="宋体"/>
          <w:sz w:val="21"/>
          <w:szCs w:val="21"/>
        </w:rPr>
        <w:t>评审因素经评审合理</w:t>
      </w:r>
      <w:r>
        <w:rPr>
          <w:rFonts w:hint="eastAsia" w:ascii="宋体" w:hAnsi="宋体" w:cs="宋体"/>
          <w:sz w:val="21"/>
          <w:szCs w:val="21"/>
          <w:lang w:val="en-US" w:eastAsia="zh-CN"/>
        </w:rPr>
        <w:t>且</w:t>
      </w:r>
      <w:r>
        <w:rPr>
          <w:rFonts w:hint="eastAsia" w:ascii="宋体" w:hAnsi="宋体" w:eastAsia="宋体" w:cs="宋体"/>
          <w:sz w:val="21"/>
          <w:szCs w:val="21"/>
        </w:rPr>
        <w:t>有四项</w:t>
      </w:r>
      <w:r>
        <w:rPr>
          <w:rFonts w:hint="eastAsia" w:ascii="宋体" w:hAnsi="宋体" w:cs="宋体"/>
          <w:sz w:val="21"/>
          <w:szCs w:val="21"/>
          <w:lang w:val="en-US" w:eastAsia="zh-CN"/>
        </w:rPr>
        <w:t>优秀</w:t>
      </w:r>
      <w:r>
        <w:rPr>
          <w:rFonts w:hint="eastAsia" w:ascii="宋体" w:hAnsi="宋体" w:eastAsia="宋体" w:cs="宋体"/>
          <w:sz w:val="21"/>
          <w:szCs w:val="21"/>
        </w:rPr>
        <w:t>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五档（9分）：上述①</w:t>
      </w:r>
      <w:r>
        <w:rPr>
          <w:rFonts w:hint="eastAsia" w:ascii="宋体" w:hAnsi="宋体" w:cs="宋体"/>
          <w:sz w:val="21"/>
          <w:szCs w:val="21"/>
          <w:lang w:val="en-US" w:eastAsia="zh-CN"/>
        </w:rPr>
        <w:t>-</w:t>
      </w:r>
      <w:r>
        <w:rPr>
          <w:rFonts w:hint="eastAsia" w:ascii="宋体" w:hAnsi="宋体" w:eastAsia="宋体" w:cs="宋体"/>
          <w:sz w:val="21"/>
          <w:szCs w:val="21"/>
        </w:rPr>
        <w:t>⑦</w:t>
      </w:r>
      <w:r>
        <w:rPr>
          <w:rFonts w:hint="eastAsia" w:ascii="宋体" w:hAnsi="宋体" w:cs="宋体"/>
          <w:sz w:val="21"/>
          <w:szCs w:val="21"/>
          <w:lang w:val="en-US" w:eastAsia="zh-CN"/>
        </w:rPr>
        <w:t>项</w:t>
      </w:r>
      <w:r>
        <w:rPr>
          <w:rFonts w:hint="eastAsia" w:ascii="宋体" w:hAnsi="宋体" w:eastAsia="宋体" w:cs="宋体"/>
          <w:sz w:val="21"/>
          <w:szCs w:val="21"/>
        </w:rPr>
        <w:t>评审因素经评审合理</w:t>
      </w:r>
      <w:r>
        <w:rPr>
          <w:rFonts w:hint="eastAsia" w:ascii="宋体" w:hAnsi="宋体" w:cs="宋体"/>
          <w:sz w:val="21"/>
          <w:szCs w:val="21"/>
          <w:lang w:val="en-US" w:eastAsia="zh-CN"/>
        </w:rPr>
        <w:t>且</w:t>
      </w:r>
      <w:r>
        <w:rPr>
          <w:rFonts w:hint="eastAsia" w:ascii="宋体" w:hAnsi="宋体" w:eastAsia="宋体" w:cs="宋体"/>
          <w:sz w:val="21"/>
          <w:szCs w:val="21"/>
        </w:rPr>
        <w:t>有五项</w:t>
      </w:r>
      <w:r>
        <w:rPr>
          <w:rFonts w:hint="eastAsia" w:ascii="宋体" w:hAnsi="宋体" w:cs="宋体"/>
          <w:sz w:val="21"/>
          <w:szCs w:val="21"/>
          <w:lang w:val="en-US" w:eastAsia="zh-CN"/>
        </w:rPr>
        <w:t>优秀</w:t>
      </w:r>
      <w:r>
        <w:rPr>
          <w:rFonts w:hint="eastAsia" w:ascii="宋体" w:hAnsi="宋体" w:eastAsia="宋体" w:cs="宋体"/>
          <w:sz w:val="21"/>
          <w:szCs w:val="21"/>
        </w:rPr>
        <w:t>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六档（11分）：上述①</w:t>
      </w:r>
      <w:r>
        <w:rPr>
          <w:rFonts w:hint="eastAsia" w:ascii="宋体" w:hAnsi="宋体" w:cs="宋体"/>
          <w:sz w:val="21"/>
          <w:szCs w:val="21"/>
          <w:lang w:val="en-US" w:eastAsia="zh-CN"/>
        </w:rPr>
        <w:t>-</w:t>
      </w:r>
      <w:r>
        <w:rPr>
          <w:rFonts w:hint="eastAsia" w:ascii="宋体" w:hAnsi="宋体" w:eastAsia="宋体" w:cs="宋体"/>
          <w:sz w:val="21"/>
          <w:szCs w:val="21"/>
        </w:rPr>
        <w:t>⑦</w:t>
      </w:r>
      <w:r>
        <w:rPr>
          <w:rFonts w:hint="eastAsia" w:ascii="宋体" w:hAnsi="宋体" w:cs="宋体"/>
          <w:sz w:val="21"/>
          <w:szCs w:val="21"/>
          <w:lang w:val="en-US" w:eastAsia="zh-CN"/>
        </w:rPr>
        <w:t>项</w:t>
      </w:r>
      <w:r>
        <w:rPr>
          <w:rFonts w:hint="eastAsia" w:ascii="宋体" w:hAnsi="宋体" w:eastAsia="宋体" w:cs="宋体"/>
          <w:sz w:val="21"/>
          <w:szCs w:val="21"/>
        </w:rPr>
        <w:t>评审因素经评审合理</w:t>
      </w:r>
      <w:r>
        <w:rPr>
          <w:rFonts w:hint="eastAsia" w:ascii="宋体" w:hAnsi="宋体" w:cs="宋体"/>
          <w:sz w:val="21"/>
          <w:szCs w:val="21"/>
          <w:lang w:val="en-US" w:eastAsia="zh-CN"/>
        </w:rPr>
        <w:t>且</w:t>
      </w:r>
      <w:r>
        <w:rPr>
          <w:rFonts w:hint="eastAsia" w:ascii="宋体" w:hAnsi="宋体" w:eastAsia="宋体" w:cs="宋体"/>
          <w:sz w:val="21"/>
          <w:szCs w:val="21"/>
        </w:rPr>
        <w:t>有六项</w:t>
      </w:r>
      <w:r>
        <w:rPr>
          <w:rFonts w:hint="eastAsia" w:ascii="宋体" w:hAnsi="宋体" w:cs="宋体"/>
          <w:sz w:val="21"/>
          <w:szCs w:val="21"/>
          <w:lang w:val="en-US" w:eastAsia="zh-CN"/>
        </w:rPr>
        <w:t>优秀</w:t>
      </w:r>
      <w:r>
        <w:rPr>
          <w:rFonts w:hint="eastAsia" w:ascii="宋体" w:hAnsi="宋体" w:eastAsia="宋体" w:cs="宋体"/>
          <w:sz w:val="21"/>
          <w:szCs w:val="21"/>
        </w:rPr>
        <w:t>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七档（13分）：上述①</w:t>
      </w:r>
      <w:r>
        <w:rPr>
          <w:rFonts w:hint="eastAsia" w:ascii="宋体" w:hAnsi="宋体" w:cs="宋体"/>
          <w:sz w:val="21"/>
          <w:szCs w:val="21"/>
          <w:lang w:val="en-US" w:eastAsia="zh-CN"/>
        </w:rPr>
        <w:t>-</w:t>
      </w:r>
      <w:r>
        <w:rPr>
          <w:rFonts w:hint="eastAsia" w:ascii="宋体" w:hAnsi="宋体" w:eastAsia="宋体" w:cs="宋体"/>
          <w:sz w:val="21"/>
          <w:szCs w:val="21"/>
        </w:rPr>
        <w:t>⑦</w:t>
      </w:r>
      <w:r>
        <w:rPr>
          <w:rFonts w:hint="eastAsia" w:ascii="宋体" w:hAnsi="宋体" w:cs="宋体"/>
          <w:sz w:val="21"/>
          <w:szCs w:val="21"/>
          <w:lang w:val="en-US" w:eastAsia="zh-CN"/>
        </w:rPr>
        <w:t>项</w:t>
      </w:r>
      <w:r>
        <w:rPr>
          <w:rFonts w:hint="eastAsia" w:ascii="宋体" w:hAnsi="宋体" w:eastAsia="宋体" w:cs="宋体"/>
          <w:sz w:val="21"/>
          <w:szCs w:val="21"/>
        </w:rPr>
        <w:t>评审因素经评审合理</w:t>
      </w:r>
      <w:r>
        <w:rPr>
          <w:rFonts w:hint="eastAsia" w:ascii="宋体" w:hAnsi="宋体" w:cs="宋体"/>
          <w:sz w:val="21"/>
          <w:szCs w:val="21"/>
          <w:lang w:val="en-US" w:eastAsia="zh-CN"/>
        </w:rPr>
        <w:t>且</w:t>
      </w:r>
      <w:r>
        <w:rPr>
          <w:rFonts w:hint="eastAsia" w:ascii="宋体" w:hAnsi="宋体" w:eastAsia="宋体" w:cs="宋体"/>
          <w:sz w:val="21"/>
          <w:szCs w:val="21"/>
        </w:rPr>
        <w:t>有七项或者七项</w:t>
      </w:r>
      <w:r>
        <w:rPr>
          <w:rFonts w:hint="eastAsia" w:ascii="宋体" w:hAnsi="宋体" w:cs="宋体"/>
          <w:sz w:val="21"/>
          <w:szCs w:val="21"/>
          <w:lang w:val="en-US" w:eastAsia="zh-CN"/>
        </w:rPr>
        <w:t>以上优秀</w:t>
      </w:r>
      <w:r>
        <w:rPr>
          <w:rFonts w:hint="eastAsia" w:ascii="宋体" w:hAnsi="宋体" w:eastAsia="宋体" w:cs="宋体"/>
          <w:sz w:val="21"/>
          <w:szCs w:val="21"/>
        </w:rPr>
        <w:t>的。</w:t>
      </w:r>
      <w:r>
        <w:rPr>
          <w:rFonts w:hint="eastAsia" w:ascii="宋体" w:hAnsi="宋体" w:eastAsia="宋体" w:cs="宋体"/>
          <w:b/>
          <w:bCs/>
          <w:sz w:val="21"/>
          <w:szCs w:val="21"/>
        </w:rPr>
        <w:t xml:space="preserve"> </w:t>
      </w:r>
      <w:r>
        <w:rPr>
          <w:rFonts w:hint="eastAsia" w:ascii="宋体" w:hAnsi="宋体" w:eastAsia="宋体" w:cs="宋体"/>
          <w:sz w:val="21"/>
          <w:szCs w:val="21"/>
        </w:rPr>
        <w:t xml:space="preserve">   </w:t>
      </w:r>
    </w:p>
    <w:p>
      <w:pPr>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（2）综合实力分（满分6分）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①投标人或其投标产品生产厂家通过ISO14001环境管理体系认证的，每项产品得</w:t>
      </w:r>
      <w:r>
        <w:rPr>
          <w:rFonts w:hint="eastAsia" w:ascii="宋体" w:hAnsi="宋体" w:eastAsia="宋体" w:cs="宋体"/>
          <w:sz w:val="21"/>
          <w:szCs w:val="21"/>
          <w:lang w:val="en-US" w:eastAsia="zh-CN"/>
        </w:rPr>
        <w:t>3</w:t>
      </w:r>
      <w:r>
        <w:rPr>
          <w:rFonts w:hint="eastAsia" w:ascii="宋体" w:hAnsi="宋体" w:eastAsia="宋体" w:cs="宋体"/>
          <w:sz w:val="21"/>
          <w:szCs w:val="21"/>
        </w:rPr>
        <w:t>分，满分</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②投标人或其投标产品生产厂家通过ISO13485医疗器械质量管理体系认证的，每项产品得</w:t>
      </w:r>
      <w:r>
        <w:rPr>
          <w:rFonts w:hint="eastAsia" w:ascii="宋体" w:hAnsi="宋体" w:eastAsia="宋体" w:cs="宋体"/>
          <w:sz w:val="21"/>
          <w:szCs w:val="21"/>
          <w:lang w:val="en-US" w:eastAsia="zh-CN"/>
        </w:rPr>
        <w:t>3</w:t>
      </w:r>
      <w:r>
        <w:rPr>
          <w:rFonts w:hint="eastAsia" w:ascii="宋体" w:hAnsi="宋体" w:eastAsia="宋体" w:cs="宋体"/>
          <w:sz w:val="21"/>
          <w:szCs w:val="21"/>
        </w:rPr>
        <w:t>分，满分</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备注：提供证书复印件并加盖投标单位公章，否则不予计分。</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（3）制造商授权评价分(满分</w:t>
      </w:r>
      <w:r>
        <w:rPr>
          <w:rFonts w:hint="eastAsia" w:ascii="宋体" w:hAnsi="宋体" w:cs="宋体"/>
          <w:b/>
          <w:bCs/>
          <w:sz w:val="21"/>
          <w:szCs w:val="21"/>
          <w:lang w:val="en-US" w:eastAsia="zh-CN"/>
        </w:rPr>
        <w:t>4</w:t>
      </w:r>
      <w:r>
        <w:rPr>
          <w:rFonts w:hint="eastAsia" w:ascii="宋体" w:hAnsi="宋体" w:eastAsia="宋体" w:cs="宋体"/>
          <w:b/>
          <w:bCs/>
          <w:sz w:val="21"/>
          <w:szCs w:val="21"/>
        </w:rPr>
        <w:t>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评标委员会根据供应商提供产品生产制造商或有效授权单位（</w:t>
      </w:r>
      <w:r>
        <w:rPr>
          <w:rFonts w:hint="eastAsia" w:ascii="宋体" w:hAnsi="宋体" w:eastAsia="宋体" w:cs="宋体"/>
          <w:b/>
          <w:bCs/>
          <w:sz w:val="21"/>
          <w:szCs w:val="21"/>
        </w:rPr>
        <w:t>提供证明材料</w:t>
      </w:r>
      <w:r>
        <w:rPr>
          <w:rFonts w:hint="eastAsia" w:ascii="宋体" w:hAnsi="宋体" w:eastAsia="宋体" w:cs="宋体"/>
          <w:sz w:val="21"/>
          <w:szCs w:val="21"/>
        </w:rPr>
        <w:t>）针对本项目出具的有效销售授权书进行评价。（</w:t>
      </w:r>
      <w:r>
        <w:rPr>
          <w:rFonts w:hint="eastAsia" w:ascii="宋体" w:hAnsi="宋体" w:eastAsia="宋体" w:cs="宋体"/>
          <w:b/>
          <w:bCs/>
          <w:sz w:val="21"/>
          <w:szCs w:val="21"/>
        </w:rPr>
        <w:t>须注明产品名称及型号</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一档：供应商未提供制造商授权，得0分；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二挡：供应商提供产品生产制造商或有效授权单位（</w:t>
      </w:r>
      <w:r>
        <w:rPr>
          <w:rFonts w:hint="eastAsia" w:ascii="宋体" w:hAnsi="宋体" w:eastAsia="宋体" w:cs="宋体"/>
          <w:b/>
          <w:bCs/>
          <w:sz w:val="21"/>
          <w:szCs w:val="21"/>
        </w:rPr>
        <w:t>提供证明材料</w:t>
      </w:r>
      <w:r>
        <w:rPr>
          <w:rFonts w:hint="eastAsia" w:ascii="宋体" w:hAnsi="宋体" w:eastAsia="宋体" w:cs="宋体"/>
          <w:sz w:val="21"/>
          <w:szCs w:val="21"/>
        </w:rPr>
        <w:t>），注明产品名称及型号，得</w:t>
      </w:r>
      <w:r>
        <w:rPr>
          <w:rFonts w:hint="eastAsia" w:ascii="宋体" w:hAnsi="宋体" w:cs="宋体"/>
          <w:sz w:val="21"/>
          <w:szCs w:val="21"/>
          <w:lang w:val="en-US" w:eastAsia="zh-CN"/>
        </w:rPr>
        <w:t>4</w:t>
      </w:r>
      <w:r>
        <w:rPr>
          <w:rFonts w:hint="eastAsia" w:ascii="宋体" w:hAnsi="宋体" w:eastAsia="宋体" w:cs="宋体"/>
          <w:sz w:val="21"/>
          <w:szCs w:val="21"/>
        </w:rPr>
        <w:t>分。</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（4）政策功能分（节能、环保等）（满分2分）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节能产品分（满分1分）：属于财政部《节能产品政府采购品目清单》内优先采购（清单内未标注“★”的品目）的产品[投标文件中提供有效的认证证书复印件及品目清单（标注出投标产品在品目清单中所属的品目），并加盖投标人公章]，根据其所占项目（或者分标）预算金额比例得0至1分，满分1分。非节能产品的不得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环保标志产品分（满分1分）：属于财政部《环境标志产品政府采购品目清单》内的产品[投标文件中提供有效的认证证书复印件及品目清单（标注出投标产品在品目清单中所属的品目），并加盖投标人公章]，根据其所占项目（或者分标）预算金额比例得0至1分，满分1分；非环境标志产品的不得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（三）总得分＝1＋2＋3</w:t>
      </w:r>
    </w:p>
    <w:p>
      <w:pPr>
        <w:pStyle w:val="27"/>
        <w:spacing w:line="360" w:lineRule="auto"/>
        <w:rPr>
          <w:rFonts w:hint="eastAsia" w:ascii="宋体" w:hAnsi="宋体" w:eastAsia="宋体" w:cs="宋体"/>
          <w:b/>
          <w:sz w:val="21"/>
          <w:szCs w:val="21"/>
        </w:rPr>
      </w:pPr>
      <w:r>
        <w:rPr>
          <w:rFonts w:hint="eastAsia" w:ascii="宋体" w:hAnsi="宋体" w:eastAsia="宋体" w:cs="宋体"/>
          <w:b/>
          <w:sz w:val="21"/>
          <w:szCs w:val="21"/>
        </w:rPr>
        <w:t>三、中标候选人推荐原则</w:t>
      </w:r>
    </w:p>
    <w:p>
      <w:pPr>
        <w:pStyle w:val="27"/>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rPr>
        <w:t>（一）</w:t>
      </w:r>
      <w:r>
        <w:rPr>
          <w:rFonts w:hint="eastAsia" w:ascii="宋体" w:hAnsi="宋体" w:eastAsia="宋体" w:cs="宋体"/>
          <w:bCs/>
          <w:sz w:val="21"/>
          <w:szCs w:val="21"/>
          <w:highlight w:val="none"/>
        </w:rPr>
        <w:t xml:space="preserve">评标委员会将根据总得分由高到低排列次序并推荐中标候选供应商（总得分相同时，依次按投标报价低优先、技术分高优先、售后服务方案分高优先、综合实力分高优先、制造商授权评价分高优先、政策功能分（节能、环保等）高优先的顺序排列）。       </w:t>
      </w:r>
    </w:p>
    <w:p>
      <w:pPr>
        <w:pStyle w:val="27"/>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二）招标采购单位应当确定评审委员会推荐排名第一的中标候选人为中标人。排名第一的中标候选人放弃中标、因不可抗力提出不能履行合同的，招标采购单位可以确定排名第二的中标候选人为中标人。排名第二的中标候选人因前款规定的同样原因不能签订合同的，招标采购单位可以确定排名第三的中标候选人为中标人，其余以此类推。采购人也可以决定重新采购。</w:t>
      </w:r>
    </w:p>
    <w:p>
      <w:pPr>
        <w:pStyle w:val="27"/>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三）评标委员会认为投标供应商的报价明显低于其他通过符合性审查投标供应商的报价，有可能影响产品质量或者不能诚信履约的，应当要求其在评标现场合理的时间内提供书面说明。投标供应商不能证明其报价合理性的，评标委员会应当将其作为无效投标处理。</w:t>
      </w:r>
    </w:p>
    <w:p>
      <w:pPr>
        <w:pStyle w:val="16"/>
        <w:ind w:left="0" w:leftChars="0" w:firstLine="0" w:firstLineChars="0"/>
        <w:rPr>
          <w:rFonts w:hint="eastAsia" w:ascii="宋体" w:hAnsi="宋体" w:eastAsia="宋体" w:cs="宋体"/>
          <w:bCs/>
          <w:sz w:val="21"/>
          <w:szCs w:val="21"/>
        </w:rPr>
      </w:pPr>
    </w:p>
    <w:p>
      <w:pPr>
        <w:rPr>
          <w:rFonts w:hint="eastAsia" w:ascii="宋体" w:hAnsi="宋体" w:eastAsia="宋体" w:cs="宋体"/>
          <w:bCs/>
          <w:sz w:val="21"/>
          <w:szCs w:val="21"/>
        </w:rPr>
      </w:pPr>
    </w:p>
    <w:p>
      <w:pPr>
        <w:pStyle w:val="2"/>
        <w:rPr>
          <w:rFonts w:hint="eastAsia" w:ascii="宋体" w:hAnsi="宋体" w:eastAsia="宋体" w:cs="宋体"/>
          <w:bCs/>
          <w:sz w:val="21"/>
          <w:szCs w:val="21"/>
        </w:rPr>
      </w:pPr>
    </w:p>
    <w:p>
      <w:pPr>
        <w:pStyle w:val="5"/>
        <w:rPr>
          <w:rFonts w:hint="eastAsia" w:ascii="宋体" w:hAnsi="宋体" w:eastAsia="宋体" w:cs="宋体"/>
          <w:bCs/>
          <w:sz w:val="21"/>
          <w:szCs w:val="21"/>
        </w:rPr>
      </w:pPr>
    </w:p>
    <w:p>
      <w:pPr>
        <w:pStyle w:val="5"/>
        <w:rPr>
          <w:rFonts w:hint="eastAsia" w:ascii="宋体" w:hAnsi="宋体" w:eastAsia="宋体" w:cs="宋体"/>
          <w:bCs/>
          <w:sz w:val="21"/>
          <w:szCs w:val="21"/>
        </w:rPr>
      </w:pPr>
    </w:p>
    <w:p>
      <w:pPr>
        <w:pStyle w:val="5"/>
        <w:rPr>
          <w:rFonts w:hint="eastAsia" w:ascii="宋体" w:hAnsi="宋体" w:eastAsia="宋体" w:cs="宋体"/>
          <w:bCs/>
          <w:sz w:val="21"/>
          <w:szCs w:val="21"/>
        </w:rPr>
      </w:pPr>
    </w:p>
    <w:p>
      <w:pPr>
        <w:pStyle w:val="5"/>
        <w:rPr>
          <w:rFonts w:hint="eastAsia" w:ascii="宋体" w:hAnsi="宋体" w:eastAsia="宋体" w:cs="宋体"/>
          <w:bCs/>
          <w:sz w:val="21"/>
          <w:szCs w:val="21"/>
        </w:rPr>
      </w:pPr>
    </w:p>
    <w:p>
      <w:pPr>
        <w:pStyle w:val="5"/>
        <w:ind w:left="0" w:leftChars="0" w:firstLine="0" w:firstLineChars="0"/>
        <w:rPr>
          <w:rFonts w:hint="eastAsia" w:cs="宋体"/>
          <w:b/>
          <w:bCs w:val="0"/>
          <w:sz w:val="28"/>
          <w:szCs w:val="28"/>
          <w:lang w:val="en-US" w:eastAsia="zh-CN"/>
        </w:rPr>
      </w:pPr>
      <w:r>
        <w:rPr>
          <w:rFonts w:hint="eastAsia" w:cs="宋体"/>
          <w:b/>
          <w:bCs w:val="0"/>
          <w:sz w:val="28"/>
          <w:szCs w:val="28"/>
          <w:lang w:val="en-US" w:eastAsia="zh-CN"/>
        </w:rPr>
        <w:t>C分标：</w:t>
      </w:r>
    </w:p>
    <w:p>
      <w:pPr>
        <w:pStyle w:val="5"/>
        <w:ind w:left="0" w:leftChars="0" w:firstLine="0" w:firstLineChars="0"/>
        <w:rPr>
          <w:rFonts w:hint="default" w:cs="宋体"/>
          <w:b/>
          <w:bCs w:val="0"/>
          <w:sz w:val="28"/>
          <w:szCs w:val="28"/>
          <w:lang w:val="en-US" w:eastAsia="zh-CN"/>
        </w:rPr>
      </w:pP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一、评审依据及方式</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1. 评审依据：</w:t>
      </w:r>
      <w:r>
        <w:rPr>
          <w:rFonts w:hint="eastAsia" w:ascii="宋体" w:hAnsi="宋体" w:eastAsia="宋体" w:cs="宋体"/>
          <w:sz w:val="21"/>
          <w:szCs w:val="21"/>
          <w:lang w:val="en-US" w:eastAsia="zh-CN"/>
        </w:rPr>
        <w:t>评标委员会</w:t>
      </w:r>
      <w:r>
        <w:rPr>
          <w:rFonts w:hint="eastAsia" w:ascii="宋体" w:hAnsi="宋体" w:eastAsia="宋体" w:cs="宋体"/>
          <w:sz w:val="21"/>
          <w:szCs w:val="21"/>
        </w:rPr>
        <w:t>以</w:t>
      </w:r>
      <w:r>
        <w:rPr>
          <w:rFonts w:hint="eastAsia" w:ascii="宋体" w:hAnsi="宋体" w:eastAsia="宋体" w:cs="宋体"/>
          <w:sz w:val="21"/>
          <w:szCs w:val="21"/>
          <w:lang w:val="en-US" w:eastAsia="zh-CN"/>
        </w:rPr>
        <w:t>招标</w:t>
      </w:r>
      <w:r>
        <w:rPr>
          <w:rFonts w:hint="eastAsia" w:ascii="宋体" w:hAnsi="宋体" w:eastAsia="宋体" w:cs="宋体"/>
          <w:sz w:val="21"/>
          <w:szCs w:val="21"/>
        </w:rPr>
        <w:t>文件和</w:t>
      </w:r>
      <w:r>
        <w:rPr>
          <w:rFonts w:hint="eastAsia" w:ascii="宋体" w:hAnsi="宋体" w:eastAsia="宋体" w:cs="宋体"/>
          <w:sz w:val="21"/>
          <w:szCs w:val="21"/>
          <w:lang w:val="en-US" w:eastAsia="zh-CN"/>
        </w:rPr>
        <w:t>投标</w:t>
      </w:r>
      <w:r>
        <w:rPr>
          <w:rFonts w:hint="eastAsia" w:ascii="宋体" w:hAnsi="宋体" w:eastAsia="宋体" w:cs="宋体"/>
          <w:sz w:val="21"/>
          <w:szCs w:val="21"/>
        </w:rPr>
        <w:t>文件为</w:t>
      </w:r>
      <w:r>
        <w:rPr>
          <w:rFonts w:hint="eastAsia" w:ascii="宋体" w:hAnsi="宋体" w:eastAsia="宋体" w:cs="宋体"/>
          <w:sz w:val="21"/>
          <w:szCs w:val="21"/>
          <w:lang w:eastAsia="zh-CN"/>
        </w:rPr>
        <w:t>评审</w:t>
      </w:r>
      <w:r>
        <w:rPr>
          <w:rFonts w:hint="eastAsia" w:ascii="宋体" w:hAnsi="宋体" w:eastAsia="宋体" w:cs="宋体"/>
          <w:sz w:val="21"/>
          <w:szCs w:val="21"/>
        </w:rPr>
        <w:t>依据，对供应商的</w:t>
      </w:r>
      <w:r>
        <w:rPr>
          <w:rFonts w:hint="eastAsia" w:ascii="宋体" w:hAnsi="宋体" w:eastAsia="宋体" w:cs="宋体"/>
          <w:sz w:val="21"/>
          <w:szCs w:val="21"/>
          <w:lang w:val="en-US" w:eastAsia="zh-CN"/>
        </w:rPr>
        <w:t>投标</w:t>
      </w:r>
      <w:r>
        <w:rPr>
          <w:rFonts w:hint="eastAsia" w:ascii="宋体" w:hAnsi="宋体" w:eastAsia="宋体" w:cs="宋体"/>
          <w:sz w:val="21"/>
          <w:szCs w:val="21"/>
        </w:rPr>
        <w:t>报价、技术、商务等三个方面内容按百分制打分。</w:t>
      </w:r>
    </w:p>
    <w:p>
      <w:pPr>
        <w:spacing w:line="360" w:lineRule="auto"/>
        <w:ind w:left="210" w:leftChars="100" w:firstLine="210" w:firstLineChars="100"/>
        <w:rPr>
          <w:rFonts w:hint="eastAsia" w:ascii="宋体" w:hAnsi="宋体" w:eastAsia="宋体" w:cs="宋体"/>
          <w:sz w:val="21"/>
          <w:szCs w:val="21"/>
        </w:rPr>
      </w:pPr>
      <w:r>
        <w:rPr>
          <w:rFonts w:hint="eastAsia" w:ascii="宋体" w:hAnsi="宋体" w:eastAsia="宋体" w:cs="宋体"/>
          <w:sz w:val="21"/>
          <w:szCs w:val="21"/>
        </w:rPr>
        <w:t>2. 评审方式：以封闭方式进行</w:t>
      </w:r>
      <w:r>
        <w:rPr>
          <w:rFonts w:hint="eastAsia" w:ascii="宋体" w:hAnsi="宋体" w:eastAsia="宋体" w:cs="宋体"/>
          <w:sz w:val="21"/>
          <w:szCs w:val="21"/>
          <w:lang w:eastAsia="zh-CN"/>
        </w:rPr>
        <w:t>评审</w:t>
      </w:r>
      <w:r>
        <w:rPr>
          <w:rFonts w:hint="eastAsia" w:ascii="宋体" w:hAnsi="宋体" w:eastAsia="宋体" w:cs="宋体"/>
          <w:sz w:val="21"/>
          <w:szCs w:val="21"/>
        </w:rPr>
        <w:t>。</w:t>
      </w:r>
    </w:p>
    <w:p>
      <w:pPr>
        <w:spacing w:line="360" w:lineRule="auto"/>
        <w:ind w:left="210" w:leftChars="100" w:firstLine="210" w:firstLineChars="100"/>
        <w:rPr>
          <w:rFonts w:hint="eastAsia" w:ascii="宋体" w:hAnsi="宋体" w:eastAsia="宋体" w:cs="宋体"/>
          <w:sz w:val="21"/>
          <w:szCs w:val="21"/>
        </w:rPr>
      </w:pPr>
      <w:r>
        <w:rPr>
          <w:rFonts w:hint="eastAsia" w:ascii="宋体" w:hAnsi="宋体" w:eastAsia="宋体" w:cs="宋体"/>
          <w:sz w:val="21"/>
          <w:szCs w:val="21"/>
        </w:rPr>
        <w:t>3. 根据财库〔2012〕69号文规定，采购人和采购代理机构、</w:t>
      </w:r>
      <w:r>
        <w:rPr>
          <w:rFonts w:hint="eastAsia" w:ascii="宋体" w:hAnsi="宋体" w:eastAsia="宋体" w:cs="宋体"/>
          <w:sz w:val="21"/>
          <w:szCs w:val="21"/>
          <w:lang w:eastAsia="zh-CN"/>
        </w:rPr>
        <w:t>评标委员会成员</w:t>
      </w:r>
      <w:r>
        <w:rPr>
          <w:rFonts w:hint="eastAsia" w:ascii="宋体" w:hAnsi="宋体" w:eastAsia="宋体" w:cs="宋体"/>
          <w:sz w:val="21"/>
          <w:szCs w:val="21"/>
        </w:rPr>
        <w:t>要严格遵守政府采购相关法律制度，依法履行各自职责，公正、客观、审慎地组织和参与评审工作。</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二、评审办法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（一）对进入详评的，采用综合评分法</w:t>
      </w:r>
    </w:p>
    <w:p>
      <w:pPr>
        <w:pStyle w:val="27"/>
        <w:pBdr>
          <w:top w:val="none" w:color="auto" w:sz="0" w:space="1"/>
          <w:left w:val="none" w:color="auto" w:sz="0" w:space="4"/>
          <w:bottom w:val="none" w:color="auto" w:sz="0" w:space="1"/>
          <w:right w:val="none" w:color="auto" w:sz="0" w:space="4"/>
        </w:pBdr>
        <w:tabs>
          <w:tab w:val="left" w:pos="4214"/>
        </w:tabs>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（二）计分办法（按四舍五入取至小数点后二位）</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价格分………………………………………………………………………………</w:t>
      </w:r>
      <w:r>
        <w:rPr>
          <w:rFonts w:hint="eastAsia" w:ascii="宋体" w:hAnsi="宋体" w:eastAsia="宋体" w:cs="宋体"/>
          <w:b/>
          <w:bCs/>
          <w:sz w:val="21"/>
          <w:szCs w:val="21"/>
          <w:lang w:val="en-US" w:eastAsia="zh-CN"/>
        </w:rPr>
        <w:t>满分</w:t>
      </w:r>
      <w:r>
        <w:rPr>
          <w:rFonts w:hint="eastAsia" w:ascii="宋体" w:hAnsi="宋体" w:eastAsia="宋体" w:cs="宋体"/>
          <w:b/>
          <w:bCs/>
          <w:sz w:val="21"/>
          <w:szCs w:val="21"/>
        </w:rPr>
        <w:t>30分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（1）按照《政府采购促进中小企业发展管理办法》（财库[2020]46号）规定和《关于进一步加大政府采购支持中小企业力度的通知》（财库〔2022〕19号）规定：</w:t>
      </w:r>
    </w:p>
    <w:p>
      <w:pPr>
        <w:spacing w:line="360" w:lineRule="auto"/>
        <w:rPr>
          <w:rFonts w:hint="eastAsia" w:ascii="宋体" w:hAnsi="宋体" w:eastAsia="宋体" w:cs="宋体"/>
          <w:sz w:val="21"/>
          <w:szCs w:val="21"/>
        </w:rPr>
      </w:pPr>
      <w:r>
        <w:rPr>
          <w:rFonts w:hint="eastAsia" w:ascii="宋体" w:hAnsi="宋体" w:eastAsia="宋体" w:cs="宋体"/>
          <w:sz w:val="21"/>
          <w:szCs w:val="21"/>
        </w:rPr>
        <w:t>①对供应商认定为小型和微型企业且所投产品为小型、微型企业产品的（以投标文件提供的《中小企业声明函》为准），投标报价给予20%的扣除，扣除后的价格为评标报价，即评标报价=投标报价×（1-20%）；</w:t>
      </w:r>
    </w:p>
    <w:p>
      <w:pPr>
        <w:spacing w:line="360" w:lineRule="auto"/>
        <w:rPr>
          <w:rFonts w:hint="eastAsia" w:ascii="宋体" w:hAnsi="宋体" w:eastAsia="宋体" w:cs="宋体"/>
          <w:sz w:val="21"/>
          <w:szCs w:val="21"/>
        </w:rPr>
      </w:pPr>
      <w:r>
        <w:rPr>
          <w:rFonts w:hint="eastAsia" w:ascii="宋体" w:hAnsi="宋体" w:eastAsia="宋体" w:cs="宋体"/>
          <w:sz w:val="21"/>
          <w:szCs w:val="21"/>
        </w:rPr>
        <w:t>②除上述情况外，评标报价=投标报价。</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注：①小型、微型企业提供中型企业制造的货物的，视同为中型企业。</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 xml:space="preserve">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 xml:space="preserve"> ②评标报价为投标人的投标报价进行政策性扣除后的价格，评标报价只是作为评标时使用。最终中标人的中标金额＝投标报价。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根据《关于政府采购支持监狱企业发展有关问题的通知》（财库[2014]68号）、《关于促进残疾人就业政府采购政策的通知》（财库[2017]141号），监狱企业和符合条件的残疾人福利性单位视同小型、微型企业，享受小型、微型企业评审中价格扣除的政府采购政策。监狱企业和残疾人福利性单位属于小型、微型企业的，不重复享受政策。</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（3）以进入评标的最低的评标报价为30分。</w:t>
      </w:r>
    </w:p>
    <w:p>
      <w:pPr>
        <w:spacing w:line="360" w:lineRule="auto"/>
        <w:ind w:firstLine="2310" w:firstLineChars="1100"/>
        <w:rPr>
          <w:rFonts w:hint="eastAsia" w:ascii="宋体" w:hAnsi="宋体" w:eastAsia="宋体" w:cs="宋体"/>
          <w:sz w:val="21"/>
          <w:szCs w:val="21"/>
        </w:rPr>
      </w:pPr>
      <w:r>
        <w:rPr>
          <w:rFonts w:hint="eastAsia" w:ascii="宋体" w:hAnsi="宋体" w:eastAsia="宋体" w:cs="宋体"/>
          <w:sz w:val="21"/>
          <w:szCs w:val="21"/>
        </w:rPr>
        <w:t xml:space="preserve">供应商最低投标报价金额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（4）价格分 =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×30分</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供应商投标报价金额  </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2、技术分………………………………………………………………………………</w:t>
      </w:r>
      <w:r>
        <w:rPr>
          <w:rFonts w:hint="eastAsia" w:ascii="宋体" w:hAnsi="宋体" w:eastAsia="宋体" w:cs="宋体"/>
          <w:b/>
          <w:bCs/>
          <w:sz w:val="21"/>
          <w:szCs w:val="21"/>
          <w:lang w:val="en-US" w:eastAsia="zh-CN"/>
        </w:rPr>
        <w:t>满分</w:t>
      </w:r>
      <w:r>
        <w:rPr>
          <w:rFonts w:hint="eastAsia" w:ascii="宋体" w:hAnsi="宋体" w:eastAsia="宋体" w:cs="宋体"/>
          <w:b/>
          <w:bCs/>
          <w:sz w:val="21"/>
          <w:szCs w:val="21"/>
        </w:rPr>
        <w:t>4</w:t>
      </w:r>
      <w:r>
        <w:rPr>
          <w:rFonts w:hint="eastAsia" w:ascii="宋体" w:hAnsi="宋体" w:cs="宋体"/>
          <w:b/>
          <w:bCs/>
          <w:sz w:val="21"/>
          <w:szCs w:val="21"/>
          <w:lang w:val="en-US" w:eastAsia="zh-CN"/>
        </w:rPr>
        <w:t>5</w:t>
      </w:r>
      <w:r>
        <w:rPr>
          <w:rFonts w:hint="eastAsia" w:ascii="宋体" w:hAnsi="宋体" w:eastAsia="宋体" w:cs="宋体"/>
          <w:b/>
          <w:bCs/>
          <w:sz w:val="21"/>
          <w:szCs w:val="21"/>
        </w:rPr>
        <w:t>分</w:t>
      </w:r>
    </w:p>
    <w:p>
      <w:pPr>
        <w:pStyle w:val="16"/>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评委根据招标文件要求，对通过资格性和符合性审查进入详评的各投标人投标文件的“技术需求”响应情况进行独立评审，并按如下计分方式确定得分:</w:t>
      </w:r>
    </w:p>
    <w:p>
      <w:pPr>
        <w:pStyle w:val="27"/>
        <w:spacing w:line="360" w:lineRule="auto"/>
        <w:ind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rPr>
        <w:t>①基本分</w:t>
      </w:r>
      <w:r>
        <w:rPr>
          <w:rFonts w:hint="eastAsia" w:ascii="宋体" w:hAnsi="宋体" w:eastAsia="宋体" w:cs="宋体"/>
          <w:bCs/>
          <w:sz w:val="21"/>
          <w:szCs w:val="21"/>
          <w:lang w:eastAsia="zh-CN"/>
        </w:rPr>
        <w:t>：</w:t>
      </w:r>
      <w:r>
        <w:rPr>
          <w:rFonts w:hint="eastAsia" w:ascii="宋体" w:hAnsi="宋体" w:eastAsia="宋体" w:cs="宋体"/>
          <w:bCs/>
          <w:sz w:val="21"/>
          <w:szCs w:val="21"/>
        </w:rPr>
        <w:t>技术参数完全满足招标文件的前提下（所有技术参数无偏离或正偏离）的得满分4</w:t>
      </w:r>
      <w:r>
        <w:rPr>
          <w:rFonts w:hint="eastAsia" w:hAnsi="宋体" w:cs="宋体"/>
          <w:bCs/>
          <w:sz w:val="21"/>
          <w:szCs w:val="21"/>
          <w:lang w:val="en-US" w:eastAsia="zh-CN"/>
        </w:rPr>
        <w:t>5</w:t>
      </w:r>
      <w:r>
        <w:rPr>
          <w:rFonts w:hint="eastAsia" w:ascii="宋体" w:hAnsi="宋体" w:eastAsia="宋体" w:cs="宋体"/>
          <w:bCs/>
          <w:sz w:val="21"/>
          <w:szCs w:val="21"/>
        </w:rPr>
        <w:t>分</w:t>
      </w:r>
      <w:r>
        <w:rPr>
          <w:rFonts w:hint="eastAsia" w:ascii="宋体" w:hAnsi="宋体" w:eastAsia="宋体" w:cs="宋体"/>
          <w:bCs/>
          <w:sz w:val="21"/>
          <w:szCs w:val="21"/>
          <w:lang w:eastAsia="zh-CN"/>
        </w:rPr>
        <w:t>；</w:t>
      </w:r>
    </w:p>
    <w:p>
      <w:pPr>
        <w:pStyle w:val="27"/>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②负偏离扣分</w:t>
      </w:r>
      <w:r>
        <w:rPr>
          <w:rFonts w:hint="eastAsia" w:ascii="宋体" w:hAnsi="宋体" w:eastAsia="宋体" w:cs="宋体"/>
          <w:bCs/>
          <w:sz w:val="21"/>
          <w:szCs w:val="21"/>
          <w:lang w:eastAsia="zh-CN"/>
        </w:rPr>
        <w:t>：</w:t>
      </w:r>
      <w:r>
        <w:rPr>
          <w:rFonts w:hint="eastAsia" w:ascii="宋体" w:hAnsi="宋体" w:eastAsia="宋体" w:cs="宋体"/>
          <w:bCs/>
          <w:sz w:val="21"/>
          <w:szCs w:val="21"/>
        </w:rPr>
        <w:t>投标人对未标注“★”项条款发生负偏离的，每有一项扣5分</w:t>
      </w:r>
      <w:r>
        <w:rPr>
          <w:rFonts w:hint="eastAsia" w:ascii="宋体" w:hAnsi="宋体" w:eastAsia="宋体" w:cs="宋体"/>
          <w:bCs/>
          <w:sz w:val="21"/>
          <w:szCs w:val="21"/>
          <w:lang w:eastAsia="zh-CN"/>
        </w:rPr>
        <w:t>；</w:t>
      </w:r>
      <w:r>
        <w:rPr>
          <w:rFonts w:hint="eastAsia" w:ascii="宋体" w:hAnsi="宋体" w:eastAsia="宋体" w:cs="宋体"/>
          <w:bCs/>
          <w:sz w:val="21"/>
          <w:szCs w:val="21"/>
        </w:rPr>
        <w:t>本条最多扣4</w:t>
      </w:r>
      <w:r>
        <w:rPr>
          <w:rFonts w:hint="eastAsia" w:hAnsi="宋体" w:cs="宋体"/>
          <w:bCs/>
          <w:sz w:val="21"/>
          <w:szCs w:val="21"/>
          <w:lang w:val="en-US" w:eastAsia="zh-CN"/>
        </w:rPr>
        <w:t>5</w:t>
      </w:r>
      <w:r>
        <w:rPr>
          <w:rFonts w:hint="eastAsia" w:ascii="宋体" w:hAnsi="宋体" w:eastAsia="宋体" w:cs="宋体"/>
          <w:bCs/>
          <w:sz w:val="21"/>
          <w:szCs w:val="21"/>
        </w:rPr>
        <w:t>分。</w:t>
      </w:r>
    </w:p>
    <w:p>
      <w:pPr>
        <w:pStyle w:val="27"/>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val="0"/>
          <w:sz w:val="21"/>
          <w:szCs w:val="21"/>
          <w:lang w:val="en-US" w:eastAsia="zh-CN"/>
        </w:rPr>
        <w:t>3、商务分</w:t>
      </w:r>
      <w:r>
        <w:rPr>
          <w:rFonts w:hint="eastAsia" w:ascii="宋体" w:hAnsi="宋体" w:eastAsia="宋体" w:cs="宋体"/>
          <w:b/>
          <w:bCs w:val="0"/>
          <w:sz w:val="21"/>
          <w:szCs w:val="21"/>
        </w:rPr>
        <w:t>………</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满分</w:t>
      </w:r>
      <w:r>
        <w:rPr>
          <w:rFonts w:hint="eastAsia" w:hAnsi="宋体" w:cs="宋体"/>
          <w:b/>
          <w:bCs/>
          <w:sz w:val="21"/>
          <w:szCs w:val="21"/>
          <w:lang w:val="en-US" w:eastAsia="zh-CN"/>
        </w:rPr>
        <w:t>25</w:t>
      </w:r>
      <w:r>
        <w:rPr>
          <w:rFonts w:hint="eastAsia" w:ascii="宋体" w:hAnsi="宋体" w:eastAsia="宋体" w:cs="宋体"/>
          <w:b/>
          <w:bCs/>
          <w:sz w:val="21"/>
          <w:szCs w:val="21"/>
        </w:rPr>
        <w:t>分</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（1）售后服务方案分（满分13分）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评标委员会根据投标人提供的售后服务方案【包括但不限于：①到达故障现场时间；②售后人员配备情况；③故障出现解决方案；④定期维护（注明时间）；⑤免费技术培训方案；⑥免费保修（维护）期外维修方案；⑦本地化售后服务措施；⑧其他优惠措施、安装要求及方案等】内容进行独立评审并独立打分，最多得13分：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一档（1分）：上述①</w:t>
      </w:r>
      <w:r>
        <w:rPr>
          <w:rFonts w:hint="eastAsia" w:ascii="宋体" w:hAnsi="宋体" w:cs="宋体"/>
          <w:sz w:val="21"/>
          <w:szCs w:val="21"/>
          <w:lang w:val="en-US" w:eastAsia="zh-CN"/>
        </w:rPr>
        <w:t>-</w:t>
      </w:r>
      <w:r>
        <w:rPr>
          <w:rFonts w:hint="eastAsia" w:ascii="宋体" w:hAnsi="宋体" w:eastAsia="宋体" w:cs="宋体"/>
          <w:sz w:val="21"/>
          <w:szCs w:val="21"/>
        </w:rPr>
        <w:t>⑦</w:t>
      </w:r>
      <w:r>
        <w:rPr>
          <w:rFonts w:hint="eastAsia" w:ascii="宋体" w:hAnsi="宋体" w:cs="宋体"/>
          <w:sz w:val="21"/>
          <w:szCs w:val="21"/>
          <w:lang w:val="en-US" w:eastAsia="zh-CN"/>
        </w:rPr>
        <w:t>项</w:t>
      </w:r>
      <w:r>
        <w:rPr>
          <w:rFonts w:hint="eastAsia" w:ascii="宋体" w:hAnsi="宋体" w:eastAsia="宋体" w:cs="宋体"/>
          <w:sz w:val="21"/>
          <w:szCs w:val="21"/>
        </w:rPr>
        <w:t>评审因素经评审合理</w:t>
      </w:r>
      <w:r>
        <w:rPr>
          <w:rFonts w:hint="eastAsia" w:ascii="宋体" w:hAnsi="宋体" w:cs="宋体"/>
          <w:sz w:val="21"/>
          <w:szCs w:val="21"/>
          <w:lang w:val="en-US" w:eastAsia="zh-CN"/>
        </w:rPr>
        <w:t>但没有一项优秀</w:t>
      </w:r>
      <w:r>
        <w:rPr>
          <w:rFonts w:hint="eastAsia" w:ascii="宋体" w:hAnsi="宋体" w:eastAsia="宋体" w:cs="宋体"/>
          <w:sz w:val="21"/>
          <w:szCs w:val="21"/>
        </w:rPr>
        <w:t>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二档（3分）：上述①</w:t>
      </w:r>
      <w:r>
        <w:rPr>
          <w:rFonts w:hint="eastAsia" w:ascii="宋体" w:hAnsi="宋体" w:cs="宋体"/>
          <w:sz w:val="21"/>
          <w:szCs w:val="21"/>
          <w:lang w:val="en-US" w:eastAsia="zh-CN"/>
        </w:rPr>
        <w:t>-</w:t>
      </w:r>
      <w:r>
        <w:rPr>
          <w:rFonts w:hint="eastAsia" w:ascii="宋体" w:hAnsi="宋体" w:eastAsia="宋体" w:cs="宋体"/>
          <w:sz w:val="21"/>
          <w:szCs w:val="21"/>
        </w:rPr>
        <w:t>⑦</w:t>
      </w:r>
      <w:r>
        <w:rPr>
          <w:rFonts w:hint="eastAsia" w:ascii="宋体" w:hAnsi="宋体" w:cs="宋体"/>
          <w:sz w:val="21"/>
          <w:szCs w:val="21"/>
          <w:lang w:val="en-US" w:eastAsia="zh-CN"/>
        </w:rPr>
        <w:t>项</w:t>
      </w:r>
      <w:r>
        <w:rPr>
          <w:rFonts w:hint="eastAsia" w:ascii="宋体" w:hAnsi="宋体" w:eastAsia="宋体" w:cs="宋体"/>
          <w:sz w:val="21"/>
          <w:szCs w:val="21"/>
        </w:rPr>
        <w:t>评审因素经评审合理</w:t>
      </w:r>
      <w:r>
        <w:rPr>
          <w:rFonts w:hint="eastAsia" w:ascii="宋体" w:hAnsi="宋体" w:cs="宋体"/>
          <w:sz w:val="21"/>
          <w:szCs w:val="21"/>
          <w:lang w:val="en-US" w:eastAsia="zh-CN"/>
        </w:rPr>
        <w:t>且有两项优秀</w:t>
      </w:r>
      <w:r>
        <w:rPr>
          <w:rFonts w:hint="eastAsia" w:ascii="宋体" w:hAnsi="宋体" w:eastAsia="宋体" w:cs="宋体"/>
          <w:sz w:val="21"/>
          <w:szCs w:val="21"/>
        </w:rPr>
        <w:t xml:space="preserve">的。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三档（5分）：上述①</w:t>
      </w:r>
      <w:r>
        <w:rPr>
          <w:rFonts w:hint="eastAsia" w:ascii="宋体" w:hAnsi="宋体" w:cs="宋体"/>
          <w:sz w:val="21"/>
          <w:szCs w:val="21"/>
          <w:lang w:val="en-US" w:eastAsia="zh-CN"/>
        </w:rPr>
        <w:t>-</w:t>
      </w:r>
      <w:r>
        <w:rPr>
          <w:rFonts w:hint="eastAsia" w:ascii="宋体" w:hAnsi="宋体" w:eastAsia="宋体" w:cs="宋体"/>
          <w:sz w:val="21"/>
          <w:szCs w:val="21"/>
        </w:rPr>
        <w:t>⑦</w:t>
      </w:r>
      <w:r>
        <w:rPr>
          <w:rFonts w:hint="eastAsia" w:ascii="宋体" w:hAnsi="宋体" w:cs="宋体"/>
          <w:sz w:val="21"/>
          <w:szCs w:val="21"/>
          <w:lang w:val="en-US" w:eastAsia="zh-CN"/>
        </w:rPr>
        <w:t>项</w:t>
      </w:r>
      <w:r>
        <w:rPr>
          <w:rFonts w:hint="eastAsia" w:ascii="宋体" w:hAnsi="宋体" w:eastAsia="宋体" w:cs="宋体"/>
          <w:sz w:val="21"/>
          <w:szCs w:val="21"/>
        </w:rPr>
        <w:t>评审因素经评审合理</w:t>
      </w:r>
      <w:r>
        <w:rPr>
          <w:rFonts w:hint="eastAsia" w:ascii="宋体" w:hAnsi="宋体" w:cs="宋体"/>
          <w:sz w:val="21"/>
          <w:szCs w:val="21"/>
          <w:lang w:val="en-US" w:eastAsia="zh-CN"/>
        </w:rPr>
        <w:t>且</w:t>
      </w:r>
      <w:r>
        <w:rPr>
          <w:rFonts w:hint="eastAsia" w:ascii="宋体" w:hAnsi="宋体" w:eastAsia="宋体" w:cs="宋体"/>
          <w:sz w:val="21"/>
          <w:szCs w:val="21"/>
        </w:rPr>
        <w:t>有三项</w:t>
      </w:r>
      <w:r>
        <w:rPr>
          <w:rFonts w:hint="eastAsia" w:ascii="宋体" w:hAnsi="宋体" w:cs="宋体"/>
          <w:sz w:val="21"/>
          <w:szCs w:val="21"/>
          <w:lang w:val="en-US" w:eastAsia="zh-CN"/>
        </w:rPr>
        <w:t>优秀</w:t>
      </w:r>
      <w:r>
        <w:rPr>
          <w:rFonts w:hint="eastAsia" w:ascii="宋体" w:hAnsi="宋体" w:eastAsia="宋体" w:cs="宋体"/>
          <w:sz w:val="21"/>
          <w:szCs w:val="21"/>
        </w:rPr>
        <w:t>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四档（7分）：上述①</w:t>
      </w:r>
      <w:r>
        <w:rPr>
          <w:rFonts w:hint="eastAsia" w:ascii="宋体" w:hAnsi="宋体" w:cs="宋体"/>
          <w:sz w:val="21"/>
          <w:szCs w:val="21"/>
          <w:lang w:val="en-US" w:eastAsia="zh-CN"/>
        </w:rPr>
        <w:t>-</w:t>
      </w:r>
      <w:r>
        <w:rPr>
          <w:rFonts w:hint="eastAsia" w:ascii="宋体" w:hAnsi="宋体" w:eastAsia="宋体" w:cs="宋体"/>
          <w:sz w:val="21"/>
          <w:szCs w:val="21"/>
        </w:rPr>
        <w:t>⑦</w:t>
      </w:r>
      <w:r>
        <w:rPr>
          <w:rFonts w:hint="eastAsia" w:ascii="宋体" w:hAnsi="宋体" w:cs="宋体"/>
          <w:sz w:val="21"/>
          <w:szCs w:val="21"/>
          <w:lang w:val="en-US" w:eastAsia="zh-CN"/>
        </w:rPr>
        <w:t>项</w:t>
      </w:r>
      <w:r>
        <w:rPr>
          <w:rFonts w:hint="eastAsia" w:ascii="宋体" w:hAnsi="宋体" w:eastAsia="宋体" w:cs="宋体"/>
          <w:sz w:val="21"/>
          <w:szCs w:val="21"/>
        </w:rPr>
        <w:t>评审因素经评审合理</w:t>
      </w:r>
      <w:r>
        <w:rPr>
          <w:rFonts w:hint="eastAsia" w:ascii="宋体" w:hAnsi="宋体" w:cs="宋体"/>
          <w:sz w:val="21"/>
          <w:szCs w:val="21"/>
          <w:lang w:val="en-US" w:eastAsia="zh-CN"/>
        </w:rPr>
        <w:t>且</w:t>
      </w:r>
      <w:r>
        <w:rPr>
          <w:rFonts w:hint="eastAsia" w:ascii="宋体" w:hAnsi="宋体" w:eastAsia="宋体" w:cs="宋体"/>
          <w:sz w:val="21"/>
          <w:szCs w:val="21"/>
        </w:rPr>
        <w:t>有四项</w:t>
      </w:r>
      <w:r>
        <w:rPr>
          <w:rFonts w:hint="eastAsia" w:ascii="宋体" w:hAnsi="宋体" w:cs="宋体"/>
          <w:sz w:val="21"/>
          <w:szCs w:val="21"/>
          <w:lang w:val="en-US" w:eastAsia="zh-CN"/>
        </w:rPr>
        <w:t>优秀</w:t>
      </w:r>
      <w:r>
        <w:rPr>
          <w:rFonts w:hint="eastAsia" w:ascii="宋体" w:hAnsi="宋体" w:eastAsia="宋体" w:cs="宋体"/>
          <w:sz w:val="21"/>
          <w:szCs w:val="21"/>
        </w:rPr>
        <w:t>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五档（9分）：上述①</w:t>
      </w:r>
      <w:r>
        <w:rPr>
          <w:rFonts w:hint="eastAsia" w:ascii="宋体" w:hAnsi="宋体" w:cs="宋体"/>
          <w:sz w:val="21"/>
          <w:szCs w:val="21"/>
          <w:lang w:val="en-US" w:eastAsia="zh-CN"/>
        </w:rPr>
        <w:t>-</w:t>
      </w:r>
      <w:r>
        <w:rPr>
          <w:rFonts w:hint="eastAsia" w:ascii="宋体" w:hAnsi="宋体" w:eastAsia="宋体" w:cs="宋体"/>
          <w:sz w:val="21"/>
          <w:szCs w:val="21"/>
        </w:rPr>
        <w:t>⑦</w:t>
      </w:r>
      <w:r>
        <w:rPr>
          <w:rFonts w:hint="eastAsia" w:ascii="宋体" w:hAnsi="宋体" w:cs="宋体"/>
          <w:sz w:val="21"/>
          <w:szCs w:val="21"/>
          <w:lang w:val="en-US" w:eastAsia="zh-CN"/>
        </w:rPr>
        <w:t>项</w:t>
      </w:r>
      <w:r>
        <w:rPr>
          <w:rFonts w:hint="eastAsia" w:ascii="宋体" w:hAnsi="宋体" w:eastAsia="宋体" w:cs="宋体"/>
          <w:sz w:val="21"/>
          <w:szCs w:val="21"/>
        </w:rPr>
        <w:t>评审因素经评审合理</w:t>
      </w:r>
      <w:r>
        <w:rPr>
          <w:rFonts w:hint="eastAsia" w:ascii="宋体" w:hAnsi="宋体" w:cs="宋体"/>
          <w:sz w:val="21"/>
          <w:szCs w:val="21"/>
          <w:lang w:val="en-US" w:eastAsia="zh-CN"/>
        </w:rPr>
        <w:t>且</w:t>
      </w:r>
      <w:r>
        <w:rPr>
          <w:rFonts w:hint="eastAsia" w:ascii="宋体" w:hAnsi="宋体" w:eastAsia="宋体" w:cs="宋体"/>
          <w:sz w:val="21"/>
          <w:szCs w:val="21"/>
        </w:rPr>
        <w:t>有五项</w:t>
      </w:r>
      <w:r>
        <w:rPr>
          <w:rFonts w:hint="eastAsia" w:ascii="宋体" w:hAnsi="宋体" w:cs="宋体"/>
          <w:sz w:val="21"/>
          <w:szCs w:val="21"/>
          <w:lang w:val="en-US" w:eastAsia="zh-CN"/>
        </w:rPr>
        <w:t>优秀</w:t>
      </w:r>
      <w:r>
        <w:rPr>
          <w:rFonts w:hint="eastAsia" w:ascii="宋体" w:hAnsi="宋体" w:eastAsia="宋体" w:cs="宋体"/>
          <w:sz w:val="21"/>
          <w:szCs w:val="21"/>
        </w:rPr>
        <w:t>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六档（11分）：上述①</w:t>
      </w:r>
      <w:r>
        <w:rPr>
          <w:rFonts w:hint="eastAsia" w:ascii="宋体" w:hAnsi="宋体" w:cs="宋体"/>
          <w:sz w:val="21"/>
          <w:szCs w:val="21"/>
          <w:lang w:val="en-US" w:eastAsia="zh-CN"/>
        </w:rPr>
        <w:t>-</w:t>
      </w:r>
      <w:r>
        <w:rPr>
          <w:rFonts w:hint="eastAsia" w:ascii="宋体" w:hAnsi="宋体" w:eastAsia="宋体" w:cs="宋体"/>
          <w:sz w:val="21"/>
          <w:szCs w:val="21"/>
        </w:rPr>
        <w:t>⑦</w:t>
      </w:r>
      <w:r>
        <w:rPr>
          <w:rFonts w:hint="eastAsia" w:ascii="宋体" w:hAnsi="宋体" w:cs="宋体"/>
          <w:sz w:val="21"/>
          <w:szCs w:val="21"/>
          <w:lang w:val="en-US" w:eastAsia="zh-CN"/>
        </w:rPr>
        <w:t>项</w:t>
      </w:r>
      <w:r>
        <w:rPr>
          <w:rFonts w:hint="eastAsia" w:ascii="宋体" w:hAnsi="宋体" w:eastAsia="宋体" w:cs="宋体"/>
          <w:sz w:val="21"/>
          <w:szCs w:val="21"/>
        </w:rPr>
        <w:t>评审因素经评审合理</w:t>
      </w:r>
      <w:r>
        <w:rPr>
          <w:rFonts w:hint="eastAsia" w:ascii="宋体" w:hAnsi="宋体" w:cs="宋体"/>
          <w:sz w:val="21"/>
          <w:szCs w:val="21"/>
          <w:lang w:val="en-US" w:eastAsia="zh-CN"/>
        </w:rPr>
        <w:t>且</w:t>
      </w:r>
      <w:r>
        <w:rPr>
          <w:rFonts w:hint="eastAsia" w:ascii="宋体" w:hAnsi="宋体" w:eastAsia="宋体" w:cs="宋体"/>
          <w:sz w:val="21"/>
          <w:szCs w:val="21"/>
        </w:rPr>
        <w:t>有六项</w:t>
      </w:r>
      <w:r>
        <w:rPr>
          <w:rFonts w:hint="eastAsia" w:ascii="宋体" w:hAnsi="宋体" w:cs="宋体"/>
          <w:sz w:val="21"/>
          <w:szCs w:val="21"/>
          <w:lang w:val="en-US" w:eastAsia="zh-CN"/>
        </w:rPr>
        <w:t>优秀</w:t>
      </w:r>
      <w:r>
        <w:rPr>
          <w:rFonts w:hint="eastAsia" w:ascii="宋体" w:hAnsi="宋体" w:eastAsia="宋体" w:cs="宋体"/>
          <w:sz w:val="21"/>
          <w:szCs w:val="21"/>
        </w:rPr>
        <w:t>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七档（13分）：上述①</w:t>
      </w:r>
      <w:r>
        <w:rPr>
          <w:rFonts w:hint="eastAsia" w:ascii="宋体" w:hAnsi="宋体" w:cs="宋体"/>
          <w:sz w:val="21"/>
          <w:szCs w:val="21"/>
          <w:lang w:val="en-US" w:eastAsia="zh-CN"/>
        </w:rPr>
        <w:t>-</w:t>
      </w:r>
      <w:r>
        <w:rPr>
          <w:rFonts w:hint="eastAsia" w:ascii="宋体" w:hAnsi="宋体" w:eastAsia="宋体" w:cs="宋体"/>
          <w:sz w:val="21"/>
          <w:szCs w:val="21"/>
        </w:rPr>
        <w:t>⑦</w:t>
      </w:r>
      <w:r>
        <w:rPr>
          <w:rFonts w:hint="eastAsia" w:ascii="宋体" w:hAnsi="宋体" w:cs="宋体"/>
          <w:sz w:val="21"/>
          <w:szCs w:val="21"/>
          <w:lang w:val="en-US" w:eastAsia="zh-CN"/>
        </w:rPr>
        <w:t>项</w:t>
      </w:r>
      <w:r>
        <w:rPr>
          <w:rFonts w:hint="eastAsia" w:ascii="宋体" w:hAnsi="宋体" w:eastAsia="宋体" w:cs="宋体"/>
          <w:sz w:val="21"/>
          <w:szCs w:val="21"/>
        </w:rPr>
        <w:t>评审因素经评审合理</w:t>
      </w:r>
      <w:r>
        <w:rPr>
          <w:rFonts w:hint="eastAsia" w:ascii="宋体" w:hAnsi="宋体" w:cs="宋体"/>
          <w:sz w:val="21"/>
          <w:szCs w:val="21"/>
          <w:lang w:val="en-US" w:eastAsia="zh-CN"/>
        </w:rPr>
        <w:t>且</w:t>
      </w:r>
      <w:r>
        <w:rPr>
          <w:rFonts w:hint="eastAsia" w:ascii="宋体" w:hAnsi="宋体" w:eastAsia="宋体" w:cs="宋体"/>
          <w:sz w:val="21"/>
          <w:szCs w:val="21"/>
        </w:rPr>
        <w:t>有七项或者七项</w:t>
      </w:r>
      <w:r>
        <w:rPr>
          <w:rFonts w:hint="eastAsia" w:ascii="宋体" w:hAnsi="宋体" w:cs="宋体"/>
          <w:sz w:val="21"/>
          <w:szCs w:val="21"/>
          <w:lang w:val="en-US" w:eastAsia="zh-CN"/>
        </w:rPr>
        <w:t>以上优秀</w:t>
      </w:r>
      <w:r>
        <w:rPr>
          <w:rFonts w:hint="eastAsia" w:ascii="宋体" w:hAnsi="宋体" w:eastAsia="宋体" w:cs="宋体"/>
          <w:sz w:val="21"/>
          <w:szCs w:val="21"/>
        </w:rPr>
        <w:t>的。</w:t>
      </w:r>
      <w:r>
        <w:rPr>
          <w:rFonts w:hint="eastAsia" w:ascii="宋体" w:hAnsi="宋体" w:eastAsia="宋体" w:cs="宋体"/>
          <w:b/>
          <w:bCs/>
          <w:sz w:val="21"/>
          <w:szCs w:val="21"/>
        </w:rPr>
        <w:t xml:space="preserve"> </w:t>
      </w:r>
      <w:r>
        <w:rPr>
          <w:rFonts w:hint="eastAsia" w:ascii="宋体" w:hAnsi="宋体" w:eastAsia="宋体" w:cs="宋体"/>
          <w:sz w:val="21"/>
          <w:szCs w:val="21"/>
        </w:rPr>
        <w:t xml:space="preserve">   </w:t>
      </w:r>
    </w:p>
    <w:p>
      <w:pPr>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（2）综合实力分（满分</w:t>
      </w:r>
      <w:r>
        <w:rPr>
          <w:rFonts w:hint="eastAsia" w:ascii="宋体" w:hAnsi="宋体" w:cs="宋体"/>
          <w:b/>
          <w:bCs/>
          <w:sz w:val="21"/>
          <w:szCs w:val="21"/>
          <w:lang w:val="en-US" w:eastAsia="zh-CN"/>
        </w:rPr>
        <w:t>5</w:t>
      </w:r>
      <w:r>
        <w:rPr>
          <w:rFonts w:hint="eastAsia" w:ascii="宋体" w:hAnsi="宋体" w:eastAsia="宋体" w:cs="宋体"/>
          <w:b/>
          <w:bCs/>
          <w:sz w:val="21"/>
          <w:szCs w:val="21"/>
        </w:rPr>
        <w:t>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投标人或其投标产品生产厂家通过ISO13485医疗器械质量管理体系认证的，</w:t>
      </w:r>
      <w:r>
        <w:rPr>
          <w:rFonts w:hint="eastAsia" w:ascii="宋体" w:hAnsi="宋体" w:cs="宋体"/>
          <w:sz w:val="21"/>
          <w:szCs w:val="21"/>
          <w:lang w:eastAsia="zh-CN"/>
        </w:rPr>
        <w:t>反搏泵</w:t>
      </w:r>
      <w:r>
        <w:rPr>
          <w:rFonts w:hint="eastAsia" w:ascii="宋体" w:hAnsi="宋体" w:cs="宋体"/>
          <w:sz w:val="21"/>
          <w:szCs w:val="21"/>
          <w:lang w:val="en-US" w:eastAsia="zh-CN"/>
        </w:rPr>
        <w:t>提供证书得3分，角膜地形图测试仪提供证书得2分</w:t>
      </w:r>
      <w:r>
        <w:rPr>
          <w:rFonts w:hint="eastAsia" w:ascii="宋体" w:hAnsi="宋体" w:eastAsia="宋体" w:cs="宋体"/>
          <w:sz w:val="21"/>
          <w:szCs w:val="21"/>
        </w:rPr>
        <w:t>，满分</w:t>
      </w:r>
      <w:r>
        <w:rPr>
          <w:rFonts w:hint="eastAsia" w:ascii="宋体" w:hAnsi="宋体" w:cs="宋体"/>
          <w:sz w:val="21"/>
          <w:szCs w:val="21"/>
          <w:lang w:val="en-US" w:eastAsia="zh-CN"/>
        </w:rPr>
        <w:t>5</w:t>
      </w:r>
      <w:r>
        <w:rPr>
          <w:rFonts w:hint="eastAsia" w:ascii="宋体" w:hAnsi="宋体" w:eastAsia="宋体" w:cs="宋体"/>
          <w:sz w:val="21"/>
          <w:szCs w:val="21"/>
        </w:rPr>
        <w:t>分。</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备注：提供证书复印件并加盖投标单位公章，否则不予计分。</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（3）制造商授权评价分(满分</w:t>
      </w:r>
      <w:r>
        <w:rPr>
          <w:rFonts w:hint="eastAsia" w:ascii="宋体" w:hAnsi="宋体" w:cs="宋体"/>
          <w:b/>
          <w:bCs/>
          <w:sz w:val="21"/>
          <w:szCs w:val="21"/>
          <w:lang w:val="en-US" w:eastAsia="zh-CN"/>
        </w:rPr>
        <w:t>5</w:t>
      </w:r>
      <w:r>
        <w:rPr>
          <w:rFonts w:hint="eastAsia" w:ascii="宋体" w:hAnsi="宋体" w:eastAsia="宋体" w:cs="宋体"/>
          <w:b/>
          <w:bCs/>
          <w:sz w:val="21"/>
          <w:szCs w:val="21"/>
        </w:rPr>
        <w:t>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评标委员会根据供应商提供产品生产制造商或有效授权单位（</w:t>
      </w:r>
      <w:r>
        <w:rPr>
          <w:rFonts w:hint="eastAsia" w:ascii="宋体" w:hAnsi="宋体" w:eastAsia="宋体" w:cs="宋体"/>
          <w:b/>
          <w:bCs/>
          <w:sz w:val="21"/>
          <w:szCs w:val="21"/>
        </w:rPr>
        <w:t>提供证明材料</w:t>
      </w:r>
      <w:r>
        <w:rPr>
          <w:rFonts w:hint="eastAsia" w:ascii="宋体" w:hAnsi="宋体" w:eastAsia="宋体" w:cs="宋体"/>
          <w:sz w:val="21"/>
          <w:szCs w:val="21"/>
        </w:rPr>
        <w:t>）针对本项目出具的有效销售授权书进行评价。（</w:t>
      </w:r>
      <w:r>
        <w:rPr>
          <w:rFonts w:hint="eastAsia" w:ascii="宋体" w:hAnsi="宋体" w:eastAsia="宋体" w:cs="宋体"/>
          <w:b/>
          <w:bCs/>
          <w:sz w:val="21"/>
          <w:szCs w:val="21"/>
        </w:rPr>
        <w:t>须注明产品名称及型号</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一档：供应商未提供制造商授权，得0分；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二挡：供应商提供产品生产制造商或有效授权单位</w:t>
      </w:r>
      <w:r>
        <w:rPr>
          <w:rFonts w:hint="eastAsia" w:ascii="宋体" w:hAnsi="宋体" w:cs="宋体"/>
          <w:sz w:val="21"/>
          <w:szCs w:val="21"/>
          <w:lang w:eastAsia="zh-CN"/>
        </w:rPr>
        <w:t>，</w:t>
      </w:r>
      <w:r>
        <w:rPr>
          <w:rFonts w:hint="eastAsia" w:ascii="宋体" w:hAnsi="宋体" w:eastAsia="宋体" w:cs="宋体"/>
          <w:sz w:val="21"/>
          <w:szCs w:val="21"/>
        </w:rPr>
        <w:t>反搏泵提供证明材料得3分，角膜地形图测试仪提供证明材料得2分，注明产品名称及型号，</w:t>
      </w:r>
      <w:r>
        <w:rPr>
          <w:rFonts w:hint="eastAsia" w:ascii="宋体" w:hAnsi="宋体" w:cs="宋体"/>
          <w:sz w:val="21"/>
          <w:szCs w:val="21"/>
          <w:lang w:val="en-US" w:eastAsia="zh-CN"/>
        </w:rPr>
        <w:t>满分5</w:t>
      </w:r>
      <w:r>
        <w:rPr>
          <w:rFonts w:hint="eastAsia" w:ascii="宋体" w:hAnsi="宋体" w:eastAsia="宋体" w:cs="宋体"/>
          <w:sz w:val="21"/>
          <w:szCs w:val="21"/>
        </w:rPr>
        <w:t>分。</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（4）政策功能分（节能、环保等）（满分2分）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节能产品分（满分1分）：属于财政部《节能产品政府采购品目清单》内优先采购（清单内未标注“★”的品目）的产品[投标文件中提供有效的认证证书复印件及品目清单（标注出投标产品在品目清单中所属的品目），并加盖投标人公章]，根据其所占项目（或者分标）预算金额比例得0至1分，满分1分。非节能产品的不得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环保标志产品分（满分1分）：属于财政部《环境标志产品政府采购品目清单》内的产品[投标文件中提供有效的认证证书复印件及品目清单（标注出投标产品在品目清单中所属的品目），并加盖投标人公章]，根据其所占项目（或者分标）预算金额比例得0至1分，满分1分；非环境标志产品的不得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（三）总得分＝1＋2＋3</w:t>
      </w:r>
    </w:p>
    <w:p>
      <w:pPr>
        <w:pStyle w:val="27"/>
        <w:spacing w:line="360" w:lineRule="auto"/>
        <w:rPr>
          <w:rFonts w:hint="eastAsia" w:ascii="宋体" w:hAnsi="宋体" w:eastAsia="宋体" w:cs="宋体"/>
          <w:b/>
          <w:sz w:val="21"/>
          <w:szCs w:val="21"/>
        </w:rPr>
      </w:pPr>
      <w:r>
        <w:rPr>
          <w:rFonts w:hint="eastAsia" w:ascii="宋体" w:hAnsi="宋体" w:eastAsia="宋体" w:cs="宋体"/>
          <w:b/>
          <w:sz w:val="21"/>
          <w:szCs w:val="21"/>
        </w:rPr>
        <w:t>三、中标候选人推荐原则</w:t>
      </w:r>
    </w:p>
    <w:p>
      <w:pPr>
        <w:pStyle w:val="27"/>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rPr>
        <w:t>（一）</w:t>
      </w:r>
      <w:r>
        <w:rPr>
          <w:rFonts w:hint="eastAsia" w:ascii="宋体" w:hAnsi="宋体" w:eastAsia="宋体" w:cs="宋体"/>
          <w:bCs/>
          <w:sz w:val="21"/>
          <w:szCs w:val="21"/>
          <w:highlight w:val="none"/>
        </w:rPr>
        <w:t xml:space="preserve">评标委员会将根据总得分由高到低排列次序并推荐中标候选供应商（总得分相同时，依次按投标报价低优先、技术分高优先、售后服务方案分高优先、综合实力分高优先、制造商授权评价分高优先、政策功能分（节能、环保等）高优先的顺序排列）。       </w:t>
      </w:r>
    </w:p>
    <w:p>
      <w:pPr>
        <w:pStyle w:val="27"/>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二）招标采购单位应当确定评审委员会推荐排名第一的中标候选人为中标人。排名第一的中标候选人放弃中标、因不可抗力提出不能履行合同的，招标采购单位可以确定排名第二的中标候选人为中标人。排名第二的中标候选人因前款规定的同样原因不能签订合同的，招标采购单位可以确定排名第三的中标候选人为中标人，其余以此类推。采购人也可以决定重新采购。</w:t>
      </w:r>
    </w:p>
    <w:p>
      <w:pPr>
        <w:pStyle w:val="27"/>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三）评标委员会认为投标供应商的报价明显低于其他通过符合性审查投标供应商的报价，有可能影响产品质量或者不能诚信履约的，应当要求其在评标现场合理的时间内提供书面说明。投标供应商不能证明其报价合理性的，评标委员会应当将其作为无效投标处理。</w:t>
      </w:r>
    </w:p>
    <w:p>
      <w:pPr>
        <w:pStyle w:val="2"/>
        <w:ind w:left="0" w:leftChars="0" w:firstLine="0" w:firstLineChars="0"/>
        <w:rPr>
          <w:rFonts w:hint="eastAsia"/>
        </w:rPr>
      </w:pPr>
    </w:p>
    <w:p>
      <w:pPr>
        <w:pStyle w:val="31"/>
        <w:widowControl w:val="0"/>
        <w:numPr>
          <w:ilvl w:val="0"/>
          <w:numId w:val="0"/>
        </w:numPr>
        <w:snapToGrid w:val="0"/>
        <w:jc w:val="left"/>
      </w:pPr>
    </w:p>
    <w:p/>
    <w:p>
      <w:pPr>
        <w:pStyle w:val="27"/>
        <w:adjustRightInd w:val="0"/>
        <w:spacing w:line="390" w:lineRule="exact"/>
        <w:contextualSpacing/>
        <w:rPr>
          <w:rFonts w:hAnsi="宋体" w:cs="宋体"/>
          <w:b/>
          <w:bCs/>
        </w:rPr>
      </w:pPr>
      <w:r>
        <w:rPr>
          <w:rFonts w:hint="eastAsia"/>
          <w:b/>
          <w:bCs/>
        </w:rPr>
        <w:t>附表</w:t>
      </w:r>
    </w:p>
    <w:p>
      <w:pPr>
        <w:widowControl/>
        <w:spacing w:before="156" w:beforeLines="50" w:after="156" w:afterLines="50" w:line="400" w:lineRule="exact"/>
        <w:jc w:val="center"/>
        <w:rPr>
          <w:rFonts w:ascii="宋体" w:hAnsi="宋体" w:cs="宋体"/>
          <w:b/>
          <w:bCs/>
          <w:kern w:val="0"/>
          <w:sz w:val="30"/>
          <w:szCs w:val="30"/>
        </w:rPr>
      </w:pPr>
      <w:bookmarkStart w:id="20" w:name="_Toc28361_WPSOffice_Level2"/>
      <w:r>
        <w:rPr>
          <w:rFonts w:hint="eastAsia" w:ascii="宋体" w:hAnsi="宋体" w:cs="宋体"/>
          <w:b/>
          <w:bCs/>
          <w:kern w:val="0"/>
          <w:sz w:val="30"/>
          <w:szCs w:val="30"/>
        </w:rPr>
        <w:t>统计上大中小微型企业划分标准</w:t>
      </w:r>
      <w:bookmarkEnd w:id="20"/>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445"/>
        <w:gridCol w:w="748"/>
        <w:gridCol w:w="1188"/>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231" w:type="dxa"/>
            <w:shd w:val="clear" w:color="auto" w:fill="8DB3E2"/>
            <w:noWrap w:val="0"/>
            <w:vAlign w:val="center"/>
          </w:tcPr>
          <w:p>
            <w:pPr>
              <w:widowControl/>
              <w:spacing w:line="24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445" w:type="dxa"/>
            <w:shd w:val="clear" w:color="auto" w:fill="8DB3E2"/>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指标名称</w:t>
            </w:r>
          </w:p>
        </w:tc>
        <w:tc>
          <w:tcPr>
            <w:tcW w:w="748" w:type="dxa"/>
            <w:shd w:val="clear" w:color="auto" w:fill="8DB3E2"/>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计量</w:t>
            </w:r>
          </w:p>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1188" w:type="dxa"/>
            <w:shd w:val="clear" w:color="auto" w:fill="8DB3E2"/>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大型</w:t>
            </w:r>
          </w:p>
        </w:tc>
        <w:tc>
          <w:tcPr>
            <w:tcW w:w="1796" w:type="dxa"/>
            <w:shd w:val="clear" w:color="auto" w:fill="8DB3E2"/>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中型</w:t>
            </w:r>
          </w:p>
        </w:tc>
        <w:tc>
          <w:tcPr>
            <w:tcW w:w="1505" w:type="dxa"/>
            <w:shd w:val="clear" w:color="auto" w:fill="8DB3E2"/>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小型</w:t>
            </w:r>
          </w:p>
        </w:tc>
        <w:tc>
          <w:tcPr>
            <w:tcW w:w="1047" w:type="dxa"/>
            <w:shd w:val="clear" w:color="auto" w:fill="8DB3E2"/>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44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Y≥20000</w:t>
            </w:r>
          </w:p>
        </w:tc>
        <w:tc>
          <w:tcPr>
            <w:tcW w:w="179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500≤Y＜20000</w:t>
            </w:r>
          </w:p>
        </w:tc>
        <w:tc>
          <w:tcPr>
            <w:tcW w:w="150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50≤Y＜500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工业 ×</w:t>
            </w:r>
          </w:p>
        </w:tc>
        <w:tc>
          <w:tcPr>
            <w:tcW w:w="144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X≥1000</w:t>
            </w:r>
          </w:p>
        </w:tc>
        <w:tc>
          <w:tcPr>
            <w:tcW w:w="179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300≤X＜1000</w:t>
            </w:r>
          </w:p>
        </w:tc>
        <w:tc>
          <w:tcPr>
            <w:tcW w:w="150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20≤X＜300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pPr>
              <w:widowControl/>
              <w:jc w:val="left"/>
              <w:rPr>
                <w:rFonts w:ascii="宋体" w:hAnsi="宋体" w:cs="宋体"/>
                <w:kern w:val="0"/>
                <w:sz w:val="18"/>
                <w:szCs w:val="18"/>
              </w:rPr>
            </w:pPr>
          </w:p>
        </w:tc>
        <w:tc>
          <w:tcPr>
            <w:tcW w:w="1445" w:type="dxa"/>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Y≥40000</w:t>
            </w:r>
          </w:p>
        </w:tc>
        <w:tc>
          <w:tcPr>
            <w:tcW w:w="179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2000≤Y＜40000</w:t>
            </w:r>
          </w:p>
        </w:tc>
        <w:tc>
          <w:tcPr>
            <w:tcW w:w="150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300≤Y＜2000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建筑业</w:t>
            </w:r>
          </w:p>
        </w:tc>
        <w:tc>
          <w:tcPr>
            <w:tcW w:w="144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Y≥80000</w:t>
            </w:r>
          </w:p>
        </w:tc>
        <w:tc>
          <w:tcPr>
            <w:tcW w:w="179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6000≤Y＜80000</w:t>
            </w:r>
          </w:p>
        </w:tc>
        <w:tc>
          <w:tcPr>
            <w:tcW w:w="150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300≤Y＜6000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pPr>
              <w:widowControl/>
              <w:jc w:val="left"/>
              <w:rPr>
                <w:rFonts w:ascii="宋体" w:hAnsi="宋体" w:cs="宋体"/>
                <w:kern w:val="0"/>
                <w:sz w:val="18"/>
                <w:szCs w:val="18"/>
              </w:rPr>
            </w:pPr>
          </w:p>
        </w:tc>
        <w:tc>
          <w:tcPr>
            <w:tcW w:w="1445" w:type="dxa"/>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Z≥80000</w:t>
            </w:r>
          </w:p>
        </w:tc>
        <w:tc>
          <w:tcPr>
            <w:tcW w:w="179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5000≤Z＜80000</w:t>
            </w:r>
          </w:p>
        </w:tc>
        <w:tc>
          <w:tcPr>
            <w:tcW w:w="150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300≤Z＜5000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批发业</w:t>
            </w:r>
          </w:p>
        </w:tc>
        <w:tc>
          <w:tcPr>
            <w:tcW w:w="144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X≥200</w:t>
            </w:r>
          </w:p>
        </w:tc>
        <w:tc>
          <w:tcPr>
            <w:tcW w:w="179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20≤X＜200</w:t>
            </w:r>
          </w:p>
        </w:tc>
        <w:tc>
          <w:tcPr>
            <w:tcW w:w="150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5≤X＜20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pPr>
              <w:widowControl/>
              <w:jc w:val="left"/>
              <w:rPr>
                <w:rFonts w:ascii="宋体" w:hAnsi="宋体" w:cs="宋体"/>
                <w:kern w:val="0"/>
                <w:sz w:val="18"/>
                <w:szCs w:val="18"/>
              </w:rPr>
            </w:pPr>
          </w:p>
        </w:tc>
        <w:tc>
          <w:tcPr>
            <w:tcW w:w="1445" w:type="dxa"/>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Y≥40000</w:t>
            </w:r>
          </w:p>
        </w:tc>
        <w:tc>
          <w:tcPr>
            <w:tcW w:w="179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5000≤Y＜40000</w:t>
            </w:r>
          </w:p>
        </w:tc>
        <w:tc>
          <w:tcPr>
            <w:tcW w:w="1505" w:type="dxa"/>
            <w:noWrap w:val="0"/>
            <w:vAlign w:val="center"/>
          </w:tcPr>
          <w:p>
            <w:pPr>
              <w:widowControl/>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零售业</w:t>
            </w:r>
          </w:p>
        </w:tc>
        <w:tc>
          <w:tcPr>
            <w:tcW w:w="144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X≥300</w:t>
            </w:r>
          </w:p>
        </w:tc>
        <w:tc>
          <w:tcPr>
            <w:tcW w:w="179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50≤X＜300</w:t>
            </w:r>
          </w:p>
        </w:tc>
        <w:tc>
          <w:tcPr>
            <w:tcW w:w="1505" w:type="dxa"/>
            <w:noWrap w:val="0"/>
            <w:vAlign w:val="center"/>
          </w:tcPr>
          <w:p>
            <w:pPr>
              <w:widowControl/>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pPr>
              <w:widowControl/>
              <w:jc w:val="left"/>
              <w:rPr>
                <w:rFonts w:ascii="宋体" w:hAnsi="宋体" w:cs="宋体"/>
                <w:kern w:val="0"/>
                <w:sz w:val="18"/>
                <w:szCs w:val="18"/>
              </w:rPr>
            </w:pPr>
          </w:p>
        </w:tc>
        <w:tc>
          <w:tcPr>
            <w:tcW w:w="1445" w:type="dxa"/>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Y≥20000</w:t>
            </w:r>
          </w:p>
        </w:tc>
        <w:tc>
          <w:tcPr>
            <w:tcW w:w="179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500≤Y＜20000</w:t>
            </w:r>
          </w:p>
        </w:tc>
        <w:tc>
          <w:tcPr>
            <w:tcW w:w="1505" w:type="dxa"/>
            <w:noWrap w:val="0"/>
            <w:vAlign w:val="center"/>
          </w:tcPr>
          <w:p>
            <w:pPr>
              <w:widowControl/>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交通运输业 ×</w:t>
            </w:r>
          </w:p>
        </w:tc>
        <w:tc>
          <w:tcPr>
            <w:tcW w:w="144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X≥1000</w:t>
            </w:r>
          </w:p>
        </w:tc>
        <w:tc>
          <w:tcPr>
            <w:tcW w:w="179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300≤X＜1000</w:t>
            </w:r>
          </w:p>
        </w:tc>
        <w:tc>
          <w:tcPr>
            <w:tcW w:w="150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20≤X＜300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pPr>
              <w:widowControl/>
              <w:jc w:val="left"/>
              <w:rPr>
                <w:rFonts w:ascii="宋体" w:hAnsi="宋体" w:cs="宋体"/>
                <w:kern w:val="0"/>
                <w:sz w:val="18"/>
                <w:szCs w:val="18"/>
              </w:rPr>
            </w:pPr>
          </w:p>
        </w:tc>
        <w:tc>
          <w:tcPr>
            <w:tcW w:w="1445" w:type="dxa"/>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Y≥30000</w:t>
            </w:r>
          </w:p>
        </w:tc>
        <w:tc>
          <w:tcPr>
            <w:tcW w:w="179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3000≤Y＜30000</w:t>
            </w:r>
          </w:p>
        </w:tc>
        <w:tc>
          <w:tcPr>
            <w:tcW w:w="150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200≤Y＜3000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仓储业×</w:t>
            </w:r>
          </w:p>
        </w:tc>
        <w:tc>
          <w:tcPr>
            <w:tcW w:w="144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X≥200</w:t>
            </w:r>
          </w:p>
        </w:tc>
        <w:tc>
          <w:tcPr>
            <w:tcW w:w="1796" w:type="dxa"/>
            <w:noWrap w:val="0"/>
            <w:vAlign w:val="center"/>
          </w:tcPr>
          <w:p>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50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20≤X＜100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pPr>
              <w:widowControl/>
              <w:jc w:val="left"/>
              <w:rPr>
                <w:rFonts w:ascii="宋体" w:hAnsi="宋体" w:cs="宋体"/>
                <w:kern w:val="0"/>
                <w:sz w:val="18"/>
                <w:szCs w:val="18"/>
              </w:rPr>
            </w:pPr>
          </w:p>
        </w:tc>
        <w:tc>
          <w:tcPr>
            <w:tcW w:w="1445" w:type="dxa"/>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Y≥30000</w:t>
            </w:r>
          </w:p>
        </w:tc>
        <w:tc>
          <w:tcPr>
            <w:tcW w:w="179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1000≤Y＜30000</w:t>
            </w:r>
          </w:p>
        </w:tc>
        <w:tc>
          <w:tcPr>
            <w:tcW w:w="150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100≤Y＜1000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邮政业</w:t>
            </w:r>
          </w:p>
        </w:tc>
        <w:tc>
          <w:tcPr>
            <w:tcW w:w="144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X≥1000</w:t>
            </w:r>
          </w:p>
        </w:tc>
        <w:tc>
          <w:tcPr>
            <w:tcW w:w="179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300≤X＜1000</w:t>
            </w:r>
          </w:p>
        </w:tc>
        <w:tc>
          <w:tcPr>
            <w:tcW w:w="150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20≤X＜300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pPr>
              <w:widowControl/>
              <w:jc w:val="left"/>
              <w:rPr>
                <w:rFonts w:ascii="宋体" w:hAnsi="宋体" w:cs="宋体"/>
                <w:kern w:val="0"/>
                <w:sz w:val="18"/>
                <w:szCs w:val="18"/>
              </w:rPr>
            </w:pPr>
          </w:p>
        </w:tc>
        <w:tc>
          <w:tcPr>
            <w:tcW w:w="1445" w:type="dxa"/>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Y≥30000</w:t>
            </w:r>
          </w:p>
        </w:tc>
        <w:tc>
          <w:tcPr>
            <w:tcW w:w="179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2000≤Y＜30000</w:t>
            </w:r>
          </w:p>
        </w:tc>
        <w:tc>
          <w:tcPr>
            <w:tcW w:w="150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100≤Y＜2000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住宿业</w:t>
            </w:r>
          </w:p>
        </w:tc>
        <w:tc>
          <w:tcPr>
            <w:tcW w:w="144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X≥300</w:t>
            </w:r>
          </w:p>
        </w:tc>
        <w:tc>
          <w:tcPr>
            <w:tcW w:w="1796" w:type="dxa"/>
            <w:noWrap w:val="0"/>
            <w:vAlign w:val="center"/>
          </w:tcPr>
          <w:p>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50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10≤X＜100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pPr>
              <w:widowControl/>
              <w:jc w:val="left"/>
              <w:rPr>
                <w:rFonts w:ascii="宋体" w:hAnsi="宋体" w:cs="宋体"/>
                <w:kern w:val="0"/>
                <w:sz w:val="18"/>
                <w:szCs w:val="18"/>
              </w:rPr>
            </w:pPr>
          </w:p>
        </w:tc>
        <w:tc>
          <w:tcPr>
            <w:tcW w:w="1445" w:type="dxa"/>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Y≥10000</w:t>
            </w:r>
          </w:p>
        </w:tc>
        <w:tc>
          <w:tcPr>
            <w:tcW w:w="179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2000≤Y＜10000</w:t>
            </w:r>
          </w:p>
        </w:tc>
        <w:tc>
          <w:tcPr>
            <w:tcW w:w="150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100≤Y＜2000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餐饮业</w:t>
            </w:r>
          </w:p>
        </w:tc>
        <w:tc>
          <w:tcPr>
            <w:tcW w:w="144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X≥300</w:t>
            </w:r>
          </w:p>
        </w:tc>
        <w:tc>
          <w:tcPr>
            <w:tcW w:w="1796" w:type="dxa"/>
            <w:noWrap w:val="0"/>
            <w:vAlign w:val="center"/>
          </w:tcPr>
          <w:p>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50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10≤X＜100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pPr>
              <w:widowControl/>
              <w:jc w:val="left"/>
              <w:rPr>
                <w:rFonts w:ascii="宋体" w:hAnsi="宋体" w:cs="宋体"/>
                <w:kern w:val="0"/>
                <w:sz w:val="18"/>
                <w:szCs w:val="18"/>
              </w:rPr>
            </w:pPr>
          </w:p>
        </w:tc>
        <w:tc>
          <w:tcPr>
            <w:tcW w:w="1445" w:type="dxa"/>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Y≥10000</w:t>
            </w:r>
          </w:p>
        </w:tc>
        <w:tc>
          <w:tcPr>
            <w:tcW w:w="179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2000≤Y＜10000</w:t>
            </w:r>
          </w:p>
        </w:tc>
        <w:tc>
          <w:tcPr>
            <w:tcW w:w="150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100≤Y＜2000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信息传输业 ×</w:t>
            </w:r>
          </w:p>
        </w:tc>
        <w:tc>
          <w:tcPr>
            <w:tcW w:w="144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X≥2000</w:t>
            </w:r>
          </w:p>
        </w:tc>
        <w:tc>
          <w:tcPr>
            <w:tcW w:w="179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100≤X＜2000</w:t>
            </w:r>
          </w:p>
        </w:tc>
        <w:tc>
          <w:tcPr>
            <w:tcW w:w="150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10≤X＜100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pPr>
              <w:widowControl/>
              <w:jc w:val="left"/>
              <w:rPr>
                <w:rFonts w:ascii="宋体" w:hAnsi="宋体" w:cs="宋体"/>
                <w:kern w:val="0"/>
                <w:sz w:val="18"/>
                <w:szCs w:val="18"/>
              </w:rPr>
            </w:pPr>
          </w:p>
        </w:tc>
        <w:tc>
          <w:tcPr>
            <w:tcW w:w="1445" w:type="dxa"/>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Y≥100000</w:t>
            </w:r>
          </w:p>
        </w:tc>
        <w:tc>
          <w:tcPr>
            <w:tcW w:w="179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1000≤Y＜100000</w:t>
            </w:r>
          </w:p>
        </w:tc>
        <w:tc>
          <w:tcPr>
            <w:tcW w:w="150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100≤Y＜1000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noWrap w:val="0"/>
            <w:vAlign w:val="center"/>
          </w:tcPr>
          <w:p>
            <w:pPr>
              <w:widowControl/>
              <w:spacing w:line="24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44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X≥300</w:t>
            </w:r>
          </w:p>
        </w:tc>
        <w:tc>
          <w:tcPr>
            <w:tcW w:w="1796" w:type="dxa"/>
            <w:noWrap w:val="0"/>
            <w:vAlign w:val="center"/>
          </w:tcPr>
          <w:p>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50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10≤X＜100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noWrap w:val="0"/>
            <w:vAlign w:val="center"/>
          </w:tcPr>
          <w:p>
            <w:pPr>
              <w:widowControl/>
              <w:jc w:val="left"/>
              <w:rPr>
                <w:rFonts w:ascii="宋体" w:hAnsi="宋体" w:cs="宋体"/>
                <w:spacing w:val="-12"/>
                <w:kern w:val="0"/>
                <w:sz w:val="18"/>
                <w:szCs w:val="18"/>
              </w:rPr>
            </w:pPr>
          </w:p>
        </w:tc>
        <w:tc>
          <w:tcPr>
            <w:tcW w:w="144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Y≥10000</w:t>
            </w:r>
          </w:p>
        </w:tc>
        <w:tc>
          <w:tcPr>
            <w:tcW w:w="179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1000≤Y＜10000</w:t>
            </w:r>
          </w:p>
        </w:tc>
        <w:tc>
          <w:tcPr>
            <w:tcW w:w="150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50≤Y＜1000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44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Y≥200000</w:t>
            </w:r>
          </w:p>
        </w:tc>
        <w:tc>
          <w:tcPr>
            <w:tcW w:w="179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1000≤Y＜200000</w:t>
            </w:r>
          </w:p>
        </w:tc>
        <w:tc>
          <w:tcPr>
            <w:tcW w:w="150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100≤Y＜1000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noWrap w:val="0"/>
            <w:vAlign w:val="center"/>
          </w:tcPr>
          <w:p>
            <w:pPr>
              <w:widowControl/>
              <w:jc w:val="left"/>
              <w:rPr>
                <w:rFonts w:ascii="宋体" w:hAnsi="宋体" w:cs="宋体"/>
                <w:kern w:val="0"/>
                <w:sz w:val="18"/>
                <w:szCs w:val="18"/>
              </w:rPr>
            </w:pPr>
          </w:p>
        </w:tc>
        <w:tc>
          <w:tcPr>
            <w:tcW w:w="1445" w:type="dxa"/>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Z≥10000</w:t>
            </w:r>
          </w:p>
        </w:tc>
        <w:tc>
          <w:tcPr>
            <w:tcW w:w="179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5000≤Z＜10000</w:t>
            </w:r>
          </w:p>
        </w:tc>
        <w:tc>
          <w:tcPr>
            <w:tcW w:w="150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2000≤Z＜5000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物业管理</w:t>
            </w:r>
          </w:p>
        </w:tc>
        <w:tc>
          <w:tcPr>
            <w:tcW w:w="144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X≥1000</w:t>
            </w:r>
          </w:p>
        </w:tc>
        <w:tc>
          <w:tcPr>
            <w:tcW w:w="179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300≤X＜1000</w:t>
            </w:r>
          </w:p>
        </w:tc>
        <w:tc>
          <w:tcPr>
            <w:tcW w:w="150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100≤X＜300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noWrap w:val="0"/>
            <w:vAlign w:val="center"/>
          </w:tcPr>
          <w:p>
            <w:pPr>
              <w:widowControl/>
              <w:jc w:val="left"/>
              <w:rPr>
                <w:rFonts w:ascii="宋体" w:hAnsi="宋体" w:cs="宋体"/>
                <w:kern w:val="0"/>
                <w:sz w:val="18"/>
                <w:szCs w:val="18"/>
              </w:rPr>
            </w:pPr>
          </w:p>
        </w:tc>
        <w:tc>
          <w:tcPr>
            <w:tcW w:w="1445" w:type="dxa"/>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Y≥5000</w:t>
            </w:r>
          </w:p>
        </w:tc>
        <w:tc>
          <w:tcPr>
            <w:tcW w:w="1796" w:type="dxa"/>
            <w:noWrap w:val="0"/>
            <w:vAlign w:val="center"/>
          </w:tcPr>
          <w:p>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150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500≤Y＜1000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44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X≥300</w:t>
            </w:r>
          </w:p>
        </w:tc>
        <w:tc>
          <w:tcPr>
            <w:tcW w:w="1796" w:type="dxa"/>
            <w:noWrap w:val="0"/>
            <w:vAlign w:val="center"/>
          </w:tcPr>
          <w:p>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50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10≤X＜100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noWrap w:val="0"/>
            <w:vAlign w:val="center"/>
          </w:tcPr>
          <w:p>
            <w:pPr>
              <w:widowControl/>
              <w:jc w:val="left"/>
              <w:rPr>
                <w:rFonts w:ascii="宋体" w:hAnsi="宋体" w:cs="宋体"/>
                <w:kern w:val="0"/>
                <w:sz w:val="18"/>
                <w:szCs w:val="18"/>
              </w:rPr>
            </w:pPr>
          </w:p>
        </w:tc>
        <w:tc>
          <w:tcPr>
            <w:tcW w:w="1445" w:type="dxa"/>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Z≥120000</w:t>
            </w:r>
          </w:p>
        </w:tc>
        <w:tc>
          <w:tcPr>
            <w:tcW w:w="179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8000≤Z＜120000</w:t>
            </w:r>
          </w:p>
        </w:tc>
        <w:tc>
          <w:tcPr>
            <w:tcW w:w="150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100≤Z＜8000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noWrap w:val="0"/>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其他未列明行业 ×</w:t>
            </w:r>
          </w:p>
        </w:tc>
        <w:tc>
          <w:tcPr>
            <w:tcW w:w="144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X≥300</w:t>
            </w:r>
          </w:p>
        </w:tc>
        <w:tc>
          <w:tcPr>
            <w:tcW w:w="1796" w:type="dxa"/>
            <w:noWrap w:val="0"/>
            <w:vAlign w:val="center"/>
          </w:tcPr>
          <w:p>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50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10≤X＜100</w:t>
            </w:r>
          </w:p>
        </w:tc>
        <w:tc>
          <w:tcPr>
            <w:tcW w:w="104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X＜10</w:t>
            </w:r>
          </w:p>
        </w:tc>
      </w:tr>
    </w:tbl>
    <w:p>
      <w:pPr>
        <w:pStyle w:val="22"/>
      </w:pPr>
    </w:p>
    <w:p>
      <w:pPr>
        <w:widowControl/>
        <w:spacing w:line="540" w:lineRule="exact"/>
        <w:rPr>
          <w:rFonts w:ascii="宋体" w:hAnsi="宋体" w:cs="宋体"/>
          <w:spacing w:val="8"/>
          <w:kern w:val="0"/>
          <w:sz w:val="21"/>
          <w:szCs w:val="21"/>
        </w:rPr>
      </w:pPr>
      <w:r>
        <w:rPr>
          <w:rFonts w:hint="eastAsia" w:ascii="宋体" w:hAnsi="宋体" w:cs="宋体"/>
          <w:spacing w:val="8"/>
          <w:kern w:val="0"/>
          <w:sz w:val="21"/>
          <w:szCs w:val="21"/>
        </w:rPr>
        <w:t>说明：</w:t>
      </w:r>
    </w:p>
    <w:p>
      <w:pPr>
        <w:pStyle w:val="27"/>
        <w:adjustRightInd w:val="0"/>
        <w:spacing w:line="380" w:lineRule="exact"/>
        <w:ind w:firstLine="452" w:firstLineChars="200"/>
        <w:contextualSpacing/>
        <w:rPr>
          <w:rFonts w:hAnsi="宋体" w:cs="宋体"/>
          <w:spacing w:val="8"/>
          <w:kern w:val="0"/>
          <w:sz w:val="21"/>
          <w:szCs w:val="21"/>
        </w:rPr>
      </w:pPr>
      <w:r>
        <w:rPr>
          <w:rFonts w:hint="eastAsia" w:hAnsi="宋体" w:cs="宋体"/>
          <w:spacing w:val="8"/>
          <w:kern w:val="0"/>
          <w:sz w:val="21"/>
          <w:szCs w:val="21"/>
        </w:rPr>
        <w:t>1.大型、中型和小型企业须同时满足所列指标的下限，否则下划一档；微型企业只须满足所列指标中的一项即可。</w:t>
      </w:r>
    </w:p>
    <w:p>
      <w:pPr>
        <w:pStyle w:val="27"/>
        <w:adjustRightInd w:val="0"/>
        <w:spacing w:line="380" w:lineRule="exact"/>
        <w:ind w:firstLine="452" w:firstLineChars="200"/>
        <w:contextualSpacing/>
        <w:rPr>
          <w:rFonts w:hAnsi="宋体" w:cs="宋体"/>
          <w:spacing w:val="8"/>
          <w:kern w:val="0"/>
          <w:sz w:val="21"/>
          <w:szCs w:val="21"/>
        </w:rPr>
      </w:pPr>
      <w:r>
        <w:rPr>
          <w:rFonts w:hint="eastAsia" w:hAnsi="宋体" w:cs="宋体"/>
          <w:spacing w:val="8"/>
          <w:kern w:val="0"/>
          <w:sz w:val="21"/>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27"/>
        <w:adjustRightInd w:val="0"/>
        <w:spacing w:line="380" w:lineRule="exact"/>
        <w:ind w:firstLine="452" w:firstLineChars="200"/>
        <w:contextualSpacing/>
        <w:rPr>
          <w:rFonts w:hAnsi="宋体" w:cs="宋体"/>
          <w:bCs/>
          <w:sz w:val="21"/>
          <w:szCs w:val="21"/>
        </w:rPr>
      </w:pPr>
      <w:r>
        <w:rPr>
          <w:rFonts w:hint="eastAsia" w:hAnsi="宋体" w:cs="宋体"/>
          <w:spacing w:val="8"/>
          <w:kern w:val="0"/>
          <w:sz w:val="21"/>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5"/>
        <w:rPr>
          <w:rFonts w:hint="eastAsia"/>
        </w:rPr>
      </w:pPr>
    </w:p>
    <w:p/>
    <w:p/>
    <w:p>
      <w:pPr>
        <w:pStyle w:val="22"/>
      </w:pPr>
    </w:p>
    <w:p/>
    <w:p>
      <w:pPr>
        <w:pStyle w:val="16"/>
        <w:spacing w:line="360" w:lineRule="auto"/>
        <w:rPr>
          <w:rFonts w:hint="eastAsia" w:hAnsi="宋体" w:eastAsia="宋体" w:cs="宋体"/>
          <w:bCs/>
          <w:sz w:val="21"/>
          <w:szCs w:val="21"/>
          <w:highlight w:val="cyan"/>
          <w:lang w:eastAsia="zh-CN"/>
        </w:rPr>
      </w:pPr>
    </w:p>
    <w:p>
      <w:pPr>
        <w:rPr>
          <w:rFonts w:hint="eastAsia" w:hAnsi="宋体" w:eastAsia="宋体" w:cs="宋体"/>
          <w:bCs/>
          <w:sz w:val="21"/>
          <w:szCs w:val="21"/>
          <w:highlight w:val="cyan"/>
          <w:lang w:eastAsia="zh-CN"/>
        </w:rPr>
      </w:pPr>
    </w:p>
    <w:p>
      <w:pPr>
        <w:jc w:val="both"/>
        <w:rPr>
          <w:rStyle w:val="67"/>
          <w:rFonts w:hint="eastAsia"/>
        </w:rPr>
      </w:pPr>
    </w:p>
    <w:p>
      <w:pPr>
        <w:jc w:val="center"/>
        <w:rPr>
          <w:rFonts w:hAnsi="宋体"/>
          <w:b/>
          <w:kern w:val="0"/>
          <w:sz w:val="32"/>
          <w:szCs w:val="32"/>
        </w:rPr>
      </w:pPr>
      <w:r>
        <w:rPr>
          <w:rStyle w:val="67"/>
          <w:rFonts w:hint="eastAsia"/>
        </w:rPr>
        <w:t>第五章  采购合同</w:t>
      </w:r>
      <w:r>
        <w:rPr>
          <w:rFonts w:hint="eastAsia" w:hAnsi="宋体"/>
          <w:b/>
          <w:kern w:val="0"/>
          <w:sz w:val="32"/>
          <w:szCs w:val="32"/>
        </w:rPr>
        <w:t>（合同主要条款及格式）</w:t>
      </w:r>
    </w:p>
    <w:p>
      <w:pPr>
        <w:spacing w:line="400" w:lineRule="exact"/>
        <w:rPr>
          <w:rFonts w:ascii="宋体" w:hAnsi="宋体"/>
          <w:kern w:val="0"/>
        </w:rPr>
      </w:pPr>
    </w:p>
    <w:p>
      <w:pPr>
        <w:spacing w:line="360" w:lineRule="auto"/>
        <w:rPr>
          <w:rFonts w:ascii="宋体" w:hAnsi="宋体"/>
          <w:kern w:val="0"/>
        </w:rPr>
      </w:pPr>
      <w:r>
        <w:rPr>
          <w:rFonts w:hint="eastAsia" w:ascii="宋体" w:hAnsi="宋体"/>
          <w:kern w:val="0"/>
        </w:rPr>
        <w:t>项目名称及编号：</w:t>
      </w:r>
      <w:r>
        <w:rPr>
          <w:rFonts w:hint="eastAsia" w:ascii="宋体" w:hAnsi="宋体"/>
          <w:kern w:val="0"/>
          <w:u w:val="single"/>
        </w:rPr>
        <w:t xml:space="preserve">                                          </w:t>
      </w:r>
    </w:p>
    <w:p>
      <w:pPr>
        <w:spacing w:line="360" w:lineRule="auto"/>
        <w:rPr>
          <w:rFonts w:ascii="宋体" w:hAnsi="宋体"/>
          <w:kern w:val="0"/>
        </w:rPr>
      </w:pPr>
      <w:r>
        <w:rPr>
          <w:rFonts w:hint="eastAsia" w:ascii="宋体" w:hAnsi="宋体"/>
          <w:kern w:val="0"/>
        </w:rPr>
        <w:t>甲          方：</w:t>
      </w:r>
      <w:r>
        <w:rPr>
          <w:rFonts w:hint="eastAsia" w:ascii="宋体" w:hAnsi="宋体"/>
          <w:kern w:val="0"/>
          <w:u w:val="single"/>
        </w:rPr>
        <w:t xml:space="preserve">                                          </w:t>
      </w:r>
      <w:r>
        <w:rPr>
          <w:rFonts w:hint="eastAsia" w:ascii="宋体" w:hAnsi="宋体"/>
          <w:kern w:val="0"/>
        </w:rPr>
        <w:t>（采购人）</w:t>
      </w:r>
    </w:p>
    <w:p>
      <w:pPr>
        <w:spacing w:line="360" w:lineRule="auto"/>
        <w:rPr>
          <w:rFonts w:ascii="宋体" w:hAnsi="宋体"/>
          <w:kern w:val="0"/>
        </w:rPr>
      </w:pPr>
      <w:r>
        <w:rPr>
          <w:rFonts w:hint="eastAsia" w:ascii="宋体" w:hAnsi="宋体"/>
          <w:kern w:val="0"/>
        </w:rPr>
        <w:t>乙          方：</w:t>
      </w:r>
      <w:r>
        <w:rPr>
          <w:rFonts w:hint="eastAsia" w:ascii="宋体" w:hAnsi="宋体"/>
          <w:kern w:val="0"/>
          <w:u w:val="single"/>
        </w:rPr>
        <w:t xml:space="preserve">                                          </w:t>
      </w:r>
      <w:r>
        <w:rPr>
          <w:rFonts w:hint="eastAsia" w:ascii="宋体" w:hAnsi="宋体"/>
          <w:kern w:val="0"/>
        </w:rPr>
        <w:t>（中标供应商）</w:t>
      </w:r>
    </w:p>
    <w:p>
      <w:pPr>
        <w:spacing w:line="400" w:lineRule="exact"/>
        <w:rPr>
          <w:rFonts w:ascii="宋体" w:hAnsi="宋体"/>
          <w:kern w:val="0"/>
        </w:rPr>
      </w:pPr>
    </w:p>
    <w:p>
      <w:pPr>
        <w:spacing w:line="360" w:lineRule="auto"/>
        <w:ind w:firstLine="420" w:firstLineChars="200"/>
        <w:rPr>
          <w:rFonts w:ascii="宋体" w:hAnsi="宋体"/>
          <w:kern w:val="0"/>
        </w:rPr>
      </w:pPr>
      <w:r>
        <w:rPr>
          <w:rFonts w:hint="eastAsia" w:ascii="宋体" w:hAnsi="宋体"/>
          <w:kern w:val="0"/>
        </w:rPr>
        <w:t>根据《中华人民共和国政府采购法》、《中华人民共和国民法典》等法律、法规规定，按照招、投标文件规定条款和中标供应商承诺、甲乙双方签订本采购合同。</w:t>
      </w:r>
    </w:p>
    <w:p>
      <w:pPr>
        <w:numPr>
          <w:ilvl w:val="0"/>
          <w:numId w:val="6"/>
        </w:numPr>
        <w:spacing w:line="400" w:lineRule="exact"/>
        <w:rPr>
          <w:rFonts w:ascii="宋体" w:hAnsi="宋体"/>
          <w:b/>
          <w:kern w:val="0"/>
          <w:szCs w:val="21"/>
        </w:rPr>
      </w:pPr>
      <w:r>
        <w:rPr>
          <w:rFonts w:hint="eastAsia" w:ascii="宋体" w:hAnsi="宋体"/>
          <w:b/>
          <w:kern w:val="0"/>
          <w:szCs w:val="21"/>
        </w:rPr>
        <w:t>合同标的及合同金额</w:t>
      </w:r>
    </w:p>
    <w:tbl>
      <w:tblPr>
        <w:tblStyle w:val="43"/>
        <w:tblW w:w="97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09" w:type="dxa"/>
            <w:vAlign w:val="center"/>
          </w:tcPr>
          <w:p>
            <w:pPr>
              <w:snapToGrid w:val="0"/>
              <w:spacing w:line="280" w:lineRule="exact"/>
              <w:jc w:val="center"/>
              <w:rPr>
                <w:rFonts w:ascii="宋体" w:hAnsi="宋体"/>
                <w:kern w:val="0"/>
                <w:szCs w:val="21"/>
              </w:rPr>
            </w:pPr>
            <w:r>
              <w:rPr>
                <w:rFonts w:hint="eastAsia" w:ascii="宋体" w:hAnsi="宋体"/>
                <w:kern w:val="0"/>
                <w:szCs w:val="21"/>
              </w:rPr>
              <w:t>项号</w:t>
            </w:r>
          </w:p>
        </w:tc>
        <w:tc>
          <w:tcPr>
            <w:tcW w:w="1232" w:type="dxa"/>
            <w:vAlign w:val="center"/>
          </w:tcPr>
          <w:p>
            <w:pPr>
              <w:snapToGrid w:val="0"/>
              <w:spacing w:line="280" w:lineRule="exact"/>
              <w:jc w:val="center"/>
              <w:rPr>
                <w:rFonts w:ascii="宋体" w:hAnsi="宋体"/>
                <w:kern w:val="0"/>
                <w:szCs w:val="21"/>
              </w:rPr>
            </w:pPr>
            <w:r>
              <w:rPr>
                <w:rFonts w:hint="eastAsia" w:ascii="宋体" w:hAnsi="宋体"/>
                <w:kern w:val="0"/>
                <w:szCs w:val="21"/>
              </w:rPr>
              <w:t>货物名称</w:t>
            </w:r>
          </w:p>
        </w:tc>
        <w:tc>
          <w:tcPr>
            <w:tcW w:w="1445" w:type="dxa"/>
            <w:vAlign w:val="center"/>
          </w:tcPr>
          <w:p>
            <w:pPr>
              <w:snapToGrid w:val="0"/>
              <w:spacing w:line="280" w:lineRule="exact"/>
              <w:jc w:val="center"/>
              <w:rPr>
                <w:rFonts w:ascii="宋体" w:hAnsi="宋体"/>
                <w:kern w:val="0"/>
                <w:szCs w:val="21"/>
              </w:rPr>
            </w:pPr>
            <w:r>
              <w:rPr>
                <w:rFonts w:hint="eastAsia" w:ascii="宋体" w:hAnsi="宋体"/>
                <w:kern w:val="0"/>
                <w:szCs w:val="30"/>
              </w:rPr>
              <w:t>厂家、品牌、规格型号</w:t>
            </w:r>
          </w:p>
        </w:tc>
        <w:tc>
          <w:tcPr>
            <w:tcW w:w="1483" w:type="dxa"/>
            <w:vAlign w:val="center"/>
          </w:tcPr>
          <w:p>
            <w:pPr>
              <w:snapToGrid w:val="0"/>
              <w:spacing w:line="280" w:lineRule="exact"/>
              <w:jc w:val="center"/>
              <w:rPr>
                <w:rFonts w:ascii="宋体" w:hAnsi="宋体"/>
                <w:kern w:val="0"/>
                <w:szCs w:val="21"/>
              </w:rPr>
            </w:pPr>
            <w:r>
              <w:rPr>
                <w:rFonts w:hint="eastAsia" w:ascii="宋体" w:hAnsi="宋体"/>
                <w:kern w:val="0"/>
                <w:szCs w:val="21"/>
              </w:rPr>
              <w:t>技术参数</w:t>
            </w:r>
          </w:p>
        </w:tc>
        <w:tc>
          <w:tcPr>
            <w:tcW w:w="1073" w:type="dxa"/>
            <w:vAlign w:val="center"/>
          </w:tcPr>
          <w:p>
            <w:pPr>
              <w:snapToGrid w:val="0"/>
              <w:spacing w:line="280" w:lineRule="exact"/>
              <w:jc w:val="center"/>
              <w:rPr>
                <w:rFonts w:ascii="宋体" w:hAnsi="宋体"/>
                <w:kern w:val="0"/>
                <w:szCs w:val="21"/>
              </w:rPr>
            </w:pPr>
            <w:r>
              <w:rPr>
                <w:rFonts w:hint="eastAsia" w:ascii="宋体" w:hAnsi="宋体"/>
                <w:kern w:val="0"/>
                <w:szCs w:val="21"/>
              </w:rPr>
              <w:t>数量</w:t>
            </w:r>
          </w:p>
          <w:p>
            <w:pPr>
              <w:snapToGrid w:val="0"/>
              <w:spacing w:line="280" w:lineRule="exact"/>
              <w:jc w:val="center"/>
              <w:rPr>
                <w:rFonts w:ascii="宋体" w:hAnsi="宋体"/>
                <w:kern w:val="0"/>
                <w:szCs w:val="21"/>
              </w:rPr>
            </w:pPr>
            <w:r>
              <w:rPr>
                <w:rFonts w:hint="eastAsia" w:ascii="宋体" w:hAnsi="宋体"/>
                <w:kern w:val="0"/>
                <w:szCs w:val="21"/>
              </w:rPr>
              <w:t>①</w:t>
            </w:r>
          </w:p>
        </w:tc>
        <w:tc>
          <w:tcPr>
            <w:tcW w:w="714" w:type="dxa"/>
            <w:vAlign w:val="center"/>
          </w:tcPr>
          <w:p>
            <w:pPr>
              <w:snapToGrid w:val="0"/>
              <w:spacing w:line="280" w:lineRule="exact"/>
              <w:jc w:val="center"/>
              <w:rPr>
                <w:rFonts w:ascii="宋体" w:hAnsi="宋体"/>
                <w:kern w:val="0"/>
                <w:szCs w:val="21"/>
              </w:rPr>
            </w:pPr>
            <w:r>
              <w:rPr>
                <w:rFonts w:hint="eastAsia" w:ascii="宋体" w:hAnsi="宋体"/>
                <w:kern w:val="0"/>
                <w:szCs w:val="21"/>
              </w:rPr>
              <w:t>单位</w:t>
            </w:r>
          </w:p>
        </w:tc>
        <w:tc>
          <w:tcPr>
            <w:tcW w:w="1545" w:type="dxa"/>
            <w:vAlign w:val="center"/>
          </w:tcPr>
          <w:p>
            <w:pPr>
              <w:snapToGrid w:val="0"/>
              <w:spacing w:line="280" w:lineRule="exact"/>
              <w:jc w:val="center"/>
              <w:rPr>
                <w:rFonts w:ascii="宋体" w:hAnsi="宋体"/>
                <w:kern w:val="0"/>
                <w:szCs w:val="21"/>
              </w:rPr>
            </w:pPr>
            <w:r>
              <w:rPr>
                <w:rFonts w:hint="eastAsia" w:ascii="宋体" w:hAnsi="宋体"/>
                <w:kern w:val="0"/>
                <w:szCs w:val="21"/>
              </w:rPr>
              <w:t>单价（元）</w:t>
            </w:r>
          </w:p>
          <w:p>
            <w:pPr>
              <w:snapToGrid w:val="0"/>
              <w:spacing w:line="280" w:lineRule="exact"/>
              <w:jc w:val="center"/>
              <w:rPr>
                <w:rFonts w:ascii="宋体" w:hAnsi="宋体"/>
                <w:kern w:val="0"/>
                <w:szCs w:val="21"/>
              </w:rPr>
            </w:pPr>
            <w:r>
              <w:rPr>
                <w:rFonts w:hint="eastAsia" w:ascii="宋体" w:hAnsi="宋体"/>
                <w:kern w:val="0"/>
                <w:szCs w:val="21"/>
              </w:rPr>
              <w:t>②</w:t>
            </w:r>
          </w:p>
        </w:tc>
        <w:tc>
          <w:tcPr>
            <w:tcW w:w="1575" w:type="dxa"/>
            <w:vAlign w:val="center"/>
          </w:tcPr>
          <w:p>
            <w:pPr>
              <w:snapToGrid w:val="0"/>
              <w:spacing w:line="280" w:lineRule="exact"/>
              <w:jc w:val="center"/>
              <w:rPr>
                <w:rFonts w:ascii="宋体" w:hAnsi="宋体"/>
                <w:kern w:val="0"/>
                <w:szCs w:val="21"/>
              </w:rPr>
            </w:pPr>
            <w:r>
              <w:rPr>
                <w:rFonts w:hint="eastAsia" w:ascii="宋体" w:hAnsi="宋体"/>
                <w:b/>
                <w:kern w:val="0"/>
                <w:szCs w:val="21"/>
              </w:rPr>
              <w:t>单项合计金额</w:t>
            </w:r>
            <w:r>
              <w:rPr>
                <w:rFonts w:hint="eastAsia" w:ascii="宋体" w:hAnsi="宋体"/>
                <w:kern w:val="0"/>
                <w:szCs w:val="21"/>
              </w:rPr>
              <w:t>（元）</w:t>
            </w:r>
          </w:p>
          <w:p>
            <w:pPr>
              <w:snapToGrid w:val="0"/>
              <w:spacing w:line="280" w:lineRule="exact"/>
              <w:jc w:val="center"/>
              <w:rPr>
                <w:rFonts w:ascii="宋体" w:hAnsi="宋体"/>
                <w:kern w:val="0"/>
                <w:szCs w:val="21"/>
              </w:rPr>
            </w:pPr>
            <w:r>
              <w:rPr>
                <w:rFonts w:hint="eastAsia" w:ascii="宋体" w:hAnsi="宋体"/>
                <w:kern w:val="0"/>
                <w:szCs w:val="21"/>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宋体" w:hAnsi="宋体"/>
                <w:kern w:val="0"/>
                <w:szCs w:val="21"/>
              </w:rPr>
            </w:pPr>
            <w:r>
              <w:rPr>
                <w:rFonts w:hint="eastAsia" w:ascii="宋体" w:hAnsi="宋体"/>
                <w:kern w:val="0"/>
                <w:szCs w:val="21"/>
              </w:rPr>
              <w:t>1</w:t>
            </w:r>
          </w:p>
        </w:tc>
        <w:tc>
          <w:tcPr>
            <w:tcW w:w="1232" w:type="dxa"/>
            <w:vAlign w:val="center"/>
          </w:tcPr>
          <w:p>
            <w:pPr>
              <w:snapToGrid w:val="0"/>
              <w:spacing w:line="360" w:lineRule="auto"/>
              <w:rPr>
                <w:rFonts w:ascii="宋体" w:hAnsi="宋体"/>
                <w:kern w:val="0"/>
                <w:szCs w:val="21"/>
              </w:rPr>
            </w:pPr>
          </w:p>
        </w:tc>
        <w:tc>
          <w:tcPr>
            <w:tcW w:w="1445" w:type="dxa"/>
            <w:vAlign w:val="center"/>
          </w:tcPr>
          <w:p>
            <w:pPr>
              <w:snapToGrid w:val="0"/>
              <w:spacing w:line="360" w:lineRule="auto"/>
              <w:rPr>
                <w:rFonts w:ascii="宋体" w:hAnsi="宋体"/>
                <w:kern w:val="0"/>
                <w:szCs w:val="21"/>
              </w:rPr>
            </w:pPr>
          </w:p>
        </w:tc>
        <w:tc>
          <w:tcPr>
            <w:tcW w:w="1483" w:type="dxa"/>
            <w:vAlign w:val="center"/>
          </w:tcPr>
          <w:p>
            <w:pPr>
              <w:snapToGrid w:val="0"/>
              <w:spacing w:line="360" w:lineRule="auto"/>
              <w:rPr>
                <w:rFonts w:ascii="宋体" w:hAnsi="宋体"/>
                <w:kern w:val="0"/>
                <w:szCs w:val="21"/>
              </w:rPr>
            </w:pPr>
          </w:p>
        </w:tc>
        <w:tc>
          <w:tcPr>
            <w:tcW w:w="1073" w:type="dxa"/>
          </w:tcPr>
          <w:p>
            <w:pPr>
              <w:snapToGrid w:val="0"/>
              <w:spacing w:line="360" w:lineRule="auto"/>
              <w:rPr>
                <w:rFonts w:ascii="宋体" w:hAnsi="宋体"/>
                <w:kern w:val="0"/>
                <w:szCs w:val="21"/>
              </w:rPr>
            </w:pPr>
          </w:p>
        </w:tc>
        <w:tc>
          <w:tcPr>
            <w:tcW w:w="714" w:type="dxa"/>
          </w:tcPr>
          <w:p>
            <w:pPr>
              <w:snapToGrid w:val="0"/>
              <w:spacing w:line="360" w:lineRule="auto"/>
              <w:rPr>
                <w:rFonts w:ascii="宋体" w:hAnsi="宋体"/>
                <w:kern w:val="0"/>
                <w:szCs w:val="21"/>
              </w:rPr>
            </w:pPr>
          </w:p>
        </w:tc>
        <w:tc>
          <w:tcPr>
            <w:tcW w:w="1545" w:type="dxa"/>
            <w:vAlign w:val="center"/>
          </w:tcPr>
          <w:p>
            <w:pPr>
              <w:snapToGrid w:val="0"/>
              <w:spacing w:line="360" w:lineRule="auto"/>
              <w:rPr>
                <w:rFonts w:ascii="宋体" w:hAnsi="宋体"/>
                <w:kern w:val="0"/>
                <w:szCs w:val="21"/>
              </w:rPr>
            </w:pPr>
          </w:p>
        </w:tc>
        <w:tc>
          <w:tcPr>
            <w:tcW w:w="1575" w:type="dxa"/>
            <w:vAlign w:val="center"/>
          </w:tcPr>
          <w:p>
            <w:pPr>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宋体" w:hAnsi="宋体"/>
                <w:kern w:val="0"/>
                <w:szCs w:val="21"/>
              </w:rPr>
            </w:pPr>
            <w:r>
              <w:rPr>
                <w:rFonts w:hint="eastAsia" w:ascii="宋体" w:hAnsi="宋体"/>
                <w:kern w:val="0"/>
                <w:szCs w:val="21"/>
              </w:rPr>
              <w:t>2</w:t>
            </w:r>
          </w:p>
        </w:tc>
        <w:tc>
          <w:tcPr>
            <w:tcW w:w="1232" w:type="dxa"/>
            <w:vAlign w:val="center"/>
          </w:tcPr>
          <w:p>
            <w:pPr>
              <w:snapToGrid w:val="0"/>
              <w:spacing w:line="360" w:lineRule="auto"/>
              <w:rPr>
                <w:rFonts w:ascii="宋体" w:hAnsi="宋体"/>
                <w:kern w:val="0"/>
                <w:szCs w:val="21"/>
              </w:rPr>
            </w:pPr>
          </w:p>
        </w:tc>
        <w:tc>
          <w:tcPr>
            <w:tcW w:w="1445" w:type="dxa"/>
            <w:vAlign w:val="center"/>
          </w:tcPr>
          <w:p>
            <w:pPr>
              <w:snapToGrid w:val="0"/>
              <w:spacing w:line="360" w:lineRule="auto"/>
              <w:rPr>
                <w:rFonts w:ascii="宋体" w:hAnsi="宋体"/>
                <w:kern w:val="0"/>
                <w:szCs w:val="21"/>
              </w:rPr>
            </w:pPr>
          </w:p>
        </w:tc>
        <w:tc>
          <w:tcPr>
            <w:tcW w:w="1483" w:type="dxa"/>
            <w:vAlign w:val="center"/>
          </w:tcPr>
          <w:p>
            <w:pPr>
              <w:snapToGrid w:val="0"/>
              <w:spacing w:line="360" w:lineRule="auto"/>
              <w:rPr>
                <w:rFonts w:ascii="宋体" w:hAnsi="宋体"/>
                <w:kern w:val="0"/>
                <w:szCs w:val="21"/>
              </w:rPr>
            </w:pPr>
          </w:p>
        </w:tc>
        <w:tc>
          <w:tcPr>
            <w:tcW w:w="1073" w:type="dxa"/>
          </w:tcPr>
          <w:p>
            <w:pPr>
              <w:snapToGrid w:val="0"/>
              <w:spacing w:line="360" w:lineRule="auto"/>
              <w:rPr>
                <w:rFonts w:ascii="宋体" w:hAnsi="宋体"/>
                <w:kern w:val="0"/>
                <w:szCs w:val="21"/>
              </w:rPr>
            </w:pPr>
          </w:p>
        </w:tc>
        <w:tc>
          <w:tcPr>
            <w:tcW w:w="714" w:type="dxa"/>
          </w:tcPr>
          <w:p>
            <w:pPr>
              <w:snapToGrid w:val="0"/>
              <w:spacing w:line="360" w:lineRule="auto"/>
              <w:rPr>
                <w:rFonts w:ascii="宋体" w:hAnsi="宋体"/>
                <w:kern w:val="0"/>
                <w:szCs w:val="21"/>
              </w:rPr>
            </w:pPr>
          </w:p>
        </w:tc>
        <w:tc>
          <w:tcPr>
            <w:tcW w:w="1545" w:type="dxa"/>
            <w:vAlign w:val="center"/>
          </w:tcPr>
          <w:p>
            <w:pPr>
              <w:snapToGrid w:val="0"/>
              <w:spacing w:line="360" w:lineRule="auto"/>
              <w:rPr>
                <w:rFonts w:ascii="宋体" w:hAnsi="宋体"/>
                <w:kern w:val="0"/>
                <w:szCs w:val="21"/>
              </w:rPr>
            </w:pPr>
          </w:p>
        </w:tc>
        <w:tc>
          <w:tcPr>
            <w:tcW w:w="1575" w:type="dxa"/>
            <w:vAlign w:val="center"/>
          </w:tcPr>
          <w:p>
            <w:pPr>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宋体" w:hAnsi="宋体"/>
                <w:kern w:val="0"/>
                <w:szCs w:val="21"/>
              </w:rPr>
            </w:pPr>
            <w:r>
              <w:rPr>
                <w:rFonts w:ascii="宋体" w:hAnsi="宋体"/>
                <w:kern w:val="0"/>
                <w:szCs w:val="21"/>
              </w:rPr>
              <w:t>…</w:t>
            </w:r>
          </w:p>
        </w:tc>
        <w:tc>
          <w:tcPr>
            <w:tcW w:w="1232" w:type="dxa"/>
            <w:vAlign w:val="center"/>
          </w:tcPr>
          <w:p>
            <w:pPr>
              <w:snapToGrid w:val="0"/>
              <w:spacing w:line="360" w:lineRule="auto"/>
              <w:rPr>
                <w:rFonts w:ascii="宋体" w:hAnsi="宋体"/>
                <w:kern w:val="0"/>
                <w:szCs w:val="21"/>
              </w:rPr>
            </w:pPr>
          </w:p>
        </w:tc>
        <w:tc>
          <w:tcPr>
            <w:tcW w:w="1445" w:type="dxa"/>
            <w:vAlign w:val="center"/>
          </w:tcPr>
          <w:p>
            <w:pPr>
              <w:snapToGrid w:val="0"/>
              <w:spacing w:line="360" w:lineRule="auto"/>
              <w:rPr>
                <w:rFonts w:ascii="宋体" w:hAnsi="宋体"/>
                <w:kern w:val="0"/>
                <w:szCs w:val="21"/>
              </w:rPr>
            </w:pPr>
          </w:p>
        </w:tc>
        <w:tc>
          <w:tcPr>
            <w:tcW w:w="1483" w:type="dxa"/>
            <w:vAlign w:val="center"/>
          </w:tcPr>
          <w:p>
            <w:pPr>
              <w:snapToGrid w:val="0"/>
              <w:spacing w:line="360" w:lineRule="auto"/>
              <w:rPr>
                <w:rFonts w:ascii="宋体" w:hAnsi="宋体"/>
                <w:kern w:val="0"/>
                <w:szCs w:val="21"/>
              </w:rPr>
            </w:pPr>
          </w:p>
        </w:tc>
        <w:tc>
          <w:tcPr>
            <w:tcW w:w="1073" w:type="dxa"/>
          </w:tcPr>
          <w:p>
            <w:pPr>
              <w:snapToGrid w:val="0"/>
              <w:spacing w:line="360" w:lineRule="auto"/>
              <w:rPr>
                <w:rFonts w:ascii="宋体" w:hAnsi="宋体"/>
                <w:kern w:val="0"/>
                <w:szCs w:val="21"/>
              </w:rPr>
            </w:pPr>
          </w:p>
        </w:tc>
        <w:tc>
          <w:tcPr>
            <w:tcW w:w="714" w:type="dxa"/>
          </w:tcPr>
          <w:p>
            <w:pPr>
              <w:snapToGrid w:val="0"/>
              <w:spacing w:line="360" w:lineRule="auto"/>
              <w:rPr>
                <w:rFonts w:ascii="宋体" w:hAnsi="宋体"/>
                <w:kern w:val="0"/>
                <w:szCs w:val="21"/>
              </w:rPr>
            </w:pPr>
          </w:p>
        </w:tc>
        <w:tc>
          <w:tcPr>
            <w:tcW w:w="1545" w:type="dxa"/>
            <w:vAlign w:val="center"/>
          </w:tcPr>
          <w:p>
            <w:pPr>
              <w:snapToGrid w:val="0"/>
              <w:spacing w:line="360" w:lineRule="auto"/>
              <w:rPr>
                <w:rFonts w:ascii="宋体" w:hAnsi="宋体"/>
                <w:kern w:val="0"/>
                <w:szCs w:val="21"/>
              </w:rPr>
            </w:pPr>
          </w:p>
        </w:tc>
        <w:tc>
          <w:tcPr>
            <w:tcW w:w="1575" w:type="dxa"/>
            <w:vAlign w:val="center"/>
          </w:tcPr>
          <w:p>
            <w:pPr>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宋体" w:hAnsi="宋体"/>
                <w:kern w:val="0"/>
                <w:szCs w:val="21"/>
              </w:rPr>
            </w:pPr>
            <w:r>
              <w:rPr>
                <w:rFonts w:hint="eastAsia" w:ascii="宋体" w:hAnsi="宋体"/>
                <w:kern w:val="0"/>
                <w:szCs w:val="21"/>
              </w:rPr>
              <w:t>N</w:t>
            </w:r>
          </w:p>
        </w:tc>
        <w:tc>
          <w:tcPr>
            <w:tcW w:w="1232" w:type="dxa"/>
            <w:vAlign w:val="center"/>
          </w:tcPr>
          <w:p>
            <w:pPr>
              <w:snapToGrid w:val="0"/>
              <w:spacing w:line="360" w:lineRule="auto"/>
              <w:rPr>
                <w:rFonts w:ascii="宋体" w:hAnsi="宋体"/>
                <w:kern w:val="0"/>
                <w:szCs w:val="21"/>
              </w:rPr>
            </w:pPr>
          </w:p>
        </w:tc>
        <w:tc>
          <w:tcPr>
            <w:tcW w:w="1445" w:type="dxa"/>
            <w:vAlign w:val="center"/>
          </w:tcPr>
          <w:p>
            <w:pPr>
              <w:snapToGrid w:val="0"/>
              <w:spacing w:line="360" w:lineRule="auto"/>
              <w:rPr>
                <w:rFonts w:ascii="宋体" w:hAnsi="宋体"/>
                <w:kern w:val="0"/>
                <w:szCs w:val="21"/>
              </w:rPr>
            </w:pPr>
          </w:p>
        </w:tc>
        <w:tc>
          <w:tcPr>
            <w:tcW w:w="1483" w:type="dxa"/>
            <w:vAlign w:val="center"/>
          </w:tcPr>
          <w:p>
            <w:pPr>
              <w:snapToGrid w:val="0"/>
              <w:spacing w:line="360" w:lineRule="auto"/>
              <w:rPr>
                <w:rFonts w:ascii="宋体" w:hAnsi="宋体"/>
                <w:kern w:val="0"/>
                <w:szCs w:val="21"/>
              </w:rPr>
            </w:pPr>
          </w:p>
        </w:tc>
        <w:tc>
          <w:tcPr>
            <w:tcW w:w="1073" w:type="dxa"/>
          </w:tcPr>
          <w:p>
            <w:pPr>
              <w:snapToGrid w:val="0"/>
              <w:spacing w:line="360" w:lineRule="auto"/>
              <w:rPr>
                <w:rFonts w:ascii="宋体" w:hAnsi="宋体"/>
                <w:kern w:val="0"/>
                <w:szCs w:val="21"/>
              </w:rPr>
            </w:pPr>
          </w:p>
        </w:tc>
        <w:tc>
          <w:tcPr>
            <w:tcW w:w="714" w:type="dxa"/>
          </w:tcPr>
          <w:p>
            <w:pPr>
              <w:snapToGrid w:val="0"/>
              <w:spacing w:line="360" w:lineRule="auto"/>
              <w:rPr>
                <w:rFonts w:ascii="宋体" w:hAnsi="宋体"/>
                <w:kern w:val="0"/>
                <w:szCs w:val="21"/>
              </w:rPr>
            </w:pPr>
          </w:p>
        </w:tc>
        <w:tc>
          <w:tcPr>
            <w:tcW w:w="1545" w:type="dxa"/>
            <w:vAlign w:val="center"/>
          </w:tcPr>
          <w:p>
            <w:pPr>
              <w:snapToGrid w:val="0"/>
              <w:spacing w:line="360" w:lineRule="auto"/>
              <w:rPr>
                <w:rFonts w:ascii="宋体" w:hAnsi="宋体"/>
                <w:kern w:val="0"/>
                <w:szCs w:val="21"/>
              </w:rPr>
            </w:pPr>
          </w:p>
        </w:tc>
        <w:tc>
          <w:tcPr>
            <w:tcW w:w="1575" w:type="dxa"/>
            <w:vAlign w:val="center"/>
          </w:tcPr>
          <w:p>
            <w:pPr>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宋体" w:hAnsi="宋体"/>
                <w:kern w:val="0"/>
                <w:szCs w:val="21"/>
              </w:rPr>
            </w:pPr>
            <w:r>
              <w:rPr>
                <w:rFonts w:hint="eastAsia" w:ascii="宋体" w:hAnsi="宋体"/>
                <w:kern w:val="0"/>
                <w:szCs w:val="21"/>
              </w:rPr>
              <w:t>50</w:t>
            </w:r>
          </w:p>
        </w:tc>
        <w:tc>
          <w:tcPr>
            <w:tcW w:w="1232" w:type="dxa"/>
            <w:vAlign w:val="center"/>
          </w:tcPr>
          <w:p>
            <w:pPr>
              <w:snapToGrid w:val="0"/>
              <w:spacing w:line="360" w:lineRule="auto"/>
              <w:rPr>
                <w:rFonts w:ascii="宋体" w:hAnsi="宋体"/>
                <w:kern w:val="0"/>
                <w:szCs w:val="21"/>
              </w:rPr>
            </w:pPr>
          </w:p>
        </w:tc>
        <w:tc>
          <w:tcPr>
            <w:tcW w:w="1445" w:type="dxa"/>
            <w:vAlign w:val="center"/>
          </w:tcPr>
          <w:p>
            <w:pPr>
              <w:snapToGrid w:val="0"/>
              <w:spacing w:line="360" w:lineRule="auto"/>
              <w:rPr>
                <w:rFonts w:ascii="宋体" w:hAnsi="宋体"/>
                <w:kern w:val="0"/>
                <w:szCs w:val="21"/>
              </w:rPr>
            </w:pPr>
          </w:p>
        </w:tc>
        <w:tc>
          <w:tcPr>
            <w:tcW w:w="1483" w:type="dxa"/>
            <w:vAlign w:val="center"/>
          </w:tcPr>
          <w:p>
            <w:pPr>
              <w:snapToGrid w:val="0"/>
              <w:spacing w:line="360" w:lineRule="auto"/>
              <w:rPr>
                <w:rFonts w:ascii="宋体" w:hAnsi="宋体"/>
                <w:kern w:val="0"/>
                <w:szCs w:val="21"/>
              </w:rPr>
            </w:pPr>
          </w:p>
        </w:tc>
        <w:tc>
          <w:tcPr>
            <w:tcW w:w="1073" w:type="dxa"/>
          </w:tcPr>
          <w:p>
            <w:pPr>
              <w:snapToGrid w:val="0"/>
              <w:spacing w:line="360" w:lineRule="auto"/>
              <w:rPr>
                <w:rFonts w:ascii="宋体" w:hAnsi="宋体"/>
                <w:kern w:val="0"/>
                <w:szCs w:val="21"/>
              </w:rPr>
            </w:pPr>
          </w:p>
        </w:tc>
        <w:tc>
          <w:tcPr>
            <w:tcW w:w="714" w:type="dxa"/>
          </w:tcPr>
          <w:p>
            <w:pPr>
              <w:snapToGrid w:val="0"/>
              <w:spacing w:line="360" w:lineRule="auto"/>
              <w:rPr>
                <w:rFonts w:ascii="宋体" w:hAnsi="宋体"/>
                <w:kern w:val="0"/>
                <w:szCs w:val="21"/>
              </w:rPr>
            </w:pPr>
          </w:p>
        </w:tc>
        <w:tc>
          <w:tcPr>
            <w:tcW w:w="1545" w:type="dxa"/>
            <w:vAlign w:val="center"/>
          </w:tcPr>
          <w:p>
            <w:pPr>
              <w:snapToGrid w:val="0"/>
              <w:spacing w:line="360" w:lineRule="auto"/>
              <w:rPr>
                <w:rFonts w:ascii="宋体" w:hAnsi="宋体"/>
                <w:kern w:val="0"/>
                <w:szCs w:val="21"/>
              </w:rPr>
            </w:pPr>
          </w:p>
        </w:tc>
        <w:tc>
          <w:tcPr>
            <w:tcW w:w="1575" w:type="dxa"/>
            <w:vAlign w:val="center"/>
          </w:tcPr>
          <w:p>
            <w:pPr>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201" w:type="dxa"/>
            <w:gridSpan w:val="7"/>
            <w:vAlign w:val="center"/>
          </w:tcPr>
          <w:p>
            <w:pPr>
              <w:snapToGrid w:val="0"/>
              <w:spacing w:line="360" w:lineRule="auto"/>
              <w:rPr>
                <w:rFonts w:ascii="宋体" w:hAnsi="宋体"/>
                <w:kern w:val="0"/>
                <w:szCs w:val="21"/>
              </w:rPr>
            </w:pPr>
            <w:r>
              <w:rPr>
                <w:rFonts w:hint="eastAsia" w:ascii="宋体" w:hAnsi="宋体"/>
                <w:kern w:val="0"/>
                <w:szCs w:val="21"/>
              </w:rPr>
              <w:t xml:space="preserve">                                                      合     计</w:t>
            </w:r>
          </w:p>
        </w:tc>
        <w:tc>
          <w:tcPr>
            <w:tcW w:w="1575" w:type="dxa"/>
            <w:vAlign w:val="center"/>
          </w:tcPr>
          <w:p>
            <w:pPr>
              <w:snapToGrid w:val="0"/>
              <w:spacing w:line="360" w:lineRule="auto"/>
              <w:rPr>
                <w:rFonts w:ascii="宋体" w:hAnsi="宋体"/>
                <w:kern w:val="0"/>
                <w:szCs w:val="21"/>
              </w:rPr>
            </w:pPr>
          </w:p>
        </w:tc>
      </w:tr>
    </w:tbl>
    <w:p>
      <w:pPr>
        <w:spacing w:line="360" w:lineRule="auto"/>
        <w:ind w:firstLine="411" w:firstLineChars="196"/>
        <w:rPr>
          <w:rFonts w:hint="eastAsia" w:ascii="宋体" w:hAnsi="宋体"/>
          <w:kern w:val="0"/>
          <w:szCs w:val="21"/>
        </w:rPr>
      </w:pPr>
    </w:p>
    <w:p>
      <w:pPr>
        <w:spacing w:line="360" w:lineRule="auto"/>
        <w:ind w:firstLine="411" w:firstLineChars="196"/>
        <w:rPr>
          <w:rFonts w:ascii="宋体" w:hAnsi="宋体"/>
          <w:kern w:val="0"/>
          <w:szCs w:val="21"/>
        </w:rPr>
      </w:pPr>
      <w:r>
        <w:rPr>
          <w:rFonts w:hint="eastAsia" w:ascii="宋体" w:hAnsi="宋体"/>
          <w:kern w:val="0"/>
          <w:szCs w:val="21"/>
        </w:rPr>
        <w:t>根据《中标通知书》的中标内容，合同的总金额为：（大写）</w:t>
      </w:r>
      <w:r>
        <w:rPr>
          <w:rFonts w:hint="eastAsia" w:ascii="宋体" w:hAnsi="宋体"/>
          <w:kern w:val="0"/>
          <w:szCs w:val="21"/>
          <w:u w:val="single"/>
        </w:rPr>
        <w:t>　　    　 　　</w:t>
      </w:r>
      <w:r>
        <w:rPr>
          <w:rFonts w:hint="eastAsia" w:ascii="宋体" w:hAnsi="宋体"/>
          <w:kern w:val="0"/>
          <w:szCs w:val="21"/>
        </w:rPr>
        <w:t>人民币（</w:t>
      </w:r>
      <w:r>
        <w:rPr>
          <w:rFonts w:hint="eastAsia" w:ascii="宋体" w:hAnsi="宋体"/>
          <w:kern w:val="0"/>
          <w:szCs w:val="21"/>
          <w:lang w:val="en-US" w:eastAsia="zh-CN"/>
        </w:rPr>
        <w:t>¥</w:t>
      </w:r>
      <w:r>
        <w:rPr>
          <w:rFonts w:hint="eastAsia" w:ascii="宋体" w:hAnsi="宋体"/>
          <w:kern w:val="0"/>
          <w:szCs w:val="21"/>
          <w:u w:val="single"/>
        </w:rPr>
        <w:t>　  　　　</w:t>
      </w:r>
      <w:r>
        <w:rPr>
          <w:rFonts w:hint="eastAsia" w:ascii="宋体" w:hAnsi="宋体"/>
          <w:kern w:val="0"/>
          <w:szCs w:val="21"/>
        </w:rPr>
        <w:t>元）</w:t>
      </w:r>
    </w:p>
    <w:p>
      <w:pPr>
        <w:pStyle w:val="201"/>
        <w:spacing w:line="360" w:lineRule="auto"/>
        <w:ind w:firstLine="420" w:firstLineChars="200"/>
      </w:pPr>
      <w:r>
        <w:rPr>
          <w:rFonts w:hint="eastAsia"/>
        </w:rPr>
        <w:t>材料清单中的单价或金额，应包括货物、随配附件（安装中所使用到的辅材辅件）及损耗、运抵指定交货地点的各种费用、售后服务、税金、搬运、装卸、设备的安装等所有成本费用和利润的总和。</w:t>
      </w:r>
    </w:p>
    <w:p>
      <w:pPr>
        <w:spacing w:line="360" w:lineRule="auto"/>
        <w:ind w:firstLine="413" w:firstLineChars="196"/>
        <w:rPr>
          <w:rFonts w:ascii="宋体" w:hAnsi="宋体"/>
          <w:b/>
          <w:kern w:val="0"/>
          <w:szCs w:val="21"/>
        </w:rPr>
      </w:pPr>
      <w:r>
        <w:rPr>
          <w:rFonts w:hint="eastAsia" w:ascii="宋体" w:hAnsi="宋体"/>
          <w:b/>
          <w:kern w:val="0"/>
          <w:szCs w:val="21"/>
        </w:rPr>
        <w:t xml:space="preserve">第二条  质量保证   </w:t>
      </w:r>
    </w:p>
    <w:p>
      <w:pPr>
        <w:spacing w:line="360" w:lineRule="auto"/>
        <w:ind w:firstLine="411" w:firstLineChars="196"/>
        <w:rPr>
          <w:rFonts w:ascii="宋体" w:hAnsi="宋体"/>
          <w:kern w:val="0"/>
          <w:szCs w:val="21"/>
        </w:rPr>
      </w:pPr>
      <w:r>
        <w:rPr>
          <w:rFonts w:hint="eastAsia" w:ascii="宋体" w:hAnsi="宋体"/>
          <w:kern w:val="0"/>
          <w:szCs w:val="21"/>
        </w:rPr>
        <w:t>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spacing w:line="360" w:lineRule="auto"/>
        <w:ind w:firstLine="435"/>
        <w:rPr>
          <w:rFonts w:ascii="宋体" w:hAnsi="宋体"/>
          <w:kern w:val="0"/>
          <w:szCs w:val="21"/>
        </w:rPr>
      </w:pPr>
      <w:r>
        <w:rPr>
          <w:rFonts w:hint="eastAsia" w:ascii="宋体" w:hAnsi="宋体"/>
          <w:kern w:val="0"/>
          <w:szCs w:val="21"/>
        </w:rPr>
        <w:t>2.乙方提供货物的质量保证期为</w:t>
      </w:r>
      <w:r>
        <w:rPr>
          <w:rFonts w:hint="eastAsia" w:ascii="宋体" w:hAnsi="宋体"/>
          <w:kern w:val="0"/>
          <w:szCs w:val="21"/>
          <w:u w:val="single"/>
        </w:rPr>
        <w:t xml:space="preserve">   按投标文件填写   </w:t>
      </w:r>
      <w:r>
        <w:rPr>
          <w:rFonts w:hint="eastAsia" w:ascii="宋体" w:hAnsi="宋体"/>
          <w:kern w:val="0"/>
          <w:szCs w:val="21"/>
        </w:rPr>
        <w:t>。在质保期内因货物本身的质量问题发生故障，乙方应负责免费修理和更换零部件。对达不到技术要求者，根据实际情况，经双方协商，可按以下办法处理：</w:t>
      </w:r>
    </w:p>
    <w:p>
      <w:pPr>
        <w:spacing w:line="360" w:lineRule="auto"/>
        <w:ind w:firstLine="435"/>
        <w:rPr>
          <w:rFonts w:ascii="宋体" w:hAnsi="宋体"/>
          <w:kern w:val="0"/>
          <w:szCs w:val="21"/>
        </w:rPr>
      </w:pPr>
      <w:r>
        <w:rPr>
          <w:rFonts w:hint="eastAsia" w:ascii="宋体" w:hAnsi="宋体"/>
          <w:kern w:val="0"/>
          <w:szCs w:val="21"/>
        </w:rPr>
        <w:t>（1）更换：由乙方承担所有发生的全部费用。</w:t>
      </w:r>
    </w:p>
    <w:p>
      <w:pPr>
        <w:spacing w:line="360" w:lineRule="auto"/>
        <w:ind w:firstLine="420" w:firstLineChars="200"/>
        <w:rPr>
          <w:rFonts w:ascii="宋体" w:hAnsi="宋体"/>
          <w:kern w:val="0"/>
          <w:szCs w:val="21"/>
        </w:rPr>
      </w:pPr>
      <w:r>
        <w:rPr>
          <w:rFonts w:hint="eastAsia" w:ascii="宋体" w:hAnsi="宋体"/>
          <w:kern w:val="0"/>
          <w:szCs w:val="21"/>
        </w:rPr>
        <w:t>（2）贬值处理：由甲乙双方合议定价。</w:t>
      </w:r>
    </w:p>
    <w:p>
      <w:pPr>
        <w:spacing w:line="360" w:lineRule="auto"/>
        <w:ind w:firstLine="420" w:firstLineChars="200"/>
        <w:rPr>
          <w:rFonts w:ascii="宋体" w:hAnsi="宋体"/>
          <w:kern w:val="0"/>
          <w:szCs w:val="21"/>
        </w:rPr>
      </w:pPr>
      <w:r>
        <w:rPr>
          <w:rFonts w:hint="eastAsia" w:ascii="宋体" w:hAnsi="宋体"/>
          <w:kern w:val="0"/>
          <w:szCs w:val="21"/>
        </w:rPr>
        <w:t>（3）退货处理：乙方应退还甲方支付的合同款，同时应承担该货物的直接费用（运输、保险、检验、贷款利息及银行手续费等）。</w:t>
      </w:r>
    </w:p>
    <w:p>
      <w:pPr>
        <w:spacing w:line="360" w:lineRule="auto"/>
        <w:ind w:firstLine="413" w:firstLineChars="196"/>
        <w:rPr>
          <w:rFonts w:ascii="宋体" w:hAnsi="宋体"/>
          <w:b/>
          <w:kern w:val="0"/>
          <w:szCs w:val="21"/>
        </w:rPr>
      </w:pPr>
      <w:r>
        <w:rPr>
          <w:rFonts w:hint="eastAsia" w:ascii="宋体" w:hAnsi="宋体"/>
          <w:b/>
          <w:kern w:val="0"/>
          <w:szCs w:val="21"/>
        </w:rPr>
        <w:t>第三条  权</w:t>
      </w:r>
      <w:r>
        <w:rPr>
          <w:rFonts w:hint="eastAsia" w:ascii="宋体" w:hAnsi="宋体"/>
          <w:b/>
          <w:kern w:val="0"/>
          <w:szCs w:val="21"/>
          <w:lang w:val="en-US" w:eastAsia="zh-CN"/>
        </w:rPr>
        <w:t>利</w:t>
      </w:r>
      <w:r>
        <w:rPr>
          <w:rFonts w:hint="eastAsia" w:ascii="宋体" w:hAnsi="宋体"/>
          <w:b/>
          <w:kern w:val="0"/>
          <w:szCs w:val="21"/>
        </w:rPr>
        <w:t>保证</w:t>
      </w:r>
    </w:p>
    <w:p>
      <w:pPr>
        <w:spacing w:line="360" w:lineRule="auto"/>
        <w:ind w:firstLine="411" w:firstLineChars="196"/>
        <w:rPr>
          <w:rFonts w:ascii="宋体" w:hAnsi="宋体"/>
          <w:kern w:val="0"/>
          <w:szCs w:val="21"/>
        </w:rPr>
      </w:pPr>
      <w:r>
        <w:rPr>
          <w:rFonts w:hint="eastAsia" w:ascii="宋体" w:hAnsi="宋体"/>
          <w:kern w:val="0"/>
          <w:szCs w:val="21"/>
        </w:rPr>
        <w:t>1.乙方应保证所提供货物在使用时不会侵犯任何第三方的专利权、商标权、工业设计权或其他权利。</w:t>
      </w:r>
    </w:p>
    <w:p>
      <w:pPr>
        <w:spacing w:line="360" w:lineRule="auto"/>
        <w:ind w:firstLine="420" w:firstLineChars="200"/>
        <w:rPr>
          <w:rFonts w:ascii="宋体" w:hAnsi="宋体"/>
          <w:kern w:val="0"/>
          <w:szCs w:val="21"/>
        </w:rPr>
      </w:pPr>
      <w:r>
        <w:rPr>
          <w:rFonts w:hint="eastAsia" w:ascii="宋体" w:hAnsi="宋体"/>
          <w:kern w:val="0"/>
          <w:szCs w:val="21"/>
        </w:rPr>
        <w:t>2.乙方应按招标文件规定的时间向甲方提供使用货物的有关技术资料。</w:t>
      </w:r>
    </w:p>
    <w:p>
      <w:pPr>
        <w:spacing w:line="360" w:lineRule="auto"/>
        <w:rPr>
          <w:rFonts w:ascii="宋体" w:hAnsi="宋体"/>
          <w:kern w:val="0"/>
          <w:szCs w:val="21"/>
        </w:rPr>
      </w:pPr>
      <w:r>
        <w:rPr>
          <w:rFonts w:hint="eastAsia" w:ascii="宋体" w:hAnsi="宋体"/>
          <w:kern w:val="0"/>
          <w:szCs w:val="21"/>
        </w:rPr>
        <w:t xml:space="preserve">    3.乙方保证所交付的货物的所有权完全属于乙方且无任何抵押、质押、查封等产权瑕疵。</w:t>
      </w:r>
    </w:p>
    <w:p>
      <w:pPr>
        <w:spacing w:line="360" w:lineRule="auto"/>
        <w:ind w:firstLine="422" w:firstLineChars="200"/>
        <w:rPr>
          <w:rFonts w:ascii="宋体" w:hAnsi="宋体"/>
          <w:b/>
          <w:kern w:val="0"/>
          <w:szCs w:val="21"/>
        </w:rPr>
      </w:pPr>
      <w:r>
        <w:rPr>
          <w:rFonts w:hint="eastAsia" w:ascii="宋体" w:hAnsi="宋体"/>
          <w:b/>
          <w:kern w:val="0"/>
          <w:szCs w:val="21"/>
        </w:rPr>
        <w:t>第四条  货物包装、运输</w:t>
      </w:r>
    </w:p>
    <w:p>
      <w:pPr>
        <w:spacing w:line="360" w:lineRule="auto"/>
        <w:ind w:firstLine="420" w:firstLineChars="200"/>
        <w:rPr>
          <w:rFonts w:ascii="宋体" w:hAnsi="宋体"/>
          <w:kern w:val="0"/>
          <w:szCs w:val="21"/>
        </w:rPr>
      </w:pPr>
      <w:r>
        <w:rPr>
          <w:rFonts w:hint="eastAsia" w:ascii="宋体" w:hAnsi="宋体"/>
          <w:kern w:val="0"/>
          <w:szCs w:val="21"/>
        </w:rPr>
        <w:t>1.乙方应在货物发运前对其进行满足运输距离、防潮、防震、防锈和防破损装卸等要求包装，以保证货物安全运达甲方指定地点。</w:t>
      </w:r>
    </w:p>
    <w:p>
      <w:pPr>
        <w:spacing w:line="360" w:lineRule="auto"/>
        <w:ind w:left="420"/>
        <w:rPr>
          <w:rFonts w:ascii="宋体" w:hAnsi="宋体"/>
          <w:kern w:val="0"/>
          <w:szCs w:val="21"/>
        </w:rPr>
      </w:pPr>
      <w:r>
        <w:rPr>
          <w:rFonts w:hint="eastAsia" w:ascii="宋体" w:hAnsi="宋体"/>
          <w:kern w:val="0"/>
          <w:szCs w:val="21"/>
        </w:rPr>
        <w:t>2.使用中文说明书（货物属于进口产品的，供货时应同时附上中文使用说明书）、质量检验证明书、</w:t>
      </w:r>
    </w:p>
    <w:p>
      <w:pPr>
        <w:spacing w:line="360" w:lineRule="auto"/>
        <w:rPr>
          <w:rFonts w:ascii="宋体" w:hAnsi="宋体"/>
          <w:kern w:val="0"/>
          <w:szCs w:val="21"/>
        </w:rPr>
      </w:pPr>
      <w:r>
        <w:rPr>
          <w:rFonts w:hint="eastAsia" w:ascii="宋体" w:hAnsi="宋体"/>
          <w:kern w:val="0"/>
          <w:szCs w:val="21"/>
        </w:rPr>
        <w:t>随配附件和工具以及清单一并附于货物内。</w:t>
      </w:r>
    </w:p>
    <w:p>
      <w:pPr>
        <w:spacing w:line="360" w:lineRule="auto"/>
        <w:ind w:firstLine="420" w:firstLineChars="200"/>
        <w:rPr>
          <w:rFonts w:ascii="宋体" w:hAnsi="宋体"/>
          <w:kern w:val="0"/>
          <w:szCs w:val="21"/>
        </w:rPr>
      </w:pPr>
      <w:r>
        <w:rPr>
          <w:rFonts w:hint="eastAsia" w:ascii="宋体" w:hAnsi="宋体"/>
          <w:kern w:val="0"/>
          <w:szCs w:val="21"/>
        </w:rPr>
        <w:t>3.乙方在货物发运手续办理完毕后二十四小时内或货到甲方四十八小时前通知甲方，以准备接货。</w:t>
      </w:r>
    </w:p>
    <w:p>
      <w:pPr>
        <w:spacing w:line="360" w:lineRule="auto"/>
        <w:ind w:left="420"/>
        <w:rPr>
          <w:rFonts w:ascii="宋体" w:hAnsi="宋体"/>
          <w:kern w:val="0"/>
          <w:szCs w:val="21"/>
        </w:rPr>
      </w:pPr>
      <w:r>
        <w:rPr>
          <w:rFonts w:hint="eastAsia" w:ascii="宋体" w:hAnsi="宋体"/>
          <w:kern w:val="0"/>
          <w:szCs w:val="21"/>
        </w:rPr>
        <w:t>4.货物在交付甲方前发生的风险均由乙方负责。</w:t>
      </w:r>
    </w:p>
    <w:p>
      <w:pPr>
        <w:spacing w:line="360" w:lineRule="auto"/>
        <w:ind w:firstLine="413" w:firstLineChars="196"/>
        <w:rPr>
          <w:rFonts w:ascii="宋体" w:hAnsi="宋体"/>
          <w:b/>
          <w:kern w:val="0"/>
          <w:szCs w:val="21"/>
        </w:rPr>
      </w:pPr>
      <w:r>
        <w:rPr>
          <w:rFonts w:hint="eastAsia" w:ascii="宋体" w:hAnsi="宋体"/>
          <w:b/>
          <w:kern w:val="0"/>
          <w:szCs w:val="21"/>
        </w:rPr>
        <w:t>第五条  交付</w:t>
      </w:r>
    </w:p>
    <w:p>
      <w:pPr>
        <w:spacing w:line="360" w:lineRule="auto"/>
        <w:ind w:firstLine="420" w:firstLineChars="200"/>
        <w:rPr>
          <w:rFonts w:ascii="宋体" w:hAnsi="宋体"/>
          <w:kern w:val="0"/>
          <w:szCs w:val="21"/>
        </w:rPr>
      </w:pPr>
      <w:r>
        <w:rPr>
          <w:rFonts w:hint="eastAsia" w:ascii="宋体" w:hAnsi="宋体"/>
          <w:kern w:val="0"/>
          <w:szCs w:val="21"/>
        </w:rPr>
        <w:t>1.交付时间：</w:t>
      </w:r>
      <w:r>
        <w:rPr>
          <w:rFonts w:hint="eastAsia" w:ascii="宋体" w:hAnsi="宋体"/>
          <w:kern w:val="0"/>
          <w:szCs w:val="21"/>
          <w:u w:val="single"/>
        </w:rPr>
        <w:t xml:space="preserve">  按投标文件响应填写   </w:t>
      </w:r>
      <w:r>
        <w:rPr>
          <w:rFonts w:hint="eastAsia" w:ascii="宋体" w:hAnsi="宋体"/>
          <w:kern w:val="0"/>
          <w:szCs w:val="21"/>
        </w:rPr>
        <w:t>；交付地点：</w:t>
      </w:r>
      <w:r>
        <w:rPr>
          <w:rFonts w:hint="eastAsia" w:ascii="宋体" w:hAnsi="宋体"/>
          <w:kern w:val="0"/>
          <w:szCs w:val="21"/>
          <w:u w:val="single"/>
        </w:rPr>
        <w:t xml:space="preserve"> 采购人指定时间地点  </w:t>
      </w:r>
      <w:r>
        <w:rPr>
          <w:rFonts w:hint="eastAsia" w:ascii="宋体" w:hAnsi="宋体"/>
          <w:kern w:val="0"/>
          <w:szCs w:val="21"/>
        </w:rPr>
        <w:t>。</w:t>
      </w:r>
    </w:p>
    <w:p>
      <w:pPr>
        <w:spacing w:line="360" w:lineRule="auto"/>
        <w:rPr>
          <w:rFonts w:ascii="宋体" w:hAnsi="宋体"/>
          <w:kern w:val="0"/>
          <w:szCs w:val="21"/>
        </w:rPr>
      </w:pPr>
      <w:r>
        <w:rPr>
          <w:rFonts w:hint="eastAsia" w:ascii="宋体" w:hAnsi="宋体"/>
          <w:kern w:val="0"/>
          <w:szCs w:val="21"/>
        </w:rPr>
        <w:t xml:space="preserve">    2.乙方提供不符合招投标文件和本合同规定的货物，甲方有权拒绝接受。</w:t>
      </w:r>
    </w:p>
    <w:p>
      <w:pPr>
        <w:spacing w:line="360" w:lineRule="auto"/>
        <w:rPr>
          <w:rFonts w:ascii="宋体" w:hAnsi="宋体"/>
          <w:kern w:val="0"/>
          <w:szCs w:val="21"/>
        </w:rPr>
      </w:pPr>
      <w:r>
        <w:rPr>
          <w:rFonts w:hint="eastAsia" w:ascii="宋体" w:hAnsi="宋体"/>
          <w:kern w:val="0"/>
          <w:szCs w:val="21"/>
        </w:rPr>
        <w:t xml:space="preserve">    3.乙方应将所有提供货物的装箱清单、用户手册、原厂保修卡、随机资料、工具和备用、备件等交付给甲方，货物属于进口产品的，供货时应同时附上中文使用说明书，如有缺失应及时补齐，否则视为逾期交货。</w:t>
      </w:r>
    </w:p>
    <w:p>
      <w:pPr>
        <w:spacing w:line="360" w:lineRule="auto"/>
        <w:ind w:left="413"/>
        <w:rPr>
          <w:rFonts w:ascii="宋体" w:hAnsi="宋体"/>
          <w:b/>
          <w:kern w:val="0"/>
          <w:szCs w:val="21"/>
        </w:rPr>
      </w:pPr>
      <w:r>
        <w:rPr>
          <w:rFonts w:hint="eastAsia" w:ascii="宋体" w:hAnsi="宋体"/>
          <w:b/>
          <w:kern w:val="0"/>
          <w:szCs w:val="21"/>
        </w:rPr>
        <w:t>第六条  调试和验收</w:t>
      </w:r>
    </w:p>
    <w:p>
      <w:pPr>
        <w:spacing w:line="360" w:lineRule="auto"/>
        <w:ind w:firstLine="420" w:firstLineChars="200"/>
        <w:rPr>
          <w:rFonts w:ascii="宋体" w:hAnsi="宋体"/>
          <w:kern w:val="0"/>
          <w:szCs w:val="21"/>
        </w:rPr>
      </w:pPr>
      <w:r>
        <w:rPr>
          <w:rFonts w:hint="eastAsia" w:ascii="宋体" w:hAnsi="宋体"/>
          <w:kern w:val="0"/>
          <w:szCs w:val="21"/>
        </w:rPr>
        <w:t>1.乙方交货前应对产品做出全面的检查和对验收文件进行整理，并列出清单，作为甲方验收和使用的技术条件依据，验收的结果应随货物交甲方。</w:t>
      </w:r>
    </w:p>
    <w:p>
      <w:pPr>
        <w:spacing w:line="360" w:lineRule="auto"/>
        <w:ind w:firstLine="420" w:firstLineChars="200"/>
        <w:rPr>
          <w:rFonts w:ascii="宋体" w:hAnsi="宋体"/>
          <w:kern w:val="0"/>
          <w:szCs w:val="21"/>
        </w:rPr>
      </w:pPr>
      <w:r>
        <w:rPr>
          <w:rFonts w:hint="eastAsia" w:ascii="宋体" w:hAnsi="宋体"/>
          <w:kern w:val="0"/>
          <w:szCs w:val="21"/>
        </w:rPr>
        <w:t xml:space="preserve">2.货物安装调试完成后，甲方应在七个工作日内依据招标文件、投标文件的技术规格要求及承诺和国家有关质量标准对货物进行现场验收，验收合格后由甲乙双方签署货物验收单并加盖公章，甲乙双方各执一份。 </w:t>
      </w:r>
    </w:p>
    <w:p>
      <w:pPr>
        <w:spacing w:line="360" w:lineRule="auto"/>
        <w:ind w:firstLine="420" w:firstLineChars="200"/>
        <w:rPr>
          <w:rFonts w:ascii="宋体" w:hAnsi="宋体"/>
          <w:kern w:val="0"/>
          <w:szCs w:val="21"/>
        </w:rPr>
      </w:pPr>
      <w:r>
        <w:rPr>
          <w:rFonts w:hint="eastAsia" w:ascii="宋体" w:hAnsi="宋体"/>
          <w:kern w:val="0"/>
          <w:szCs w:val="21"/>
        </w:rPr>
        <w:t>3.甲方对乙方提供的货物在使用前进行调试时，乙方需负责安装并培训甲方的使用操作人员，并协助甲方一起调试，直到符合技术要求，甲方才做最终验收。</w:t>
      </w:r>
    </w:p>
    <w:p>
      <w:pPr>
        <w:spacing w:line="360" w:lineRule="auto"/>
        <w:ind w:firstLine="420" w:firstLineChars="200"/>
        <w:rPr>
          <w:rFonts w:ascii="宋体" w:hAnsi="宋体"/>
          <w:kern w:val="0"/>
          <w:szCs w:val="21"/>
        </w:rPr>
      </w:pPr>
      <w:r>
        <w:rPr>
          <w:rFonts w:hint="eastAsia" w:ascii="宋体" w:hAnsi="宋体"/>
          <w:kern w:val="0"/>
          <w:szCs w:val="21"/>
        </w:rPr>
        <w:t>4.对技术复杂的货物，甲方应请国家认可的专业检测机构参与初步验收及最终验收，并由其出具质量检测报告。</w:t>
      </w:r>
    </w:p>
    <w:p>
      <w:pPr>
        <w:spacing w:line="360" w:lineRule="auto"/>
        <w:ind w:left="420"/>
        <w:rPr>
          <w:rFonts w:ascii="宋体" w:hAnsi="宋体"/>
          <w:kern w:val="0"/>
          <w:szCs w:val="21"/>
        </w:rPr>
      </w:pPr>
      <w:r>
        <w:rPr>
          <w:rFonts w:hint="eastAsia" w:ascii="宋体" w:hAnsi="宋体"/>
          <w:kern w:val="0"/>
          <w:szCs w:val="21"/>
        </w:rPr>
        <w:t>5.验收时乙方必须在现场，验收完毕后作出验收结果报告，验收费用由乙方负责。</w:t>
      </w:r>
    </w:p>
    <w:p>
      <w:pPr>
        <w:spacing w:line="360" w:lineRule="auto"/>
        <w:ind w:firstLine="420" w:firstLineChars="200"/>
        <w:rPr>
          <w:rFonts w:ascii="宋体" w:hAnsi="宋体"/>
          <w:kern w:val="0"/>
          <w:szCs w:val="21"/>
        </w:rPr>
      </w:pPr>
      <w:r>
        <w:rPr>
          <w:rFonts w:hint="eastAsia" w:ascii="宋体" w:hAnsi="宋体"/>
          <w:kern w:val="0"/>
          <w:szCs w:val="21"/>
        </w:rPr>
        <w:t>6.甲方对验收有异议的，在验收后五个工作日内以书面形式向乙方提出，乙方应自收到甲方书面异议后</w:t>
      </w:r>
      <w:r>
        <w:rPr>
          <w:rFonts w:hint="eastAsia" w:ascii="宋体" w:hAnsi="宋体"/>
          <w:kern w:val="0"/>
          <w:szCs w:val="21"/>
          <w:u w:val="single"/>
        </w:rPr>
        <w:t xml:space="preserve">  5　</w:t>
      </w:r>
      <w:r>
        <w:rPr>
          <w:rFonts w:hint="eastAsia" w:ascii="宋体" w:hAnsi="宋体"/>
          <w:kern w:val="0"/>
          <w:szCs w:val="21"/>
        </w:rPr>
        <w:t>日内及时予以解决。</w:t>
      </w:r>
    </w:p>
    <w:p>
      <w:pPr>
        <w:spacing w:line="360" w:lineRule="auto"/>
        <w:ind w:firstLine="413" w:firstLineChars="196"/>
        <w:rPr>
          <w:rFonts w:ascii="宋体" w:hAnsi="宋体"/>
          <w:b/>
          <w:kern w:val="0"/>
          <w:szCs w:val="21"/>
        </w:rPr>
      </w:pPr>
      <w:r>
        <w:rPr>
          <w:rFonts w:hint="eastAsia" w:ascii="宋体" w:hAnsi="宋体"/>
          <w:b/>
          <w:kern w:val="0"/>
          <w:szCs w:val="21"/>
        </w:rPr>
        <w:t>第七条  安装和培训</w:t>
      </w:r>
    </w:p>
    <w:p>
      <w:pPr>
        <w:spacing w:line="360" w:lineRule="auto"/>
        <w:ind w:firstLine="315" w:firstLineChars="150"/>
        <w:rPr>
          <w:rFonts w:ascii="宋体" w:hAnsi="宋体"/>
          <w:kern w:val="0"/>
          <w:szCs w:val="21"/>
        </w:rPr>
      </w:pPr>
      <w:r>
        <w:rPr>
          <w:rFonts w:hint="eastAsia" w:ascii="宋体" w:hAnsi="宋体"/>
          <w:kern w:val="0"/>
          <w:szCs w:val="21"/>
        </w:rPr>
        <w:t xml:space="preserve"> 1.甲方应提供必要安装条件（如场地、电源、水源等）。</w:t>
      </w:r>
    </w:p>
    <w:p>
      <w:pPr>
        <w:spacing w:line="360" w:lineRule="auto"/>
        <w:ind w:firstLine="315" w:firstLineChars="150"/>
        <w:rPr>
          <w:rFonts w:ascii="宋体" w:hAnsi="宋体"/>
          <w:kern w:val="0"/>
          <w:szCs w:val="21"/>
        </w:rPr>
      </w:pPr>
      <w:r>
        <w:rPr>
          <w:rFonts w:hint="eastAsia" w:ascii="宋体" w:hAnsi="宋体"/>
          <w:kern w:val="0"/>
          <w:szCs w:val="21"/>
        </w:rPr>
        <w:t xml:space="preserve"> 2.乙方负责甲方有关人员的培训。培训时间、地点：</w:t>
      </w:r>
      <w:r>
        <w:rPr>
          <w:rFonts w:hint="eastAsia" w:ascii="宋体" w:hAnsi="宋体"/>
          <w:kern w:val="0"/>
          <w:szCs w:val="21"/>
          <w:u w:val="single"/>
        </w:rPr>
        <w:t>采购人指定时间地点</w:t>
      </w:r>
      <w:r>
        <w:rPr>
          <w:rFonts w:hint="eastAsia" w:ascii="宋体" w:hAnsi="宋体"/>
          <w:kern w:val="0"/>
          <w:szCs w:val="21"/>
        </w:rPr>
        <w:t>。</w:t>
      </w:r>
    </w:p>
    <w:p>
      <w:pPr>
        <w:spacing w:line="360" w:lineRule="auto"/>
        <w:ind w:firstLine="413" w:firstLineChars="196"/>
        <w:rPr>
          <w:rFonts w:ascii="宋体" w:hAnsi="宋体"/>
          <w:b/>
          <w:kern w:val="0"/>
          <w:szCs w:val="21"/>
        </w:rPr>
      </w:pPr>
      <w:r>
        <w:rPr>
          <w:rFonts w:hint="eastAsia" w:ascii="宋体" w:hAnsi="宋体"/>
          <w:b/>
          <w:kern w:val="0"/>
          <w:szCs w:val="21"/>
        </w:rPr>
        <w:t>第八条  售后服务、保修期</w:t>
      </w:r>
    </w:p>
    <w:p>
      <w:pPr>
        <w:tabs>
          <w:tab w:val="left" w:pos="0"/>
        </w:tabs>
        <w:spacing w:line="360" w:lineRule="auto"/>
        <w:ind w:firstLine="420" w:firstLineChars="200"/>
        <w:rPr>
          <w:rFonts w:ascii="宋体" w:hAnsi="宋体"/>
          <w:kern w:val="0"/>
          <w:szCs w:val="21"/>
        </w:rPr>
      </w:pPr>
      <w:r>
        <w:rPr>
          <w:rFonts w:hint="eastAsia" w:ascii="宋体" w:hAnsi="宋体"/>
          <w:kern w:val="0"/>
          <w:szCs w:val="21"/>
        </w:rPr>
        <w:t>1.乙方应按照国家有关法律规定和“三包”规定以及招投标文件和本合同所附《服务承诺》，为甲方提供售后服务。</w:t>
      </w:r>
    </w:p>
    <w:p>
      <w:pPr>
        <w:spacing w:line="360" w:lineRule="auto"/>
        <w:ind w:firstLine="420" w:firstLineChars="200"/>
        <w:rPr>
          <w:rFonts w:ascii="宋体" w:hAnsi="宋体"/>
          <w:kern w:val="0"/>
          <w:szCs w:val="21"/>
        </w:rPr>
      </w:pPr>
      <w:r>
        <w:rPr>
          <w:rFonts w:hint="eastAsia" w:ascii="宋体" w:hAnsi="宋体"/>
          <w:kern w:val="0"/>
          <w:szCs w:val="21"/>
        </w:rPr>
        <w:t>2.如在使用过程中发生质量问题，乙方在接到甲方通知后在</w:t>
      </w:r>
      <w:r>
        <w:rPr>
          <w:rFonts w:hint="eastAsia" w:ascii="宋体" w:hAnsi="宋体"/>
          <w:kern w:val="0"/>
          <w:szCs w:val="21"/>
          <w:u w:val="single"/>
        </w:rPr>
        <w:t>投标文件承诺的时间</w:t>
      </w:r>
      <w:r>
        <w:rPr>
          <w:rFonts w:hint="eastAsia" w:ascii="宋体" w:hAnsi="宋体"/>
          <w:kern w:val="0"/>
          <w:szCs w:val="21"/>
        </w:rPr>
        <w:t>内到达甲方现场处理。</w:t>
      </w:r>
    </w:p>
    <w:p>
      <w:pPr>
        <w:spacing w:line="360" w:lineRule="auto"/>
        <w:ind w:firstLine="420" w:firstLineChars="200"/>
        <w:rPr>
          <w:rFonts w:ascii="宋体" w:hAnsi="宋体"/>
          <w:kern w:val="0"/>
          <w:szCs w:val="21"/>
        </w:rPr>
      </w:pPr>
      <w:r>
        <w:rPr>
          <w:rFonts w:hint="eastAsia" w:ascii="宋体" w:hAnsi="宋体"/>
          <w:kern w:val="0"/>
          <w:szCs w:val="21"/>
        </w:rPr>
        <w:t>3.在质保期内，乙方应对货物出现的质量及安全问题负责处理解决并承担一切费用。</w:t>
      </w:r>
    </w:p>
    <w:p>
      <w:pPr>
        <w:tabs>
          <w:tab w:val="left" w:pos="0"/>
        </w:tabs>
        <w:spacing w:line="360" w:lineRule="auto"/>
        <w:ind w:firstLine="420" w:firstLineChars="200"/>
        <w:rPr>
          <w:rFonts w:hint="eastAsia" w:ascii="宋体" w:hAnsi="宋体" w:eastAsia="宋体"/>
          <w:kern w:val="0"/>
          <w:szCs w:val="21"/>
          <w:lang w:eastAsia="zh-CN"/>
        </w:rPr>
      </w:pPr>
      <w:r>
        <w:rPr>
          <w:rFonts w:hint="eastAsia" w:ascii="宋体" w:hAnsi="宋体"/>
          <w:kern w:val="0"/>
          <w:szCs w:val="21"/>
        </w:rPr>
        <w:t xml:space="preserve">4. 货物免费保修期为：按乙方投标文件中承诺且不低于采购要求的时间 </w:t>
      </w:r>
      <w:r>
        <w:rPr>
          <w:rFonts w:hint="eastAsia" w:ascii="宋体" w:hAnsi="宋体"/>
          <w:kern w:val="0"/>
          <w:szCs w:val="21"/>
          <w:lang w:eastAsia="zh-CN"/>
        </w:rPr>
        <w:t>。</w:t>
      </w:r>
    </w:p>
    <w:p>
      <w:pPr>
        <w:tabs>
          <w:tab w:val="left" w:pos="0"/>
        </w:tabs>
        <w:spacing w:line="360" w:lineRule="auto"/>
        <w:ind w:firstLine="420" w:firstLineChars="200"/>
        <w:rPr>
          <w:rFonts w:ascii="宋体" w:hAnsi="宋体"/>
          <w:kern w:val="0"/>
          <w:szCs w:val="21"/>
        </w:rPr>
      </w:pPr>
      <w:r>
        <w:rPr>
          <w:rFonts w:hint="eastAsia" w:ascii="宋体" w:hAnsi="宋体"/>
          <w:kern w:val="0"/>
          <w:szCs w:val="21"/>
        </w:rPr>
        <w:t xml:space="preserve">5.免费保修范围内。超过保修期的货物，终生维修，维修时只收件成本费。 </w:t>
      </w:r>
    </w:p>
    <w:p>
      <w:pPr>
        <w:tabs>
          <w:tab w:val="left" w:pos="0"/>
        </w:tabs>
        <w:spacing w:line="360" w:lineRule="auto"/>
        <w:ind w:firstLine="420" w:firstLineChars="200"/>
        <w:rPr>
          <w:rFonts w:ascii="宋体" w:hAnsi="宋体"/>
          <w:kern w:val="0"/>
          <w:szCs w:val="21"/>
        </w:rPr>
      </w:pPr>
      <w:r>
        <w:rPr>
          <w:rFonts w:hint="eastAsia" w:ascii="宋体" w:hAnsi="宋体"/>
          <w:kern w:val="0"/>
          <w:szCs w:val="21"/>
        </w:rPr>
        <w:t xml:space="preserve">6.维修响应时间不超过 2 小时，必要时厂方工程师到达现场时间不超过 24 小时。 </w:t>
      </w:r>
    </w:p>
    <w:p>
      <w:pPr>
        <w:tabs>
          <w:tab w:val="left" w:pos="0"/>
        </w:tabs>
        <w:spacing w:line="360" w:lineRule="auto"/>
        <w:ind w:firstLine="420" w:firstLineChars="200"/>
        <w:rPr>
          <w:rFonts w:ascii="宋体" w:hAnsi="宋体"/>
          <w:kern w:val="0"/>
          <w:szCs w:val="21"/>
        </w:rPr>
      </w:pPr>
      <w:r>
        <w:rPr>
          <w:rFonts w:hint="eastAsia" w:ascii="宋体" w:hAnsi="宋体"/>
          <w:kern w:val="0"/>
          <w:szCs w:val="21"/>
        </w:rPr>
        <w:t>7.售后服务服务过程中如有违反约定的情况，采购人有权</w:t>
      </w:r>
      <w:r>
        <w:rPr>
          <w:rFonts w:hint="eastAsia" w:ascii="宋体" w:hAnsi="宋体"/>
          <w:kern w:val="0"/>
          <w:szCs w:val="21"/>
          <w:lang w:val="en-US" w:eastAsia="zh-CN"/>
        </w:rPr>
        <w:t>追究乙方责任</w:t>
      </w:r>
      <w:r>
        <w:rPr>
          <w:rFonts w:hint="eastAsia" w:ascii="宋体" w:hAnsi="宋体"/>
          <w:kern w:val="0"/>
          <w:szCs w:val="21"/>
        </w:rPr>
        <w:t xml:space="preserve">。 </w:t>
      </w:r>
    </w:p>
    <w:p>
      <w:pPr>
        <w:spacing w:line="360" w:lineRule="auto"/>
        <w:ind w:firstLine="413" w:firstLineChars="196"/>
        <w:rPr>
          <w:rFonts w:ascii="宋体" w:hAnsi="宋体"/>
          <w:b/>
          <w:kern w:val="0"/>
          <w:szCs w:val="21"/>
        </w:rPr>
      </w:pPr>
      <w:r>
        <w:rPr>
          <w:rFonts w:hint="eastAsia" w:ascii="宋体" w:hAnsi="宋体"/>
          <w:b/>
          <w:kern w:val="0"/>
          <w:szCs w:val="21"/>
        </w:rPr>
        <w:t>第九条  税费</w:t>
      </w:r>
    </w:p>
    <w:p>
      <w:pPr>
        <w:spacing w:line="360" w:lineRule="auto"/>
        <w:ind w:firstLine="411" w:firstLineChars="196"/>
        <w:rPr>
          <w:rFonts w:ascii="宋体" w:hAnsi="宋体"/>
          <w:kern w:val="0"/>
          <w:szCs w:val="21"/>
        </w:rPr>
      </w:pPr>
      <w:r>
        <w:rPr>
          <w:rFonts w:hint="eastAsia" w:ascii="宋体" w:hAnsi="宋体"/>
          <w:kern w:val="0"/>
          <w:szCs w:val="21"/>
        </w:rPr>
        <w:t>本合同执行中相关的一切税费均由乙方负担。</w:t>
      </w:r>
    </w:p>
    <w:p>
      <w:pPr>
        <w:spacing w:line="360" w:lineRule="auto"/>
        <w:ind w:firstLine="422" w:firstLineChars="200"/>
        <w:rPr>
          <w:rFonts w:hint="eastAsia" w:ascii="宋体" w:hAnsi="宋体"/>
          <w:bCs/>
          <w:kern w:val="0"/>
          <w:szCs w:val="21"/>
          <w:highlight w:val="yellow"/>
        </w:rPr>
      </w:pPr>
      <w:r>
        <w:rPr>
          <w:rFonts w:hint="eastAsia" w:ascii="宋体" w:hAnsi="宋体"/>
          <w:b/>
          <w:kern w:val="0"/>
          <w:szCs w:val="21"/>
        </w:rPr>
        <w:t>第十条　付款方式</w:t>
      </w:r>
    </w:p>
    <w:p>
      <w:pPr>
        <w:spacing w:line="360" w:lineRule="auto"/>
        <w:ind w:firstLine="411" w:firstLineChars="196"/>
        <w:rPr>
          <w:rFonts w:hint="eastAsia" w:ascii="宋体" w:hAnsi="宋体"/>
          <w:bCs/>
          <w:kern w:val="0"/>
          <w:szCs w:val="21"/>
          <w:highlight w:val="none"/>
        </w:rPr>
      </w:pPr>
      <w:r>
        <w:rPr>
          <w:rFonts w:hint="eastAsia" w:ascii="宋体" w:hAnsi="宋体"/>
          <w:bCs/>
          <w:kern w:val="0"/>
          <w:szCs w:val="21"/>
          <w:highlight w:val="none"/>
          <w:lang w:val="en-US" w:eastAsia="zh-CN"/>
        </w:rPr>
        <w:t>A、B、C分标</w:t>
      </w:r>
      <w:r>
        <w:rPr>
          <w:rFonts w:hint="eastAsia" w:ascii="宋体" w:hAnsi="宋体"/>
          <w:bCs/>
          <w:kern w:val="0"/>
          <w:szCs w:val="21"/>
          <w:highlight w:val="none"/>
        </w:rPr>
        <w:t>付款方式：货到安装并验收合格后一月内付款90%，剩下的10%一年后付完。</w:t>
      </w:r>
    </w:p>
    <w:p>
      <w:pPr>
        <w:spacing w:line="360" w:lineRule="auto"/>
        <w:ind w:firstLine="413" w:firstLineChars="196"/>
        <w:rPr>
          <w:rFonts w:ascii="宋体" w:hAnsi="宋体"/>
          <w:b/>
          <w:kern w:val="0"/>
          <w:szCs w:val="21"/>
        </w:rPr>
      </w:pPr>
      <w:r>
        <w:rPr>
          <w:rFonts w:hint="eastAsia" w:ascii="宋体" w:hAnsi="宋体"/>
          <w:b/>
          <w:kern w:val="0"/>
          <w:szCs w:val="21"/>
        </w:rPr>
        <w:t>第十一条  违约责任</w:t>
      </w:r>
    </w:p>
    <w:p>
      <w:pPr>
        <w:spacing w:line="360" w:lineRule="auto"/>
        <w:ind w:firstLine="420" w:firstLineChars="200"/>
        <w:rPr>
          <w:rFonts w:ascii="宋体" w:hAnsi="宋体"/>
          <w:kern w:val="0"/>
          <w:szCs w:val="21"/>
        </w:rPr>
      </w:pPr>
      <w:r>
        <w:rPr>
          <w:rFonts w:hint="eastAsia" w:ascii="宋体" w:hAnsi="宋体"/>
          <w:kern w:val="0"/>
          <w:szCs w:val="21"/>
        </w:rPr>
        <w:t>1.乙方所提供的货物规格、技术标准、材料等质量不合格的，应及时更换，更换不及时的按逾期交货处罚，乙方应向甲方支付合同金额</w:t>
      </w:r>
      <w:r>
        <w:rPr>
          <w:rFonts w:hint="eastAsia" w:ascii="宋体" w:hAnsi="宋体"/>
          <w:kern w:val="0"/>
          <w:szCs w:val="21"/>
          <w:u w:val="single"/>
        </w:rPr>
        <w:t>　5　</w:t>
      </w:r>
      <w:r>
        <w:rPr>
          <w:rFonts w:hint="eastAsia" w:ascii="宋体" w:hAnsi="宋体"/>
          <w:kern w:val="0"/>
          <w:szCs w:val="21"/>
        </w:rPr>
        <w:t>%违约金并赔偿甲方经济损失。</w:t>
      </w:r>
    </w:p>
    <w:p>
      <w:pPr>
        <w:spacing w:line="360" w:lineRule="auto"/>
        <w:ind w:firstLine="359" w:firstLineChars="171"/>
        <w:rPr>
          <w:rFonts w:ascii="宋体" w:hAnsi="宋体"/>
          <w:kern w:val="0"/>
          <w:szCs w:val="21"/>
        </w:rPr>
      </w:pPr>
      <w:r>
        <w:rPr>
          <w:rFonts w:hint="eastAsia" w:ascii="宋体" w:hAnsi="宋体"/>
          <w:kern w:val="0"/>
          <w:szCs w:val="21"/>
        </w:rPr>
        <w:t>2.乙方提供的货物如果侵犯了第三方合法权益而引发的任何纠纷或诉讼，均由乙方负责交涉并承担全部责任。</w:t>
      </w:r>
    </w:p>
    <w:p>
      <w:pPr>
        <w:spacing w:line="360" w:lineRule="auto"/>
        <w:ind w:firstLine="420" w:firstLineChars="200"/>
        <w:rPr>
          <w:rFonts w:ascii="宋体" w:hAnsi="宋体"/>
          <w:kern w:val="0"/>
          <w:szCs w:val="21"/>
        </w:rPr>
      </w:pPr>
      <w:r>
        <w:rPr>
          <w:rFonts w:hint="eastAsia" w:ascii="宋体" w:hAnsi="宋体"/>
          <w:kern w:val="0"/>
          <w:szCs w:val="21"/>
        </w:rPr>
        <w:t>3.因包装、运输引起的货物损坏，按质量不合格处理。</w:t>
      </w:r>
    </w:p>
    <w:p>
      <w:pPr>
        <w:spacing w:line="360" w:lineRule="auto"/>
        <w:ind w:firstLine="420" w:firstLineChars="200"/>
        <w:rPr>
          <w:rFonts w:ascii="宋体" w:hAnsi="宋体"/>
          <w:kern w:val="0"/>
          <w:szCs w:val="21"/>
        </w:rPr>
      </w:pPr>
      <w:r>
        <w:rPr>
          <w:rFonts w:hint="eastAsia" w:ascii="宋体" w:hAnsi="宋体"/>
          <w:kern w:val="0"/>
          <w:szCs w:val="21"/>
        </w:rPr>
        <w:t>4.甲方无故延期接收货物、乙方逾期交货的，每天向对方偿付违约货款额</w:t>
      </w:r>
      <w:r>
        <w:rPr>
          <w:rFonts w:hint="eastAsia" w:ascii="宋体" w:hAnsi="宋体"/>
          <w:kern w:val="0"/>
          <w:szCs w:val="21"/>
          <w:u w:val="single"/>
        </w:rPr>
        <w:t xml:space="preserve">  3‰ </w:t>
      </w:r>
      <w:r>
        <w:rPr>
          <w:rFonts w:hint="eastAsia" w:ascii="宋体" w:hAnsi="宋体"/>
          <w:kern w:val="0"/>
          <w:szCs w:val="21"/>
        </w:rPr>
        <w:t>违约金，但违约金累计不得超过违约货款额</w:t>
      </w:r>
      <w:r>
        <w:rPr>
          <w:rFonts w:hint="eastAsia" w:ascii="宋体" w:hAnsi="宋体"/>
          <w:kern w:val="0"/>
          <w:szCs w:val="21"/>
          <w:u w:val="single"/>
        </w:rPr>
        <w:t xml:space="preserve">  5% </w:t>
      </w:r>
      <w:r>
        <w:rPr>
          <w:rFonts w:hint="eastAsia" w:ascii="宋体" w:hAnsi="宋体"/>
          <w:kern w:val="0"/>
          <w:szCs w:val="21"/>
        </w:rPr>
        <w:t>，超过</w:t>
      </w:r>
      <w:r>
        <w:rPr>
          <w:rFonts w:hint="eastAsia" w:ascii="宋体" w:hAnsi="宋体"/>
          <w:kern w:val="0"/>
          <w:szCs w:val="21"/>
          <w:u w:val="single"/>
        </w:rPr>
        <w:t xml:space="preserve">  20 天</w:t>
      </w:r>
      <w:r>
        <w:rPr>
          <w:rFonts w:hint="eastAsia" w:ascii="宋体" w:hAnsi="宋体"/>
          <w:kern w:val="0"/>
          <w:szCs w:val="21"/>
        </w:rPr>
        <w:t>对方有权解除合同，违约方承担因此给对方造成经济损失；甲方延期付货款的，每天向乙方偿付延期货款额</w:t>
      </w:r>
      <w:r>
        <w:rPr>
          <w:rFonts w:hint="eastAsia" w:ascii="宋体" w:hAnsi="宋体"/>
          <w:kern w:val="0"/>
          <w:szCs w:val="21"/>
          <w:u w:val="single"/>
        </w:rPr>
        <w:t>1‰</w:t>
      </w:r>
      <w:r>
        <w:rPr>
          <w:rFonts w:hint="eastAsia" w:ascii="宋体" w:hAnsi="宋体"/>
          <w:kern w:val="0"/>
          <w:szCs w:val="21"/>
        </w:rPr>
        <w:t>滞纳金，但滞纳金累计不得超过延期货款额</w:t>
      </w:r>
      <w:r>
        <w:rPr>
          <w:rFonts w:hint="eastAsia" w:ascii="宋体" w:hAnsi="宋体"/>
          <w:kern w:val="0"/>
          <w:szCs w:val="21"/>
          <w:u w:val="single"/>
        </w:rPr>
        <w:t xml:space="preserve"> 5% </w:t>
      </w:r>
      <w:r>
        <w:rPr>
          <w:rFonts w:hint="eastAsia" w:ascii="宋体" w:hAnsi="宋体"/>
          <w:kern w:val="0"/>
          <w:szCs w:val="21"/>
        </w:rPr>
        <w:t>。</w:t>
      </w:r>
    </w:p>
    <w:p>
      <w:pPr>
        <w:spacing w:line="360" w:lineRule="auto"/>
        <w:ind w:firstLine="420" w:firstLineChars="200"/>
        <w:rPr>
          <w:rFonts w:ascii="宋体" w:hAnsi="宋体"/>
          <w:kern w:val="0"/>
          <w:szCs w:val="21"/>
        </w:rPr>
      </w:pPr>
      <w:r>
        <w:rPr>
          <w:rFonts w:hint="eastAsia" w:ascii="宋体" w:hAnsi="宋体"/>
          <w:kern w:val="0"/>
          <w:szCs w:val="21"/>
        </w:rPr>
        <w:t>5.乙方未按本合同和投标文件中规定的服务承诺提供售后服务的，乙方应按本合同合计金额</w:t>
      </w:r>
      <w:r>
        <w:rPr>
          <w:rFonts w:hint="eastAsia" w:ascii="宋体" w:hAnsi="宋体"/>
          <w:kern w:val="0"/>
          <w:szCs w:val="21"/>
          <w:u w:val="single"/>
        </w:rPr>
        <w:t>　5　</w:t>
      </w:r>
      <w:r>
        <w:rPr>
          <w:rFonts w:hint="eastAsia" w:ascii="宋体" w:hAnsi="宋体"/>
          <w:kern w:val="0"/>
          <w:szCs w:val="21"/>
        </w:rPr>
        <w:t>%向甲方支付违约金。</w:t>
      </w:r>
    </w:p>
    <w:p>
      <w:pPr>
        <w:spacing w:line="360" w:lineRule="auto"/>
        <w:ind w:firstLine="420" w:firstLineChars="200"/>
        <w:rPr>
          <w:rFonts w:ascii="宋体" w:hAnsi="宋体"/>
          <w:kern w:val="0"/>
          <w:szCs w:val="21"/>
        </w:rPr>
      </w:pPr>
      <w:r>
        <w:rPr>
          <w:rFonts w:hint="eastAsia" w:ascii="宋体" w:hAnsi="宋体"/>
          <w:kern w:val="0"/>
          <w:szCs w:val="21"/>
        </w:rPr>
        <w:t>6.乙方提供的货物在质保期内，因设计、工艺或材料的缺陷和其他质量原因造成的问题，由乙方负责</w:t>
      </w:r>
      <w:r>
        <w:rPr>
          <w:rFonts w:hint="eastAsia" w:ascii="宋体" w:hAnsi="宋体"/>
          <w:kern w:val="0"/>
          <w:szCs w:val="21"/>
          <w:lang w:val="en-US" w:eastAsia="zh-CN"/>
        </w:rPr>
        <w:t>并承担全部费用</w:t>
      </w:r>
      <w:r>
        <w:rPr>
          <w:rFonts w:hint="eastAsia" w:ascii="宋体" w:hAnsi="宋体"/>
          <w:kern w:val="0"/>
          <w:szCs w:val="21"/>
        </w:rPr>
        <w:t>。</w:t>
      </w:r>
    </w:p>
    <w:p>
      <w:pPr>
        <w:spacing w:line="360" w:lineRule="auto"/>
        <w:ind w:left="420"/>
        <w:rPr>
          <w:rFonts w:ascii="宋体" w:hAnsi="宋体"/>
          <w:kern w:val="0"/>
          <w:szCs w:val="21"/>
        </w:rPr>
      </w:pPr>
      <w:r>
        <w:rPr>
          <w:rFonts w:hint="eastAsia" w:ascii="宋体" w:hAnsi="宋体"/>
          <w:kern w:val="0"/>
          <w:szCs w:val="21"/>
        </w:rPr>
        <w:t>7.其他违约行为按违约货款额</w:t>
      </w:r>
      <w:r>
        <w:rPr>
          <w:rFonts w:hint="eastAsia" w:ascii="宋体" w:hAnsi="宋体"/>
          <w:kern w:val="0"/>
          <w:szCs w:val="21"/>
          <w:u w:val="single"/>
        </w:rPr>
        <w:t xml:space="preserve">　5  </w:t>
      </w:r>
      <w:r>
        <w:rPr>
          <w:rFonts w:hint="eastAsia" w:ascii="宋体" w:hAnsi="宋体"/>
          <w:kern w:val="0"/>
          <w:szCs w:val="21"/>
        </w:rPr>
        <w:t>%收取违约金并赔偿经济损失。</w:t>
      </w:r>
    </w:p>
    <w:p>
      <w:pPr>
        <w:spacing w:line="360" w:lineRule="auto"/>
        <w:ind w:firstLine="413" w:firstLineChars="196"/>
        <w:rPr>
          <w:rFonts w:ascii="宋体" w:hAnsi="宋体"/>
          <w:b/>
          <w:kern w:val="0"/>
          <w:szCs w:val="21"/>
        </w:rPr>
      </w:pPr>
      <w:r>
        <w:rPr>
          <w:rFonts w:hint="eastAsia" w:ascii="宋体" w:hAnsi="宋体"/>
          <w:b/>
          <w:kern w:val="0"/>
          <w:szCs w:val="21"/>
        </w:rPr>
        <w:t>第十二条  不可抗力事件处理</w:t>
      </w:r>
    </w:p>
    <w:p>
      <w:pPr>
        <w:spacing w:line="360" w:lineRule="auto"/>
        <w:ind w:firstLine="420" w:firstLineChars="200"/>
        <w:rPr>
          <w:rFonts w:ascii="宋体" w:hAnsi="宋体"/>
          <w:kern w:val="0"/>
          <w:szCs w:val="21"/>
        </w:rPr>
      </w:pPr>
      <w:r>
        <w:rPr>
          <w:rFonts w:hint="eastAsia" w:ascii="宋体" w:hAnsi="宋体"/>
          <w:kern w:val="0"/>
          <w:szCs w:val="21"/>
        </w:rPr>
        <w:t>1.在合同有效期内，乙方因不可抗力事件导致不能履行合同，则合同履行期可延长，其延长期与不可抗力影响期相同。</w:t>
      </w:r>
    </w:p>
    <w:p>
      <w:pPr>
        <w:spacing w:line="360" w:lineRule="auto"/>
        <w:ind w:left="420"/>
        <w:rPr>
          <w:rFonts w:ascii="宋体" w:hAnsi="宋体"/>
          <w:kern w:val="0"/>
          <w:szCs w:val="21"/>
        </w:rPr>
      </w:pPr>
      <w:r>
        <w:rPr>
          <w:rFonts w:hint="eastAsia" w:ascii="宋体" w:hAnsi="宋体"/>
          <w:kern w:val="0"/>
          <w:szCs w:val="21"/>
        </w:rPr>
        <w:t>2.不可抗力事件发生后，应立即通知对方，并寄送有关权威机构出具的证明。</w:t>
      </w:r>
    </w:p>
    <w:p>
      <w:pPr>
        <w:spacing w:line="360" w:lineRule="auto"/>
        <w:ind w:left="420"/>
        <w:rPr>
          <w:rFonts w:ascii="宋体" w:hAnsi="宋体"/>
          <w:kern w:val="0"/>
          <w:szCs w:val="21"/>
        </w:rPr>
      </w:pPr>
      <w:r>
        <w:rPr>
          <w:rFonts w:hint="eastAsia" w:ascii="宋体" w:hAnsi="宋体"/>
          <w:kern w:val="0"/>
          <w:szCs w:val="21"/>
        </w:rPr>
        <w:t>3.不可抗力事件延续一百二十天以上，双方应通过友好协商，确定是否继续履行合同。</w:t>
      </w:r>
    </w:p>
    <w:p>
      <w:pPr>
        <w:spacing w:line="360" w:lineRule="auto"/>
        <w:ind w:firstLine="413" w:firstLineChars="196"/>
        <w:rPr>
          <w:rFonts w:ascii="宋体" w:hAnsi="宋体"/>
          <w:b/>
          <w:kern w:val="0"/>
          <w:szCs w:val="21"/>
        </w:rPr>
      </w:pPr>
      <w:r>
        <w:rPr>
          <w:rFonts w:hint="eastAsia" w:ascii="宋体" w:hAnsi="宋体"/>
          <w:b/>
          <w:kern w:val="0"/>
          <w:szCs w:val="21"/>
        </w:rPr>
        <w:t>第十三条  合同争议解决</w:t>
      </w:r>
    </w:p>
    <w:p>
      <w:pPr>
        <w:spacing w:line="360" w:lineRule="auto"/>
        <w:ind w:firstLine="420" w:firstLineChars="200"/>
        <w:rPr>
          <w:rFonts w:ascii="宋体" w:hAnsi="宋体"/>
          <w:kern w:val="0"/>
          <w:szCs w:val="21"/>
        </w:rPr>
      </w:pPr>
      <w:r>
        <w:rPr>
          <w:rFonts w:hint="eastAsia" w:ascii="宋体" w:hAnsi="宋体"/>
          <w:kern w:val="0"/>
          <w:szCs w:val="21"/>
        </w:rPr>
        <w:t>1.因货物质量问题发生争议的，应邀请国家认可的质量检测机构对货物质量进行鉴定。货物符合标准的，鉴定费由甲方承担；货物不符合标准的，鉴定费由乙方承担。</w:t>
      </w:r>
    </w:p>
    <w:p>
      <w:pPr>
        <w:spacing w:line="360" w:lineRule="auto"/>
        <w:ind w:firstLine="420" w:firstLineChars="200"/>
        <w:rPr>
          <w:rFonts w:ascii="宋体" w:hAnsi="宋体"/>
          <w:kern w:val="0"/>
          <w:szCs w:val="21"/>
        </w:rPr>
      </w:pPr>
      <w:r>
        <w:rPr>
          <w:rFonts w:hint="eastAsia" w:ascii="宋体" w:hAnsi="宋体"/>
          <w:kern w:val="0"/>
          <w:szCs w:val="21"/>
        </w:rPr>
        <w:t>2.因履行本合同引起的或与本合同有关的争议，甲乙双方应首先通过友好协商解决，如果协商不能解决，可向</w:t>
      </w:r>
      <w:r>
        <w:rPr>
          <w:rFonts w:hint="eastAsia" w:ascii="宋体" w:hAnsi="宋体"/>
          <w:kern w:val="0"/>
          <w:szCs w:val="21"/>
          <w:lang w:eastAsia="zh-CN"/>
        </w:rPr>
        <w:t>兴安县</w:t>
      </w:r>
      <w:r>
        <w:rPr>
          <w:rFonts w:hint="eastAsia" w:ascii="宋体" w:hAnsi="宋体"/>
          <w:kern w:val="0"/>
          <w:szCs w:val="21"/>
        </w:rPr>
        <w:t>仲裁委员会申请仲裁或向</w:t>
      </w:r>
      <w:r>
        <w:rPr>
          <w:rFonts w:hint="eastAsia" w:ascii="宋体" w:hAnsi="宋体"/>
          <w:kern w:val="0"/>
          <w:szCs w:val="21"/>
          <w:lang w:eastAsia="zh-CN"/>
        </w:rPr>
        <w:t>兴安县</w:t>
      </w:r>
      <w:r>
        <w:rPr>
          <w:rFonts w:hint="eastAsia" w:ascii="宋体" w:hAnsi="宋体"/>
          <w:kern w:val="0"/>
          <w:szCs w:val="21"/>
        </w:rPr>
        <w:t>人民法院提起诉讼。</w:t>
      </w:r>
    </w:p>
    <w:p>
      <w:pPr>
        <w:spacing w:line="360" w:lineRule="auto"/>
        <w:ind w:left="435"/>
        <w:rPr>
          <w:rFonts w:ascii="宋体" w:hAnsi="宋体"/>
          <w:kern w:val="0"/>
          <w:szCs w:val="21"/>
        </w:rPr>
      </w:pPr>
      <w:r>
        <w:rPr>
          <w:rFonts w:hint="eastAsia" w:ascii="宋体" w:hAnsi="宋体"/>
          <w:kern w:val="0"/>
          <w:szCs w:val="21"/>
        </w:rPr>
        <w:t>3.诉讼期间，本合同继续履行。</w:t>
      </w:r>
    </w:p>
    <w:p>
      <w:pPr>
        <w:spacing w:line="360" w:lineRule="auto"/>
        <w:ind w:firstLine="413" w:firstLineChars="196"/>
        <w:rPr>
          <w:rFonts w:ascii="宋体" w:hAnsi="宋体"/>
          <w:b/>
          <w:kern w:val="0"/>
          <w:szCs w:val="21"/>
        </w:rPr>
      </w:pPr>
      <w:r>
        <w:rPr>
          <w:rFonts w:hint="eastAsia" w:ascii="宋体" w:hAnsi="宋体"/>
          <w:b/>
          <w:kern w:val="0"/>
          <w:szCs w:val="21"/>
        </w:rPr>
        <w:t>第十四条  合同生效及其它</w:t>
      </w:r>
    </w:p>
    <w:p>
      <w:pPr>
        <w:spacing w:line="360" w:lineRule="auto"/>
        <w:ind w:firstLine="420" w:firstLineChars="200"/>
        <w:rPr>
          <w:rFonts w:ascii="宋体" w:hAnsi="宋体"/>
          <w:kern w:val="0"/>
          <w:szCs w:val="21"/>
        </w:rPr>
      </w:pPr>
      <w:r>
        <w:rPr>
          <w:rFonts w:hint="eastAsia" w:ascii="宋体" w:hAnsi="宋体"/>
          <w:kern w:val="0"/>
          <w:szCs w:val="21"/>
        </w:rPr>
        <w:t>1.合同经甲乙双方法定代表人、负责人、自然人或相应的授权代表签字并加盖投标人公章后生效。</w:t>
      </w:r>
    </w:p>
    <w:p>
      <w:pPr>
        <w:spacing w:line="360" w:lineRule="auto"/>
        <w:ind w:firstLine="420" w:firstLineChars="200"/>
        <w:rPr>
          <w:rFonts w:ascii="宋体" w:hAnsi="宋体"/>
          <w:kern w:val="0"/>
          <w:szCs w:val="21"/>
        </w:rPr>
      </w:pPr>
      <w:r>
        <w:rPr>
          <w:rFonts w:hint="eastAsia" w:ascii="宋体" w:hAnsi="宋体"/>
          <w:kern w:val="0"/>
          <w:szCs w:val="21"/>
        </w:rPr>
        <w:t>2.合同执行中涉及采购资金和采购内容修改或补充的，需经</w:t>
      </w:r>
      <w:r>
        <w:rPr>
          <w:rFonts w:hint="eastAsia" w:ascii="宋体" w:hAnsi="宋体"/>
          <w:kern w:val="0"/>
          <w:szCs w:val="21"/>
          <w:lang w:eastAsia="zh-CN"/>
        </w:rPr>
        <w:t>兴安县</w:t>
      </w:r>
      <w:r>
        <w:rPr>
          <w:rFonts w:hint="eastAsia" w:ascii="宋体" w:hAnsi="宋体"/>
          <w:kern w:val="0"/>
          <w:szCs w:val="21"/>
        </w:rPr>
        <w:t>财政部门审批，并签订书面补充协议报</w:t>
      </w:r>
      <w:r>
        <w:rPr>
          <w:rFonts w:hint="eastAsia" w:ascii="宋体" w:hAnsi="宋体"/>
          <w:kern w:val="0"/>
          <w:szCs w:val="21"/>
          <w:lang w:eastAsia="zh-CN"/>
        </w:rPr>
        <w:t>兴安县</w:t>
      </w:r>
      <w:r>
        <w:rPr>
          <w:rFonts w:hint="eastAsia" w:ascii="宋体" w:hAnsi="宋体"/>
          <w:kern w:val="0"/>
          <w:szCs w:val="21"/>
          <w:lang w:val="en-US" w:eastAsia="zh-CN"/>
        </w:rPr>
        <w:t>人民</w:t>
      </w:r>
      <w:r>
        <w:rPr>
          <w:rFonts w:hint="eastAsia" w:ascii="宋体" w:hAnsi="宋体"/>
          <w:kern w:val="0"/>
          <w:szCs w:val="21"/>
        </w:rPr>
        <w:t>政府采购</w:t>
      </w:r>
      <w:r>
        <w:rPr>
          <w:rFonts w:hint="eastAsia" w:ascii="宋体" w:hAnsi="宋体"/>
          <w:kern w:val="0"/>
          <w:szCs w:val="21"/>
          <w:lang w:val="en-US" w:eastAsia="zh-CN"/>
        </w:rPr>
        <w:t>办公室</w:t>
      </w:r>
      <w:r>
        <w:rPr>
          <w:rFonts w:hint="eastAsia" w:ascii="宋体" w:hAnsi="宋体"/>
          <w:kern w:val="0"/>
          <w:szCs w:val="21"/>
        </w:rPr>
        <w:t>备案，方可作为主合同不可分割的一部分。</w:t>
      </w:r>
    </w:p>
    <w:p>
      <w:pPr>
        <w:spacing w:line="360" w:lineRule="auto"/>
        <w:ind w:left="435"/>
        <w:rPr>
          <w:rFonts w:ascii="宋体" w:hAnsi="宋体"/>
          <w:kern w:val="0"/>
          <w:szCs w:val="21"/>
        </w:rPr>
      </w:pPr>
      <w:r>
        <w:rPr>
          <w:rFonts w:hint="eastAsia" w:ascii="宋体" w:hAnsi="宋体"/>
          <w:kern w:val="0"/>
          <w:szCs w:val="21"/>
        </w:rPr>
        <w:t>3.本合同未尽事宜，遵照《中华人民共和国民法典》有关条文执行。</w:t>
      </w:r>
    </w:p>
    <w:p>
      <w:pPr>
        <w:spacing w:line="360" w:lineRule="auto"/>
        <w:ind w:firstLine="413" w:firstLineChars="196"/>
        <w:rPr>
          <w:rFonts w:ascii="宋体" w:hAnsi="宋体"/>
          <w:b/>
          <w:kern w:val="0"/>
          <w:szCs w:val="21"/>
        </w:rPr>
      </w:pPr>
      <w:r>
        <w:rPr>
          <w:rFonts w:hint="eastAsia" w:ascii="宋体" w:hAnsi="宋体"/>
          <w:b/>
          <w:kern w:val="0"/>
          <w:szCs w:val="21"/>
        </w:rPr>
        <w:t>第十五条  合同的变更、终止与转让</w:t>
      </w:r>
    </w:p>
    <w:p>
      <w:pPr>
        <w:spacing w:line="360" w:lineRule="auto"/>
        <w:ind w:firstLine="420" w:firstLineChars="200"/>
        <w:rPr>
          <w:rFonts w:ascii="宋体" w:hAnsi="宋体"/>
          <w:kern w:val="0"/>
          <w:szCs w:val="21"/>
        </w:rPr>
      </w:pPr>
      <w:r>
        <w:rPr>
          <w:rFonts w:hint="eastAsia" w:ascii="宋体" w:hAnsi="宋体"/>
          <w:kern w:val="0"/>
          <w:szCs w:val="21"/>
        </w:rPr>
        <w:t>1.除《中华人民共和国政府采购法》第五十条规定的情形外，本合同一经签订，甲乙双方不得擅自变更，中止或终止。</w:t>
      </w:r>
    </w:p>
    <w:p>
      <w:pPr>
        <w:spacing w:line="360" w:lineRule="auto"/>
        <w:ind w:left="420"/>
        <w:rPr>
          <w:rFonts w:ascii="宋体" w:hAnsi="宋体"/>
          <w:kern w:val="0"/>
          <w:szCs w:val="21"/>
        </w:rPr>
      </w:pPr>
      <w:r>
        <w:rPr>
          <w:rFonts w:hint="eastAsia" w:ascii="宋体" w:hAnsi="宋体"/>
          <w:kern w:val="0"/>
          <w:szCs w:val="21"/>
        </w:rPr>
        <w:t>2.乙方不得擅自转让其应履行的合同义务。</w:t>
      </w:r>
    </w:p>
    <w:p>
      <w:pPr>
        <w:spacing w:line="360" w:lineRule="auto"/>
        <w:ind w:firstLine="422" w:firstLineChars="200"/>
        <w:rPr>
          <w:rFonts w:ascii="宋体" w:hAnsi="宋体"/>
          <w:b/>
          <w:kern w:val="0"/>
          <w:szCs w:val="21"/>
        </w:rPr>
      </w:pPr>
      <w:r>
        <w:rPr>
          <w:rFonts w:hint="eastAsia" w:ascii="宋体" w:hAnsi="宋体"/>
          <w:b/>
          <w:kern w:val="0"/>
          <w:szCs w:val="21"/>
        </w:rPr>
        <w:t>第十六条  签订本合同依据：</w:t>
      </w:r>
    </w:p>
    <w:p>
      <w:pPr>
        <w:spacing w:line="360" w:lineRule="auto"/>
        <w:ind w:left="420"/>
        <w:rPr>
          <w:rFonts w:ascii="宋体" w:hAnsi="宋体"/>
          <w:kern w:val="0"/>
          <w:szCs w:val="21"/>
        </w:rPr>
      </w:pPr>
      <w:r>
        <w:rPr>
          <w:rFonts w:hint="eastAsia" w:ascii="宋体" w:hAnsi="宋体"/>
          <w:kern w:val="0"/>
          <w:szCs w:val="21"/>
        </w:rPr>
        <w:t>1.招标文件；</w:t>
      </w:r>
    </w:p>
    <w:p>
      <w:pPr>
        <w:spacing w:line="360" w:lineRule="auto"/>
        <w:ind w:left="420"/>
        <w:rPr>
          <w:rFonts w:ascii="宋体" w:hAnsi="宋体"/>
          <w:kern w:val="0"/>
          <w:szCs w:val="21"/>
        </w:rPr>
      </w:pPr>
      <w:r>
        <w:rPr>
          <w:rFonts w:hint="eastAsia" w:ascii="宋体" w:hAnsi="宋体"/>
          <w:kern w:val="0"/>
          <w:szCs w:val="21"/>
        </w:rPr>
        <w:t>2.乙方提供的投标（或应答）文件；</w:t>
      </w:r>
    </w:p>
    <w:p>
      <w:pPr>
        <w:spacing w:line="360" w:lineRule="auto"/>
        <w:ind w:left="420"/>
        <w:rPr>
          <w:rFonts w:ascii="宋体" w:hAnsi="宋体"/>
          <w:kern w:val="0"/>
          <w:szCs w:val="21"/>
        </w:rPr>
      </w:pPr>
      <w:r>
        <w:rPr>
          <w:rFonts w:hint="eastAsia" w:ascii="宋体" w:hAnsi="宋体"/>
          <w:kern w:val="0"/>
          <w:szCs w:val="21"/>
        </w:rPr>
        <w:t>3.售后服务承诺书；</w:t>
      </w:r>
    </w:p>
    <w:p>
      <w:pPr>
        <w:spacing w:line="360" w:lineRule="auto"/>
        <w:ind w:left="420"/>
        <w:rPr>
          <w:rFonts w:ascii="宋体" w:hAnsi="宋体"/>
          <w:kern w:val="0"/>
          <w:szCs w:val="21"/>
        </w:rPr>
      </w:pPr>
      <w:r>
        <w:rPr>
          <w:rFonts w:hint="eastAsia" w:ascii="宋体" w:hAnsi="宋体"/>
          <w:kern w:val="0"/>
          <w:szCs w:val="21"/>
        </w:rPr>
        <w:t>4.中标通知书。</w:t>
      </w:r>
    </w:p>
    <w:p>
      <w:pPr>
        <w:spacing w:line="360" w:lineRule="auto"/>
        <w:ind w:left="420"/>
        <w:rPr>
          <w:rFonts w:ascii="宋体" w:hAnsi="宋体"/>
          <w:kern w:val="0"/>
          <w:szCs w:val="21"/>
        </w:rPr>
      </w:pPr>
    </w:p>
    <w:p>
      <w:pPr>
        <w:spacing w:line="360" w:lineRule="auto"/>
        <w:ind w:firstLine="420" w:firstLineChars="200"/>
        <w:rPr>
          <w:rFonts w:ascii="宋体" w:hAnsi="宋体"/>
          <w:kern w:val="0"/>
          <w:szCs w:val="21"/>
        </w:rPr>
      </w:pPr>
      <w:r>
        <w:rPr>
          <w:rFonts w:hint="eastAsia" w:ascii="宋体" w:hAnsi="宋体"/>
          <w:kern w:val="0"/>
          <w:szCs w:val="21"/>
        </w:rPr>
        <w:t>本合同甲乙双方签字盖章后生效，一式四份，具有同等法律效力，甲、乙双方各一份。</w:t>
      </w:r>
      <w:r>
        <w:rPr>
          <w:rFonts w:hint="eastAsia" w:ascii="宋体" w:hAnsi="宋体"/>
          <w:kern w:val="0"/>
        </w:rPr>
        <w:t>政府采购合同双方自签订之日起1个工作日内将合同原件1份交采购代理机构，采购代理机构收到政府采购合同原件后在省级以上人民政府财政部门指定媒体上公告并存档。</w:t>
      </w:r>
    </w:p>
    <w:p>
      <w:pPr>
        <w:spacing w:line="400" w:lineRule="exact"/>
        <w:rPr>
          <w:rFonts w:ascii="宋体" w:hAnsi="宋体"/>
          <w:kern w:val="0"/>
          <w:szCs w:val="21"/>
          <w:u w:val="single"/>
        </w:rPr>
      </w:pPr>
      <w:r>
        <w:rPr>
          <w:rFonts w:hint="eastAsia" w:ascii="宋体" w:hAnsi="宋体"/>
          <w:kern w:val="0"/>
          <w:szCs w:val="21"/>
        </w:rPr>
        <w:t>甲方（公章）：</w:t>
      </w:r>
      <w:r>
        <w:rPr>
          <w:rFonts w:hint="eastAsia" w:ascii="宋体" w:hAnsi="宋体"/>
          <w:kern w:val="0"/>
          <w:szCs w:val="21"/>
          <w:u w:val="single"/>
        </w:rPr>
        <w:t xml:space="preserve">                          </w:t>
      </w:r>
      <w:r>
        <w:rPr>
          <w:rFonts w:hint="eastAsia" w:ascii="宋体" w:hAnsi="宋体"/>
          <w:kern w:val="0"/>
          <w:szCs w:val="21"/>
        </w:rPr>
        <w:t xml:space="preserve">    乙方（公章，自然人除外）：</w:t>
      </w:r>
      <w:r>
        <w:rPr>
          <w:rFonts w:hint="eastAsia" w:ascii="宋体" w:hAnsi="宋体"/>
          <w:kern w:val="0"/>
          <w:szCs w:val="21"/>
          <w:u w:val="single"/>
        </w:rPr>
        <w:t xml:space="preserve">                           </w:t>
      </w:r>
    </w:p>
    <w:p>
      <w:pPr>
        <w:spacing w:line="400" w:lineRule="exact"/>
        <w:ind w:left="4620" w:hanging="4620" w:hangingChars="2200"/>
        <w:rPr>
          <w:rFonts w:ascii="宋体" w:hAnsi="宋体"/>
          <w:kern w:val="0"/>
          <w:szCs w:val="21"/>
          <w:u w:val="single"/>
        </w:rPr>
      </w:pPr>
      <w:r>
        <w:rPr>
          <w:rFonts w:hint="eastAsia" w:ascii="宋体" w:hAnsi="宋体"/>
          <w:kern w:val="0"/>
          <w:szCs w:val="21"/>
        </w:rPr>
        <w:t>法定代表人签字：</w:t>
      </w:r>
      <w:r>
        <w:rPr>
          <w:rFonts w:hint="eastAsia" w:ascii="宋体" w:hAnsi="宋体"/>
          <w:kern w:val="0"/>
          <w:szCs w:val="21"/>
          <w:u w:val="single"/>
        </w:rPr>
        <w:t xml:space="preserve">                      </w:t>
      </w:r>
      <w:r>
        <w:rPr>
          <w:rFonts w:hint="eastAsia" w:ascii="宋体" w:hAnsi="宋体"/>
          <w:kern w:val="0"/>
          <w:szCs w:val="21"/>
        </w:rPr>
        <w:t xml:space="preserve">      </w:t>
      </w:r>
      <w:r>
        <w:rPr>
          <w:rFonts w:hint="eastAsia" w:hAnsi="宋体"/>
          <w:kern w:val="0"/>
        </w:rPr>
        <w:t>法定代表人（负责人、自然人）签字（属自然人的应在签名处加盖食指指印）</w:t>
      </w:r>
      <w:r>
        <w:rPr>
          <w:rFonts w:hint="eastAsia" w:ascii="宋体" w:hAnsi="宋体"/>
          <w:kern w:val="0"/>
          <w:szCs w:val="21"/>
        </w:rPr>
        <w:t>：</w:t>
      </w:r>
      <w:r>
        <w:rPr>
          <w:rFonts w:hint="eastAsia" w:ascii="宋体" w:hAnsi="宋体"/>
          <w:kern w:val="0"/>
          <w:szCs w:val="21"/>
          <w:u w:val="single"/>
        </w:rPr>
        <w:t xml:space="preserve">                                 </w:t>
      </w:r>
    </w:p>
    <w:p>
      <w:pPr>
        <w:tabs>
          <w:tab w:val="left" w:pos="4680"/>
        </w:tabs>
        <w:spacing w:line="400" w:lineRule="exact"/>
        <w:rPr>
          <w:rFonts w:ascii="宋体" w:hAnsi="宋体"/>
          <w:kern w:val="0"/>
          <w:szCs w:val="21"/>
          <w:u w:val="single"/>
        </w:rPr>
      </w:pPr>
      <w:r>
        <w:rPr>
          <w:rFonts w:hint="eastAsia" w:ascii="宋体" w:hAnsi="宋体"/>
          <w:kern w:val="0"/>
          <w:szCs w:val="21"/>
        </w:rPr>
        <w:t>委托代理人：</w:t>
      </w:r>
      <w:r>
        <w:rPr>
          <w:rFonts w:hint="eastAsia" w:ascii="宋体" w:hAnsi="宋体"/>
          <w:kern w:val="0"/>
          <w:szCs w:val="21"/>
          <w:u w:val="single"/>
        </w:rPr>
        <w:t xml:space="preserve">                           </w:t>
      </w:r>
      <w:r>
        <w:rPr>
          <w:rFonts w:hint="eastAsia" w:ascii="宋体" w:hAnsi="宋体"/>
          <w:kern w:val="0"/>
          <w:szCs w:val="21"/>
        </w:rPr>
        <w:t xml:space="preserve">     委托代理人：</w:t>
      </w:r>
      <w:r>
        <w:rPr>
          <w:rFonts w:hint="eastAsia" w:ascii="宋体" w:hAnsi="宋体"/>
          <w:kern w:val="0"/>
          <w:szCs w:val="21"/>
          <w:u w:val="single"/>
        </w:rPr>
        <w:t xml:space="preserve">                                 </w:t>
      </w:r>
    </w:p>
    <w:p>
      <w:pPr>
        <w:tabs>
          <w:tab w:val="left" w:pos="5040"/>
        </w:tabs>
        <w:spacing w:line="400" w:lineRule="exact"/>
        <w:rPr>
          <w:rFonts w:ascii="宋体" w:hAnsi="宋体"/>
          <w:kern w:val="0"/>
          <w:szCs w:val="21"/>
          <w:u w:val="single"/>
        </w:rPr>
      </w:pPr>
      <w:r>
        <w:rPr>
          <w:rFonts w:hint="eastAsia" w:ascii="宋体" w:hAnsi="宋体"/>
          <w:kern w:val="0"/>
          <w:szCs w:val="21"/>
        </w:rPr>
        <w:t>电  话：</w:t>
      </w:r>
      <w:r>
        <w:rPr>
          <w:rFonts w:hint="eastAsia" w:ascii="宋体" w:hAnsi="宋体"/>
          <w:kern w:val="0"/>
          <w:szCs w:val="21"/>
          <w:u w:val="single"/>
        </w:rPr>
        <w:t xml:space="preserve">                               </w:t>
      </w:r>
      <w:r>
        <w:rPr>
          <w:rFonts w:hint="eastAsia" w:ascii="宋体" w:hAnsi="宋体"/>
          <w:kern w:val="0"/>
          <w:szCs w:val="21"/>
        </w:rPr>
        <w:t xml:space="preserve">     电   话： </w:t>
      </w:r>
      <w:r>
        <w:rPr>
          <w:rFonts w:hint="eastAsia" w:ascii="宋体" w:hAnsi="宋体"/>
          <w:kern w:val="0"/>
          <w:szCs w:val="21"/>
          <w:u w:val="single"/>
        </w:rPr>
        <w:t xml:space="preserve">                                  </w:t>
      </w:r>
    </w:p>
    <w:p>
      <w:pPr>
        <w:tabs>
          <w:tab w:val="left" w:pos="5040"/>
        </w:tabs>
        <w:spacing w:line="400" w:lineRule="exact"/>
        <w:rPr>
          <w:rFonts w:ascii="宋体" w:hAnsi="宋体"/>
          <w:kern w:val="0"/>
          <w:szCs w:val="21"/>
        </w:rPr>
      </w:pPr>
      <w:r>
        <w:rPr>
          <w:rFonts w:hint="eastAsia" w:ascii="宋体" w:hAnsi="宋体"/>
          <w:kern w:val="0"/>
          <w:szCs w:val="21"/>
        </w:rPr>
        <w:t>开户名称：</w:t>
      </w:r>
      <w:r>
        <w:rPr>
          <w:rFonts w:hint="eastAsia" w:ascii="宋体" w:hAnsi="宋体"/>
          <w:kern w:val="0"/>
          <w:szCs w:val="21"/>
          <w:u w:val="single"/>
        </w:rPr>
        <w:t xml:space="preserve">                             </w:t>
      </w:r>
      <w:r>
        <w:rPr>
          <w:rFonts w:hint="eastAsia" w:ascii="宋体" w:hAnsi="宋体"/>
          <w:kern w:val="0"/>
          <w:szCs w:val="21"/>
        </w:rPr>
        <w:t xml:space="preserve">     开户名称：</w:t>
      </w:r>
      <w:r>
        <w:rPr>
          <w:rFonts w:hint="eastAsia" w:ascii="宋体" w:hAnsi="宋体"/>
          <w:kern w:val="0"/>
          <w:szCs w:val="21"/>
          <w:u w:val="single"/>
        </w:rPr>
        <w:t xml:space="preserve">                                   </w:t>
      </w:r>
      <w:r>
        <w:rPr>
          <w:rFonts w:hint="eastAsia" w:ascii="宋体" w:hAnsi="宋体"/>
          <w:kern w:val="0"/>
          <w:szCs w:val="21"/>
        </w:rPr>
        <w:t xml:space="preserve">     </w:t>
      </w:r>
    </w:p>
    <w:p>
      <w:pPr>
        <w:tabs>
          <w:tab w:val="left" w:pos="5040"/>
        </w:tabs>
        <w:spacing w:line="400" w:lineRule="exact"/>
        <w:rPr>
          <w:rFonts w:ascii="宋体" w:hAnsi="宋体"/>
          <w:kern w:val="0"/>
          <w:szCs w:val="21"/>
        </w:rPr>
      </w:pPr>
      <w:r>
        <w:rPr>
          <w:rFonts w:hint="eastAsia" w:ascii="宋体" w:hAnsi="宋体"/>
          <w:kern w:val="0"/>
          <w:szCs w:val="21"/>
        </w:rPr>
        <w:t>开户银行：</w:t>
      </w:r>
      <w:r>
        <w:rPr>
          <w:rFonts w:hint="eastAsia" w:ascii="宋体" w:hAnsi="宋体"/>
          <w:kern w:val="0"/>
          <w:szCs w:val="21"/>
          <w:u w:val="single"/>
        </w:rPr>
        <w:t xml:space="preserve">                             </w:t>
      </w:r>
      <w:r>
        <w:rPr>
          <w:rFonts w:hint="eastAsia" w:ascii="宋体" w:hAnsi="宋体"/>
          <w:kern w:val="0"/>
          <w:szCs w:val="21"/>
        </w:rPr>
        <w:t xml:space="preserve">     开户银行：</w:t>
      </w:r>
      <w:r>
        <w:rPr>
          <w:rFonts w:hint="eastAsia" w:ascii="宋体" w:hAnsi="宋体"/>
          <w:kern w:val="0"/>
          <w:szCs w:val="21"/>
          <w:u w:val="single"/>
        </w:rPr>
        <w:t xml:space="preserve">                                   </w:t>
      </w:r>
      <w:r>
        <w:rPr>
          <w:rFonts w:hint="eastAsia" w:ascii="宋体" w:hAnsi="宋体"/>
          <w:kern w:val="0"/>
          <w:szCs w:val="21"/>
        </w:rPr>
        <w:t xml:space="preserve">     </w:t>
      </w:r>
    </w:p>
    <w:p>
      <w:pPr>
        <w:tabs>
          <w:tab w:val="left" w:pos="5040"/>
        </w:tabs>
        <w:spacing w:line="400" w:lineRule="exact"/>
        <w:rPr>
          <w:rFonts w:ascii="宋体" w:hAnsi="宋体"/>
          <w:kern w:val="0"/>
          <w:szCs w:val="21"/>
        </w:rPr>
      </w:pPr>
      <w:r>
        <w:rPr>
          <w:rFonts w:hint="eastAsia" w:ascii="宋体" w:hAnsi="宋体"/>
          <w:kern w:val="0"/>
          <w:szCs w:val="21"/>
        </w:rPr>
        <w:t>银行账号：</w:t>
      </w:r>
      <w:r>
        <w:rPr>
          <w:rFonts w:hint="eastAsia" w:ascii="宋体" w:hAnsi="宋体"/>
          <w:kern w:val="0"/>
          <w:szCs w:val="21"/>
          <w:u w:val="single"/>
        </w:rPr>
        <w:t xml:space="preserve">                             </w:t>
      </w:r>
      <w:r>
        <w:rPr>
          <w:rFonts w:hint="eastAsia" w:ascii="宋体" w:hAnsi="宋体"/>
          <w:kern w:val="0"/>
          <w:szCs w:val="21"/>
        </w:rPr>
        <w:t xml:space="preserve">     银行账号：</w:t>
      </w:r>
      <w:r>
        <w:rPr>
          <w:rFonts w:hint="eastAsia" w:ascii="宋体" w:hAnsi="宋体"/>
          <w:kern w:val="0"/>
          <w:szCs w:val="21"/>
          <w:u w:val="single"/>
        </w:rPr>
        <w:t xml:space="preserve">                                  </w:t>
      </w:r>
      <w:r>
        <w:rPr>
          <w:rFonts w:hint="eastAsia" w:ascii="宋体" w:hAnsi="宋体"/>
          <w:kern w:val="0"/>
          <w:szCs w:val="21"/>
        </w:rPr>
        <w:t xml:space="preserve">     </w:t>
      </w:r>
    </w:p>
    <w:p>
      <w:pPr>
        <w:tabs>
          <w:tab w:val="left" w:pos="5040"/>
        </w:tabs>
        <w:spacing w:line="400" w:lineRule="exact"/>
        <w:rPr>
          <w:rFonts w:ascii="宋体" w:hAnsi="宋体"/>
          <w:kern w:val="0"/>
          <w:szCs w:val="21"/>
        </w:rPr>
      </w:pPr>
      <w:r>
        <w:rPr>
          <w:rFonts w:hint="eastAsia" w:ascii="宋体" w:hAnsi="宋体"/>
          <w:kern w:val="0"/>
          <w:szCs w:val="21"/>
        </w:rPr>
        <w:t>日    期：</w:t>
      </w:r>
      <w:r>
        <w:rPr>
          <w:rFonts w:hint="eastAsia" w:ascii="宋体" w:hAnsi="宋体"/>
          <w:kern w:val="0"/>
          <w:szCs w:val="21"/>
          <w:u w:val="single"/>
        </w:rPr>
        <w:t xml:space="preserve">                             </w:t>
      </w:r>
      <w:r>
        <w:rPr>
          <w:rFonts w:hint="eastAsia" w:ascii="宋体" w:hAnsi="宋体"/>
          <w:kern w:val="0"/>
          <w:szCs w:val="21"/>
        </w:rPr>
        <w:t xml:space="preserve">     日    期：</w:t>
      </w:r>
      <w:r>
        <w:rPr>
          <w:rFonts w:hint="eastAsia" w:ascii="宋体" w:hAnsi="宋体"/>
          <w:kern w:val="0"/>
          <w:szCs w:val="21"/>
          <w:u w:val="single"/>
        </w:rPr>
        <w:t xml:space="preserve">                                   </w:t>
      </w:r>
      <w:r>
        <w:rPr>
          <w:rFonts w:hint="eastAsia" w:ascii="宋体" w:hAnsi="宋体"/>
          <w:kern w:val="0"/>
          <w:szCs w:val="21"/>
        </w:rPr>
        <w:t xml:space="preserve">     </w:t>
      </w:r>
    </w:p>
    <w:p>
      <w:pPr>
        <w:rPr>
          <w:kern w:val="0"/>
        </w:rPr>
      </w:pPr>
    </w:p>
    <w:p>
      <w:pPr>
        <w:tabs>
          <w:tab w:val="left" w:pos="5040"/>
        </w:tabs>
        <w:spacing w:line="360" w:lineRule="auto"/>
        <w:rPr>
          <w:rFonts w:ascii="宋体" w:hAnsi="宋体"/>
          <w:szCs w:val="21"/>
        </w:rPr>
      </w:pPr>
    </w:p>
    <w:p>
      <w:pPr>
        <w:pStyle w:val="60"/>
      </w:pPr>
    </w:p>
    <w:p>
      <w:pPr>
        <w:tabs>
          <w:tab w:val="left" w:pos="5040"/>
        </w:tabs>
        <w:spacing w:line="360" w:lineRule="auto"/>
        <w:rPr>
          <w:rFonts w:ascii="宋体" w:hAnsi="宋体"/>
          <w:szCs w:val="21"/>
        </w:rPr>
      </w:pPr>
    </w:p>
    <w:p>
      <w:pPr>
        <w:tabs>
          <w:tab w:val="left" w:pos="5040"/>
        </w:tabs>
        <w:spacing w:line="360" w:lineRule="auto"/>
        <w:rPr>
          <w:rFonts w:ascii="宋体" w:hAnsi="宋体"/>
          <w:szCs w:val="21"/>
        </w:rPr>
      </w:pPr>
    </w:p>
    <w:p>
      <w:pPr>
        <w:tabs>
          <w:tab w:val="left" w:pos="5040"/>
        </w:tabs>
        <w:spacing w:line="360" w:lineRule="auto"/>
        <w:rPr>
          <w:rFonts w:ascii="宋体" w:hAnsi="宋体"/>
          <w:szCs w:val="21"/>
        </w:rPr>
      </w:pPr>
    </w:p>
    <w:p>
      <w:bookmarkStart w:id="21" w:name="_Toc31302"/>
      <w:bookmarkStart w:id="22" w:name="_Toc495841786"/>
      <w:r>
        <w:rPr>
          <w:rFonts w:hint="eastAsia"/>
        </w:rPr>
        <w:br w:type="page"/>
      </w:r>
    </w:p>
    <w:p>
      <w:pPr>
        <w:pStyle w:val="6"/>
        <w:rPr>
          <w:b w:val="0"/>
          <w:szCs w:val="32"/>
        </w:rPr>
      </w:pPr>
      <w:r>
        <w:rPr>
          <w:rFonts w:hint="eastAsia"/>
        </w:rPr>
        <w:t>第六章  投标文件格式</w:t>
      </w:r>
      <w:bookmarkEnd w:id="21"/>
    </w:p>
    <w:p>
      <w:pPr>
        <w:spacing w:line="440" w:lineRule="exact"/>
        <w:rPr>
          <w:rFonts w:ascii="宋体" w:hAnsi="宋体" w:cs="宋体"/>
          <w:b/>
          <w:bCs/>
          <w:color w:val="000000"/>
          <w:sz w:val="30"/>
          <w:szCs w:val="30"/>
        </w:rPr>
      </w:pPr>
      <w:bookmarkStart w:id="23" w:name="_Toc486695806"/>
      <w:bookmarkStart w:id="24" w:name="_Toc498698226"/>
      <w:bookmarkStart w:id="25" w:name="_Toc478137727"/>
      <w:bookmarkStart w:id="26" w:name="_Toc486867150"/>
      <w:bookmarkStart w:id="27" w:name="_Toc498627082"/>
      <w:bookmarkStart w:id="28" w:name="_Toc31410"/>
      <w:bookmarkStart w:id="29" w:name="_Toc1762"/>
      <w:r>
        <w:rPr>
          <w:rFonts w:hint="eastAsia" w:ascii="宋体" w:hAnsi="宋体" w:cs="宋体"/>
          <w:b/>
          <w:bCs/>
          <w:color w:val="000000"/>
          <w:sz w:val="30"/>
          <w:szCs w:val="30"/>
        </w:rPr>
        <w:t>投标文件封面格式</w:t>
      </w:r>
      <w:bookmarkEnd w:id="23"/>
      <w:bookmarkEnd w:id="24"/>
      <w:bookmarkEnd w:id="25"/>
      <w:bookmarkEnd w:id="26"/>
      <w:bookmarkEnd w:id="27"/>
      <w:r>
        <w:rPr>
          <w:rFonts w:hint="eastAsia" w:ascii="宋体" w:hAnsi="宋体" w:cs="宋体"/>
          <w:b/>
          <w:bCs/>
          <w:color w:val="000000"/>
          <w:sz w:val="30"/>
          <w:szCs w:val="30"/>
        </w:rPr>
        <w:t>：</w:t>
      </w:r>
      <w:bookmarkEnd w:id="28"/>
      <w:bookmarkEnd w:id="29"/>
    </w:p>
    <w:p>
      <w:pPr>
        <w:adjustRightInd w:val="0"/>
        <w:snapToGrid w:val="0"/>
        <w:spacing w:line="440" w:lineRule="exact"/>
        <w:rPr>
          <w:rFonts w:ascii="宋体" w:hAnsi="宋体" w:cs="宋体"/>
          <w:b/>
          <w:color w:val="000000"/>
          <w:sz w:val="44"/>
          <w:szCs w:val="44"/>
        </w:rPr>
      </w:pPr>
    </w:p>
    <w:p>
      <w:pPr>
        <w:spacing w:line="440" w:lineRule="exact"/>
        <w:rPr>
          <w:rFonts w:ascii="宋体" w:hAnsi="宋体" w:cs="宋体"/>
          <w:color w:val="000000"/>
        </w:rPr>
      </w:pPr>
    </w:p>
    <w:p>
      <w:pPr>
        <w:adjustRightInd w:val="0"/>
        <w:snapToGrid w:val="0"/>
        <w:spacing w:line="600" w:lineRule="auto"/>
        <w:jc w:val="center"/>
        <w:rPr>
          <w:rFonts w:ascii="宋体" w:hAnsi="宋体" w:cs="宋体"/>
          <w:bCs/>
          <w:color w:val="000000"/>
          <w:sz w:val="72"/>
          <w:szCs w:val="72"/>
        </w:rPr>
      </w:pPr>
      <w:bookmarkStart w:id="30" w:name="_Toc3441_WPSOffice_Level1"/>
      <w:bookmarkStart w:id="31" w:name="_Toc13659_WPSOffice_Level1"/>
      <w:r>
        <w:rPr>
          <w:rFonts w:hint="eastAsia" w:ascii="宋体" w:hAnsi="宋体" w:cs="宋体"/>
          <w:bCs/>
          <w:color w:val="000000"/>
          <w:sz w:val="72"/>
          <w:szCs w:val="72"/>
        </w:rPr>
        <w:t>投标文件</w:t>
      </w:r>
      <w:bookmarkEnd w:id="30"/>
      <w:bookmarkEnd w:id="31"/>
    </w:p>
    <w:p>
      <w:pPr>
        <w:adjustRightInd w:val="0"/>
        <w:snapToGrid w:val="0"/>
        <w:spacing w:line="600" w:lineRule="auto"/>
        <w:ind w:firstLine="1205" w:firstLineChars="400"/>
        <w:rPr>
          <w:rFonts w:hint="eastAsia" w:ascii="宋体" w:hAnsi="宋体" w:cs="宋体"/>
          <w:bCs/>
          <w:color w:val="000000"/>
          <w:sz w:val="30"/>
          <w:szCs w:val="30"/>
          <w:highlight w:val="none"/>
          <w:u w:val="single"/>
          <w:lang w:val="en-US" w:eastAsia="zh-CN"/>
        </w:rPr>
      </w:pPr>
      <w:r>
        <w:rPr>
          <w:rFonts w:hint="eastAsia" w:ascii="宋体" w:hAnsi="宋体" w:cs="宋体"/>
          <w:b/>
          <w:color w:val="000000"/>
          <w:sz w:val="30"/>
          <w:szCs w:val="30"/>
        </w:rPr>
        <w:t>项目名称：</w:t>
      </w:r>
      <w:r>
        <w:rPr>
          <w:rFonts w:hint="eastAsia" w:ascii="宋体" w:hAnsi="宋体" w:cs="宋体"/>
          <w:bCs/>
          <w:color w:val="000000"/>
          <w:sz w:val="30"/>
          <w:szCs w:val="30"/>
          <w:highlight w:val="none"/>
          <w:u w:val="single"/>
          <w:lang w:eastAsia="zh-CN"/>
        </w:rPr>
        <w:t>兴安县人民医院医疗设备采购项目（三）</w:t>
      </w:r>
    </w:p>
    <w:p>
      <w:pPr>
        <w:spacing w:line="360" w:lineRule="auto"/>
        <w:ind w:firstLine="1205" w:firstLineChars="400"/>
        <w:rPr>
          <w:rFonts w:ascii="宋体" w:hAnsi="宋体" w:cs="宋体"/>
          <w:bCs/>
          <w:sz w:val="30"/>
          <w:szCs w:val="30"/>
          <w:u w:val="single"/>
        </w:rPr>
      </w:pPr>
      <w:r>
        <w:rPr>
          <w:rFonts w:hint="eastAsia" w:ascii="宋体" w:hAnsi="宋体" w:cs="宋体"/>
          <w:b/>
          <w:sz w:val="30"/>
          <w:szCs w:val="30"/>
        </w:rPr>
        <w:t>项目编号：</w:t>
      </w:r>
      <w:r>
        <w:rPr>
          <w:rFonts w:hint="eastAsia" w:ascii="宋体" w:hAnsi="宋体" w:cs="宋体"/>
          <w:bCs/>
          <w:sz w:val="30"/>
          <w:szCs w:val="30"/>
          <w:highlight w:val="none"/>
          <w:u w:val="single"/>
        </w:rPr>
        <w:t>GLZC2022-G1-250091-WDMZ</w:t>
      </w:r>
      <w:r>
        <w:rPr>
          <w:rFonts w:hint="eastAsia" w:ascii="宋体" w:hAnsi="宋体" w:cs="宋体"/>
          <w:bCs/>
          <w:sz w:val="30"/>
          <w:szCs w:val="30"/>
          <w:u w:val="single"/>
        </w:rPr>
        <w:t xml:space="preserve">     </w:t>
      </w:r>
    </w:p>
    <w:p>
      <w:pPr>
        <w:pStyle w:val="22"/>
      </w:pPr>
    </w:p>
    <w:p>
      <w:pPr>
        <w:pStyle w:val="3"/>
        <w:spacing w:line="440" w:lineRule="exact"/>
        <w:ind w:firstLine="843" w:firstLineChars="300"/>
        <w:rPr>
          <w:rFonts w:ascii="宋体" w:hAnsi="宋体" w:cs="宋体"/>
          <w:bCs/>
          <w:sz w:val="28"/>
          <w:szCs w:val="28"/>
          <w:u w:val="single"/>
        </w:rPr>
      </w:pPr>
      <w:r>
        <w:rPr>
          <w:rFonts w:hint="eastAsia" w:ascii="宋体" w:hAnsi="宋体" w:cs="宋体"/>
          <w:b/>
          <w:sz w:val="28"/>
          <w:szCs w:val="28"/>
        </w:rPr>
        <w:t>采购代理机构：</w:t>
      </w:r>
      <w:r>
        <w:rPr>
          <w:rFonts w:hint="eastAsia" w:ascii="宋体" w:hAnsi="宋体" w:cs="宋体"/>
          <w:bCs/>
          <w:sz w:val="28"/>
          <w:szCs w:val="28"/>
          <w:u w:val="single"/>
        </w:rPr>
        <w:t xml:space="preserve">广西万盯卯招标咨询有限公司    </w:t>
      </w:r>
    </w:p>
    <w:p>
      <w:pPr>
        <w:pStyle w:val="3"/>
        <w:spacing w:line="440" w:lineRule="exact"/>
        <w:rPr>
          <w:rFonts w:ascii="宋体" w:hAnsi="宋体" w:cs="宋体"/>
          <w:bCs/>
          <w:sz w:val="28"/>
          <w:szCs w:val="28"/>
          <w:u w:val="single"/>
        </w:rPr>
      </w:pPr>
    </w:p>
    <w:p>
      <w:pPr>
        <w:pStyle w:val="3"/>
        <w:spacing w:line="440" w:lineRule="exact"/>
        <w:rPr>
          <w:rFonts w:ascii="宋体" w:hAnsi="宋体" w:cs="宋体"/>
          <w:bCs/>
          <w:sz w:val="28"/>
          <w:szCs w:val="28"/>
          <w:u w:val="single"/>
        </w:rPr>
      </w:pPr>
    </w:p>
    <w:p>
      <w:pPr>
        <w:pStyle w:val="3"/>
        <w:spacing w:line="360" w:lineRule="auto"/>
        <w:ind w:left="562" w:hanging="562" w:hangingChars="200"/>
        <w:rPr>
          <w:rFonts w:ascii="宋体" w:hAnsi="宋体" w:cs="宋体"/>
          <w:bCs/>
          <w:sz w:val="28"/>
          <w:szCs w:val="28"/>
        </w:rPr>
      </w:pPr>
      <w:bookmarkStart w:id="32" w:name="_Toc4932_WPSOffice_Level2"/>
      <w:bookmarkStart w:id="33" w:name="_Toc20319_WPSOffice_Level2"/>
      <w:r>
        <w:rPr>
          <w:rFonts w:hint="eastAsia" w:ascii="宋体" w:hAnsi="宋体" w:cs="宋体"/>
          <w:b/>
          <w:sz w:val="28"/>
          <w:szCs w:val="28"/>
        </w:rPr>
        <w:t>投标人[公章(CA签章)、自然人除外]：</w:t>
      </w:r>
      <w:r>
        <w:rPr>
          <w:rFonts w:hint="eastAsia" w:ascii="宋体" w:hAnsi="宋体" w:cs="宋体"/>
          <w:bCs/>
          <w:sz w:val="28"/>
          <w:szCs w:val="28"/>
          <w:u w:val="single"/>
        </w:rPr>
        <w:t xml:space="preserve">                       </w:t>
      </w:r>
      <w:bookmarkEnd w:id="32"/>
      <w:bookmarkEnd w:id="33"/>
      <w:r>
        <w:rPr>
          <w:rFonts w:hint="eastAsia" w:ascii="宋体" w:hAnsi="宋体" w:cs="宋体"/>
          <w:bCs/>
          <w:sz w:val="28"/>
          <w:szCs w:val="28"/>
          <w:u w:val="single"/>
        </w:rPr>
        <w:t xml:space="preserve">       </w:t>
      </w:r>
    </w:p>
    <w:p>
      <w:pPr>
        <w:pStyle w:val="27"/>
        <w:spacing w:line="360" w:lineRule="auto"/>
        <w:rPr>
          <w:rFonts w:hAnsi="宋体" w:cs="宋体"/>
          <w:b/>
          <w:bCs/>
          <w:color w:val="000000"/>
          <w:sz w:val="28"/>
          <w:szCs w:val="28"/>
        </w:rPr>
      </w:pPr>
      <w:bookmarkStart w:id="34" w:name="_Toc32056_WPSOffice_Level2"/>
      <w:bookmarkStart w:id="35" w:name="_Toc9622_WPSOffice_Level2"/>
      <w:r>
        <w:rPr>
          <w:rFonts w:hint="eastAsia" w:hAnsi="宋体" w:cs="宋体"/>
          <w:b/>
          <w:bCs/>
          <w:color w:val="000000"/>
          <w:sz w:val="28"/>
          <w:szCs w:val="28"/>
        </w:rPr>
        <w:t>法定代表人、负责人、自然人或相应的委托代理人签字[或盖章(CA签章)]</w:t>
      </w:r>
    </w:p>
    <w:p>
      <w:pPr>
        <w:pStyle w:val="3"/>
        <w:spacing w:line="360" w:lineRule="auto"/>
        <w:ind w:left="562" w:hanging="562" w:hangingChars="200"/>
        <w:rPr>
          <w:rFonts w:ascii="宋体" w:hAnsi="宋体" w:cs="宋体"/>
          <w:sz w:val="28"/>
          <w:szCs w:val="28"/>
          <w:u w:val="single"/>
        </w:rPr>
      </w:pPr>
      <w:r>
        <w:rPr>
          <w:rFonts w:hint="eastAsia" w:ascii="宋体" w:hAnsi="宋体" w:cs="宋体"/>
          <w:b/>
          <w:bCs/>
          <w:sz w:val="28"/>
          <w:szCs w:val="28"/>
        </w:rPr>
        <w:t>（属自然人的应在签名处加盖大拇指指印或个人CA签章）：</w:t>
      </w:r>
      <w:r>
        <w:rPr>
          <w:rFonts w:hint="eastAsia" w:ascii="宋体" w:hAnsi="宋体" w:cs="宋体"/>
          <w:sz w:val="28"/>
          <w:szCs w:val="28"/>
          <w:u w:val="single"/>
        </w:rPr>
        <w:t xml:space="preserve">              </w:t>
      </w:r>
    </w:p>
    <w:bookmarkEnd w:id="34"/>
    <w:bookmarkEnd w:id="35"/>
    <w:p>
      <w:pPr>
        <w:pStyle w:val="3"/>
        <w:spacing w:line="360" w:lineRule="auto"/>
        <w:ind w:left="562" w:hanging="562" w:hangingChars="200"/>
        <w:rPr>
          <w:rFonts w:ascii="宋体" w:hAnsi="宋体" w:cs="宋体"/>
          <w:bCs/>
          <w:sz w:val="28"/>
          <w:szCs w:val="28"/>
        </w:rPr>
      </w:pPr>
      <w:bookmarkStart w:id="36" w:name="_Toc26465_WPSOffice_Level2"/>
      <w:bookmarkStart w:id="37" w:name="_Toc15933_WPSOffice_Level2"/>
      <w:r>
        <w:rPr>
          <w:rFonts w:hint="eastAsia" w:ascii="宋体" w:hAnsi="宋体" w:cs="宋体"/>
          <w:b/>
          <w:sz w:val="28"/>
          <w:szCs w:val="28"/>
        </w:rPr>
        <w:t>日期：</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bookmarkEnd w:id="36"/>
      <w:bookmarkEnd w:id="37"/>
    </w:p>
    <w:p>
      <w:pPr>
        <w:rPr>
          <w:b/>
          <w:bCs/>
          <w:sz w:val="30"/>
          <w:szCs w:val="30"/>
        </w:rPr>
      </w:pPr>
    </w:p>
    <w:p>
      <w:pPr>
        <w:rPr>
          <w:b/>
          <w:bCs/>
          <w:sz w:val="30"/>
          <w:szCs w:val="30"/>
        </w:rPr>
      </w:pPr>
      <w:r>
        <w:rPr>
          <w:rFonts w:hint="eastAsia"/>
          <w:b/>
          <w:bCs/>
          <w:sz w:val="30"/>
          <w:szCs w:val="30"/>
        </w:rPr>
        <w:br w:type="page"/>
      </w:r>
    </w:p>
    <w:p>
      <w:pPr>
        <w:jc w:val="center"/>
        <w:rPr>
          <w:b/>
          <w:bCs/>
          <w:sz w:val="32"/>
          <w:szCs w:val="40"/>
          <w:highlight w:val="none"/>
        </w:rPr>
      </w:pPr>
      <w:r>
        <w:rPr>
          <w:rFonts w:hint="eastAsia"/>
          <w:b/>
          <w:bCs/>
          <w:sz w:val="30"/>
          <w:szCs w:val="30"/>
          <w:highlight w:val="none"/>
        </w:rPr>
        <w:t>投标文件目录</w:t>
      </w:r>
    </w:p>
    <w:p>
      <w:pPr>
        <w:pStyle w:val="27"/>
        <w:spacing w:line="360" w:lineRule="auto"/>
        <w:ind w:firstLine="482" w:firstLineChars="200"/>
        <w:rPr>
          <w:rFonts w:hint="eastAsia" w:hAnsi="宋体" w:cs="宋体"/>
          <w:b/>
          <w:sz w:val="24"/>
          <w:szCs w:val="24"/>
          <w:lang w:val="en-US" w:eastAsia="zh-CN"/>
        </w:rPr>
      </w:pPr>
    </w:p>
    <w:p>
      <w:pPr>
        <w:pStyle w:val="27"/>
        <w:spacing w:line="360" w:lineRule="auto"/>
        <w:ind w:firstLine="422" w:firstLineChars="200"/>
        <w:rPr>
          <w:rFonts w:hAnsi="宋体" w:cs="宋体"/>
          <w:b/>
          <w:sz w:val="21"/>
          <w:szCs w:val="21"/>
        </w:rPr>
      </w:pPr>
      <w:r>
        <w:rPr>
          <w:rFonts w:hint="eastAsia" w:hAnsi="宋体" w:cs="宋体"/>
          <w:b/>
          <w:sz w:val="21"/>
          <w:szCs w:val="21"/>
          <w:lang w:val="en-US" w:eastAsia="zh-CN"/>
        </w:rPr>
        <w:t>一</w:t>
      </w:r>
      <w:r>
        <w:rPr>
          <w:rFonts w:hint="eastAsia" w:hAnsi="宋体" w:cs="宋体"/>
          <w:b/>
          <w:sz w:val="21"/>
          <w:szCs w:val="21"/>
        </w:rPr>
        <w:t>、资格性响应证明材料：</w:t>
      </w:r>
    </w:p>
    <w:p>
      <w:pPr>
        <w:pStyle w:val="27"/>
        <w:spacing w:line="360" w:lineRule="auto"/>
        <w:ind w:left="523" w:leftChars="249" w:firstLine="210" w:firstLineChars="100"/>
        <w:rPr>
          <w:rFonts w:hAnsi="宋体" w:cs="宋体"/>
          <w:bCs/>
          <w:sz w:val="21"/>
          <w:szCs w:val="21"/>
        </w:rPr>
      </w:pPr>
      <w:r>
        <w:rPr>
          <w:rFonts w:hint="eastAsia" w:hAnsi="宋体" w:cs="宋体"/>
          <w:bCs/>
          <w:sz w:val="21"/>
          <w:szCs w:val="21"/>
        </w:rPr>
        <w:t>1.投标人的法定代表人、负责人、自然人身份证正反两面复印件</w:t>
      </w:r>
      <w:r>
        <w:rPr>
          <w:rFonts w:hint="eastAsia" w:hAnsi="宋体" w:cs="宋体"/>
          <w:b/>
          <w:sz w:val="21"/>
          <w:szCs w:val="21"/>
        </w:rPr>
        <w:t xml:space="preserve">（必须提供）； </w:t>
      </w:r>
    </w:p>
    <w:p>
      <w:pPr>
        <w:pStyle w:val="27"/>
        <w:spacing w:line="360" w:lineRule="auto"/>
        <w:ind w:left="523" w:leftChars="249" w:firstLine="210" w:firstLineChars="100"/>
        <w:rPr>
          <w:rFonts w:hint="eastAsia" w:hAnsi="宋体" w:cs="宋体"/>
          <w:b/>
          <w:sz w:val="21"/>
          <w:szCs w:val="21"/>
          <w:highlight w:val="none"/>
        </w:rPr>
      </w:pPr>
      <w:r>
        <w:rPr>
          <w:rFonts w:hint="eastAsia" w:hAnsi="宋体" w:cs="宋体"/>
          <w:bCs/>
          <w:sz w:val="21"/>
          <w:szCs w:val="21"/>
        </w:rPr>
        <w:t>2.</w:t>
      </w:r>
      <w:r>
        <w:rPr>
          <w:rFonts w:hint="eastAsia" w:hAnsi="宋体" w:cs="宋体"/>
          <w:sz w:val="21"/>
          <w:szCs w:val="21"/>
        </w:rPr>
        <w:t>投标人的授权委托书原件、委托代理人身份证正反面复印</w:t>
      </w:r>
      <w:r>
        <w:rPr>
          <w:rFonts w:hint="eastAsia" w:hAnsi="宋体" w:cs="宋体"/>
          <w:sz w:val="21"/>
          <w:szCs w:val="21"/>
          <w:highlight w:val="none"/>
        </w:rPr>
        <w:t>件以及由县级以上（含县级）社会养老保险经办机构出具的投标人为委托代理人交纳的开标截止时间前半年内任意连续三个月社保证明复印件</w:t>
      </w:r>
      <w:r>
        <w:rPr>
          <w:rFonts w:hint="eastAsia" w:hAnsi="宋体" w:cs="宋体"/>
          <w:b/>
          <w:bCs/>
          <w:sz w:val="21"/>
          <w:szCs w:val="21"/>
          <w:highlight w:val="none"/>
        </w:rPr>
        <w:t>（委托代理时必须提供）</w:t>
      </w:r>
      <w:r>
        <w:rPr>
          <w:rFonts w:hint="eastAsia" w:hAnsi="宋体" w:cs="宋体"/>
          <w:b/>
          <w:sz w:val="21"/>
          <w:szCs w:val="21"/>
          <w:highlight w:val="none"/>
        </w:rPr>
        <w:t>；</w:t>
      </w:r>
    </w:p>
    <w:p>
      <w:pPr>
        <w:pStyle w:val="16"/>
        <w:spacing w:line="360" w:lineRule="auto"/>
        <w:ind w:left="422" w:leftChars="0" w:hanging="422" w:hangingChars="200"/>
        <w:rPr>
          <w:rFonts w:hint="eastAsia" w:hAnsi="宋体" w:cs="宋体"/>
          <w:b w:val="0"/>
          <w:bCs/>
          <w:sz w:val="21"/>
          <w:szCs w:val="21"/>
          <w:lang w:val="en-US" w:eastAsia="zh-CN"/>
        </w:rPr>
      </w:pPr>
      <w:r>
        <w:rPr>
          <w:rFonts w:hint="eastAsia" w:hAnsi="宋体" w:cs="宋体"/>
          <w:b/>
          <w:sz w:val="21"/>
          <w:szCs w:val="21"/>
          <w:lang w:val="en-US" w:eastAsia="zh-CN"/>
        </w:rPr>
        <w:t xml:space="preserve">        注：</w:t>
      </w:r>
      <w:r>
        <w:rPr>
          <w:rFonts w:hint="eastAsia" w:ascii="微软雅黑" w:hAnsi="微软雅黑" w:eastAsia="微软雅黑" w:cs="微软雅黑"/>
          <w:b w:val="0"/>
          <w:bCs/>
          <w:sz w:val="21"/>
          <w:szCs w:val="21"/>
          <w:lang w:val="en-US" w:eastAsia="zh-CN"/>
        </w:rPr>
        <w:t>①</w:t>
      </w:r>
      <w:r>
        <w:rPr>
          <w:rFonts w:hint="eastAsia" w:hAnsi="宋体" w:cs="宋体"/>
          <w:b w:val="0"/>
          <w:bCs/>
          <w:sz w:val="21"/>
          <w:szCs w:val="21"/>
          <w:lang w:val="en-US" w:eastAsia="zh-CN"/>
        </w:rPr>
        <w:t>如投标人为截标时间前60日以内成立的公司，可以提供投标人与委托代理人签订的劳动合同复印件代替社保证明复印件；</w:t>
      </w:r>
    </w:p>
    <w:p>
      <w:pPr>
        <w:pStyle w:val="16"/>
        <w:spacing w:line="360" w:lineRule="auto"/>
        <w:ind w:left="420" w:leftChars="200" w:firstLine="420" w:firstLineChars="200"/>
        <w:rPr>
          <w:rFonts w:hint="eastAsia" w:hAnsi="宋体" w:cs="宋体"/>
          <w:b w:val="0"/>
          <w:bCs/>
          <w:sz w:val="21"/>
          <w:szCs w:val="21"/>
          <w:lang w:val="en-US" w:eastAsia="zh-CN"/>
        </w:rPr>
      </w:pPr>
      <w:r>
        <w:rPr>
          <w:rFonts w:hint="eastAsia" w:ascii="微软雅黑" w:hAnsi="微软雅黑" w:eastAsia="微软雅黑" w:cs="微软雅黑"/>
          <w:b w:val="0"/>
          <w:bCs/>
          <w:sz w:val="21"/>
          <w:szCs w:val="21"/>
          <w:lang w:val="en-US" w:eastAsia="zh-CN"/>
        </w:rPr>
        <w:t>②</w:t>
      </w:r>
      <w:r>
        <w:rPr>
          <w:rFonts w:hint="eastAsia" w:hAnsi="宋体" w:cs="宋体"/>
          <w:b w:val="0"/>
          <w:bCs/>
          <w:sz w:val="21"/>
          <w:szCs w:val="21"/>
          <w:lang w:val="en-US" w:eastAsia="zh-CN"/>
        </w:rPr>
        <w:t>如投标人为事业单位，可以提供事业单位机构编制管理证复印件或事业单位机构为其发放工资的工资条复印件代替社保证明复印件；</w:t>
      </w:r>
    </w:p>
    <w:p>
      <w:pPr>
        <w:pStyle w:val="16"/>
        <w:spacing w:line="360" w:lineRule="auto"/>
        <w:ind w:left="420" w:leftChars="200" w:firstLine="420" w:firstLineChars="200"/>
        <w:rPr>
          <w:rFonts w:hint="eastAsia" w:hAnsi="宋体" w:cs="宋体"/>
          <w:b w:val="0"/>
          <w:bCs/>
          <w:sz w:val="21"/>
          <w:szCs w:val="21"/>
          <w:lang w:val="en-US" w:eastAsia="zh-CN"/>
        </w:rPr>
      </w:pPr>
      <w:r>
        <w:rPr>
          <w:rFonts w:hint="eastAsia" w:ascii="微软雅黑" w:hAnsi="微软雅黑" w:eastAsia="微软雅黑" w:cs="微软雅黑"/>
          <w:b w:val="0"/>
          <w:bCs/>
          <w:sz w:val="21"/>
          <w:szCs w:val="21"/>
          <w:lang w:val="en-US" w:eastAsia="zh-CN"/>
        </w:rPr>
        <w:t>③</w:t>
      </w:r>
      <w:r>
        <w:rPr>
          <w:rFonts w:hint="eastAsia" w:hAnsi="宋体" w:cs="宋体"/>
          <w:b w:val="0"/>
          <w:bCs/>
          <w:sz w:val="21"/>
          <w:szCs w:val="21"/>
          <w:lang w:val="en-US" w:eastAsia="zh-CN"/>
        </w:rPr>
        <w:t>如委托代理人为免缴纳社保人员，提供免缴纳社保的证明材料复印件及投标人与委托代理人签订的劳动合同复印件代替社保证明复印件）。</w:t>
      </w:r>
    </w:p>
    <w:p>
      <w:pPr>
        <w:pStyle w:val="16"/>
        <w:spacing w:line="360" w:lineRule="auto"/>
        <w:ind w:left="420" w:leftChars="200" w:firstLine="422" w:firstLineChars="200"/>
        <w:rPr>
          <w:rFonts w:hint="default" w:eastAsia="宋体"/>
          <w:b w:val="0"/>
          <w:bCs/>
          <w:lang w:val="en-US" w:eastAsia="zh-CN"/>
        </w:rPr>
      </w:pPr>
      <w:r>
        <w:rPr>
          <w:rFonts w:hint="eastAsia" w:hAnsi="宋体" w:cs="宋体"/>
          <w:b/>
          <w:bCs w:val="0"/>
          <w:sz w:val="21"/>
          <w:szCs w:val="21"/>
          <w:lang w:val="en-US" w:eastAsia="zh-CN"/>
        </w:rPr>
        <w:t>【自然人投标的应提供由县级以上（含县级）社会养老保险经办机构出具的自然人本人及委托代理人所交纳的开标截止时间前半年内任意连续三个月社保证明复印件】。</w:t>
      </w:r>
    </w:p>
    <w:p>
      <w:pPr>
        <w:pStyle w:val="27"/>
        <w:spacing w:line="360" w:lineRule="auto"/>
        <w:ind w:left="622" w:leftChars="296" w:firstLine="109" w:firstLineChars="52"/>
        <w:rPr>
          <w:rFonts w:hAnsi="宋体" w:cs="宋体"/>
          <w:bCs/>
          <w:sz w:val="21"/>
          <w:szCs w:val="21"/>
        </w:rPr>
      </w:pPr>
      <w:r>
        <w:rPr>
          <w:rFonts w:hint="eastAsia" w:hAnsi="宋体" w:cs="宋体"/>
          <w:bCs/>
          <w:sz w:val="21"/>
          <w:szCs w:val="21"/>
        </w:rPr>
        <w:t>3.投标人参加政府采购活动前3年内在经营活动中没有重大违法记录及有关信用信息的书面声明</w:t>
      </w:r>
      <w:r>
        <w:rPr>
          <w:rFonts w:hint="eastAsia" w:hAnsi="宋体" w:cs="宋体"/>
          <w:b/>
          <w:sz w:val="21"/>
          <w:szCs w:val="21"/>
        </w:rPr>
        <w:t>（必须提供）；</w:t>
      </w:r>
    </w:p>
    <w:p>
      <w:pPr>
        <w:tabs>
          <w:tab w:val="left" w:pos="1305"/>
        </w:tabs>
        <w:spacing w:line="360" w:lineRule="auto"/>
        <w:ind w:firstLine="630" w:firstLineChars="300"/>
        <w:rPr>
          <w:rFonts w:hint="eastAsia" w:hAnsi="宋体" w:cs="宋体"/>
          <w:b/>
          <w:szCs w:val="21"/>
        </w:rPr>
      </w:pPr>
      <w:r>
        <w:rPr>
          <w:rFonts w:hint="eastAsia" w:ascii="宋体" w:hAnsi="宋体" w:cs="宋体"/>
          <w:bCs/>
          <w:szCs w:val="21"/>
        </w:rPr>
        <w:t>4.投标人</w:t>
      </w:r>
      <w:r>
        <w:rPr>
          <w:rFonts w:hint="eastAsia" w:hAnsi="宋体" w:cs="宋体"/>
          <w:bCs/>
          <w:szCs w:val="21"/>
        </w:rPr>
        <w:t>的法人或者其他组织营业执照等证明文件</w:t>
      </w:r>
      <w:r>
        <w:rPr>
          <w:rFonts w:hint="eastAsia" w:hAnsi="宋体" w:cs="宋体"/>
          <w:b/>
          <w:szCs w:val="21"/>
        </w:rPr>
        <w:t>（必须提供，自然人除外）；</w:t>
      </w:r>
    </w:p>
    <w:p>
      <w:pPr>
        <w:pStyle w:val="27"/>
        <w:spacing w:line="360" w:lineRule="auto"/>
        <w:ind w:left="638" w:leftChars="304" w:firstLine="211" w:firstLineChars="100"/>
      </w:pPr>
      <w:r>
        <w:rPr>
          <w:rFonts w:hint="eastAsia" w:hAnsi="宋体" w:cs="宋体"/>
          <w:b/>
          <w:sz w:val="21"/>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60" w:lineRule="auto"/>
        <w:ind w:left="636" w:leftChars="303"/>
        <w:rPr>
          <w:rFonts w:ascii="宋体" w:hAnsi="宋体" w:cs="宋体"/>
          <w:szCs w:val="21"/>
          <w:highlight w:val="none"/>
        </w:rPr>
      </w:pPr>
      <w:r>
        <w:rPr>
          <w:rFonts w:hint="eastAsia" w:ascii="宋体" w:hAnsi="宋体" w:cs="宋体"/>
          <w:bCs/>
          <w:szCs w:val="21"/>
        </w:rPr>
        <w:t>5.</w:t>
      </w:r>
      <w:r>
        <w:rPr>
          <w:rFonts w:hint="eastAsia" w:ascii="宋体" w:hAnsi="宋体" w:cs="宋体"/>
          <w:bCs/>
          <w:szCs w:val="21"/>
          <w:lang w:val="en-US" w:eastAsia="zh-CN"/>
        </w:rPr>
        <w:t>投标人</w:t>
      </w:r>
      <w:r>
        <w:rPr>
          <w:rFonts w:hint="eastAsia" w:ascii="宋体" w:hAnsi="宋体" w:cs="宋体"/>
          <w:szCs w:val="21"/>
        </w:rPr>
        <w:t>按《医疗器械监督管理条例》（国务院令第 739 号）医疗器械分类管理要求具备有效的医疗器械经营备案凭证或者</w:t>
      </w:r>
      <w:r>
        <w:rPr>
          <w:rFonts w:hint="eastAsia" w:ascii="宋体" w:hAnsi="宋体" w:cs="宋体"/>
          <w:szCs w:val="21"/>
          <w:lang w:val="en-US" w:eastAsia="zh-CN"/>
        </w:rPr>
        <w:t>医疗器械</w:t>
      </w:r>
      <w:r>
        <w:rPr>
          <w:rFonts w:hint="eastAsia" w:ascii="宋体" w:hAnsi="宋体" w:cs="宋体"/>
          <w:szCs w:val="21"/>
        </w:rPr>
        <w:t>经营许可证，且经营范围必须包含采购的医疗器械标的[符合《医疗器械监督管理条例》第四十一条第二款规定的除外]；或者</w:t>
      </w:r>
      <w:r>
        <w:rPr>
          <w:rFonts w:hint="eastAsia" w:ascii="宋体" w:hAnsi="宋体" w:cs="宋体"/>
          <w:szCs w:val="21"/>
          <w:lang w:val="en-US" w:eastAsia="zh-CN"/>
        </w:rPr>
        <w:t>投标人</w:t>
      </w:r>
      <w:r>
        <w:rPr>
          <w:rFonts w:hint="eastAsia" w:ascii="宋体" w:hAnsi="宋体" w:cs="宋体"/>
          <w:szCs w:val="21"/>
        </w:rPr>
        <w:t>具有《医疗器械监督管理条例》第四十三条规定的注册人凭证的相关证明文件</w:t>
      </w:r>
      <w:r>
        <w:rPr>
          <w:rFonts w:hint="eastAsia" w:ascii="宋体" w:hAnsi="宋体" w:cs="宋体"/>
          <w:b/>
          <w:bCs/>
          <w:szCs w:val="21"/>
        </w:rPr>
        <w:t>（必须提供）</w:t>
      </w:r>
      <w:r>
        <w:rPr>
          <w:rFonts w:hint="eastAsia" w:ascii="宋体" w:hAnsi="宋体" w:cs="宋体"/>
          <w:b/>
          <w:bCs/>
          <w:szCs w:val="21"/>
          <w:highlight w:val="none"/>
        </w:rPr>
        <w:t>；</w:t>
      </w:r>
    </w:p>
    <w:p>
      <w:pPr>
        <w:pStyle w:val="201"/>
        <w:spacing w:line="360" w:lineRule="auto"/>
        <w:ind w:left="640" w:leftChars="300" w:hanging="10"/>
        <w:rPr>
          <w:szCs w:val="21"/>
        </w:rPr>
      </w:pPr>
      <w:r>
        <w:rPr>
          <w:rFonts w:hint="eastAsia" w:ascii="宋体" w:hAnsi="宋体" w:cs="宋体"/>
          <w:szCs w:val="21"/>
        </w:rPr>
        <w:t>6.</w:t>
      </w:r>
      <w:r>
        <w:rPr>
          <w:rFonts w:hint="eastAsia" w:ascii="宋体" w:hAnsi="宋体"/>
          <w:szCs w:val="21"/>
        </w:rPr>
        <w:t>投标人</w:t>
      </w:r>
      <w:r>
        <w:rPr>
          <w:rFonts w:hint="eastAsia" w:hAnsi="宋体"/>
          <w:szCs w:val="21"/>
        </w:rPr>
        <w:t>所投产品</w:t>
      </w:r>
      <w:r>
        <w:rPr>
          <w:rFonts w:hint="eastAsia" w:hAnsi="宋体"/>
          <w:szCs w:val="21"/>
          <w:lang w:val="en-US" w:eastAsia="zh-CN"/>
        </w:rPr>
        <w:t>属于医疗器械的，必须提供</w:t>
      </w:r>
      <w:r>
        <w:rPr>
          <w:rFonts w:hint="eastAsia" w:hAnsi="宋体"/>
          <w:szCs w:val="21"/>
        </w:rPr>
        <w:t>相应、有效、完整的医疗器械产品注册证复印件，要求清晰反映相关内容</w:t>
      </w:r>
      <w:r>
        <w:rPr>
          <w:rFonts w:hint="eastAsia" w:ascii="宋体" w:hAnsi="宋体"/>
          <w:b/>
          <w:szCs w:val="21"/>
        </w:rPr>
        <w:t>（必须提供）。</w:t>
      </w:r>
    </w:p>
    <w:p>
      <w:pPr>
        <w:pStyle w:val="201"/>
        <w:spacing w:line="360" w:lineRule="auto"/>
        <w:ind w:firstLine="422" w:firstLineChars="200"/>
        <w:rPr>
          <w:rFonts w:hint="eastAsia" w:ascii="宋体" w:hAnsi="宋体" w:cs="宋体"/>
          <w:b/>
          <w:szCs w:val="21"/>
        </w:rPr>
      </w:pPr>
      <w:r>
        <w:rPr>
          <w:rFonts w:hint="eastAsia" w:ascii="宋体" w:hAnsi="宋体" w:cs="宋体"/>
          <w:b/>
          <w:szCs w:val="21"/>
          <w:lang w:val="en-US" w:eastAsia="zh-CN"/>
        </w:rPr>
        <w:t>二</w:t>
      </w:r>
      <w:r>
        <w:rPr>
          <w:rFonts w:hint="eastAsia" w:ascii="宋体" w:hAnsi="宋体" w:cs="宋体"/>
          <w:b/>
          <w:szCs w:val="21"/>
        </w:rPr>
        <w:t>、</w:t>
      </w:r>
      <w:r>
        <w:rPr>
          <w:rFonts w:hint="eastAsia" w:ascii="宋体" w:hAnsi="宋体" w:cs="宋体"/>
          <w:b/>
          <w:szCs w:val="21"/>
          <w:lang w:val="en-US" w:eastAsia="zh-CN"/>
        </w:rPr>
        <w:t>符合性</w:t>
      </w:r>
      <w:r>
        <w:rPr>
          <w:rFonts w:hint="eastAsia" w:ascii="宋体" w:hAnsi="宋体" w:cs="宋体"/>
          <w:b/>
          <w:szCs w:val="21"/>
        </w:rPr>
        <w:t>响应证明材料：</w:t>
      </w:r>
    </w:p>
    <w:p>
      <w:pPr>
        <w:pStyle w:val="27"/>
        <w:spacing w:line="360" w:lineRule="auto"/>
        <w:ind w:firstLine="630" w:firstLineChars="300"/>
        <w:rPr>
          <w:rFonts w:hAnsi="宋体" w:cs="宋体"/>
          <w:b/>
          <w:sz w:val="21"/>
          <w:szCs w:val="21"/>
        </w:rPr>
      </w:pPr>
      <w:r>
        <w:rPr>
          <w:rFonts w:hint="eastAsia" w:hAnsi="宋体" w:cs="宋体"/>
          <w:bCs/>
          <w:sz w:val="21"/>
          <w:szCs w:val="21"/>
        </w:rPr>
        <w:t>1.投标函</w:t>
      </w:r>
      <w:r>
        <w:rPr>
          <w:rFonts w:hint="eastAsia" w:hAnsi="宋体" w:cs="宋体"/>
          <w:b/>
          <w:sz w:val="21"/>
          <w:szCs w:val="21"/>
        </w:rPr>
        <w:t>（必须提供）；</w:t>
      </w:r>
    </w:p>
    <w:p>
      <w:pPr>
        <w:pStyle w:val="27"/>
        <w:spacing w:line="360" w:lineRule="auto"/>
        <w:ind w:firstLine="630" w:firstLineChars="300"/>
        <w:rPr>
          <w:rFonts w:hint="eastAsia" w:ascii="宋体" w:hAnsi="宋体" w:eastAsia="宋体" w:cs="宋体"/>
          <w:b/>
          <w:szCs w:val="21"/>
          <w:lang w:eastAsia="zh-CN"/>
        </w:rPr>
      </w:pPr>
      <w:r>
        <w:rPr>
          <w:rFonts w:hint="eastAsia" w:hAnsi="宋体" w:cs="宋体"/>
          <w:bCs/>
          <w:sz w:val="21"/>
          <w:szCs w:val="21"/>
        </w:rPr>
        <w:t>2.投标报价明细表</w:t>
      </w:r>
      <w:r>
        <w:rPr>
          <w:rFonts w:hint="eastAsia" w:hAnsi="宋体" w:cs="宋体"/>
          <w:b/>
          <w:sz w:val="21"/>
          <w:szCs w:val="21"/>
        </w:rPr>
        <w:t>（必须提供）</w:t>
      </w:r>
      <w:r>
        <w:rPr>
          <w:rFonts w:hint="eastAsia" w:hAnsi="宋体" w:cs="宋体"/>
          <w:b/>
          <w:sz w:val="21"/>
          <w:szCs w:val="21"/>
          <w:lang w:eastAsia="zh-CN"/>
        </w:rPr>
        <w:t>；</w:t>
      </w:r>
    </w:p>
    <w:p>
      <w:pPr>
        <w:pStyle w:val="201"/>
        <w:spacing w:line="360" w:lineRule="auto"/>
        <w:ind w:firstLine="630" w:firstLineChars="300"/>
        <w:rPr>
          <w:rFonts w:ascii="宋体" w:hAnsi="宋体" w:cs="宋体"/>
          <w:b/>
          <w:szCs w:val="21"/>
        </w:rPr>
      </w:pPr>
      <w:r>
        <w:rPr>
          <w:rFonts w:hint="eastAsia" w:ascii="宋体" w:hAnsi="宋体" w:cs="宋体"/>
          <w:bCs/>
          <w:szCs w:val="21"/>
          <w:lang w:val="en-US" w:eastAsia="zh-CN"/>
        </w:rPr>
        <w:t>3</w:t>
      </w:r>
      <w:r>
        <w:rPr>
          <w:rFonts w:hint="eastAsia" w:ascii="宋体" w:hAnsi="宋体" w:cs="宋体"/>
          <w:bCs/>
          <w:szCs w:val="21"/>
        </w:rPr>
        <w:t>.技术规格偏离表、服务内容及要求响应表</w:t>
      </w:r>
      <w:r>
        <w:rPr>
          <w:rFonts w:hint="eastAsia" w:ascii="宋体" w:hAnsi="宋体" w:cs="宋体"/>
          <w:b/>
          <w:kern w:val="0"/>
          <w:szCs w:val="21"/>
        </w:rPr>
        <w:t>（必须提供）</w:t>
      </w:r>
      <w:r>
        <w:rPr>
          <w:rFonts w:hint="eastAsia" w:ascii="宋体" w:hAnsi="宋体" w:cs="宋体"/>
          <w:b/>
          <w:szCs w:val="21"/>
        </w:rPr>
        <w:t>；</w:t>
      </w:r>
    </w:p>
    <w:p>
      <w:pPr>
        <w:pStyle w:val="201"/>
        <w:spacing w:line="360" w:lineRule="auto"/>
        <w:ind w:left="640" w:leftChars="300" w:hanging="10"/>
        <w:rPr>
          <w:rFonts w:hint="eastAsia" w:ascii="宋体" w:hAnsi="宋体" w:cs="宋体"/>
          <w:b/>
          <w:szCs w:val="21"/>
        </w:rPr>
      </w:pPr>
      <w:r>
        <w:rPr>
          <w:rFonts w:hint="eastAsia" w:ascii="宋体" w:hAnsi="宋体" w:cs="宋体"/>
          <w:bCs/>
          <w:szCs w:val="21"/>
          <w:lang w:val="en-US" w:eastAsia="zh-CN"/>
        </w:rPr>
        <w:t>4</w:t>
      </w:r>
      <w:r>
        <w:rPr>
          <w:rFonts w:hint="eastAsia" w:ascii="宋体" w:hAnsi="宋体" w:cs="宋体"/>
          <w:bCs/>
          <w:szCs w:val="21"/>
        </w:rPr>
        <w:t>.投标人的售后服务承诺书（含交付使用期、免费保修期、技术服务、技术培训、售后服务的内容和措施等）</w:t>
      </w:r>
      <w:r>
        <w:rPr>
          <w:rFonts w:hint="eastAsia" w:ascii="宋体" w:hAnsi="宋体" w:cs="宋体"/>
          <w:b/>
          <w:szCs w:val="21"/>
        </w:rPr>
        <w:t>（必须提供）；</w:t>
      </w:r>
    </w:p>
    <w:p>
      <w:pPr>
        <w:pStyle w:val="201"/>
        <w:spacing w:line="360" w:lineRule="auto"/>
        <w:ind w:firstLine="422" w:firstLineChars="200"/>
        <w:rPr>
          <w:rFonts w:hint="eastAsia" w:ascii="宋体" w:hAnsi="宋体" w:cs="宋体"/>
          <w:b/>
          <w:szCs w:val="21"/>
        </w:rPr>
      </w:pPr>
      <w:r>
        <w:rPr>
          <w:rFonts w:hint="eastAsia" w:ascii="宋体" w:hAnsi="宋体" w:cs="宋体"/>
          <w:b/>
          <w:szCs w:val="21"/>
          <w:lang w:val="en-US" w:eastAsia="zh-CN"/>
        </w:rPr>
        <w:t>三</w:t>
      </w:r>
      <w:r>
        <w:rPr>
          <w:rFonts w:hint="eastAsia" w:ascii="宋体" w:hAnsi="宋体" w:cs="宋体"/>
          <w:b/>
          <w:szCs w:val="21"/>
        </w:rPr>
        <w:t>、</w:t>
      </w:r>
      <w:r>
        <w:rPr>
          <w:rFonts w:hint="eastAsia" w:ascii="宋体" w:hAnsi="宋体" w:cs="宋体"/>
          <w:b/>
          <w:szCs w:val="21"/>
          <w:lang w:val="en-US" w:eastAsia="zh-CN"/>
        </w:rPr>
        <w:t>其他有效</w:t>
      </w:r>
      <w:r>
        <w:rPr>
          <w:rFonts w:hint="eastAsia" w:ascii="宋体" w:hAnsi="宋体" w:cs="宋体"/>
          <w:b/>
          <w:szCs w:val="21"/>
        </w:rPr>
        <w:t>证明材料：</w:t>
      </w:r>
    </w:p>
    <w:p>
      <w:pPr>
        <w:pStyle w:val="201"/>
        <w:spacing w:line="360" w:lineRule="auto"/>
        <w:ind w:left="640" w:leftChars="300" w:hanging="10"/>
        <w:rPr>
          <w:rFonts w:hint="eastAsia" w:ascii="宋体" w:hAnsi="宋体" w:cs="宋体"/>
          <w:b/>
          <w:szCs w:val="21"/>
          <w:highlight w:val="none"/>
        </w:rPr>
      </w:pPr>
      <w:r>
        <w:rPr>
          <w:rFonts w:hint="eastAsia" w:ascii="宋体" w:hAnsi="宋体" w:cs="宋体"/>
          <w:bCs/>
          <w:szCs w:val="21"/>
          <w:highlight w:val="none"/>
          <w:lang w:val="en-US" w:eastAsia="zh-CN"/>
        </w:rPr>
        <w:t>1</w:t>
      </w:r>
      <w:r>
        <w:rPr>
          <w:rFonts w:hint="eastAsia" w:ascii="宋体" w:hAnsi="宋体" w:cs="宋体"/>
          <w:bCs/>
          <w:szCs w:val="21"/>
          <w:highlight w:val="none"/>
        </w:rPr>
        <w:t>.</w:t>
      </w:r>
      <w:r>
        <w:rPr>
          <w:rFonts w:hint="eastAsia" w:ascii="宋体" w:hAnsi="宋体" w:cs="宋体"/>
          <w:bCs/>
          <w:szCs w:val="21"/>
          <w:highlight w:val="none"/>
          <w:lang w:val="en-US" w:eastAsia="zh-CN"/>
        </w:rPr>
        <w:t>售后服务</w:t>
      </w:r>
      <w:r>
        <w:rPr>
          <w:rFonts w:hint="eastAsia"/>
          <w:szCs w:val="21"/>
          <w:highlight w:val="none"/>
        </w:rPr>
        <w:t>方案</w:t>
      </w:r>
      <w:r>
        <w:rPr>
          <w:rFonts w:hint="eastAsia"/>
          <w:b/>
          <w:bCs/>
          <w:szCs w:val="21"/>
          <w:highlight w:val="none"/>
        </w:rPr>
        <w:t>（</w:t>
      </w:r>
      <w:r>
        <w:rPr>
          <w:rFonts w:hint="eastAsia" w:ascii="宋体" w:hAnsi="宋体" w:cs="宋体"/>
          <w:b/>
          <w:bCs/>
          <w:szCs w:val="21"/>
        </w:rPr>
        <w:t>如有，请提供</w:t>
      </w:r>
      <w:r>
        <w:rPr>
          <w:rFonts w:hint="eastAsia"/>
          <w:b/>
          <w:bCs/>
          <w:szCs w:val="21"/>
          <w:highlight w:val="none"/>
        </w:rPr>
        <w:t>）；</w:t>
      </w:r>
    </w:p>
    <w:p>
      <w:pPr>
        <w:snapToGrid w:val="0"/>
        <w:spacing w:line="360" w:lineRule="auto"/>
        <w:ind w:firstLine="630" w:firstLineChars="300"/>
        <w:outlineLvl w:val="4"/>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节能方面的证书复印件</w:t>
      </w:r>
      <w:r>
        <w:rPr>
          <w:rFonts w:hint="eastAsia" w:ascii="宋体" w:hAnsi="宋体" w:cs="宋体"/>
          <w:b/>
          <w:szCs w:val="21"/>
        </w:rPr>
        <w:t>（如有，请提供）；</w:t>
      </w:r>
    </w:p>
    <w:p>
      <w:pPr>
        <w:snapToGrid w:val="0"/>
        <w:spacing w:line="360" w:lineRule="auto"/>
        <w:ind w:firstLine="630" w:firstLineChars="300"/>
        <w:outlineLvl w:val="4"/>
        <w:rPr>
          <w:rFonts w:ascii="宋体" w:hAnsi="宋体" w:cs="宋体"/>
          <w:b/>
          <w:szCs w:val="21"/>
        </w:rPr>
      </w:pPr>
      <w:r>
        <w:rPr>
          <w:rFonts w:hint="eastAsia" w:ascii="宋体" w:hAnsi="宋体" w:cs="宋体"/>
          <w:szCs w:val="21"/>
          <w:lang w:val="en-US" w:eastAsia="zh-CN"/>
        </w:rPr>
        <w:t>3.</w:t>
      </w:r>
      <w:r>
        <w:rPr>
          <w:rFonts w:hint="eastAsia" w:ascii="宋体" w:hAnsi="宋体" w:cs="宋体"/>
          <w:szCs w:val="21"/>
        </w:rPr>
        <w:t>环保方面的证书复印件</w:t>
      </w:r>
      <w:r>
        <w:rPr>
          <w:rFonts w:hint="eastAsia" w:ascii="宋体" w:hAnsi="宋体" w:cs="宋体"/>
          <w:b/>
          <w:szCs w:val="21"/>
        </w:rPr>
        <w:t>（如有，请提供）；</w:t>
      </w:r>
    </w:p>
    <w:p>
      <w:pPr>
        <w:tabs>
          <w:tab w:val="left" w:pos="1305"/>
        </w:tabs>
        <w:spacing w:line="360" w:lineRule="auto"/>
        <w:ind w:firstLine="630" w:firstLineChars="3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投标人为生产厂家的，投标人的生产制造设备清单及专业技术能力说明</w:t>
      </w:r>
      <w:r>
        <w:rPr>
          <w:rFonts w:hint="eastAsia" w:ascii="宋体" w:hAnsi="宋体" w:cs="宋体"/>
          <w:b/>
          <w:bCs/>
          <w:szCs w:val="21"/>
        </w:rPr>
        <w:t>（如有，请提供）；</w:t>
      </w:r>
    </w:p>
    <w:p>
      <w:pPr>
        <w:tabs>
          <w:tab w:val="left" w:pos="1305"/>
        </w:tabs>
        <w:spacing w:line="360" w:lineRule="auto"/>
        <w:ind w:firstLine="630" w:firstLineChars="300"/>
        <w:rPr>
          <w:rFonts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投标人</w:t>
      </w:r>
      <w:r>
        <w:rPr>
          <w:rFonts w:hint="eastAsia" w:ascii="宋体" w:hAnsi="宋体" w:cs="宋体"/>
          <w:kern w:val="0"/>
          <w:szCs w:val="21"/>
          <w:lang w:val="en-US" w:eastAsia="zh-CN"/>
        </w:rPr>
        <w:t>或其投标产品生产厂家</w:t>
      </w:r>
      <w:r>
        <w:rPr>
          <w:rFonts w:hint="eastAsia" w:ascii="宋体" w:hAnsi="宋体" w:cs="宋体"/>
          <w:kern w:val="0"/>
          <w:szCs w:val="21"/>
        </w:rPr>
        <w:t>相关获奖证书、认证证书等复印件</w:t>
      </w:r>
      <w:r>
        <w:rPr>
          <w:rFonts w:hint="eastAsia" w:ascii="宋体" w:hAnsi="宋体" w:cs="宋体"/>
          <w:b/>
          <w:kern w:val="0"/>
          <w:szCs w:val="21"/>
        </w:rPr>
        <w:t>（如有，请提供）；</w:t>
      </w:r>
    </w:p>
    <w:p>
      <w:pPr>
        <w:tabs>
          <w:tab w:val="left" w:pos="1305"/>
        </w:tabs>
        <w:spacing w:line="360" w:lineRule="auto"/>
        <w:ind w:firstLine="630" w:firstLineChars="3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其他有效证明文件的复印件（如产品属于小型、微型企业的，如实提供中小企业声明函）</w:t>
      </w:r>
      <w:r>
        <w:rPr>
          <w:rFonts w:hint="eastAsia" w:ascii="宋体" w:hAnsi="宋体" w:cs="宋体"/>
          <w:b/>
          <w:bCs/>
          <w:szCs w:val="21"/>
        </w:rPr>
        <w:t>（如有，请提供）；</w:t>
      </w:r>
    </w:p>
    <w:p>
      <w:pPr>
        <w:snapToGrid w:val="0"/>
        <w:spacing w:line="360" w:lineRule="auto"/>
        <w:ind w:firstLine="630" w:firstLineChars="300"/>
        <w:outlineLvl w:val="4"/>
        <w:rPr>
          <w:rFonts w:ascii="宋体" w:hAnsi="宋体" w:cs="宋体"/>
          <w:kern w:val="0"/>
          <w:szCs w:val="21"/>
        </w:rPr>
      </w:pPr>
      <w:r>
        <w:rPr>
          <w:rFonts w:hint="eastAsia" w:ascii="宋体" w:hAnsi="宋体" w:cs="宋体"/>
          <w:szCs w:val="21"/>
          <w:lang w:val="en-US" w:eastAsia="zh-CN"/>
        </w:rPr>
        <w:t>7.</w:t>
      </w:r>
      <w:r>
        <w:rPr>
          <w:rFonts w:hint="eastAsia" w:ascii="宋体" w:hAnsi="宋体" w:cs="宋体"/>
          <w:szCs w:val="21"/>
        </w:rPr>
        <w:t>符合条件的残疾人福利性单位在参加政府采购活动时，应当提供《残疾人福利性单位声明函》（见附件），并对声明的真实性负责</w:t>
      </w:r>
      <w:r>
        <w:rPr>
          <w:rFonts w:hint="eastAsia" w:ascii="宋体" w:hAnsi="宋体" w:cs="宋体"/>
          <w:b/>
          <w:kern w:val="0"/>
          <w:szCs w:val="21"/>
        </w:rPr>
        <w:t>（如有，请提供）；</w:t>
      </w:r>
    </w:p>
    <w:p>
      <w:pPr>
        <w:snapToGrid w:val="0"/>
        <w:spacing w:line="360" w:lineRule="auto"/>
        <w:ind w:firstLine="630" w:firstLineChars="300"/>
        <w:outlineLvl w:val="4"/>
        <w:rPr>
          <w:rFonts w:ascii="宋体" w:hAnsi="宋体" w:cs="宋体"/>
          <w:b/>
          <w:kern w:val="0"/>
          <w:szCs w:val="21"/>
        </w:rPr>
      </w:pPr>
      <w:r>
        <w:rPr>
          <w:rFonts w:hint="eastAsia" w:ascii="宋体" w:hAnsi="宋体" w:cs="宋体"/>
          <w:szCs w:val="21"/>
          <w:lang w:val="en-US" w:eastAsia="zh-CN"/>
        </w:rPr>
        <w:t>8.</w:t>
      </w:r>
      <w:r>
        <w:rPr>
          <w:rFonts w:hint="eastAsia" w:ascii="宋体" w:hAnsi="宋体"/>
          <w:szCs w:val="21"/>
        </w:rPr>
        <w:t>监狱企业的证明文件[如产品属于监狱企业的，应当提供由省级以上监狱管理局、戒毒管理局（含新疆生产建设兵团）出具的属于监狱企业的证明文件, 否则不予享受优惠政策]</w:t>
      </w:r>
      <w:r>
        <w:rPr>
          <w:rFonts w:hint="eastAsia" w:ascii="宋体" w:hAnsi="宋体" w:cs="宋体"/>
          <w:b/>
          <w:kern w:val="0"/>
          <w:szCs w:val="21"/>
        </w:rPr>
        <w:t>（如有，请提供）；</w:t>
      </w:r>
    </w:p>
    <w:p>
      <w:pPr>
        <w:snapToGrid w:val="0"/>
        <w:spacing w:line="360" w:lineRule="auto"/>
        <w:ind w:firstLine="630" w:firstLineChars="300"/>
        <w:outlineLvl w:val="4"/>
        <w:rPr>
          <w:rFonts w:ascii="宋体" w:hAnsi="宋体" w:cs="宋体"/>
          <w:b/>
          <w:kern w:val="0"/>
          <w:szCs w:val="21"/>
        </w:rPr>
      </w:pPr>
      <w:r>
        <w:rPr>
          <w:rFonts w:hint="eastAsia" w:ascii="宋体" w:hAnsi="宋体" w:cs="宋体"/>
          <w:kern w:val="0"/>
          <w:szCs w:val="21"/>
          <w:lang w:val="en-US" w:eastAsia="zh-CN"/>
        </w:rPr>
        <w:t>9.</w:t>
      </w:r>
      <w:r>
        <w:rPr>
          <w:rFonts w:hint="eastAsia" w:ascii="宋体" w:hAnsi="宋体" w:cs="宋体"/>
          <w:kern w:val="0"/>
          <w:szCs w:val="21"/>
        </w:rPr>
        <w:t>投标人可结合本项目的评标办法视自身情况自行提交相关证明材料</w:t>
      </w:r>
      <w:r>
        <w:rPr>
          <w:rFonts w:hint="eastAsia" w:ascii="宋体" w:hAnsi="宋体" w:cs="宋体"/>
          <w:b/>
          <w:kern w:val="0"/>
          <w:szCs w:val="21"/>
        </w:rPr>
        <w:t>（如有，请提供）。</w:t>
      </w:r>
    </w:p>
    <w:p>
      <w:pPr>
        <w:pStyle w:val="27"/>
        <w:spacing w:line="400" w:lineRule="exact"/>
        <w:ind w:firstLine="422" w:firstLineChars="200"/>
        <w:rPr>
          <w:rFonts w:ascii="Times New Roman" w:hAnsi="Times New Roman"/>
          <w:b/>
          <w:bCs/>
          <w:kern w:val="2"/>
          <w:sz w:val="28"/>
          <w:szCs w:val="28"/>
        </w:rPr>
      </w:pPr>
      <w:r>
        <w:rPr>
          <w:rFonts w:hint="eastAsia" w:hAnsi="宋体" w:cs="宋体"/>
          <w:b/>
          <w:kern w:val="0"/>
          <w:sz w:val="21"/>
          <w:szCs w:val="21"/>
          <w:lang w:val="en-US" w:eastAsia="zh-CN"/>
        </w:rPr>
        <w:t>注：</w:t>
      </w:r>
      <w:r>
        <w:rPr>
          <w:rFonts w:hint="eastAsia" w:ascii="宋体" w:hAnsi="宋体" w:eastAsia="宋体" w:cs="宋体"/>
          <w:b/>
          <w:kern w:val="0"/>
          <w:sz w:val="21"/>
          <w:szCs w:val="21"/>
        </w:rPr>
        <w:t>投标人提供的以上相关证明材料必须真实有效，属于“必须提供”的文件应加盖投标人CA证书签章，否则投标无效；其中“必须提供”的文件“投标文件（格式）”中有要求法定代表人(负责人、自然人)或相应的授权委托代理人在规定位置签字的，可使用法定代表人(负责人、自然人)或相应的授权委托代理人个人CA证书签章，没有办理政采云个人CA证书签章的可在投标文件中涉及到签字的位置手写签字后扫描或者拍照做成 PDF 的格式上传，无个人CA证书签章及手写签字的，投标文件按无效处理。</w:t>
      </w:r>
      <w:r>
        <w:rPr>
          <w:rFonts w:hint="eastAsia" w:ascii="宋体" w:hAnsi="宋体" w:eastAsia="宋体" w:cs="宋体"/>
          <w:b/>
          <w:sz w:val="21"/>
          <w:szCs w:val="21"/>
        </w:rPr>
        <w:br w:type="page"/>
      </w:r>
      <w:bookmarkEnd w:id="22"/>
    </w:p>
    <w:p>
      <w:pPr>
        <w:pStyle w:val="27"/>
        <w:spacing w:line="400" w:lineRule="exact"/>
        <w:rPr>
          <w:rFonts w:hAnsi="宋体"/>
          <w:b/>
          <w:sz w:val="28"/>
          <w:szCs w:val="28"/>
        </w:rPr>
      </w:pPr>
      <w:r>
        <w:rPr>
          <w:rFonts w:hint="eastAsia" w:hAnsi="宋体"/>
          <w:b/>
          <w:sz w:val="28"/>
          <w:szCs w:val="28"/>
          <w:lang w:val="en-US" w:eastAsia="zh-CN"/>
        </w:rPr>
        <w:t>一</w:t>
      </w:r>
      <w:r>
        <w:rPr>
          <w:rFonts w:hint="eastAsia" w:hAnsi="宋体"/>
          <w:b/>
          <w:sz w:val="28"/>
          <w:szCs w:val="28"/>
        </w:rPr>
        <w:t>、资格性响应证明材料（格式）</w:t>
      </w:r>
    </w:p>
    <w:p>
      <w:pPr>
        <w:pStyle w:val="27"/>
        <w:spacing w:line="400" w:lineRule="exact"/>
        <w:rPr>
          <w:rFonts w:hAnsi="宋体"/>
          <w:b/>
          <w:sz w:val="28"/>
          <w:szCs w:val="28"/>
        </w:rPr>
      </w:pPr>
    </w:p>
    <w:p>
      <w:pPr>
        <w:pStyle w:val="27"/>
        <w:spacing w:line="400" w:lineRule="exact"/>
        <w:rPr>
          <w:rFonts w:hAnsi="宋体"/>
          <w:b/>
          <w:sz w:val="21"/>
          <w:szCs w:val="21"/>
        </w:rPr>
      </w:pPr>
      <w:r>
        <w:rPr>
          <w:rFonts w:hint="eastAsia" w:hAnsi="宋体"/>
          <w:b/>
          <w:sz w:val="21"/>
          <w:szCs w:val="21"/>
        </w:rPr>
        <w:t>1.投标人相应的法定代表人、负责人、自然人身份证正反面复印件（必须提供）；</w:t>
      </w:r>
    </w:p>
    <w:p>
      <w:pPr>
        <w:pStyle w:val="27"/>
        <w:spacing w:line="400" w:lineRule="exact"/>
        <w:rPr>
          <w:rFonts w:hAnsi="宋体"/>
          <w:b/>
          <w:sz w:val="21"/>
          <w:szCs w:val="21"/>
        </w:rPr>
      </w:pPr>
    </w:p>
    <w:p>
      <w:pPr>
        <w:pStyle w:val="27"/>
        <w:spacing w:line="400" w:lineRule="exact"/>
        <w:rPr>
          <w:rFonts w:hAnsi="宋体"/>
          <w:b/>
          <w:sz w:val="21"/>
          <w:szCs w:val="21"/>
        </w:rPr>
      </w:pPr>
      <w:r>
        <w:rPr>
          <w:rFonts w:hint="eastAsia" w:hAnsi="宋体"/>
          <w:b/>
          <w:sz w:val="21"/>
          <w:szCs w:val="21"/>
          <w:highlight w:val="none"/>
        </w:rPr>
        <w:t>2.投标人的授权委托书原件、委托代理人身份证正反面复印件以及由县级以上（含县级）社会养老保险经办机构出具的投标人为委托代理人交纳的开标截止时间前半年内任意连续三个月社保证明复印件（委托代</w:t>
      </w:r>
      <w:r>
        <w:rPr>
          <w:rFonts w:hint="eastAsia" w:hAnsi="宋体"/>
          <w:b/>
          <w:sz w:val="21"/>
          <w:szCs w:val="21"/>
        </w:rPr>
        <w:t>理时必须提供）；</w:t>
      </w:r>
    </w:p>
    <w:p>
      <w:pPr>
        <w:pStyle w:val="27"/>
        <w:spacing w:line="400" w:lineRule="exact"/>
        <w:ind w:firstLine="630" w:firstLineChars="196"/>
        <w:rPr>
          <w:rFonts w:hAnsi="宋体"/>
          <w:b/>
          <w:sz w:val="32"/>
          <w:szCs w:val="32"/>
        </w:rPr>
      </w:pPr>
    </w:p>
    <w:p>
      <w:pPr>
        <w:pStyle w:val="27"/>
        <w:spacing w:line="400" w:lineRule="exact"/>
        <w:ind w:firstLine="630" w:firstLineChars="196"/>
        <w:rPr>
          <w:rFonts w:hAnsi="宋体"/>
          <w:b/>
          <w:sz w:val="32"/>
          <w:szCs w:val="32"/>
        </w:rPr>
      </w:pPr>
    </w:p>
    <w:p>
      <w:pPr>
        <w:ind w:left="3176"/>
        <w:rPr>
          <w:rFonts w:ascii="宋体" w:hAnsi="宋体" w:cs="宋体"/>
          <w:sz w:val="32"/>
          <w:szCs w:val="32"/>
        </w:rPr>
      </w:pPr>
      <w:r>
        <w:rPr>
          <w:rFonts w:ascii="宋体" w:hAnsi="宋体" w:cs="宋体"/>
          <w:b/>
          <w:bCs/>
          <w:sz w:val="28"/>
          <w:szCs w:val="28"/>
        </w:rPr>
        <w:t>授权委托书（格式一）</w:t>
      </w:r>
    </w:p>
    <w:p>
      <w:pPr>
        <w:pStyle w:val="22"/>
        <w:spacing w:before="228"/>
        <w:ind w:left="118"/>
        <w:rPr>
          <w:rFonts w:ascii="宋体" w:hAnsi="宋体" w:eastAsia="宋体" w:cs="宋体"/>
          <w:sz w:val="21"/>
          <w:szCs w:val="21"/>
        </w:rPr>
      </w:pPr>
      <w:r>
        <w:rPr>
          <w:rFonts w:hint="eastAsia" w:ascii="宋体" w:hAnsi="宋体" w:eastAsia="宋体" w:cs="宋体"/>
          <w:b/>
          <w:bCs/>
          <w:sz w:val="21"/>
          <w:szCs w:val="21"/>
        </w:rPr>
        <w:t>致</w:t>
      </w:r>
      <w:r>
        <w:rPr>
          <w:rFonts w:hint="eastAsia" w:ascii="宋体" w:hAnsi="宋体" w:eastAsia="宋体" w:cs="宋体"/>
          <w:sz w:val="21"/>
          <w:szCs w:val="21"/>
        </w:rPr>
        <w:t>：</w:t>
      </w:r>
      <w:r>
        <w:rPr>
          <w:rFonts w:hint="eastAsia" w:ascii="宋体" w:hAnsi="宋体" w:eastAsia="宋体" w:cs="宋体"/>
          <w:sz w:val="21"/>
          <w:szCs w:val="21"/>
          <w:u w:val="single" w:color="000000"/>
        </w:rPr>
        <w:t>广西万盯卯招标咨询有限公司</w:t>
      </w:r>
    </w:p>
    <w:p>
      <w:pPr>
        <w:rPr>
          <w:rFonts w:ascii="宋体" w:hAnsi="宋体" w:cs="宋体"/>
          <w:szCs w:val="21"/>
        </w:rPr>
      </w:pPr>
    </w:p>
    <w:p>
      <w:pPr>
        <w:spacing w:before="4"/>
        <w:rPr>
          <w:rFonts w:ascii="宋体" w:hAnsi="宋体" w:cs="宋体"/>
          <w:szCs w:val="21"/>
        </w:rPr>
      </w:pPr>
    </w:p>
    <w:p>
      <w:pPr>
        <w:pStyle w:val="22"/>
        <w:tabs>
          <w:tab w:val="left" w:pos="2343"/>
          <w:tab w:val="left" w:pos="5350"/>
          <w:tab w:val="left" w:pos="6589"/>
          <w:tab w:val="left" w:pos="8495"/>
        </w:tabs>
        <w:spacing w:before="36" w:line="350" w:lineRule="auto"/>
        <w:ind w:left="118" w:right="117" w:firstLine="525"/>
        <w:rPr>
          <w:rFonts w:ascii="宋体" w:hAnsi="宋体" w:eastAsia="宋体" w:cs="宋体"/>
          <w:sz w:val="21"/>
          <w:szCs w:val="21"/>
        </w:rPr>
      </w:pPr>
      <w:r>
        <w:rPr>
          <w:rFonts w:hint="eastAsia" w:ascii="宋体" w:hAnsi="宋体" w:eastAsia="宋体" w:cs="宋体"/>
          <w:sz w:val="21"/>
          <w:szCs w:val="21"/>
        </w:rPr>
        <w:t>我</w:t>
      </w:r>
      <w:r>
        <w:rPr>
          <w:rFonts w:hint="eastAsia" w:ascii="宋体" w:hAnsi="宋体" w:eastAsia="宋体" w:cs="宋体"/>
          <w:sz w:val="21"/>
          <w:szCs w:val="21"/>
          <w:u w:val="single" w:color="000000"/>
        </w:rPr>
        <w:tab/>
      </w:r>
      <w:r>
        <w:rPr>
          <w:rFonts w:hint="eastAsia" w:ascii="宋体" w:hAnsi="宋体" w:eastAsia="宋体" w:cs="宋体"/>
          <w:sz w:val="21"/>
          <w:szCs w:val="21"/>
        </w:rPr>
        <w:t>（姓名）系</w:t>
      </w:r>
      <w:r>
        <w:rPr>
          <w:rFonts w:hint="eastAsia" w:ascii="宋体" w:hAnsi="宋体" w:eastAsia="宋体" w:cs="宋体"/>
          <w:sz w:val="21"/>
          <w:szCs w:val="21"/>
          <w:u w:val="single" w:color="000000"/>
        </w:rPr>
        <w:tab/>
      </w:r>
      <w:r>
        <w:rPr>
          <w:rFonts w:hint="eastAsia" w:ascii="宋体" w:hAnsi="宋体" w:eastAsia="宋体" w:cs="宋体"/>
          <w:sz w:val="21"/>
          <w:szCs w:val="21"/>
          <w:u w:val="single" w:color="000000"/>
        </w:rPr>
        <w:tab/>
      </w:r>
      <w:r>
        <w:rPr>
          <w:rFonts w:hint="eastAsia" w:ascii="宋体" w:hAnsi="宋体" w:eastAsia="宋体" w:cs="宋体"/>
          <w:sz w:val="21"/>
          <w:szCs w:val="21"/>
        </w:rPr>
        <w:t>（投标人名称）的法定代表</w:t>
      </w:r>
      <w:r>
        <w:rPr>
          <w:rFonts w:hint="eastAsia" w:ascii="宋体" w:hAnsi="宋体" w:eastAsia="宋体" w:cs="宋体"/>
          <w:spacing w:val="-3"/>
          <w:sz w:val="21"/>
          <w:szCs w:val="21"/>
        </w:rPr>
        <w:t>人（负责人），现授权委托本单位在职职工</w:t>
      </w:r>
      <w:r>
        <w:rPr>
          <w:rFonts w:hint="eastAsia" w:ascii="宋体" w:hAnsi="宋体" w:eastAsia="宋体" w:cs="宋体"/>
          <w:spacing w:val="-3"/>
          <w:sz w:val="21"/>
          <w:szCs w:val="21"/>
          <w:u w:val="single" w:color="000000"/>
        </w:rPr>
        <w:tab/>
      </w:r>
      <w:r>
        <w:rPr>
          <w:rFonts w:hint="eastAsia" w:ascii="宋体" w:hAnsi="宋体" w:eastAsia="宋体" w:cs="宋体"/>
          <w:spacing w:val="-2"/>
          <w:sz w:val="21"/>
          <w:szCs w:val="21"/>
        </w:rPr>
        <w:t>（姓名）以我公司名义参加</w:t>
      </w:r>
      <w:r>
        <w:rPr>
          <w:rFonts w:hint="eastAsia" w:ascii="宋体" w:hAnsi="宋体" w:eastAsia="宋体" w:cs="宋体"/>
          <w:spacing w:val="-2"/>
          <w:sz w:val="21"/>
          <w:szCs w:val="21"/>
          <w:u w:val="single" w:color="000000"/>
        </w:rPr>
        <w:tab/>
      </w:r>
      <w:r>
        <w:rPr>
          <w:rFonts w:hint="eastAsia" w:ascii="宋体" w:hAnsi="宋体" w:eastAsia="宋体" w:cs="宋体"/>
          <w:spacing w:val="-1"/>
          <w:sz w:val="21"/>
          <w:szCs w:val="21"/>
          <w:u w:val="single" w:color="000000"/>
        </w:rPr>
        <w:t>（项目</w:t>
      </w:r>
      <w:r>
        <w:rPr>
          <w:rFonts w:hint="eastAsia" w:ascii="宋体" w:hAnsi="宋体" w:eastAsia="宋体" w:cs="宋体"/>
          <w:sz w:val="21"/>
          <w:szCs w:val="21"/>
          <w:u w:val="single" w:color="000000"/>
        </w:rPr>
        <w:t xml:space="preserve">名称及项目编号） </w:t>
      </w:r>
      <w:r>
        <w:rPr>
          <w:rFonts w:hint="eastAsia" w:ascii="宋体" w:hAnsi="宋体" w:eastAsia="宋体" w:cs="宋体"/>
          <w:spacing w:val="-3"/>
          <w:sz w:val="21"/>
          <w:szCs w:val="21"/>
        </w:rPr>
        <w:t>项目的投标活动，并代表我方全权办理针对上述项目的投标、开标、评</w:t>
      </w:r>
      <w:r>
        <w:rPr>
          <w:rFonts w:hint="eastAsia" w:ascii="宋体" w:hAnsi="宋体" w:eastAsia="宋体" w:cs="宋体"/>
          <w:sz w:val="21"/>
          <w:szCs w:val="21"/>
        </w:rPr>
        <w:t>标、签约等具体事务和签署相关文件。</w:t>
      </w:r>
    </w:p>
    <w:p>
      <w:pPr>
        <w:pStyle w:val="22"/>
        <w:spacing w:before="29" w:line="350" w:lineRule="auto"/>
        <w:ind w:left="538"/>
        <w:rPr>
          <w:rFonts w:ascii="宋体" w:hAnsi="宋体" w:eastAsia="宋体" w:cs="宋体"/>
          <w:sz w:val="21"/>
          <w:szCs w:val="21"/>
        </w:rPr>
      </w:pPr>
      <w:r>
        <w:rPr>
          <w:rFonts w:hint="eastAsia" w:ascii="宋体" w:hAnsi="宋体" w:eastAsia="宋体" w:cs="宋体"/>
          <w:sz w:val="21"/>
          <w:szCs w:val="21"/>
        </w:rPr>
        <w:t xml:space="preserve">我方对被授权人的签字事项负全部责任。 </w:t>
      </w:r>
    </w:p>
    <w:p>
      <w:pPr>
        <w:pStyle w:val="22"/>
        <w:spacing w:before="29" w:line="350" w:lineRule="auto"/>
        <w:ind w:left="538"/>
        <w:rPr>
          <w:rFonts w:ascii="宋体" w:hAnsi="宋体" w:eastAsia="宋体" w:cs="宋体"/>
          <w:sz w:val="21"/>
          <w:szCs w:val="21"/>
        </w:rPr>
      </w:pPr>
      <w:r>
        <w:rPr>
          <w:rFonts w:hint="eastAsia" w:ascii="宋体" w:hAnsi="宋体" w:eastAsia="宋体" w:cs="宋体"/>
          <w:spacing w:val="-2"/>
          <w:sz w:val="21"/>
          <w:szCs w:val="21"/>
        </w:rPr>
        <w:t>授权委托代理期限：自即日起至该项目政府采购活动结束。</w:t>
      </w:r>
    </w:p>
    <w:p>
      <w:pPr>
        <w:pStyle w:val="22"/>
        <w:spacing w:before="166" w:line="698" w:lineRule="auto"/>
        <w:ind w:left="538" w:right="10"/>
        <w:rPr>
          <w:rFonts w:ascii="宋体" w:hAnsi="宋体" w:eastAsia="宋体" w:cs="宋体"/>
          <w:sz w:val="21"/>
          <w:szCs w:val="21"/>
        </w:rPr>
      </w:pPr>
      <w:r>
        <w:rPr>
          <w:rFonts w:hint="eastAsia" w:ascii="宋体" w:hAnsi="宋体" w:eastAsia="宋体" w:cs="宋体"/>
          <w:spacing w:val="-2"/>
          <w:sz w:val="21"/>
          <w:szCs w:val="21"/>
        </w:rPr>
        <w:t>代理人无转委托权，特此委托。</w:t>
      </w:r>
      <w:r>
        <w:rPr>
          <w:rFonts w:hint="eastAsia" w:ascii="宋体" w:hAnsi="宋体" w:eastAsia="宋体" w:cs="宋体"/>
          <w:sz w:val="21"/>
          <w:szCs w:val="21"/>
        </w:rPr>
        <w:t xml:space="preserve"> 我已在下面签字，以资证明。</w:t>
      </w:r>
    </w:p>
    <w:p>
      <w:pPr>
        <w:pStyle w:val="22"/>
        <w:tabs>
          <w:tab w:val="left" w:pos="5941"/>
        </w:tabs>
        <w:ind w:left="538"/>
        <w:rPr>
          <w:rFonts w:ascii="宋体" w:hAnsi="宋体" w:eastAsia="宋体" w:cs="宋体"/>
          <w:sz w:val="21"/>
          <w:szCs w:val="21"/>
        </w:rPr>
      </w:pPr>
      <w:r>
        <w:rPr>
          <w:rFonts w:hint="eastAsia" w:ascii="宋体" w:hAnsi="宋体" w:eastAsia="宋体" w:cs="宋体"/>
          <w:sz w:val="21"/>
          <w:szCs w:val="21"/>
          <w:highlight w:val="none"/>
        </w:rPr>
        <w:t>投标人（CA证书签章）：</w:t>
      </w:r>
      <w:r>
        <w:rPr>
          <w:rFonts w:hint="eastAsia" w:ascii="宋体" w:hAnsi="宋体" w:eastAsia="宋体" w:cs="宋体"/>
          <w:sz w:val="21"/>
          <w:szCs w:val="21"/>
          <w:u w:val="single" w:color="000000"/>
        </w:rPr>
        <w:tab/>
      </w:r>
    </w:p>
    <w:p>
      <w:pPr>
        <w:rPr>
          <w:rFonts w:ascii="宋体" w:hAnsi="宋体" w:cs="宋体"/>
          <w:szCs w:val="21"/>
        </w:rPr>
      </w:pPr>
    </w:p>
    <w:p>
      <w:pPr>
        <w:spacing w:before="8"/>
        <w:rPr>
          <w:rFonts w:ascii="宋体" w:hAnsi="宋体" w:cs="宋体"/>
          <w:szCs w:val="21"/>
        </w:rPr>
      </w:pPr>
    </w:p>
    <w:p>
      <w:pPr>
        <w:pStyle w:val="22"/>
        <w:tabs>
          <w:tab w:val="left" w:pos="6606"/>
          <w:tab w:val="left" w:pos="7340"/>
          <w:tab w:val="left" w:pos="8181"/>
          <w:tab w:val="left" w:pos="8913"/>
        </w:tabs>
        <w:spacing w:before="36"/>
        <w:ind w:left="538"/>
        <w:rPr>
          <w:rFonts w:ascii="宋体" w:hAnsi="宋体" w:eastAsia="宋体" w:cs="宋体"/>
          <w:sz w:val="21"/>
          <w:szCs w:val="21"/>
        </w:rPr>
      </w:pPr>
      <w:r>
        <w:rPr>
          <w:rFonts w:hint="eastAsia" w:ascii="宋体" w:hAnsi="宋体" w:eastAsia="宋体" w:cs="宋体"/>
          <w:spacing w:val="-12"/>
          <w:sz w:val="21"/>
          <w:szCs w:val="21"/>
        </w:rPr>
        <w:t>法定代表人（负责人）签字（或个人CA证书签章）：</w:t>
      </w:r>
      <w:r>
        <w:rPr>
          <w:rFonts w:hint="eastAsia" w:ascii="宋体" w:hAnsi="宋体" w:eastAsia="宋体" w:cs="宋体"/>
          <w:spacing w:val="-12"/>
          <w:sz w:val="21"/>
          <w:szCs w:val="21"/>
        </w:rPr>
        <w:tab/>
      </w:r>
      <w:r>
        <w:rPr>
          <w:rFonts w:hint="eastAsia" w:ascii="宋体" w:hAnsi="宋体" w:eastAsia="宋体" w:cs="宋体"/>
          <w:spacing w:val="-12"/>
          <w:sz w:val="21"/>
          <w:szCs w:val="21"/>
          <w:u w:val="single" w:color="000000"/>
        </w:rPr>
        <w:tab/>
      </w:r>
      <w:r>
        <w:rPr>
          <w:rFonts w:hint="eastAsia" w:ascii="宋体" w:hAnsi="宋体" w:eastAsia="宋体" w:cs="宋体"/>
          <w:sz w:val="21"/>
          <w:szCs w:val="21"/>
        </w:rPr>
        <w:t>年</w:t>
      </w:r>
      <w:r>
        <w:rPr>
          <w:rFonts w:hint="eastAsia" w:ascii="宋体" w:hAnsi="宋体" w:eastAsia="宋体" w:cs="宋体"/>
          <w:sz w:val="21"/>
          <w:szCs w:val="21"/>
          <w:u w:val="single" w:color="000000"/>
        </w:rPr>
        <w:tab/>
      </w:r>
      <w:r>
        <w:rPr>
          <w:rFonts w:hint="eastAsia" w:ascii="宋体" w:hAnsi="宋体" w:eastAsia="宋体" w:cs="宋体"/>
          <w:spacing w:val="-3"/>
          <w:sz w:val="21"/>
          <w:szCs w:val="21"/>
        </w:rPr>
        <w:t>月</w:t>
      </w:r>
      <w:r>
        <w:rPr>
          <w:rFonts w:hint="eastAsia" w:ascii="宋体" w:hAnsi="宋体" w:eastAsia="宋体" w:cs="宋体"/>
          <w:spacing w:val="-3"/>
          <w:sz w:val="21"/>
          <w:szCs w:val="21"/>
          <w:u w:val="single" w:color="000000"/>
        </w:rPr>
        <w:tab/>
      </w:r>
      <w:r>
        <w:rPr>
          <w:rFonts w:hint="eastAsia" w:ascii="宋体" w:hAnsi="宋体" w:eastAsia="宋体" w:cs="宋体"/>
          <w:sz w:val="21"/>
          <w:szCs w:val="21"/>
        </w:rPr>
        <w:t>日</w:t>
      </w:r>
    </w:p>
    <w:p>
      <w:pPr>
        <w:rPr>
          <w:rFonts w:ascii="宋体" w:hAnsi="宋体" w:cs="宋体"/>
          <w:szCs w:val="21"/>
        </w:rPr>
      </w:pPr>
    </w:p>
    <w:p>
      <w:pPr>
        <w:spacing w:before="5"/>
        <w:rPr>
          <w:rFonts w:ascii="宋体" w:hAnsi="宋体" w:cs="宋体"/>
          <w:szCs w:val="21"/>
        </w:rPr>
      </w:pPr>
    </w:p>
    <w:p>
      <w:pPr>
        <w:pStyle w:val="9"/>
        <w:spacing w:line="400" w:lineRule="exact"/>
        <w:rPr>
          <w:rFonts w:ascii="宋体" w:hAnsi="宋体" w:cs="宋体"/>
          <w:b/>
          <w:bCs/>
          <w:sz w:val="21"/>
          <w:szCs w:val="21"/>
          <w:highlight w:val="none"/>
        </w:rPr>
        <w:sectPr>
          <w:footerReference r:id="rId11" w:type="default"/>
          <w:pgSz w:w="11911" w:h="16838"/>
          <w:pgMar w:top="1083" w:right="1020" w:bottom="918" w:left="1020" w:header="0" w:footer="726" w:gutter="0"/>
          <w:cols w:space="720" w:num="1"/>
          <w:docGrid w:linePitch="1" w:charSpace="0"/>
        </w:sectPr>
      </w:pPr>
      <w:r>
        <w:rPr>
          <w:rFonts w:hint="eastAsia" w:ascii="宋体" w:hAnsi="宋体" w:cs="宋体"/>
          <w:b/>
          <w:bCs/>
          <w:sz w:val="21"/>
          <w:szCs w:val="21"/>
        </w:rPr>
        <w:t>附：委托代理人身份证正反面复</w:t>
      </w:r>
      <w:r>
        <w:rPr>
          <w:rFonts w:hint="eastAsia" w:ascii="宋体" w:hAnsi="宋体" w:cs="宋体"/>
          <w:b/>
          <w:bCs/>
          <w:sz w:val="21"/>
          <w:szCs w:val="21"/>
          <w:highlight w:val="none"/>
        </w:rPr>
        <w:t>印件以及由县级以上（含县级）社会养老保险经办机构出具的投标人为委托代理人交纳的开标截止时间前半年内任意连续三个月社保证明复印件（委托代理时必须提供）。</w:t>
      </w:r>
    </w:p>
    <w:p>
      <w:pPr>
        <w:spacing w:line="395" w:lineRule="exact"/>
        <w:jc w:val="center"/>
        <w:rPr>
          <w:rFonts w:ascii="宋体" w:hAnsi="宋体" w:cs="宋体"/>
          <w:b/>
          <w:bCs/>
          <w:sz w:val="28"/>
          <w:szCs w:val="28"/>
        </w:rPr>
      </w:pPr>
      <w:r>
        <w:rPr>
          <w:rFonts w:ascii="宋体" w:hAnsi="宋体" w:cs="宋体"/>
          <w:b/>
          <w:bCs/>
          <w:sz w:val="28"/>
          <w:szCs w:val="28"/>
        </w:rPr>
        <w:t>授权委托书（格式二）</w:t>
      </w:r>
    </w:p>
    <w:p>
      <w:pPr>
        <w:pStyle w:val="201"/>
        <w:rPr>
          <w:rFonts w:ascii="宋体" w:hAnsi="宋体" w:cs="宋体"/>
          <w:b/>
          <w:bCs/>
          <w:sz w:val="28"/>
          <w:szCs w:val="28"/>
        </w:rPr>
      </w:pPr>
    </w:p>
    <w:p>
      <w:pPr>
        <w:pStyle w:val="22"/>
        <w:spacing w:before="228"/>
        <w:ind w:left="118"/>
        <w:rPr>
          <w:rFonts w:ascii="宋体" w:hAnsi="宋体" w:eastAsia="宋体" w:cs="宋体"/>
          <w:sz w:val="21"/>
          <w:szCs w:val="21"/>
        </w:rPr>
      </w:pPr>
      <w:r>
        <w:rPr>
          <w:rFonts w:hint="eastAsia" w:ascii="宋体" w:hAnsi="宋体" w:eastAsia="宋体" w:cs="宋体"/>
          <w:b/>
          <w:bCs/>
          <w:sz w:val="21"/>
          <w:szCs w:val="21"/>
        </w:rPr>
        <w:t>致</w:t>
      </w:r>
      <w:r>
        <w:rPr>
          <w:rFonts w:hint="eastAsia" w:ascii="宋体" w:hAnsi="宋体" w:eastAsia="宋体" w:cs="宋体"/>
          <w:sz w:val="21"/>
          <w:szCs w:val="21"/>
        </w:rPr>
        <w:t>：</w:t>
      </w:r>
      <w:r>
        <w:rPr>
          <w:rFonts w:hint="eastAsia" w:ascii="宋体" w:hAnsi="宋体" w:eastAsia="宋体" w:cs="宋体"/>
          <w:sz w:val="21"/>
          <w:szCs w:val="21"/>
          <w:u w:val="single" w:color="000000"/>
        </w:rPr>
        <w:t>广西万盯卯招标咨询有限公司</w:t>
      </w:r>
    </w:p>
    <w:p>
      <w:pPr>
        <w:rPr>
          <w:rFonts w:ascii="宋体" w:hAnsi="宋体" w:cs="宋体"/>
          <w:szCs w:val="21"/>
        </w:rPr>
      </w:pPr>
    </w:p>
    <w:p>
      <w:pPr>
        <w:spacing w:before="11"/>
        <w:rPr>
          <w:rFonts w:ascii="宋体" w:hAnsi="宋体" w:cs="宋体"/>
          <w:szCs w:val="21"/>
        </w:rPr>
      </w:pPr>
    </w:p>
    <w:p>
      <w:pPr>
        <w:pStyle w:val="22"/>
        <w:tabs>
          <w:tab w:val="left" w:pos="2299"/>
          <w:tab w:val="left" w:pos="6644"/>
        </w:tabs>
        <w:spacing w:before="36" w:line="360" w:lineRule="auto"/>
        <w:ind w:left="538"/>
        <w:rPr>
          <w:rFonts w:ascii="宋体" w:hAnsi="宋体" w:eastAsia="宋体" w:cs="宋体"/>
          <w:sz w:val="21"/>
          <w:szCs w:val="21"/>
        </w:rPr>
      </w:pPr>
      <w:r>
        <w:rPr>
          <w:rFonts w:hint="eastAsia" w:ascii="宋体" w:hAnsi="宋体" w:eastAsia="宋体" w:cs="宋体"/>
          <w:spacing w:val="3"/>
          <w:sz w:val="21"/>
          <w:szCs w:val="21"/>
        </w:rPr>
        <w:t>我</w:t>
      </w:r>
      <w:r>
        <w:rPr>
          <w:rFonts w:hint="eastAsia" w:ascii="宋体" w:hAnsi="宋体" w:eastAsia="宋体" w:cs="宋体"/>
          <w:spacing w:val="3"/>
          <w:sz w:val="21"/>
          <w:szCs w:val="21"/>
          <w:u w:val="single" w:color="000000"/>
        </w:rPr>
        <w:tab/>
      </w:r>
      <w:r>
        <w:rPr>
          <w:rFonts w:hint="eastAsia" w:ascii="宋体" w:hAnsi="宋体" w:eastAsia="宋体" w:cs="宋体"/>
          <w:spacing w:val="2"/>
          <w:sz w:val="21"/>
          <w:szCs w:val="21"/>
        </w:rPr>
        <w:t>（姓名）系自然人，现授权委托</w:t>
      </w:r>
      <w:r>
        <w:rPr>
          <w:rFonts w:hint="eastAsia" w:ascii="宋体" w:hAnsi="宋体" w:eastAsia="宋体" w:cs="宋体"/>
          <w:spacing w:val="2"/>
          <w:sz w:val="21"/>
          <w:szCs w:val="21"/>
          <w:u w:val="single" w:color="000000"/>
        </w:rPr>
        <w:tab/>
      </w:r>
      <w:r>
        <w:rPr>
          <w:rFonts w:hint="eastAsia" w:ascii="宋体" w:hAnsi="宋体" w:eastAsia="宋体" w:cs="宋体"/>
          <w:sz w:val="21"/>
          <w:szCs w:val="21"/>
        </w:rPr>
        <w:t>（姓</w:t>
      </w:r>
      <w:r>
        <w:rPr>
          <w:rFonts w:hint="eastAsia" w:ascii="宋体" w:hAnsi="宋体" w:eastAsia="宋体" w:cs="宋体"/>
          <w:spacing w:val="2"/>
          <w:sz w:val="21"/>
          <w:szCs w:val="21"/>
        </w:rPr>
        <w:t>名）以本人名义参加</w:t>
      </w:r>
      <w:r>
        <w:rPr>
          <w:rFonts w:hint="eastAsia" w:ascii="宋体" w:hAnsi="宋体" w:eastAsia="宋体" w:cs="宋体"/>
          <w:sz w:val="21"/>
          <w:szCs w:val="21"/>
          <w:u w:val="single" w:color="000000"/>
        </w:rPr>
        <w:t xml:space="preserve">（项目名称及项目编号） </w:t>
      </w:r>
      <w:r>
        <w:rPr>
          <w:rFonts w:hint="eastAsia" w:ascii="宋体" w:hAnsi="宋体" w:eastAsia="宋体" w:cs="宋体"/>
          <w:spacing w:val="-3"/>
          <w:sz w:val="21"/>
          <w:szCs w:val="21"/>
        </w:rPr>
        <w:t>项目的投标活动，并代表本人全权办理针对上述项目的投标、开</w:t>
      </w:r>
      <w:r>
        <w:rPr>
          <w:rFonts w:hint="eastAsia" w:ascii="宋体" w:hAnsi="宋体" w:eastAsia="宋体" w:cs="宋体"/>
          <w:sz w:val="21"/>
          <w:szCs w:val="21"/>
        </w:rPr>
        <w:t>标、评标、签约等具体事务和签署相关文件。</w:t>
      </w:r>
    </w:p>
    <w:p>
      <w:pPr>
        <w:pStyle w:val="22"/>
        <w:spacing w:before="15" w:line="338" w:lineRule="auto"/>
        <w:ind w:left="538"/>
        <w:rPr>
          <w:rFonts w:ascii="宋体" w:hAnsi="宋体" w:eastAsia="宋体" w:cs="宋体"/>
          <w:sz w:val="21"/>
          <w:szCs w:val="21"/>
        </w:rPr>
      </w:pPr>
      <w:r>
        <w:rPr>
          <w:rFonts w:hint="eastAsia" w:ascii="宋体" w:hAnsi="宋体" w:eastAsia="宋体" w:cs="宋体"/>
          <w:sz w:val="21"/>
          <w:szCs w:val="21"/>
        </w:rPr>
        <w:t xml:space="preserve">本人对被授权人的签字事项负全部责任。 </w:t>
      </w:r>
    </w:p>
    <w:p>
      <w:pPr>
        <w:pStyle w:val="22"/>
        <w:spacing w:before="15" w:line="338" w:lineRule="auto"/>
        <w:ind w:left="538"/>
        <w:rPr>
          <w:rFonts w:ascii="宋体" w:hAnsi="宋体" w:eastAsia="宋体" w:cs="宋体"/>
          <w:sz w:val="21"/>
          <w:szCs w:val="21"/>
        </w:rPr>
      </w:pPr>
      <w:r>
        <w:rPr>
          <w:rFonts w:hint="eastAsia" w:ascii="宋体" w:hAnsi="宋体" w:eastAsia="宋体" w:cs="宋体"/>
          <w:spacing w:val="-2"/>
          <w:sz w:val="21"/>
          <w:szCs w:val="21"/>
        </w:rPr>
        <w:t>授权委托代理期限：自即日起至该项目政府采购活动结束。</w:t>
      </w:r>
    </w:p>
    <w:p>
      <w:pPr>
        <w:pStyle w:val="22"/>
        <w:spacing w:before="147" w:line="595" w:lineRule="auto"/>
        <w:ind w:left="538" w:right="3086"/>
        <w:rPr>
          <w:rFonts w:ascii="宋体" w:hAnsi="宋体" w:eastAsia="宋体" w:cs="宋体"/>
          <w:sz w:val="21"/>
          <w:szCs w:val="21"/>
        </w:rPr>
      </w:pPr>
      <w:r>
        <w:rPr>
          <w:rFonts w:hint="eastAsia" w:ascii="宋体" w:hAnsi="宋体" w:eastAsia="宋体" w:cs="宋体"/>
          <w:spacing w:val="-2"/>
          <w:sz w:val="21"/>
          <w:szCs w:val="21"/>
        </w:rPr>
        <w:t>代理人无转委托权，特此委托。</w:t>
      </w:r>
      <w:r>
        <w:rPr>
          <w:rFonts w:hint="eastAsia" w:ascii="宋体" w:hAnsi="宋体" w:eastAsia="宋体" w:cs="宋体"/>
          <w:sz w:val="21"/>
          <w:szCs w:val="21"/>
        </w:rPr>
        <w:t xml:space="preserve"> 我已在下面签字，以资证明。</w:t>
      </w:r>
    </w:p>
    <w:p>
      <w:pPr>
        <w:pStyle w:val="22"/>
        <w:tabs>
          <w:tab w:val="left" w:pos="5734"/>
          <w:tab w:val="left" w:pos="5940"/>
          <w:tab w:val="left" w:pos="6160"/>
          <w:tab w:val="left" w:pos="6526"/>
          <w:tab w:val="left" w:pos="7261"/>
          <w:tab w:val="left" w:pos="8101"/>
          <w:tab w:val="left" w:pos="8836"/>
        </w:tabs>
        <w:spacing w:before="93"/>
        <w:ind w:left="538"/>
        <w:rPr>
          <w:rFonts w:ascii="宋体" w:hAnsi="宋体" w:eastAsia="宋体" w:cs="宋体"/>
          <w:spacing w:val="-2"/>
          <w:sz w:val="21"/>
          <w:szCs w:val="21"/>
        </w:rPr>
      </w:pPr>
      <w:r>
        <w:rPr>
          <w:rFonts w:hint="eastAsia" w:ascii="宋体" w:hAnsi="宋体" w:eastAsia="宋体" w:cs="宋体"/>
          <w:spacing w:val="-2"/>
          <w:sz w:val="21"/>
          <w:szCs w:val="21"/>
        </w:rPr>
        <w:t>自然人签字或个人CA证书签章：</w:t>
      </w:r>
      <w:r>
        <w:rPr>
          <w:rFonts w:hint="eastAsia" w:ascii="宋体" w:hAnsi="宋体" w:eastAsia="宋体" w:cs="宋体"/>
          <w:spacing w:val="-2"/>
          <w:sz w:val="21"/>
          <w:szCs w:val="21"/>
          <w:u w:val="single" w:color="000000"/>
        </w:rPr>
        <w:tab/>
      </w:r>
      <w:r>
        <w:rPr>
          <w:rFonts w:hint="eastAsia" w:ascii="宋体" w:hAnsi="宋体" w:eastAsia="宋体" w:cs="宋体"/>
          <w:spacing w:val="-2"/>
          <w:sz w:val="21"/>
          <w:szCs w:val="21"/>
        </w:rPr>
        <w:tab/>
      </w:r>
    </w:p>
    <w:p>
      <w:pPr>
        <w:pStyle w:val="22"/>
        <w:tabs>
          <w:tab w:val="left" w:pos="5734"/>
          <w:tab w:val="left" w:pos="5940"/>
          <w:tab w:val="left" w:pos="6160"/>
          <w:tab w:val="left" w:pos="6526"/>
          <w:tab w:val="left" w:pos="7261"/>
          <w:tab w:val="left" w:pos="8101"/>
          <w:tab w:val="left" w:pos="8836"/>
        </w:tabs>
        <w:spacing w:before="93"/>
        <w:ind w:left="538"/>
        <w:rPr>
          <w:rFonts w:ascii="宋体" w:hAnsi="宋体" w:eastAsia="宋体" w:cs="宋体"/>
          <w:spacing w:val="-2"/>
          <w:sz w:val="21"/>
          <w:szCs w:val="21"/>
        </w:rPr>
      </w:pPr>
    </w:p>
    <w:p>
      <w:pPr>
        <w:pStyle w:val="22"/>
        <w:tabs>
          <w:tab w:val="left" w:pos="5734"/>
          <w:tab w:val="left" w:pos="5940"/>
          <w:tab w:val="left" w:pos="6160"/>
          <w:tab w:val="left" w:pos="6526"/>
          <w:tab w:val="left" w:pos="7261"/>
          <w:tab w:val="left" w:pos="8101"/>
          <w:tab w:val="left" w:pos="8836"/>
        </w:tabs>
        <w:spacing w:before="93"/>
        <w:ind w:left="538"/>
        <w:rPr>
          <w:rFonts w:ascii="宋体" w:hAnsi="宋体" w:eastAsia="宋体" w:cs="宋体"/>
          <w:spacing w:val="-2"/>
          <w:sz w:val="21"/>
          <w:szCs w:val="21"/>
        </w:rPr>
      </w:pPr>
    </w:p>
    <w:p>
      <w:pPr>
        <w:pStyle w:val="22"/>
        <w:tabs>
          <w:tab w:val="left" w:pos="6606"/>
          <w:tab w:val="left" w:pos="7340"/>
          <w:tab w:val="left" w:pos="8181"/>
          <w:tab w:val="left" w:pos="8913"/>
        </w:tabs>
        <w:spacing w:before="36"/>
        <w:ind w:left="538" w:firstLine="5394" w:firstLineChars="2900"/>
        <w:rPr>
          <w:rFonts w:ascii="宋体" w:hAnsi="宋体" w:eastAsia="宋体" w:cs="宋体"/>
          <w:sz w:val="21"/>
          <w:szCs w:val="21"/>
        </w:rPr>
      </w:pPr>
      <w:r>
        <w:rPr>
          <w:rFonts w:hint="eastAsia" w:ascii="宋体" w:hAnsi="宋体" w:eastAsia="宋体" w:cs="宋体"/>
          <w:spacing w:val="-12"/>
          <w:sz w:val="21"/>
          <w:szCs w:val="21"/>
          <w:u w:val="single" w:color="000000"/>
        </w:rPr>
        <w:tab/>
      </w:r>
      <w:r>
        <w:rPr>
          <w:rFonts w:hint="eastAsia" w:ascii="宋体" w:hAnsi="宋体" w:eastAsia="宋体" w:cs="宋体"/>
          <w:sz w:val="21"/>
          <w:szCs w:val="21"/>
        </w:rPr>
        <w:t>年</w:t>
      </w:r>
      <w:r>
        <w:rPr>
          <w:rFonts w:hint="eastAsia" w:ascii="宋体" w:hAnsi="宋体" w:eastAsia="宋体" w:cs="宋体"/>
          <w:sz w:val="21"/>
          <w:szCs w:val="21"/>
          <w:u w:val="single" w:color="000000"/>
        </w:rPr>
        <w:tab/>
      </w:r>
      <w:r>
        <w:rPr>
          <w:rFonts w:hint="eastAsia" w:ascii="宋体" w:hAnsi="宋体" w:eastAsia="宋体" w:cs="宋体"/>
          <w:spacing w:val="-3"/>
          <w:sz w:val="21"/>
          <w:szCs w:val="21"/>
        </w:rPr>
        <w:t>月</w:t>
      </w:r>
      <w:r>
        <w:rPr>
          <w:rFonts w:hint="eastAsia" w:ascii="宋体" w:hAnsi="宋体" w:eastAsia="宋体" w:cs="宋体"/>
          <w:spacing w:val="-3"/>
          <w:sz w:val="21"/>
          <w:szCs w:val="21"/>
          <w:u w:val="single" w:color="000000"/>
        </w:rPr>
        <w:tab/>
      </w:r>
      <w:r>
        <w:rPr>
          <w:rFonts w:hint="eastAsia" w:ascii="宋体" w:hAnsi="宋体" w:eastAsia="宋体" w:cs="宋体"/>
          <w:sz w:val="21"/>
          <w:szCs w:val="21"/>
        </w:rPr>
        <w:t>日</w:t>
      </w:r>
    </w:p>
    <w:p>
      <w:pPr>
        <w:spacing w:before="12"/>
        <w:rPr>
          <w:rFonts w:ascii="宋体" w:hAnsi="宋体" w:cs="宋体"/>
          <w:szCs w:val="21"/>
        </w:rPr>
      </w:pPr>
    </w:p>
    <w:p>
      <w:pPr>
        <w:pStyle w:val="9"/>
        <w:spacing w:line="400" w:lineRule="exact"/>
        <w:rPr>
          <w:rFonts w:ascii="宋体" w:hAnsi="宋体" w:cs="宋体"/>
          <w:b/>
          <w:bCs/>
          <w:sz w:val="21"/>
          <w:szCs w:val="21"/>
          <w:highlight w:val="none"/>
        </w:rPr>
      </w:pPr>
      <w:r>
        <w:rPr>
          <w:rFonts w:hint="eastAsia" w:ascii="宋体" w:hAnsi="宋体" w:cs="宋体"/>
          <w:b/>
          <w:bCs/>
          <w:sz w:val="21"/>
          <w:szCs w:val="21"/>
        </w:rPr>
        <w:t>附：委托代理人身份证正反面复印</w:t>
      </w:r>
      <w:r>
        <w:rPr>
          <w:rFonts w:hint="eastAsia" w:ascii="宋体" w:hAnsi="宋体" w:cs="宋体"/>
          <w:b/>
          <w:bCs/>
          <w:sz w:val="21"/>
          <w:szCs w:val="21"/>
          <w:highlight w:val="none"/>
        </w:rPr>
        <w:t>件以及由县级以上（含县级）社会养老保险经办机构出具的投标人为委托代理人交纳的开标截止时间前半年内任意连续三个月社保证明复印件（委托代理时必须提供）。</w:t>
      </w:r>
    </w:p>
    <w:p>
      <w:pPr>
        <w:pStyle w:val="9"/>
        <w:spacing w:line="400" w:lineRule="exact"/>
        <w:rPr>
          <w:rFonts w:ascii="宋体" w:hAnsi="宋体" w:cs="宋体"/>
          <w:b/>
          <w:bCs/>
          <w:sz w:val="21"/>
          <w:szCs w:val="21"/>
          <w:highlight w:val="none"/>
        </w:rPr>
      </w:pPr>
    </w:p>
    <w:p>
      <w:pPr>
        <w:pStyle w:val="27"/>
        <w:spacing w:line="400" w:lineRule="exact"/>
        <w:ind w:firstLine="800" w:firstLineChars="250"/>
        <w:rPr>
          <w:rFonts w:hAnsi="宋体"/>
          <w:b/>
          <w:sz w:val="32"/>
          <w:szCs w:val="32"/>
        </w:rPr>
      </w:pPr>
    </w:p>
    <w:p>
      <w:pPr>
        <w:pStyle w:val="27"/>
        <w:spacing w:line="400" w:lineRule="exact"/>
        <w:ind w:firstLine="800" w:firstLineChars="250"/>
        <w:rPr>
          <w:rFonts w:hAnsi="宋体"/>
          <w:b/>
          <w:sz w:val="32"/>
          <w:szCs w:val="32"/>
        </w:rPr>
      </w:pPr>
    </w:p>
    <w:p>
      <w:pPr>
        <w:pStyle w:val="27"/>
        <w:spacing w:line="400" w:lineRule="exact"/>
        <w:rPr>
          <w:rFonts w:hAnsi="宋体"/>
          <w:b/>
          <w:sz w:val="28"/>
          <w:szCs w:val="28"/>
        </w:rPr>
      </w:pPr>
    </w:p>
    <w:p>
      <w:pPr>
        <w:pStyle w:val="27"/>
        <w:spacing w:line="400" w:lineRule="exact"/>
        <w:rPr>
          <w:rFonts w:hAnsi="宋体"/>
          <w:b/>
          <w:sz w:val="28"/>
          <w:szCs w:val="28"/>
        </w:rPr>
      </w:pPr>
    </w:p>
    <w:p>
      <w:pPr>
        <w:pStyle w:val="27"/>
        <w:spacing w:line="400" w:lineRule="exact"/>
        <w:rPr>
          <w:rFonts w:hAnsi="宋体"/>
          <w:b/>
          <w:sz w:val="28"/>
          <w:szCs w:val="28"/>
        </w:rPr>
      </w:pPr>
    </w:p>
    <w:p>
      <w:pPr>
        <w:pStyle w:val="27"/>
        <w:spacing w:line="400" w:lineRule="exact"/>
        <w:rPr>
          <w:rFonts w:hAnsi="宋体"/>
          <w:b/>
          <w:sz w:val="21"/>
          <w:szCs w:val="21"/>
        </w:rPr>
      </w:pPr>
      <w:r>
        <w:rPr>
          <w:rFonts w:hint="eastAsia" w:hAnsi="宋体"/>
          <w:b/>
          <w:sz w:val="28"/>
          <w:szCs w:val="28"/>
        </w:rPr>
        <w:br w:type="page"/>
      </w:r>
      <w:r>
        <w:rPr>
          <w:rFonts w:hint="eastAsia" w:hAnsi="宋体"/>
          <w:b/>
          <w:sz w:val="21"/>
          <w:szCs w:val="21"/>
        </w:rPr>
        <w:t>3.投标人参加政府采购活动前3年内在经营活动中没有重大违法记录的书面声明（必须提供）；</w:t>
      </w:r>
    </w:p>
    <w:p>
      <w:pPr>
        <w:pStyle w:val="27"/>
        <w:spacing w:line="400" w:lineRule="exact"/>
        <w:ind w:left="420" w:leftChars="200" w:firstLine="156" w:firstLineChars="49"/>
        <w:rPr>
          <w:rFonts w:hAnsi="宋体"/>
          <w:b/>
          <w:sz w:val="32"/>
          <w:szCs w:val="32"/>
        </w:rPr>
      </w:pPr>
      <w:r>
        <w:rPr>
          <w:rFonts w:hint="eastAsia" w:hAnsi="宋体"/>
          <w:b/>
          <w:sz w:val="32"/>
          <w:szCs w:val="32"/>
        </w:rPr>
        <w:t xml:space="preserve">                       </w:t>
      </w:r>
    </w:p>
    <w:p>
      <w:pPr>
        <w:pStyle w:val="27"/>
        <w:spacing w:line="400" w:lineRule="exact"/>
        <w:rPr>
          <w:rFonts w:hAnsi="宋体"/>
          <w:b/>
          <w:sz w:val="21"/>
          <w:szCs w:val="21"/>
        </w:rPr>
      </w:pPr>
      <w:r>
        <w:rPr>
          <w:rFonts w:hint="eastAsia" w:hAnsi="宋体"/>
          <w:b/>
          <w:sz w:val="21"/>
          <w:szCs w:val="21"/>
        </w:rPr>
        <w:t>附件：</w:t>
      </w:r>
    </w:p>
    <w:p>
      <w:pPr>
        <w:pStyle w:val="27"/>
        <w:spacing w:line="400" w:lineRule="exact"/>
        <w:jc w:val="center"/>
        <w:rPr>
          <w:rFonts w:hAnsi="宋体"/>
          <w:b/>
          <w:sz w:val="32"/>
          <w:szCs w:val="32"/>
        </w:rPr>
      </w:pPr>
      <w:r>
        <w:rPr>
          <w:rFonts w:hint="eastAsia" w:hAnsi="宋体"/>
          <w:b/>
          <w:sz w:val="28"/>
          <w:szCs w:val="28"/>
        </w:rPr>
        <w:t>声   明</w:t>
      </w:r>
    </w:p>
    <w:p>
      <w:pPr>
        <w:snapToGrid w:val="0"/>
        <w:spacing w:line="400" w:lineRule="exact"/>
        <w:outlineLvl w:val="4"/>
        <w:rPr>
          <w:rFonts w:ascii="宋体" w:hAnsi="宋体"/>
          <w:szCs w:val="21"/>
          <w:u w:val="single"/>
        </w:rPr>
      </w:pPr>
      <w:r>
        <w:rPr>
          <w:rFonts w:hint="eastAsia" w:ascii="宋体" w:hAnsi="宋体"/>
          <w:b/>
          <w:szCs w:val="21"/>
        </w:rPr>
        <w:t>致</w:t>
      </w:r>
      <w:r>
        <w:rPr>
          <w:rFonts w:hint="eastAsia" w:ascii="宋体" w:hAnsi="宋体"/>
          <w:szCs w:val="21"/>
        </w:rPr>
        <w:t>：</w:t>
      </w:r>
      <w:r>
        <w:rPr>
          <w:rFonts w:hint="eastAsia" w:ascii="宋体" w:hAnsi="宋体"/>
          <w:szCs w:val="21"/>
          <w:u w:val="single"/>
        </w:rPr>
        <w:t>广西万盯卯招标咨询有限公司</w:t>
      </w:r>
    </w:p>
    <w:p>
      <w:pPr>
        <w:snapToGrid w:val="0"/>
        <w:spacing w:line="400" w:lineRule="exact"/>
        <w:outlineLvl w:val="4"/>
        <w:rPr>
          <w:rFonts w:ascii="宋体" w:hAnsi="宋体"/>
          <w:szCs w:val="21"/>
          <w:u w:val="single"/>
        </w:rPr>
      </w:pPr>
    </w:p>
    <w:p>
      <w:pPr>
        <w:pStyle w:val="27"/>
        <w:spacing w:line="400" w:lineRule="exact"/>
        <w:ind w:firstLine="420" w:firstLineChars="200"/>
        <w:rPr>
          <w:rFonts w:hAnsi="宋体"/>
          <w:sz w:val="21"/>
          <w:szCs w:val="21"/>
        </w:rPr>
      </w:pPr>
      <w:r>
        <w:rPr>
          <w:rFonts w:hint="eastAsia" w:hAnsi="宋体"/>
          <w:sz w:val="21"/>
          <w:szCs w:val="21"/>
        </w:rPr>
        <w:t>我公司郑重声明，在参加政府采购活动前3年内在经营活动中没有重大违法记录（重大违法记录是指供应商因违法经营受到刑事处罚或者责令停产停业、吊销许可证或者执照、较大数额罚款等行政处罚）。</w:t>
      </w:r>
    </w:p>
    <w:p>
      <w:pPr>
        <w:snapToGrid w:val="0"/>
        <w:spacing w:line="400" w:lineRule="exact"/>
        <w:outlineLvl w:val="4"/>
        <w:rPr>
          <w:rFonts w:ascii="宋体" w:hAnsi="宋体"/>
          <w:szCs w:val="21"/>
        </w:rPr>
      </w:pPr>
    </w:p>
    <w:p>
      <w:pPr>
        <w:snapToGrid w:val="0"/>
        <w:spacing w:line="400" w:lineRule="exact"/>
        <w:ind w:firstLine="420"/>
        <w:outlineLvl w:val="4"/>
        <w:rPr>
          <w:rFonts w:ascii="宋体" w:hAnsi="宋体"/>
          <w:szCs w:val="21"/>
          <w:u w:val="single"/>
        </w:rPr>
      </w:pPr>
      <w:r>
        <w:rPr>
          <w:rFonts w:hint="eastAsia" w:ascii="宋体" w:hAnsi="宋体"/>
          <w:szCs w:val="21"/>
        </w:rPr>
        <w:t>投标人（</w:t>
      </w:r>
      <w:r>
        <w:rPr>
          <w:rFonts w:hint="eastAsia" w:ascii="宋体" w:hAnsi="宋体" w:cs="宋体"/>
          <w:szCs w:val="21"/>
        </w:rPr>
        <w:t>CA证书签章</w:t>
      </w:r>
      <w:r>
        <w:rPr>
          <w:rFonts w:hint="eastAsia" w:ascii="宋体" w:hAnsi="宋体"/>
          <w:szCs w:val="21"/>
        </w:rPr>
        <w:t>）：</w:t>
      </w:r>
      <w:r>
        <w:rPr>
          <w:rFonts w:hint="eastAsia" w:ascii="宋体" w:hAnsi="宋体"/>
          <w:szCs w:val="21"/>
          <w:u w:val="single"/>
        </w:rPr>
        <w:t xml:space="preserve">                                         </w:t>
      </w:r>
    </w:p>
    <w:p>
      <w:pPr>
        <w:snapToGrid w:val="0"/>
        <w:spacing w:line="400" w:lineRule="exact"/>
        <w:ind w:firstLine="420"/>
        <w:outlineLvl w:val="4"/>
        <w:rPr>
          <w:rFonts w:ascii="宋体" w:hAnsi="宋体"/>
          <w:szCs w:val="21"/>
        </w:rPr>
      </w:pPr>
    </w:p>
    <w:p>
      <w:pPr>
        <w:spacing w:line="340" w:lineRule="exact"/>
        <w:ind w:firstLine="420" w:firstLineChars="200"/>
        <w:rPr>
          <w:rFonts w:ascii="宋体" w:hAnsi="宋体"/>
          <w:szCs w:val="21"/>
          <w:u w:val="single"/>
        </w:rPr>
      </w:pPr>
      <w:r>
        <w:rPr>
          <w:rFonts w:hint="eastAsia" w:ascii="宋体" w:hAnsi="宋体"/>
          <w:szCs w:val="21"/>
        </w:rPr>
        <w:t>法定代表人或授权委托代理人签名（或个人CA证书签章） ：</w:t>
      </w:r>
      <w:r>
        <w:rPr>
          <w:rFonts w:hint="eastAsia" w:ascii="宋体" w:hAnsi="宋体"/>
          <w:szCs w:val="21"/>
          <w:u w:val="single"/>
        </w:rPr>
        <w:t xml:space="preserve">                        </w:t>
      </w:r>
    </w:p>
    <w:p>
      <w:pPr>
        <w:spacing w:line="340" w:lineRule="exact"/>
        <w:ind w:firstLine="420" w:firstLineChars="200"/>
        <w:rPr>
          <w:rFonts w:ascii="宋体" w:hAnsi="宋体"/>
          <w:szCs w:val="21"/>
        </w:rPr>
      </w:pPr>
    </w:p>
    <w:p>
      <w:pPr>
        <w:spacing w:line="340" w:lineRule="exact"/>
        <w:ind w:firstLine="420" w:firstLineChars="200"/>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 xml:space="preserve">   </w:t>
      </w:r>
    </w:p>
    <w:p>
      <w:pPr>
        <w:pStyle w:val="27"/>
        <w:spacing w:line="400" w:lineRule="exact"/>
        <w:rPr>
          <w:rFonts w:hAnsi="宋体"/>
          <w:b/>
          <w:sz w:val="21"/>
          <w:szCs w:val="21"/>
        </w:rPr>
      </w:pPr>
    </w:p>
    <w:p>
      <w:pPr>
        <w:pStyle w:val="27"/>
        <w:spacing w:line="400" w:lineRule="exact"/>
        <w:ind w:left="420" w:leftChars="200" w:firstLine="102" w:firstLineChars="49"/>
        <w:rPr>
          <w:rFonts w:hAnsi="宋体"/>
          <w:b/>
          <w:sz w:val="21"/>
          <w:szCs w:val="21"/>
        </w:rPr>
      </w:pPr>
    </w:p>
    <w:p>
      <w:pPr>
        <w:pStyle w:val="27"/>
        <w:spacing w:line="420" w:lineRule="exact"/>
        <w:rPr>
          <w:rFonts w:hAnsi="宋体"/>
          <w:b/>
          <w:sz w:val="21"/>
          <w:szCs w:val="21"/>
        </w:rPr>
      </w:pPr>
      <w:r>
        <w:rPr>
          <w:rFonts w:hint="eastAsia" w:hAnsi="宋体"/>
          <w:b/>
          <w:sz w:val="21"/>
          <w:szCs w:val="21"/>
        </w:rPr>
        <w:t>4.投标人的法人或者其他组织营业执照等证明文件（必须提供，自然人除外）；</w:t>
      </w:r>
    </w:p>
    <w:p>
      <w:pPr>
        <w:pStyle w:val="27"/>
        <w:spacing w:line="420" w:lineRule="exact"/>
        <w:rPr>
          <w:rFonts w:hAnsi="宋体"/>
          <w:b/>
          <w:sz w:val="21"/>
          <w:szCs w:val="21"/>
        </w:rPr>
      </w:pPr>
      <w:r>
        <w:rPr>
          <w:rFonts w:hint="eastAsia" w:hAnsi="宋体"/>
          <w:b/>
          <w:sz w:val="21"/>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201"/>
        <w:ind w:firstLine="210" w:firstLineChars="100"/>
        <w:rPr>
          <w:rFonts w:ascii="宋体" w:hAnsi="宋体"/>
          <w:b/>
          <w:szCs w:val="21"/>
        </w:rPr>
      </w:pPr>
    </w:p>
    <w:p>
      <w:pPr>
        <w:spacing w:line="360" w:lineRule="auto"/>
        <w:jc w:val="left"/>
        <w:rPr>
          <w:rFonts w:hint="eastAsia" w:ascii="宋体" w:hAnsi="宋体"/>
          <w:b/>
          <w:szCs w:val="21"/>
          <w:highlight w:val="none"/>
        </w:rPr>
      </w:pPr>
      <w:r>
        <w:rPr>
          <w:rFonts w:hint="eastAsia" w:ascii="宋体" w:hAnsi="宋体"/>
          <w:b/>
          <w:szCs w:val="21"/>
        </w:rPr>
        <w:t>5.投标人按《医疗器械监督管理条例》（国务院令第 739 号）医疗器械分类管理要求具备有效的医疗器械经营备案凭证或者</w:t>
      </w:r>
      <w:r>
        <w:rPr>
          <w:rFonts w:hint="eastAsia" w:ascii="宋体" w:hAnsi="宋体"/>
          <w:b/>
          <w:szCs w:val="21"/>
          <w:lang w:val="en-US" w:eastAsia="zh-CN"/>
        </w:rPr>
        <w:t>医疗器械</w:t>
      </w:r>
      <w:r>
        <w:rPr>
          <w:rFonts w:hint="eastAsia" w:ascii="宋体" w:hAnsi="宋体"/>
          <w:b/>
          <w:szCs w:val="21"/>
        </w:rPr>
        <w:t>经营许可证，且经营范围必须包含采购的医疗器械标的[符合《医疗器械监督管理条例》第四十一条第二款规定的除外]；或者投标人具有《医疗器械监督管理条例》第四十三条规定的注册人凭证的相关证明文件（必须提供）；</w:t>
      </w:r>
    </w:p>
    <w:p>
      <w:pPr>
        <w:spacing w:line="360" w:lineRule="auto"/>
        <w:ind w:left="420" w:leftChars="200"/>
        <w:jc w:val="left"/>
        <w:rPr>
          <w:rFonts w:ascii="宋体" w:hAnsi="宋体" w:cs="宋体"/>
          <w:b/>
          <w:bCs/>
          <w:szCs w:val="21"/>
        </w:rPr>
      </w:pPr>
    </w:p>
    <w:p>
      <w:pPr>
        <w:tabs>
          <w:tab w:val="left" w:pos="1305"/>
        </w:tabs>
        <w:spacing w:line="400" w:lineRule="exact"/>
        <w:outlineLvl w:val="2"/>
        <w:rPr>
          <w:b/>
          <w:szCs w:val="21"/>
        </w:rPr>
      </w:pPr>
      <w:r>
        <w:rPr>
          <w:rFonts w:hint="eastAsia" w:ascii="宋体" w:hAnsi="宋体" w:cs="宋体"/>
          <w:b/>
          <w:bCs/>
          <w:szCs w:val="21"/>
        </w:rPr>
        <w:t>6.投标人所投产品</w:t>
      </w:r>
      <w:r>
        <w:rPr>
          <w:rFonts w:hint="eastAsia" w:ascii="宋体" w:hAnsi="宋体" w:cs="宋体"/>
          <w:b/>
          <w:bCs/>
          <w:szCs w:val="21"/>
          <w:lang w:val="en-US" w:eastAsia="zh-CN"/>
        </w:rPr>
        <w:t>属于医疗器械的，必须提供</w:t>
      </w:r>
      <w:r>
        <w:rPr>
          <w:rFonts w:hint="eastAsia" w:ascii="宋体" w:hAnsi="宋体" w:cs="宋体"/>
          <w:b/>
          <w:bCs/>
          <w:szCs w:val="21"/>
        </w:rPr>
        <w:t>相应、有效、完整的医疗器械产品注册证复印件，要求清晰反映相关内容（必须提供）。</w:t>
      </w:r>
      <w:r>
        <w:rPr>
          <w:rFonts w:ascii="宋体" w:hAnsi="宋体" w:cs="宋体"/>
          <w:b/>
          <w:bCs/>
          <w:szCs w:val="21"/>
        </w:rPr>
        <w:br w:type="page"/>
      </w:r>
    </w:p>
    <w:p>
      <w:pPr>
        <w:spacing w:line="360" w:lineRule="auto"/>
        <w:jc w:val="left"/>
        <w:rPr>
          <w:rFonts w:ascii="宋体" w:hAnsi="宋体" w:cs="宋体"/>
          <w:b/>
          <w:bCs/>
          <w:sz w:val="22"/>
          <w:szCs w:val="22"/>
        </w:rPr>
      </w:pPr>
      <w:r>
        <w:rPr>
          <w:rFonts w:hint="eastAsia" w:ascii="宋体" w:hAnsi="宋体" w:cs="宋体"/>
          <w:b/>
          <w:bCs/>
          <w:sz w:val="28"/>
          <w:szCs w:val="28"/>
          <w:lang w:val="en-US" w:eastAsia="zh-CN"/>
        </w:rPr>
        <w:t>二</w:t>
      </w:r>
      <w:r>
        <w:rPr>
          <w:rFonts w:ascii="宋体" w:hAnsi="宋体" w:cs="宋体"/>
          <w:b/>
          <w:bCs/>
          <w:sz w:val="28"/>
          <w:szCs w:val="28"/>
        </w:rPr>
        <w:t>、</w:t>
      </w:r>
      <w:r>
        <w:rPr>
          <w:rFonts w:hint="eastAsia" w:ascii="宋体" w:hAnsi="宋体" w:cs="宋体"/>
          <w:b/>
          <w:bCs/>
          <w:sz w:val="28"/>
          <w:szCs w:val="28"/>
          <w:lang w:val="en-US" w:eastAsia="zh-CN"/>
        </w:rPr>
        <w:t>符合性</w:t>
      </w:r>
      <w:r>
        <w:rPr>
          <w:rFonts w:ascii="宋体" w:hAnsi="宋体" w:cs="宋体"/>
          <w:b/>
          <w:bCs/>
          <w:sz w:val="28"/>
          <w:szCs w:val="28"/>
        </w:rPr>
        <w:t>响应证明材料（格式）</w:t>
      </w:r>
    </w:p>
    <w:p>
      <w:pPr>
        <w:pStyle w:val="27"/>
        <w:spacing w:line="400" w:lineRule="exact"/>
        <w:rPr>
          <w:rFonts w:hAnsi="宋体" w:cs="宋体"/>
          <w:b/>
          <w:sz w:val="21"/>
          <w:szCs w:val="21"/>
        </w:rPr>
      </w:pPr>
      <w:r>
        <w:rPr>
          <w:rFonts w:hint="eastAsia" w:hAnsi="宋体" w:cs="宋体"/>
          <w:b/>
          <w:bCs/>
          <w:kern w:val="2"/>
          <w:sz w:val="21"/>
          <w:szCs w:val="21"/>
        </w:rPr>
        <w:t>1.投标函（必须提供）；</w:t>
      </w:r>
    </w:p>
    <w:p>
      <w:pPr>
        <w:spacing w:line="440" w:lineRule="atLeast"/>
        <w:rPr>
          <w:rFonts w:hAnsi="宋体"/>
          <w:sz w:val="32"/>
        </w:rPr>
      </w:pPr>
      <w:r>
        <w:rPr>
          <w:rFonts w:hint="eastAsia" w:ascii="宋体" w:hAnsi="宋体"/>
          <w:b/>
          <w:bCs/>
          <w:szCs w:val="21"/>
        </w:rPr>
        <w:t>附件：</w:t>
      </w:r>
      <w:r>
        <w:rPr>
          <w:rFonts w:hint="eastAsia" w:ascii="宋体" w:hAnsi="宋体"/>
          <w:b/>
          <w:bCs/>
          <w:szCs w:val="21"/>
          <w:lang w:val="en-US" w:eastAsia="zh-CN"/>
        </w:rPr>
        <w:t xml:space="preserve">                      </w:t>
      </w:r>
      <w:r>
        <w:rPr>
          <w:rFonts w:hint="eastAsia" w:hAnsi="宋体"/>
          <w:b/>
          <w:sz w:val="28"/>
          <w:szCs w:val="28"/>
        </w:rPr>
        <w:t>投 标 函 （格 式）</w:t>
      </w:r>
    </w:p>
    <w:p>
      <w:pPr>
        <w:spacing w:line="360" w:lineRule="auto"/>
        <w:rPr>
          <w:rFonts w:ascii="宋体" w:hAnsi="宋体" w:cs="宋体"/>
          <w:szCs w:val="21"/>
        </w:rPr>
      </w:pPr>
      <w:r>
        <w:rPr>
          <w:rFonts w:hint="eastAsia" w:ascii="宋体" w:hAnsi="宋体" w:cs="宋体"/>
          <w:b/>
          <w:bCs/>
          <w:szCs w:val="21"/>
        </w:rPr>
        <w:t>致：</w:t>
      </w:r>
      <w:r>
        <w:rPr>
          <w:rFonts w:hint="eastAsia" w:ascii="宋体" w:hAnsi="宋体" w:cs="宋体"/>
          <w:szCs w:val="21"/>
          <w:u w:val="single"/>
        </w:rPr>
        <w:t>广西万盯卯招标咨询有限公司</w:t>
      </w:r>
    </w:p>
    <w:p>
      <w:pPr>
        <w:pStyle w:val="27"/>
        <w:spacing w:line="360" w:lineRule="auto"/>
        <w:ind w:firstLine="420"/>
        <w:rPr>
          <w:rFonts w:hAnsi="宋体" w:cs="宋体"/>
          <w:sz w:val="21"/>
          <w:szCs w:val="21"/>
        </w:rPr>
      </w:pPr>
      <w:r>
        <w:rPr>
          <w:rFonts w:hint="eastAsia" w:hAnsi="宋体" w:cs="宋体"/>
          <w:sz w:val="21"/>
          <w:szCs w:val="21"/>
        </w:rPr>
        <w:t>根据贵方</w:t>
      </w:r>
      <w:r>
        <w:rPr>
          <w:rFonts w:hint="eastAsia" w:hAnsi="宋体" w:cs="宋体"/>
          <w:sz w:val="21"/>
          <w:szCs w:val="21"/>
          <w:u w:val="single"/>
        </w:rPr>
        <w:t xml:space="preserve">           </w:t>
      </w:r>
      <w:r>
        <w:rPr>
          <w:rFonts w:hint="eastAsia" w:hAnsi="宋体" w:cs="宋体"/>
          <w:sz w:val="21"/>
          <w:szCs w:val="21"/>
        </w:rPr>
        <w:t>项目招标文件，项目编号</w:t>
      </w:r>
      <w:r>
        <w:rPr>
          <w:rFonts w:hint="eastAsia" w:hAnsi="宋体" w:cs="宋体"/>
          <w:sz w:val="21"/>
          <w:szCs w:val="21"/>
          <w:u w:val="single"/>
        </w:rPr>
        <w:t xml:space="preserve">            </w:t>
      </w:r>
      <w:r>
        <w:rPr>
          <w:rFonts w:hint="eastAsia" w:hAnsi="宋体" w:cs="宋体"/>
          <w:sz w:val="21"/>
          <w:szCs w:val="21"/>
        </w:rPr>
        <w:t>，签字代表</w:t>
      </w:r>
      <w:r>
        <w:rPr>
          <w:rFonts w:hint="eastAsia" w:hAnsi="宋体" w:cs="宋体"/>
          <w:sz w:val="21"/>
          <w:szCs w:val="21"/>
          <w:u w:val="single"/>
        </w:rPr>
        <w:t xml:space="preserve">         </w:t>
      </w:r>
      <w:r>
        <w:rPr>
          <w:rFonts w:hint="eastAsia" w:hAnsi="宋体" w:cs="宋体"/>
          <w:sz w:val="21"/>
          <w:szCs w:val="21"/>
        </w:rPr>
        <w:t xml:space="preserve">（姓名）经正式授权并代表投标人 </w:t>
      </w:r>
      <w:r>
        <w:rPr>
          <w:rFonts w:hint="eastAsia" w:hAnsi="宋体" w:cs="宋体"/>
          <w:sz w:val="21"/>
          <w:szCs w:val="21"/>
          <w:u w:val="single"/>
        </w:rPr>
        <w:t xml:space="preserve">                          （</w:t>
      </w:r>
      <w:r>
        <w:rPr>
          <w:rFonts w:hint="eastAsia" w:hAnsi="宋体" w:cs="宋体"/>
          <w:sz w:val="21"/>
          <w:szCs w:val="21"/>
        </w:rPr>
        <w:t>投标单位名称），</w:t>
      </w:r>
      <w:r>
        <w:rPr>
          <w:rFonts w:hint="eastAsia"/>
          <w:sz w:val="21"/>
          <w:szCs w:val="21"/>
        </w:rPr>
        <w:t>提交电子响应文件</w:t>
      </w:r>
      <w:r>
        <w:rPr>
          <w:rFonts w:hint="eastAsia" w:hAnsi="宋体" w:cs="宋体"/>
          <w:sz w:val="21"/>
          <w:szCs w:val="21"/>
        </w:rPr>
        <w:t>。</w:t>
      </w:r>
    </w:p>
    <w:p>
      <w:pPr>
        <w:pStyle w:val="27"/>
        <w:spacing w:line="360" w:lineRule="auto"/>
        <w:ind w:firstLine="420"/>
        <w:rPr>
          <w:rFonts w:hAnsi="宋体" w:cs="宋体"/>
          <w:sz w:val="21"/>
          <w:szCs w:val="21"/>
        </w:rPr>
      </w:pPr>
      <w:r>
        <w:rPr>
          <w:rFonts w:hint="eastAsia" w:hAnsi="宋体" w:cs="宋体"/>
          <w:sz w:val="21"/>
          <w:szCs w:val="21"/>
        </w:rPr>
        <w:t>据此函，签字代表宣布同意如下：</w:t>
      </w:r>
    </w:p>
    <w:p>
      <w:pPr>
        <w:pStyle w:val="27"/>
        <w:spacing w:line="360" w:lineRule="auto"/>
        <w:ind w:firstLine="420" w:firstLineChars="200"/>
        <w:rPr>
          <w:rFonts w:hAnsi="宋体" w:cs="宋体"/>
          <w:sz w:val="21"/>
          <w:szCs w:val="21"/>
        </w:rPr>
      </w:pPr>
      <w:r>
        <w:rPr>
          <w:rFonts w:hint="eastAsia" w:hAnsi="宋体" w:cs="宋体"/>
          <w:sz w:val="21"/>
          <w:szCs w:val="21"/>
        </w:rPr>
        <w:t>1、按招标文件采购需求和投标报价明细表：</w:t>
      </w:r>
    </w:p>
    <w:p>
      <w:pPr>
        <w:pStyle w:val="27"/>
        <w:spacing w:line="360" w:lineRule="auto"/>
        <w:ind w:firstLine="420"/>
        <w:rPr>
          <w:rFonts w:hAnsi="宋体" w:cs="宋体"/>
          <w:kern w:val="2"/>
          <w:sz w:val="21"/>
          <w:szCs w:val="21"/>
        </w:rPr>
      </w:pPr>
      <w:r>
        <w:rPr>
          <w:rFonts w:hint="eastAsia" w:hAnsi="宋体" w:cs="宋体"/>
          <w:kern w:val="2"/>
          <w:sz w:val="21"/>
          <w:szCs w:val="21"/>
        </w:rPr>
        <w:t>投标总报价（大写）</w:t>
      </w:r>
      <w:r>
        <w:rPr>
          <w:rFonts w:hint="eastAsia" w:hAnsi="宋体" w:cs="宋体"/>
          <w:kern w:val="2"/>
          <w:sz w:val="21"/>
          <w:szCs w:val="21"/>
          <w:u w:val="single"/>
        </w:rPr>
        <w:t xml:space="preserve">             </w:t>
      </w:r>
      <w:r>
        <w:rPr>
          <w:rFonts w:hint="eastAsia" w:hAnsi="宋体" w:cs="宋体"/>
          <w:kern w:val="2"/>
          <w:sz w:val="21"/>
          <w:szCs w:val="21"/>
        </w:rPr>
        <w:t xml:space="preserve"> 元人民币(</w:t>
      </w:r>
      <w:r>
        <w:rPr>
          <w:rFonts w:hint="eastAsia" w:hAnsi="宋体" w:cs="宋体"/>
          <w:kern w:val="2"/>
          <w:sz w:val="21"/>
          <w:szCs w:val="21"/>
          <w:lang w:val="en-US" w:eastAsia="zh-CN"/>
        </w:rPr>
        <w:t>¥</w:t>
      </w:r>
      <w:r>
        <w:rPr>
          <w:rFonts w:hint="eastAsia" w:hAnsi="宋体" w:cs="宋体"/>
          <w:kern w:val="2"/>
          <w:sz w:val="21"/>
          <w:szCs w:val="21"/>
          <w:u w:val="single"/>
        </w:rPr>
        <w:t xml:space="preserve">             </w:t>
      </w:r>
      <w:r>
        <w:rPr>
          <w:rFonts w:hint="eastAsia" w:hAnsi="宋体" w:cs="宋体"/>
          <w:kern w:val="2"/>
          <w:sz w:val="21"/>
          <w:szCs w:val="21"/>
        </w:rPr>
        <w:t>)；</w:t>
      </w:r>
    </w:p>
    <w:p>
      <w:pPr>
        <w:pStyle w:val="27"/>
        <w:spacing w:line="360" w:lineRule="auto"/>
        <w:ind w:firstLine="360"/>
        <w:rPr>
          <w:rFonts w:hAnsi="宋体" w:cs="宋体"/>
          <w:sz w:val="21"/>
          <w:szCs w:val="21"/>
        </w:rPr>
      </w:pPr>
      <w:r>
        <w:rPr>
          <w:rFonts w:hint="eastAsia" w:hAnsi="宋体" w:cs="宋体"/>
          <w:sz w:val="21"/>
          <w:szCs w:val="21"/>
        </w:rPr>
        <w:t>2、我方承诺已具备招标文件规定的投标人资格条件。</w:t>
      </w:r>
    </w:p>
    <w:p>
      <w:pPr>
        <w:pStyle w:val="27"/>
        <w:spacing w:line="360" w:lineRule="auto"/>
        <w:ind w:firstLine="360"/>
        <w:rPr>
          <w:rFonts w:hAnsi="宋体" w:cs="宋体"/>
          <w:sz w:val="21"/>
          <w:szCs w:val="21"/>
        </w:rPr>
      </w:pPr>
      <w:r>
        <w:rPr>
          <w:rFonts w:hint="eastAsia" w:hAnsi="宋体" w:cs="宋体"/>
          <w:sz w:val="21"/>
          <w:szCs w:val="21"/>
        </w:rPr>
        <w:t>3、我方已详细审核招标文件，包括修改文件（如有的话）和有关附件，将自行承担因对全部招标文件理解不正确或误解而产生的相应后果。</w:t>
      </w:r>
    </w:p>
    <w:p>
      <w:pPr>
        <w:pStyle w:val="27"/>
        <w:spacing w:line="360" w:lineRule="auto"/>
        <w:ind w:firstLine="420"/>
        <w:rPr>
          <w:rFonts w:hAnsi="宋体" w:cs="宋体"/>
          <w:sz w:val="21"/>
          <w:szCs w:val="21"/>
        </w:rPr>
      </w:pPr>
      <w:r>
        <w:rPr>
          <w:rFonts w:hint="eastAsia" w:hAnsi="宋体" w:cs="宋体"/>
          <w:sz w:val="21"/>
          <w:szCs w:val="21"/>
        </w:rPr>
        <w:t>4、如我方中标：</w:t>
      </w:r>
    </w:p>
    <w:p>
      <w:pPr>
        <w:pStyle w:val="27"/>
        <w:spacing w:line="360" w:lineRule="auto"/>
        <w:ind w:firstLine="420"/>
        <w:rPr>
          <w:rFonts w:hAnsi="宋体" w:cs="宋体"/>
          <w:sz w:val="21"/>
          <w:szCs w:val="21"/>
        </w:rPr>
      </w:pPr>
      <w:r>
        <w:rPr>
          <w:rFonts w:hint="eastAsia" w:hAnsi="宋体" w:cs="宋体"/>
          <w:sz w:val="21"/>
          <w:szCs w:val="21"/>
        </w:rPr>
        <w:t>（1）我方承诺在收到中标通知书后，在中标通知书规定的期限内与采购人签订合同。</w:t>
      </w:r>
    </w:p>
    <w:p>
      <w:pPr>
        <w:pStyle w:val="27"/>
        <w:spacing w:line="360" w:lineRule="auto"/>
        <w:ind w:firstLine="420"/>
        <w:rPr>
          <w:rFonts w:hAnsi="宋体" w:cs="宋体"/>
          <w:sz w:val="21"/>
          <w:szCs w:val="21"/>
        </w:rPr>
      </w:pPr>
      <w:r>
        <w:rPr>
          <w:rFonts w:hint="eastAsia" w:hAnsi="宋体" w:cs="宋体"/>
          <w:sz w:val="21"/>
          <w:szCs w:val="21"/>
        </w:rPr>
        <w:t>（2）我方承诺按照招标文件规定递交履约保证金。</w:t>
      </w:r>
    </w:p>
    <w:p>
      <w:pPr>
        <w:pStyle w:val="27"/>
        <w:spacing w:line="360" w:lineRule="auto"/>
        <w:ind w:firstLine="420"/>
        <w:rPr>
          <w:rFonts w:hAnsi="宋体" w:cs="宋体"/>
          <w:sz w:val="21"/>
          <w:szCs w:val="21"/>
        </w:rPr>
      </w:pPr>
      <w:r>
        <w:rPr>
          <w:rFonts w:hint="eastAsia" w:hAnsi="宋体" w:cs="宋体"/>
          <w:sz w:val="21"/>
          <w:szCs w:val="21"/>
        </w:rPr>
        <w:t>（3）我方承诺本投标文件至本项目合同履行完毕止均保持有效，按招标文件及政府采购法律、法规的规定履行合同责任和义务。</w:t>
      </w:r>
    </w:p>
    <w:p>
      <w:pPr>
        <w:pStyle w:val="27"/>
        <w:spacing w:line="360" w:lineRule="auto"/>
        <w:ind w:firstLine="420"/>
        <w:rPr>
          <w:rFonts w:hAnsi="宋体" w:cs="宋体"/>
          <w:sz w:val="21"/>
          <w:szCs w:val="21"/>
        </w:rPr>
      </w:pPr>
      <w:r>
        <w:rPr>
          <w:rFonts w:hint="eastAsia" w:hAnsi="宋体" w:cs="宋体"/>
          <w:sz w:val="21"/>
          <w:szCs w:val="21"/>
        </w:rPr>
        <w:t>与本投标有关的正式通讯地址为：</w:t>
      </w:r>
    </w:p>
    <w:p>
      <w:pPr>
        <w:pStyle w:val="27"/>
        <w:spacing w:line="360" w:lineRule="auto"/>
        <w:ind w:firstLine="420"/>
        <w:rPr>
          <w:rFonts w:hAnsi="宋体" w:cs="宋体"/>
          <w:sz w:val="21"/>
          <w:szCs w:val="21"/>
          <w:u w:val="single"/>
        </w:rPr>
      </w:pPr>
      <w:r>
        <w:rPr>
          <w:rFonts w:hint="eastAsia" w:hAnsi="宋体" w:cs="宋体"/>
          <w:sz w:val="21"/>
          <w:szCs w:val="21"/>
        </w:rPr>
        <w:t>地址：</w:t>
      </w:r>
      <w:r>
        <w:rPr>
          <w:rFonts w:hint="eastAsia" w:hAnsi="宋体" w:cs="宋体"/>
          <w:sz w:val="21"/>
          <w:szCs w:val="21"/>
          <w:u w:val="single"/>
        </w:rPr>
        <w:t xml:space="preserve">                                   </w:t>
      </w:r>
      <w:r>
        <w:rPr>
          <w:rFonts w:hint="eastAsia" w:hAnsi="宋体" w:cs="宋体"/>
          <w:sz w:val="21"/>
          <w:szCs w:val="21"/>
        </w:rPr>
        <w:t xml:space="preserve"> 邮编：</w:t>
      </w:r>
      <w:r>
        <w:rPr>
          <w:rFonts w:hint="eastAsia" w:hAnsi="宋体" w:cs="宋体"/>
          <w:sz w:val="21"/>
          <w:szCs w:val="21"/>
          <w:u w:val="single"/>
        </w:rPr>
        <w:t xml:space="preserve">          </w:t>
      </w:r>
      <w:r>
        <w:rPr>
          <w:rFonts w:hint="eastAsia" w:hAnsi="宋体" w:cs="宋体"/>
          <w:sz w:val="21"/>
          <w:szCs w:val="21"/>
        </w:rPr>
        <w:t xml:space="preserve">  电话、传真：</w:t>
      </w:r>
      <w:r>
        <w:rPr>
          <w:rFonts w:hint="eastAsia" w:hAnsi="宋体" w:cs="宋体"/>
          <w:sz w:val="21"/>
          <w:szCs w:val="21"/>
          <w:u w:val="single"/>
        </w:rPr>
        <w:t xml:space="preserve">            </w:t>
      </w:r>
    </w:p>
    <w:p>
      <w:pPr>
        <w:pStyle w:val="27"/>
        <w:spacing w:line="360" w:lineRule="auto"/>
        <w:ind w:firstLine="420"/>
        <w:rPr>
          <w:rFonts w:hAnsi="宋体" w:cs="宋体"/>
          <w:sz w:val="21"/>
          <w:szCs w:val="21"/>
        </w:rPr>
      </w:pPr>
      <w:r>
        <w:rPr>
          <w:rFonts w:hint="eastAsia" w:hAnsi="宋体" w:cs="宋体"/>
          <w:sz w:val="21"/>
          <w:szCs w:val="21"/>
        </w:rPr>
        <w:t>开户名称：</w:t>
      </w:r>
      <w:r>
        <w:rPr>
          <w:rFonts w:hint="eastAsia" w:hAnsi="宋体" w:cs="宋体"/>
          <w:sz w:val="21"/>
          <w:szCs w:val="21"/>
          <w:u w:val="single"/>
        </w:rPr>
        <w:t xml:space="preserve">                                        </w:t>
      </w:r>
    </w:p>
    <w:p>
      <w:pPr>
        <w:pStyle w:val="27"/>
        <w:spacing w:line="360" w:lineRule="auto"/>
        <w:ind w:firstLine="420"/>
        <w:rPr>
          <w:rFonts w:hAnsi="宋体" w:cs="宋体"/>
          <w:sz w:val="21"/>
          <w:szCs w:val="21"/>
        </w:rPr>
      </w:pPr>
      <w:r>
        <w:rPr>
          <w:rFonts w:hint="eastAsia" w:hAnsi="宋体" w:cs="宋体"/>
          <w:sz w:val="21"/>
          <w:szCs w:val="21"/>
        </w:rPr>
        <w:t>开户银行：</w:t>
      </w:r>
      <w:r>
        <w:rPr>
          <w:rFonts w:hint="eastAsia" w:hAnsi="宋体" w:cs="宋体"/>
          <w:sz w:val="21"/>
          <w:szCs w:val="21"/>
          <w:u w:val="single"/>
        </w:rPr>
        <w:t xml:space="preserve">                               　       </w:t>
      </w:r>
    </w:p>
    <w:p>
      <w:pPr>
        <w:pStyle w:val="27"/>
        <w:spacing w:line="360" w:lineRule="auto"/>
        <w:ind w:firstLine="420"/>
        <w:rPr>
          <w:rFonts w:hAnsi="宋体" w:cs="宋体"/>
          <w:sz w:val="21"/>
          <w:szCs w:val="21"/>
        </w:rPr>
      </w:pPr>
      <w:r>
        <w:rPr>
          <w:rFonts w:hint="eastAsia" w:hAnsi="宋体" w:cs="宋体"/>
          <w:sz w:val="21"/>
          <w:szCs w:val="21"/>
        </w:rPr>
        <w:t>账号：</w:t>
      </w:r>
      <w:r>
        <w:rPr>
          <w:rFonts w:hint="eastAsia" w:hAnsi="宋体" w:cs="宋体"/>
          <w:sz w:val="21"/>
          <w:szCs w:val="21"/>
          <w:u w:val="single"/>
        </w:rPr>
        <w:t xml:space="preserve">                                   　　　   </w:t>
      </w:r>
    </w:p>
    <w:p>
      <w:pPr>
        <w:pStyle w:val="27"/>
        <w:spacing w:line="360" w:lineRule="auto"/>
        <w:ind w:firstLine="420"/>
        <w:rPr>
          <w:rFonts w:hAnsi="宋体" w:cs="宋体"/>
          <w:sz w:val="21"/>
          <w:szCs w:val="21"/>
        </w:rPr>
      </w:pPr>
      <w:r>
        <w:rPr>
          <w:rFonts w:hint="eastAsia" w:hAnsi="宋体" w:cs="宋体"/>
          <w:sz w:val="21"/>
          <w:szCs w:val="21"/>
        </w:rPr>
        <w:t>投标人（</w:t>
      </w:r>
      <w:r>
        <w:rPr>
          <w:rFonts w:hint="eastAsia" w:hAnsi="宋体" w:cs="宋体"/>
          <w:bCs/>
          <w:sz w:val="21"/>
          <w:szCs w:val="21"/>
        </w:rPr>
        <w:t>CA证书签章</w:t>
      </w:r>
      <w:r>
        <w:rPr>
          <w:rFonts w:hint="eastAsia" w:hAnsi="宋体" w:cs="宋体"/>
          <w:sz w:val="21"/>
          <w:szCs w:val="21"/>
        </w:rPr>
        <w:t>）：</w:t>
      </w:r>
      <w:r>
        <w:rPr>
          <w:rFonts w:hint="eastAsia" w:hAnsi="宋体" w:cs="宋体"/>
          <w:sz w:val="21"/>
          <w:szCs w:val="21"/>
          <w:u w:val="single"/>
        </w:rPr>
        <w:t xml:space="preserve">                                              </w:t>
      </w:r>
    </w:p>
    <w:p>
      <w:pPr>
        <w:pStyle w:val="27"/>
        <w:spacing w:line="360" w:lineRule="auto"/>
        <w:ind w:firstLine="420"/>
        <w:rPr>
          <w:rFonts w:hAnsi="宋体" w:cs="宋体"/>
          <w:sz w:val="21"/>
          <w:szCs w:val="21"/>
          <w:u w:val="single"/>
        </w:rPr>
      </w:pPr>
      <w:r>
        <w:rPr>
          <w:rFonts w:hint="eastAsia" w:hAnsi="宋体" w:cs="宋体"/>
          <w:sz w:val="21"/>
          <w:szCs w:val="21"/>
        </w:rPr>
        <w:t>法定代表人或委托代理人签字（或个人CA证书签章）：</w:t>
      </w:r>
      <w:r>
        <w:rPr>
          <w:rFonts w:hint="eastAsia" w:hAnsi="宋体" w:cs="宋体"/>
          <w:sz w:val="21"/>
          <w:szCs w:val="21"/>
          <w:u w:val="single"/>
        </w:rPr>
        <w:t xml:space="preserve">                       </w:t>
      </w:r>
    </w:p>
    <w:p>
      <w:pPr>
        <w:pStyle w:val="27"/>
        <w:spacing w:line="360" w:lineRule="auto"/>
        <w:ind w:firstLine="420"/>
        <w:rPr>
          <w:rFonts w:hAnsi="宋体" w:cs="宋体"/>
          <w:sz w:val="21"/>
          <w:szCs w:val="21"/>
        </w:rPr>
      </w:pPr>
      <w:r>
        <w:rPr>
          <w:rFonts w:hint="eastAsia" w:hAnsi="宋体" w:cs="宋体"/>
          <w:sz w:val="21"/>
          <w:szCs w:val="21"/>
        </w:rPr>
        <w:t>投标日期：</w:t>
      </w:r>
      <w:r>
        <w:rPr>
          <w:rFonts w:hint="eastAsia" w:hAnsi="宋体" w:cs="宋体"/>
          <w:sz w:val="21"/>
          <w:szCs w:val="21"/>
          <w:u w:val="single"/>
        </w:rPr>
        <w:t xml:space="preserve">                               </w:t>
      </w:r>
    </w:p>
    <w:p>
      <w:pPr>
        <w:pStyle w:val="27"/>
        <w:spacing w:line="360" w:lineRule="auto"/>
        <w:ind w:firstLine="420" w:firstLineChars="200"/>
        <w:rPr>
          <w:rFonts w:hAnsi="宋体" w:cs="宋体"/>
          <w:bCs/>
          <w:sz w:val="21"/>
          <w:szCs w:val="21"/>
        </w:rPr>
      </w:pPr>
      <w:r>
        <w:rPr>
          <w:rFonts w:hint="eastAsia" w:hAnsi="宋体" w:cs="宋体"/>
          <w:bCs/>
          <w:sz w:val="21"/>
          <w:szCs w:val="21"/>
        </w:rPr>
        <w:t>注：1.未按照本投标函（格式）要求填报的投标函将被视为非实质性响应招标要求，从而导致该投标被拒绝。</w:t>
      </w:r>
    </w:p>
    <w:p>
      <w:pPr>
        <w:pStyle w:val="27"/>
        <w:spacing w:line="360" w:lineRule="auto"/>
        <w:ind w:firstLine="420" w:firstLineChars="200"/>
        <w:rPr>
          <w:rFonts w:hAnsi="宋体" w:cs="宋体"/>
          <w:bCs/>
          <w:sz w:val="21"/>
          <w:szCs w:val="21"/>
        </w:rPr>
      </w:pPr>
      <w:r>
        <w:rPr>
          <w:rFonts w:hint="eastAsia" w:hAnsi="宋体" w:cs="宋体"/>
          <w:bCs/>
          <w:sz w:val="21"/>
          <w:szCs w:val="21"/>
        </w:rPr>
        <w:t>2.投标函须由法定代表人(负责人、自然人)或相应的委托代理人签字（或个人CA证书签章）并加盖投标人公章（CA证书签章）。</w:t>
      </w:r>
    </w:p>
    <w:p>
      <w:pPr>
        <w:pStyle w:val="27"/>
        <w:spacing w:line="360" w:lineRule="auto"/>
        <w:ind w:firstLine="411" w:firstLineChars="196"/>
        <w:rPr>
          <w:rFonts w:hAnsi="宋体" w:cs="宋体"/>
          <w:b/>
          <w:sz w:val="21"/>
          <w:szCs w:val="21"/>
        </w:rPr>
        <w:sectPr>
          <w:footerReference r:id="rId12" w:type="default"/>
          <w:pgSz w:w="11906" w:h="16838"/>
          <w:pgMar w:top="240" w:right="1134" w:bottom="240" w:left="1134" w:header="720" w:footer="720" w:gutter="0"/>
          <w:cols w:space="720" w:num="1"/>
          <w:docGrid w:type="linesAndChars" w:linePitch="331" w:charSpace="0"/>
        </w:sectPr>
      </w:pPr>
    </w:p>
    <w:p>
      <w:pPr>
        <w:numPr>
          <w:ilvl w:val="0"/>
          <w:numId w:val="7"/>
        </w:numPr>
        <w:spacing w:before="107"/>
        <w:ind w:left="91" w:right="95"/>
        <w:rPr>
          <w:rFonts w:hint="eastAsia" w:ascii="宋体" w:hAnsi="宋体" w:cs="宋体"/>
          <w:b/>
          <w:szCs w:val="21"/>
          <w:lang w:eastAsia="zh-CN"/>
        </w:rPr>
      </w:pPr>
      <w:r>
        <w:rPr>
          <w:rFonts w:hint="eastAsia" w:ascii="宋体" w:hAnsi="宋体" w:cs="宋体"/>
          <w:b/>
          <w:szCs w:val="21"/>
        </w:rPr>
        <w:t>投标报价明细表（必须提供）</w:t>
      </w:r>
      <w:r>
        <w:rPr>
          <w:rFonts w:hint="eastAsia" w:ascii="宋体" w:hAnsi="宋体" w:cs="宋体"/>
          <w:b/>
          <w:szCs w:val="21"/>
          <w:lang w:eastAsia="zh-CN"/>
        </w:rPr>
        <w:t>；</w:t>
      </w:r>
    </w:p>
    <w:p>
      <w:pPr>
        <w:numPr>
          <w:ilvl w:val="0"/>
          <w:numId w:val="0"/>
        </w:numPr>
        <w:spacing w:before="107"/>
        <w:ind w:right="95" w:rightChars="0"/>
        <w:rPr>
          <w:rFonts w:ascii="宋体" w:hAnsi="宋体" w:cs="宋体"/>
          <w:b/>
          <w:bCs/>
          <w:sz w:val="28"/>
          <w:szCs w:val="28"/>
        </w:rPr>
      </w:pPr>
      <w:r>
        <w:rPr>
          <w:rFonts w:hint="eastAsia" w:ascii="宋体" w:hAnsi="宋体" w:cs="宋体"/>
          <w:b/>
          <w:szCs w:val="21"/>
        </w:rPr>
        <w:t xml:space="preserve">附件：  </w:t>
      </w:r>
      <w:r>
        <w:rPr>
          <w:rFonts w:hint="eastAsia" w:ascii="宋体" w:hAnsi="宋体" w:cs="宋体"/>
          <w:b/>
          <w:szCs w:val="21"/>
          <w:lang w:val="en-US" w:eastAsia="zh-CN"/>
        </w:rPr>
        <w:t xml:space="preserve">                       </w:t>
      </w:r>
      <w:r>
        <w:rPr>
          <w:rFonts w:hint="eastAsia" w:ascii="宋体" w:hAnsi="宋体" w:cs="宋体"/>
          <w:b/>
          <w:bCs/>
          <w:sz w:val="28"/>
          <w:szCs w:val="28"/>
        </w:rPr>
        <w:t>投标报价明细表</w:t>
      </w:r>
      <w:r>
        <w:rPr>
          <w:rFonts w:ascii="宋体" w:hAnsi="宋体" w:cs="宋体"/>
          <w:b/>
          <w:bCs/>
          <w:sz w:val="28"/>
          <w:szCs w:val="28"/>
        </w:rPr>
        <w:t>（格式）</w:t>
      </w:r>
    </w:p>
    <w:p>
      <w:pPr>
        <w:spacing w:before="107"/>
        <w:ind w:left="91" w:right="95"/>
        <w:jc w:val="left"/>
        <w:rPr>
          <w:rFonts w:ascii="宋体" w:hAnsi="宋体" w:cs="宋体"/>
          <w:szCs w:val="21"/>
        </w:rPr>
      </w:pPr>
      <w:r>
        <w:rPr>
          <w:rFonts w:hint="eastAsia" w:ascii="宋体" w:hAnsi="宋体" w:cs="宋体"/>
          <w:b/>
          <w:szCs w:val="21"/>
        </w:rPr>
        <w:t xml:space="preserve">                  </w:t>
      </w:r>
    </w:p>
    <w:tbl>
      <w:tblPr>
        <w:tblStyle w:val="43"/>
        <w:tblW w:w="106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2"/>
        <w:gridCol w:w="1983"/>
        <w:gridCol w:w="1219"/>
        <w:gridCol w:w="2328"/>
        <w:gridCol w:w="706"/>
        <w:gridCol w:w="587"/>
        <w:gridCol w:w="664"/>
        <w:gridCol w:w="1806"/>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6" w:hRule="atLeast"/>
          <w:jc w:val="center"/>
        </w:trPr>
        <w:tc>
          <w:tcPr>
            <w:tcW w:w="4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r>
              <w:rPr>
                <w:rFonts w:hint="eastAsia" w:ascii="宋体" w:hAnsi="宋体" w:cs="宋体"/>
                <w:kern w:val="0"/>
                <w:szCs w:val="21"/>
              </w:rPr>
              <w:t>项号</w:t>
            </w:r>
          </w:p>
        </w:tc>
        <w:tc>
          <w:tcPr>
            <w:tcW w:w="198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r>
              <w:rPr>
                <w:rFonts w:hint="eastAsia" w:ascii="宋体" w:hAnsi="宋体" w:cs="宋体"/>
                <w:kern w:val="0"/>
                <w:szCs w:val="21"/>
              </w:rPr>
              <w:t>货物名称</w:t>
            </w:r>
          </w:p>
        </w:tc>
        <w:tc>
          <w:tcPr>
            <w:tcW w:w="12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r>
              <w:rPr>
                <w:rFonts w:hint="eastAsia" w:ascii="宋体" w:hAnsi="宋体" w:cs="宋体"/>
                <w:kern w:val="0"/>
                <w:szCs w:val="21"/>
              </w:rPr>
              <w:t>生产厂家</w:t>
            </w:r>
          </w:p>
        </w:tc>
        <w:tc>
          <w:tcPr>
            <w:tcW w:w="232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r>
              <w:rPr>
                <w:rFonts w:hint="eastAsia" w:ascii="宋体" w:hAnsi="宋体" w:cs="宋体"/>
                <w:kern w:val="0"/>
                <w:szCs w:val="21"/>
              </w:rPr>
              <w:t>品牌、规格型号</w:t>
            </w:r>
          </w:p>
        </w:tc>
        <w:tc>
          <w:tcPr>
            <w:tcW w:w="7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r>
              <w:rPr>
                <w:rFonts w:hint="eastAsia" w:ascii="宋体" w:hAnsi="宋体" w:cs="宋体"/>
                <w:kern w:val="0"/>
                <w:szCs w:val="21"/>
              </w:rPr>
              <w:t>数量</w:t>
            </w:r>
          </w:p>
          <w:p>
            <w:pPr>
              <w:spacing w:line="380" w:lineRule="exact"/>
              <w:jc w:val="center"/>
              <w:rPr>
                <w:rFonts w:ascii="宋体" w:hAnsi="宋体" w:cs="宋体"/>
                <w:kern w:val="0"/>
                <w:szCs w:val="21"/>
              </w:rPr>
            </w:pPr>
            <w:r>
              <w:rPr>
                <w:rFonts w:hint="eastAsia" w:ascii="宋体" w:hAnsi="宋体" w:cs="宋体"/>
                <w:kern w:val="0"/>
                <w:szCs w:val="21"/>
              </w:rPr>
              <w:t>①</w:t>
            </w:r>
          </w:p>
        </w:tc>
        <w:tc>
          <w:tcPr>
            <w:tcW w:w="58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r>
              <w:rPr>
                <w:rFonts w:hint="eastAsia" w:ascii="宋体" w:hAnsi="宋体" w:cs="宋体"/>
                <w:kern w:val="0"/>
                <w:szCs w:val="21"/>
              </w:rPr>
              <w:t>单位</w:t>
            </w:r>
          </w:p>
        </w:tc>
        <w:tc>
          <w:tcPr>
            <w:tcW w:w="6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r>
              <w:rPr>
                <w:rFonts w:hint="eastAsia" w:ascii="宋体" w:hAnsi="宋体" w:cs="宋体"/>
                <w:kern w:val="0"/>
                <w:szCs w:val="21"/>
              </w:rPr>
              <w:t>单价</w:t>
            </w:r>
          </w:p>
          <w:p>
            <w:pPr>
              <w:spacing w:line="380" w:lineRule="exact"/>
              <w:jc w:val="center"/>
              <w:rPr>
                <w:rFonts w:ascii="宋体" w:hAnsi="宋体" w:cs="宋体"/>
                <w:kern w:val="0"/>
                <w:szCs w:val="21"/>
              </w:rPr>
            </w:pPr>
            <w:r>
              <w:rPr>
                <w:rFonts w:hint="eastAsia" w:ascii="宋体" w:hAnsi="宋体" w:cs="宋体"/>
                <w:kern w:val="0"/>
                <w:szCs w:val="21"/>
              </w:rPr>
              <w:t>②</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r>
              <w:rPr>
                <w:rFonts w:hint="eastAsia" w:ascii="宋体" w:hAnsi="宋体" w:cs="宋体"/>
                <w:kern w:val="0"/>
                <w:szCs w:val="21"/>
              </w:rPr>
              <w:t>单项合计=数量×单价</w:t>
            </w:r>
          </w:p>
          <w:p>
            <w:pPr>
              <w:spacing w:line="380" w:lineRule="exact"/>
              <w:jc w:val="center"/>
              <w:rPr>
                <w:rFonts w:ascii="宋体" w:hAnsi="宋体" w:cs="宋体"/>
                <w:kern w:val="0"/>
                <w:szCs w:val="21"/>
              </w:rPr>
            </w:pPr>
            <w:r>
              <w:rPr>
                <w:rFonts w:hint="eastAsia" w:ascii="宋体" w:hAnsi="宋体" w:cs="宋体"/>
                <w:kern w:val="0"/>
                <w:szCs w:val="21"/>
              </w:rPr>
              <w:t>③＝①×②</w:t>
            </w:r>
          </w:p>
        </w:tc>
        <w:tc>
          <w:tcPr>
            <w:tcW w:w="900" w:type="dxa"/>
            <w:tcBorders>
              <w:bottom w:val="single" w:color="auto" w:sz="4" w:space="0"/>
            </w:tcBorders>
            <w:vAlign w:val="center"/>
          </w:tcPr>
          <w:p>
            <w:pPr>
              <w:spacing w:line="380" w:lineRule="exact"/>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4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r>
              <w:rPr>
                <w:rFonts w:hint="eastAsia" w:ascii="宋体" w:hAnsi="宋体" w:cs="宋体"/>
                <w:kern w:val="0"/>
                <w:szCs w:val="21"/>
              </w:rPr>
              <w:t>1</w:t>
            </w:r>
          </w:p>
        </w:tc>
        <w:tc>
          <w:tcPr>
            <w:tcW w:w="198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p>
        </w:tc>
        <w:tc>
          <w:tcPr>
            <w:tcW w:w="232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p>
        </w:tc>
        <w:tc>
          <w:tcPr>
            <w:tcW w:w="58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kern w:val="0"/>
                <w:szCs w:val="21"/>
              </w:rPr>
            </w:pPr>
          </w:p>
        </w:tc>
        <w:tc>
          <w:tcPr>
            <w:tcW w:w="18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kern w:val="0"/>
                <w:szCs w:val="21"/>
              </w:rPr>
            </w:pPr>
          </w:p>
        </w:tc>
        <w:tc>
          <w:tcPr>
            <w:tcW w:w="900" w:type="dxa"/>
            <w:tcBorders>
              <w:top w:val="single" w:color="auto" w:sz="4" w:space="0"/>
              <w:bottom w:val="single" w:color="auto" w:sz="4" w:space="0"/>
            </w:tcBorders>
            <w:vAlign w:val="center"/>
          </w:tcPr>
          <w:p>
            <w:pPr>
              <w:spacing w:line="380" w:lineRule="exact"/>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2" w:hRule="atLeast"/>
          <w:jc w:val="center"/>
        </w:trPr>
        <w:tc>
          <w:tcPr>
            <w:tcW w:w="422" w:type="dxa"/>
            <w:tcBorders>
              <w:top w:val="single" w:color="auto" w:sz="4" w:space="0"/>
              <w:left w:val="single" w:color="auto" w:sz="4" w:space="0"/>
              <w:right w:val="single" w:color="auto" w:sz="4" w:space="0"/>
            </w:tcBorders>
            <w:vAlign w:val="center"/>
          </w:tcPr>
          <w:p>
            <w:pPr>
              <w:spacing w:line="380" w:lineRule="exact"/>
              <w:jc w:val="center"/>
              <w:rPr>
                <w:rFonts w:ascii="宋体" w:hAnsi="宋体" w:cs="宋体"/>
                <w:kern w:val="0"/>
                <w:szCs w:val="21"/>
              </w:rPr>
            </w:pPr>
            <w:r>
              <w:rPr>
                <w:rFonts w:hint="eastAsia" w:ascii="宋体" w:hAnsi="宋体" w:cs="宋体"/>
                <w:kern w:val="0"/>
                <w:szCs w:val="21"/>
              </w:rPr>
              <w:t>2</w:t>
            </w:r>
          </w:p>
        </w:tc>
        <w:tc>
          <w:tcPr>
            <w:tcW w:w="198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p>
        </w:tc>
        <w:tc>
          <w:tcPr>
            <w:tcW w:w="232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p>
        </w:tc>
        <w:tc>
          <w:tcPr>
            <w:tcW w:w="58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kern w:val="0"/>
                <w:szCs w:val="21"/>
              </w:rPr>
            </w:pPr>
          </w:p>
        </w:tc>
        <w:tc>
          <w:tcPr>
            <w:tcW w:w="18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kern w:val="0"/>
                <w:szCs w:val="21"/>
              </w:rPr>
            </w:pPr>
          </w:p>
        </w:tc>
        <w:tc>
          <w:tcPr>
            <w:tcW w:w="900" w:type="dxa"/>
            <w:tcBorders>
              <w:top w:val="single" w:color="auto" w:sz="4" w:space="0"/>
              <w:bottom w:val="single" w:color="auto" w:sz="4" w:space="0"/>
            </w:tcBorders>
            <w:vAlign w:val="center"/>
          </w:tcPr>
          <w:p>
            <w:pPr>
              <w:spacing w:line="380" w:lineRule="exact"/>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2" w:hRule="atLeast"/>
          <w:jc w:val="center"/>
        </w:trPr>
        <w:tc>
          <w:tcPr>
            <w:tcW w:w="422" w:type="dxa"/>
            <w:tcBorders>
              <w:top w:val="single" w:color="auto" w:sz="4" w:space="0"/>
              <w:left w:val="single" w:color="auto" w:sz="4" w:space="0"/>
              <w:right w:val="single" w:color="auto" w:sz="4" w:space="0"/>
            </w:tcBorders>
            <w:vAlign w:val="center"/>
          </w:tcPr>
          <w:p>
            <w:pPr>
              <w:spacing w:line="380" w:lineRule="exact"/>
              <w:jc w:val="center"/>
              <w:rPr>
                <w:rFonts w:ascii="宋体" w:hAnsi="宋体" w:cs="宋体"/>
                <w:kern w:val="0"/>
                <w:szCs w:val="21"/>
              </w:rPr>
            </w:pPr>
            <w:r>
              <w:rPr>
                <w:rFonts w:hint="eastAsia" w:ascii="宋体" w:hAnsi="宋体" w:cs="宋体"/>
                <w:kern w:val="0"/>
                <w:szCs w:val="21"/>
              </w:rPr>
              <w:t>…</w:t>
            </w:r>
          </w:p>
        </w:tc>
        <w:tc>
          <w:tcPr>
            <w:tcW w:w="198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p>
        </w:tc>
        <w:tc>
          <w:tcPr>
            <w:tcW w:w="232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p>
        </w:tc>
        <w:tc>
          <w:tcPr>
            <w:tcW w:w="58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kern w:val="0"/>
                <w:szCs w:val="21"/>
              </w:rPr>
            </w:pPr>
          </w:p>
        </w:tc>
        <w:tc>
          <w:tcPr>
            <w:tcW w:w="18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kern w:val="0"/>
                <w:szCs w:val="21"/>
              </w:rPr>
            </w:pPr>
          </w:p>
        </w:tc>
        <w:tc>
          <w:tcPr>
            <w:tcW w:w="900" w:type="dxa"/>
            <w:tcBorders>
              <w:top w:val="single" w:color="auto" w:sz="4" w:space="0"/>
              <w:bottom w:val="single" w:color="auto" w:sz="4" w:space="0"/>
            </w:tcBorders>
            <w:vAlign w:val="center"/>
          </w:tcPr>
          <w:p>
            <w:pPr>
              <w:spacing w:line="380" w:lineRule="exact"/>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2" w:hRule="atLeast"/>
          <w:jc w:val="center"/>
        </w:trPr>
        <w:tc>
          <w:tcPr>
            <w:tcW w:w="422" w:type="dxa"/>
            <w:tcBorders>
              <w:top w:val="single" w:color="auto" w:sz="4" w:space="0"/>
              <w:left w:val="single" w:color="auto" w:sz="4" w:space="0"/>
              <w:right w:val="single" w:color="auto" w:sz="4" w:space="0"/>
            </w:tcBorders>
            <w:vAlign w:val="center"/>
          </w:tcPr>
          <w:p>
            <w:pPr>
              <w:spacing w:line="380" w:lineRule="exact"/>
              <w:jc w:val="center"/>
              <w:rPr>
                <w:rFonts w:ascii="宋体" w:hAnsi="宋体" w:cs="宋体"/>
                <w:kern w:val="0"/>
                <w:szCs w:val="21"/>
              </w:rPr>
            </w:pPr>
            <w:r>
              <w:rPr>
                <w:rFonts w:hint="eastAsia" w:ascii="宋体" w:hAnsi="宋体" w:cs="宋体"/>
                <w:kern w:val="0"/>
                <w:szCs w:val="21"/>
              </w:rPr>
              <w:t>N</w:t>
            </w:r>
          </w:p>
        </w:tc>
        <w:tc>
          <w:tcPr>
            <w:tcW w:w="198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r>
              <w:rPr>
                <w:rFonts w:hint="eastAsia" w:ascii="宋体" w:hAnsi="宋体" w:cs="宋体"/>
                <w:kern w:val="0"/>
                <w:szCs w:val="21"/>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kern w:val="0"/>
                <w:szCs w:val="21"/>
              </w:rPr>
            </w:pPr>
          </w:p>
        </w:tc>
        <w:tc>
          <w:tcPr>
            <w:tcW w:w="232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r>
              <w:rPr>
                <w:rFonts w:hint="eastAsia" w:ascii="宋体" w:hAnsi="宋体" w:cs="宋体"/>
                <w:kern w:val="0"/>
                <w:szCs w:val="21"/>
              </w:rPr>
              <w:t>…</w:t>
            </w:r>
          </w:p>
        </w:tc>
        <w:tc>
          <w:tcPr>
            <w:tcW w:w="58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kern w:val="0"/>
                <w:szCs w:val="21"/>
              </w:rPr>
            </w:pPr>
          </w:p>
        </w:tc>
        <w:tc>
          <w:tcPr>
            <w:tcW w:w="18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kern w:val="0"/>
                <w:szCs w:val="21"/>
              </w:rPr>
            </w:pPr>
          </w:p>
        </w:tc>
        <w:tc>
          <w:tcPr>
            <w:tcW w:w="900" w:type="dxa"/>
            <w:tcBorders>
              <w:top w:val="single" w:color="auto" w:sz="4" w:space="0"/>
              <w:bottom w:val="single" w:color="auto" w:sz="4" w:space="0"/>
            </w:tcBorders>
            <w:vAlign w:val="center"/>
          </w:tcPr>
          <w:p>
            <w:pPr>
              <w:spacing w:line="380" w:lineRule="exact"/>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2" w:hRule="atLeast"/>
          <w:jc w:val="center"/>
        </w:trPr>
        <w:tc>
          <w:tcPr>
            <w:tcW w:w="422" w:type="dxa"/>
            <w:tcBorders>
              <w:top w:val="single" w:color="auto" w:sz="4" w:space="0"/>
              <w:left w:val="single" w:color="auto" w:sz="4" w:space="0"/>
              <w:right w:val="single" w:color="auto" w:sz="4" w:space="0"/>
            </w:tcBorders>
            <w:vAlign w:val="center"/>
          </w:tcPr>
          <w:p>
            <w:pPr>
              <w:spacing w:line="380" w:lineRule="exact"/>
              <w:jc w:val="center"/>
              <w:rPr>
                <w:rFonts w:ascii="宋体" w:hAnsi="宋体" w:cs="宋体"/>
                <w:kern w:val="0"/>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kern w:val="0"/>
                <w:szCs w:val="21"/>
              </w:rPr>
            </w:pPr>
          </w:p>
        </w:tc>
        <w:tc>
          <w:tcPr>
            <w:tcW w:w="232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p>
        </w:tc>
        <w:tc>
          <w:tcPr>
            <w:tcW w:w="58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kern w:val="0"/>
                <w:szCs w:val="21"/>
              </w:rPr>
            </w:pPr>
          </w:p>
        </w:tc>
        <w:tc>
          <w:tcPr>
            <w:tcW w:w="18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kern w:val="0"/>
                <w:szCs w:val="21"/>
              </w:rPr>
            </w:pPr>
          </w:p>
        </w:tc>
        <w:tc>
          <w:tcPr>
            <w:tcW w:w="900" w:type="dxa"/>
            <w:tcBorders>
              <w:top w:val="single" w:color="auto" w:sz="4" w:space="0"/>
              <w:bottom w:val="single" w:color="auto" w:sz="4" w:space="0"/>
            </w:tcBorders>
            <w:vAlign w:val="center"/>
          </w:tcPr>
          <w:p>
            <w:pPr>
              <w:spacing w:line="380" w:lineRule="exact"/>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4" w:hRule="atLeast"/>
          <w:jc w:val="center"/>
        </w:trPr>
        <w:tc>
          <w:tcPr>
            <w:tcW w:w="10615" w:type="dxa"/>
            <w:gridSpan w:val="9"/>
            <w:tcBorders>
              <w:top w:val="single" w:color="auto" w:sz="4" w:space="0"/>
              <w:left w:val="single" w:color="auto" w:sz="4" w:space="0"/>
              <w:bottom w:val="single" w:color="auto" w:sz="4" w:space="0"/>
            </w:tcBorders>
            <w:vAlign w:val="center"/>
          </w:tcPr>
          <w:p>
            <w:pPr>
              <w:spacing w:line="380" w:lineRule="exact"/>
              <w:rPr>
                <w:rFonts w:ascii="宋体" w:hAnsi="宋体" w:cs="宋体"/>
                <w:b/>
                <w:bCs/>
                <w:kern w:val="0"/>
                <w:szCs w:val="21"/>
              </w:rPr>
            </w:pPr>
            <w:r>
              <w:rPr>
                <w:rFonts w:hint="eastAsia" w:ascii="宋体" w:hAnsi="宋体" w:cs="宋体"/>
                <w:kern w:val="0"/>
                <w:szCs w:val="21"/>
              </w:rPr>
              <w:t>投标总报价（大写）：                                                                 元人民币（</w:t>
            </w:r>
            <w:r>
              <w:rPr>
                <w:rFonts w:hint="eastAsia" w:hAnsi="宋体" w:cs="宋体"/>
                <w:kern w:val="2"/>
                <w:sz w:val="21"/>
                <w:szCs w:val="21"/>
                <w:lang w:val="en-US" w:eastAsia="zh-CN"/>
              </w:rPr>
              <w:t>¥</w:t>
            </w:r>
            <w:r>
              <w:rPr>
                <w:rFonts w:hint="eastAsia"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2" w:hRule="atLeast"/>
          <w:jc w:val="center"/>
        </w:trPr>
        <w:tc>
          <w:tcPr>
            <w:tcW w:w="10615" w:type="dxa"/>
            <w:gridSpan w:val="9"/>
            <w:tcBorders>
              <w:top w:val="single" w:color="auto" w:sz="4" w:space="0"/>
              <w:left w:val="single" w:color="auto" w:sz="4" w:space="0"/>
              <w:bottom w:val="single" w:color="auto" w:sz="4" w:space="0"/>
            </w:tcBorders>
            <w:vAlign w:val="center"/>
          </w:tcPr>
          <w:p>
            <w:pPr>
              <w:spacing w:line="380" w:lineRule="exact"/>
              <w:rPr>
                <w:rFonts w:ascii="宋体" w:hAnsi="宋体" w:cs="宋体"/>
                <w:kern w:val="0"/>
                <w:szCs w:val="21"/>
              </w:rPr>
            </w:pPr>
            <w:r>
              <w:rPr>
                <w:rFonts w:hint="eastAsia" w:ascii="宋体" w:hAnsi="宋体" w:cs="宋体"/>
                <w:kern w:val="0"/>
                <w:szCs w:val="21"/>
              </w:rPr>
              <w:t>交付使用期: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2" w:hRule="atLeast"/>
          <w:jc w:val="center"/>
        </w:trPr>
        <w:tc>
          <w:tcPr>
            <w:tcW w:w="10615" w:type="dxa"/>
            <w:gridSpan w:val="9"/>
            <w:tcBorders>
              <w:top w:val="single" w:color="auto" w:sz="4" w:space="0"/>
              <w:left w:val="single" w:color="auto" w:sz="4" w:space="0"/>
              <w:bottom w:val="single" w:color="auto" w:sz="4" w:space="0"/>
            </w:tcBorders>
            <w:vAlign w:val="center"/>
          </w:tcPr>
          <w:p>
            <w:pPr>
              <w:spacing w:line="380" w:lineRule="exact"/>
              <w:rPr>
                <w:rFonts w:ascii="宋体" w:hAnsi="宋体" w:cs="宋体"/>
                <w:kern w:val="0"/>
                <w:szCs w:val="21"/>
              </w:rPr>
            </w:pPr>
            <w:r>
              <w:rPr>
                <w:rFonts w:hint="eastAsia" w:ascii="宋体" w:hAnsi="宋体" w:cs="宋体"/>
                <w:kern w:val="0"/>
                <w:szCs w:val="21"/>
              </w:rPr>
              <w:t>免费保修期: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8" w:hRule="atLeast"/>
          <w:jc w:val="center"/>
        </w:trPr>
        <w:tc>
          <w:tcPr>
            <w:tcW w:w="10615" w:type="dxa"/>
            <w:gridSpan w:val="9"/>
            <w:tcBorders>
              <w:top w:val="single" w:color="auto" w:sz="4" w:space="0"/>
              <w:left w:val="single" w:color="auto" w:sz="4" w:space="0"/>
              <w:bottom w:val="single" w:color="auto" w:sz="4" w:space="0"/>
            </w:tcBorders>
            <w:vAlign w:val="center"/>
          </w:tcPr>
          <w:p>
            <w:pPr>
              <w:spacing w:line="380" w:lineRule="exact"/>
              <w:rPr>
                <w:rFonts w:ascii="宋体" w:hAnsi="宋体" w:cs="宋体"/>
                <w:kern w:val="0"/>
                <w:szCs w:val="21"/>
              </w:rPr>
            </w:pPr>
            <w:r>
              <w:rPr>
                <w:rFonts w:hint="eastAsia" w:ascii="宋体" w:hAnsi="宋体" w:cs="宋体"/>
                <w:kern w:val="0"/>
                <w:szCs w:val="21"/>
              </w:rPr>
              <w:t>其中：属于《节能产品政府采购清单》目录内产品的总金额为人民币（大写）：               元（</w:t>
            </w:r>
            <w:r>
              <w:rPr>
                <w:rFonts w:hint="eastAsia" w:hAnsi="宋体" w:cs="宋体"/>
                <w:kern w:val="2"/>
                <w:sz w:val="21"/>
                <w:szCs w:val="21"/>
                <w:lang w:val="en-US" w:eastAsia="zh-CN"/>
              </w:rPr>
              <w:t>¥</w:t>
            </w:r>
            <w:r>
              <w:rPr>
                <w:rFonts w:hint="eastAsia" w:ascii="宋体" w:hAnsi="宋体" w:cs="宋体"/>
                <w:kern w:val="0"/>
                <w:szCs w:val="21"/>
              </w:rPr>
              <w:t xml:space="preserve">            ）；</w:t>
            </w:r>
          </w:p>
          <w:p>
            <w:pPr>
              <w:spacing w:line="380" w:lineRule="exact"/>
              <w:ind w:firstLine="630" w:firstLineChars="300"/>
              <w:rPr>
                <w:rFonts w:ascii="宋体" w:hAnsi="宋体" w:cs="宋体"/>
                <w:kern w:val="0"/>
                <w:szCs w:val="21"/>
              </w:rPr>
            </w:pPr>
            <w:r>
              <w:rPr>
                <w:rFonts w:hint="eastAsia" w:ascii="宋体" w:hAnsi="宋体" w:cs="宋体"/>
                <w:kern w:val="0"/>
                <w:szCs w:val="21"/>
              </w:rPr>
              <w:t>属于《环境标志产品政府采购清单》目录内产品的总金额为人民币（大写）：                   元（</w:t>
            </w:r>
            <w:r>
              <w:rPr>
                <w:rFonts w:hint="eastAsia" w:hAnsi="宋体" w:cs="宋体"/>
                <w:kern w:val="2"/>
                <w:sz w:val="21"/>
                <w:szCs w:val="21"/>
                <w:lang w:val="en-US" w:eastAsia="zh-CN"/>
              </w:rPr>
              <w:t>¥</w:t>
            </w:r>
            <w:r>
              <w:rPr>
                <w:rFonts w:hint="eastAsia" w:ascii="宋体" w:hAnsi="宋体" w:cs="宋体"/>
                <w:kern w:val="0"/>
                <w:szCs w:val="21"/>
              </w:rPr>
              <w:t xml:space="preserve">             ）。</w:t>
            </w:r>
          </w:p>
          <w:p>
            <w:pPr>
              <w:spacing w:line="380" w:lineRule="exact"/>
              <w:rPr>
                <w:rFonts w:ascii="宋体" w:hAnsi="宋体" w:cs="宋体"/>
                <w:b/>
                <w:bCs/>
                <w:kern w:val="0"/>
                <w:szCs w:val="21"/>
              </w:rPr>
            </w:pPr>
            <w:r>
              <w:rPr>
                <w:rFonts w:hint="eastAsia" w:ascii="宋体" w:hAnsi="宋体" w:cs="宋体"/>
                <w:b/>
                <w:kern w:val="0"/>
                <w:szCs w:val="21"/>
              </w:rPr>
              <w:t>备注：若不属于《节能产品政府采购清单》及《环境标志产品政府采购清单》目录内产品的，则该处填写“无”字样。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jc w:val="center"/>
        </w:trPr>
        <w:tc>
          <w:tcPr>
            <w:tcW w:w="10615" w:type="dxa"/>
            <w:gridSpan w:val="9"/>
            <w:tcBorders>
              <w:top w:val="single" w:color="auto" w:sz="4" w:space="0"/>
              <w:left w:val="single" w:color="auto" w:sz="4" w:space="0"/>
              <w:bottom w:val="single" w:color="auto" w:sz="4" w:space="0"/>
            </w:tcBorders>
            <w:vAlign w:val="center"/>
          </w:tcPr>
          <w:p>
            <w:pPr>
              <w:spacing w:line="380" w:lineRule="exact"/>
              <w:rPr>
                <w:rFonts w:ascii="宋体" w:hAnsi="宋体" w:cs="宋体"/>
                <w:b/>
                <w:bCs/>
                <w:kern w:val="0"/>
                <w:szCs w:val="21"/>
              </w:rPr>
            </w:pPr>
            <w:r>
              <w:rPr>
                <w:rFonts w:hint="eastAsia" w:ascii="宋体" w:hAnsi="宋体" w:cs="宋体"/>
                <w:kern w:val="0"/>
                <w:szCs w:val="21"/>
              </w:rPr>
              <w:t>说明：投标报价指本次招标采购范围内货物价款、货物随配标准附件、包装、运输、装卸、保险、税金、货到位以及安装、安装所需辅材、调试、检验、售后服务、培训、保修及其他所有成本费用的总和；投标人综合考虑在报价中。</w:t>
            </w:r>
          </w:p>
        </w:tc>
      </w:tr>
    </w:tbl>
    <w:p>
      <w:pPr>
        <w:spacing w:line="360" w:lineRule="auto"/>
        <w:ind w:firstLine="1260" w:firstLineChars="600"/>
        <w:rPr>
          <w:rFonts w:ascii="宋体" w:hAnsi="宋体" w:cs="宋体"/>
          <w:kern w:val="0"/>
          <w:szCs w:val="21"/>
        </w:rPr>
      </w:pPr>
    </w:p>
    <w:p>
      <w:pPr>
        <w:spacing w:line="360" w:lineRule="auto"/>
        <w:ind w:firstLine="1260" w:firstLineChars="600"/>
        <w:rPr>
          <w:rFonts w:ascii="宋体" w:hAnsi="宋体" w:cs="宋体"/>
          <w:kern w:val="0"/>
          <w:szCs w:val="21"/>
          <w:u w:val="single"/>
        </w:rPr>
      </w:pPr>
      <w:r>
        <w:rPr>
          <w:rFonts w:hint="eastAsia" w:ascii="宋体" w:hAnsi="宋体" w:cs="宋体"/>
          <w:kern w:val="0"/>
          <w:szCs w:val="21"/>
        </w:rPr>
        <w:t>投标人（CA证书签章）：</w:t>
      </w:r>
      <w:r>
        <w:rPr>
          <w:rFonts w:hint="eastAsia" w:ascii="宋体" w:hAnsi="宋体" w:cs="宋体"/>
          <w:kern w:val="0"/>
          <w:szCs w:val="21"/>
          <w:u w:val="single"/>
        </w:rPr>
        <w:t xml:space="preserve">                                        </w:t>
      </w:r>
    </w:p>
    <w:p>
      <w:pPr>
        <w:spacing w:line="360" w:lineRule="auto"/>
        <w:ind w:firstLine="1260" w:firstLineChars="600"/>
        <w:rPr>
          <w:rFonts w:ascii="宋体" w:hAnsi="宋体" w:cs="宋体"/>
          <w:kern w:val="0"/>
          <w:szCs w:val="21"/>
          <w:u w:val="single"/>
        </w:rPr>
      </w:pPr>
      <w:r>
        <w:rPr>
          <w:rFonts w:hint="eastAsia" w:ascii="宋体" w:hAnsi="宋体" w:cs="宋体"/>
          <w:kern w:val="0"/>
          <w:szCs w:val="21"/>
        </w:rPr>
        <w:t>法定代表人、负责人、自然人或相应的委托代理人签字或盖章（或个人CA证书签章）：</w:t>
      </w:r>
      <w:r>
        <w:rPr>
          <w:rFonts w:hint="eastAsia" w:ascii="宋体" w:hAnsi="宋体" w:cs="宋体"/>
          <w:kern w:val="0"/>
          <w:szCs w:val="21"/>
          <w:u w:val="single"/>
        </w:rPr>
        <w:t xml:space="preserve">                                    </w:t>
      </w:r>
    </w:p>
    <w:p>
      <w:pPr>
        <w:tabs>
          <w:tab w:val="left" w:pos="1305"/>
        </w:tabs>
        <w:spacing w:line="360" w:lineRule="auto"/>
        <w:rPr>
          <w:rFonts w:ascii="宋体" w:hAnsi="宋体" w:cs="宋体"/>
          <w:bCs/>
          <w:kern w:val="0"/>
          <w:szCs w:val="21"/>
        </w:rPr>
      </w:pPr>
      <w:r>
        <w:rPr>
          <w:rFonts w:hint="eastAsia" w:ascii="宋体" w:hAnsi="宋体" w:cs="宋体"/>
          <w:bCs/>
          <w:kern w:val="0"/>
          <w:szCs w:val="21"/>
        </w:rPr>
        <w:t>注</w:t>
      </w:r>
      <w:r>
        <w:rPr>
          <w:rFonts w:hint="eastAsia" w:ascii="宋体" w:hAnsi="宋体" w:cs="宋体"/>
          <w:b/>
          <w:bCs/>
          <w:kern w:val="0"/>
          <w:szCs w:val="21"/>
        </w:rPr>
        <w:t>：</w:t>
      </w:r>
      <w:r>
        <w:rPr>
          <w:rFonts w:hint="eastAsia" w:ascii="宋体" w:hAnsi="宋体" w:cs="宋体"/>
          <w:bCs/>
          <w:kern w:val="0"/>
          <w:szCs w:val="21"/>
        </w:rPr>
        <w:t>1.各投标人</w:t>
      </w:r>
      <w:r>
        <w:rPr>
          <w:rFonts w:hint="eastAsia" w:ascii="宋体" w:hAnsi="宋体" w:cs="宋体"/>
          <w:kern w:val="0"/>
          <w:szCs w:val="21"/>
        </w:rPr>
        <w:t>必须就“货物采购需求”中所投分标的所有内容作完整唯一报价，否则，其投标将被拒绝。投标文件只允许有一个报价。</w:t>
      </w:r>
    </w:p>
    <w:p>
      <w:pPr>
        <w:pStyle w:val="27"/>
        <w:spacing w:line="360" w:lineRule="auto"/>
        <w:rPr>
          <w:rFonts w:hAnsi="宋体" w:cs="宋体"/>
          <w:sz w:val="21"/>
          <w:szCs w:val="21"/>
        </w:rPr>
      </w:pPr>
      <w:r>
        <w:rPr>
          <w:rFonts w:hint="eastAsia" w:hAnsi="宋体" w:cs="宋体"/>
          <w:sz w:val="21"/>
          <w:szCs w:val="21"/>
        </w:rPr>
        <w:t>2.投标人应根据所投货物如实填写投标报价表</w:t>
      </w:r>
      <w:r>
        <w:rPr>
          <w:rFonts w:hint="eastAsia" w:hAnsi="宋体" w:cs="宋体"/>
          <w:bCs/>
          <w:sz w:val="21"/>
          <w:szCs w:val="21"/>
        </w:rPr>
        <w:t>的各项内容。</w:t>
      </w:r>
    </w:p>
    <w:p>
      <w:pPr>
        <w:pStyle w:val="27"/>
        <w:spacing w:line="360" w:lineRule="auto"/>
        <w:rPr>
          <w:rFonts w:hAnsi="宋体" w:cs="宋体"/>
          <w:b/>
          <w:sz w:val="21"/>
          <w:szCs w:val="21"/>
        </w:rPr>
      </w:pPr>
      <w:r>
        <w:rPr>
          <w:rFonts w:hint="eastAsia" w:hAnsi="宋体" w:cs="宋体"/>
          <w:sz w:val="21"/>
          <w:szCs w:val="21"/>
        </w:rPr>
        <w:t>3.投标报价表须由法定代表人(负责人、自然人)或相应的委托代理人签字（或个人CA证书签章）并加盖投标人公章（CA证书签章）。</w:t>
      </w:r>
    </w:p>
    <w:p>
      <w:pPr>
        <w:pStyle w:val="27"/>
        <w:spacing w:line="400" w:lineRule="exact"/>
        <w:rPr>
          <w:rFonts w:hint="eastAsia" w:hAnsi="宋体" w:cs="宋体"/>
          <w:b/>
          <w:sz w:val="21"/>
          <w:szCs w:val="21"/>
        </w:rPr>
      </w:pPr>
      <w:r>
        <w:rPr>
          <w:rFonts w:hint="eastAsia" w:hAnsi="宋体" w:cs="宋体"/>
          <w:b/>
          <w:sz w:val="21"/>
          <w:szCs w:val="21"/>
        </w:rPr>
        <w:t>当本表由多页构成时，需逐页由法定代表人(负责人、自然人)或相应的委托代理人签字（或个人CA证书签章）并加盖投标人公章（CA证书签章）。</w:t>
      </w:r>
    </w:p>
    <w:p>
      <w:pPr>
        <w:pStyle w:val="27"/>
        <w:spacing w:line="400" w:lineRule="exact"/>
        <w:rPr>
          <w:rFonts w:ascii="宋体" w:hAnsi="宋体" w:cs="宋体"/>
          <w:sz w:val="22"/>
          <w:szCs w:val="22"/>
        </w:rPr>
      </w:pPr>
      <w:r>
        <w:rPr>
          <w:rFonts w:hint="eastAsia" w:hAnsi="宋体" w:cs="宋体"/>
          <w:b/>
          <w:bCs/>
          <w:sz w:val="22"/>
          <w:szCs w:val="22"/>
          <w:lang w:val="en-US" w:eastAsia="zh-CN"/>
        </w:rPr>
        <w:t>3</w:t>
      </w:r>
      <w:r>
        <w:rPr>
          <w:rFonts w:ascii="宋体" w:hAnsi="宋体" w:cs="宋体"/>
          <w:b/>
          <w:bCs/>
          <w:sz w:val="22"/>
          <w:szCs w:val="22"/>
        </w:rPr>
        <w:t>.技术规格偏离表</w:t>
      </w:r>
      <w:r>
        <w:rPr>
          <w:rFonts w:hint="eastAsia" w:ascii="宋体" w:hAnsi="宋体" w:cs="宋体"/>
          <w:b/>
          <w:bCs/>
          <w:sz w:val="22"/>
          <w:szCs w:val="22"/>
        </w:rPr>
        <w:t>、</w:t>
      </w:r>
      <w:r>
        <w:rPr>
          <w:rFonts w:hint="eastAsia" w:hAnsi="宋体" w:cs="宋体"/>
          <w:b/>
          <w:sz w:val="22"/>
          <w:szCs w:val="22"/>
        </w:rPr>
        <w:t>服务内容及要求响应表</w:t>
      </w:r>
      <w:r>
        <w:rPr>
          <w:rFonts w:ascii="宋体" w:hAnsi="宋体" w:cs="宋体"/>
          <w:b/>
          <w:bCs/>
          <w:sz w:val="22"/>
          <w:szCs w:val="22"/>
        </w:rPr>
        <w:t>（必须提供）</w:t>
      </w:r>
      <w:r>
        <w:rPr>
          <w:rFonts w:hint="eastAsia" w:ascii="宋体" w:hAnsi="宋体" w:cs="宋体"/>
          <w:b/>
          <w:bCs/>
          <w:sz w:val="22"/>
          <w:szCs w:val="22"/>
        </w:rPr>
        <w:t>；</w:t>
      </w:r>
    </w:p>
    <w:p>
      <w:pPr>
        <w:spacing w:line="480" w:lineRule="auto"/>
        <w:ind w:left="3789"/>
        <w:rPr>
          <w:rFonts w:ascii="宋体" w:hAnsi="宋体" w:cs="宋体"/>
          <w:sz w:val="28"/>
          <w:szCs w:val="28"/>
        </w:rPr>
      </w:pPr>
      <w:r>
        <w:rPr>
          <w:rFonts w:ascii="宋体" w:hAnsi="宋体" w:cs="宋体"/>
          <w:b/>
          <w:bCs/>
          <w:sz w:val="28"/>
          <w:szCs w:val="28"/>
        </w:rPr>
        <w:t>技术规格偏离表（格式）</w:t>
      </w:r>
    </w:p>
    <w:tbl>
      <w:tblPr>
        <w:tblStyle w:val="43"/>
        <w:tblW w:w="9498" w:type="dxa"/>
        <w:tblInd w:w="102" w:type="dxa"/>
        <w:tblLayout w:type="fixed"/>
        <w:tblCellMar>
          <w:top w:w="0" w:type="dxa"/>
          <w:left w:w="0" w:type="dxa"/>
          <w:bottom w:w="0" w:type="dxa"/>
          <w:right w:w="0" w:type="dxa"/>
        </w:tblCellMar>
      </w:tblPr>
      <w:tblGrid>
        <w:gridCol w:w="850"/>
        <w:gridCol w:w="1390"/>
        <w:gridCol w:w="2489"/>
        <w:gridCol w:w="2520"/>
        <w:gridCol w:w="2249"/>
      </w:tblGrid>
      <w:tr>
        <w:tblPrEx>
          <w:tblCellMar>
            <w:top w:w="0" w:type="dxa"/>
            <w:left w:w="0" w:type="dxa"/>
            <w:bottom w:w="0" w:type="dxa"/>
            <w:right w:w="0" w:type="dxa"/>
          </w:tblCellMar>
        </w:tblPrEx>
        <w:trPr>
          <w:trHeight w:val="652" w:hRule="exact"/>
        </w:trPr>
        <w:tc>
          <w:tcPr>
            <w:tcW w:w="850" w:type="dxa"/>
            <w:tcBorders>
              <w:top w:val="single" w:color="000000" w:sz="4" w:space="0"/>
              <w:left w:val="single" w:color="000000" w:sz="4" w:space="0"/>
              <w:bottom w:val="single" w:color="000000" w:sz="4" w:space="0"/>
              <w:right w:val="single" w:color="000000" w:sz="4" w:space="0"/>
            </w:tcBorders>
            <w:vAlign w:val="center"/>
          </w:tcPr>
          <w:p>
            <w:pPr>
              <w:pStyle w:val="202"/>
              <w:jc w:val="center"/>
              <w:rPr>
                <w:rFonts w:ascii="宋体" w:hAnsi="宋体" w:cs="宋体"/>
                <w:szCs w:val="21"/>
              </w:rPr>
            </w:pPr>
            <w:r>
              <w:rPr>
                <w:rFonts w:ascii="宋体" w:hAnsi="宋体" w:cs="宋体"/>
                <w:szCs w:val="21"/>
              </w:rPr>
              <w:t>序号</w:t>
            </w:r>
          </w:p>
        </w:tc>
        <w:tc>
          <w:tcPr>
            <w:tcW w:w="1390" w:type="dxa"/>
            <w:tcBorders>
              <w:top w:val="single" w:color="000000" w:sz="4" w:space="0"/>
              <w:left w:val="single" w:color="000000" w:sz="4" w:space="0"/>
              <w:bottom w:val="single" w:color="000000" w:sz="4" w:space="0"/>
              <w:right w:val="single" w:color="000000" w:sz="4" w:space="0"/>
            </w:tcBorders>
            <w:vAlign w:val="center"/>
          </w:tcPr>
          <w:p>
            <w:pPr>
              <w:pStyle w:val="202"/>
              <w:jc w:val="center"/>
              <w:rPr>
                <w:rFonts w:ascii="宋体" w:hAnsi="宋体" w:cs="宋体"/>
                <w:szCs w:val="21"/>
              </w:rPr>
            </w:pPr>
            <w:r>
              <w:rPr>
                <w:rFonts w:ascii="宋体" w:hAnsi="宋体" w:cs="宋体"/>
                <w:szCs w:val="21"/>
              </w:rPr>
              <w:t>货物名称</w:t>
            </w:r>
          </w:p>
        </w:tc>
        <w:tc>
          <w:tcPr>
            <w:tcW w:w="2489" w:type="dxa"/>
            <w:tcBorders>
              <w:top w:val="single" w:color="000000" w:sz="4" w:space="0"/>
              <w:left w:val="single" w:color="000000" w:sz="4" w:space="0"/>
              <w:bottom w:val="single" w:color="000000" w:sz="4" w:space="0"/>
              <w:right w:val="single" w:color="000000" w:sz="4" w:space="0"/>
            </w:tcBorders>
          </w:tcPr>
          <w:p>
            <w:pPr>
              <w:pStyle w:val="202"/>
              <w:spacing w:before="167"/>
              <w:ind w:left="290"/>
              <w:rPr>
                <w:rFonts w:ascii="宋体" w:hAnsi="宋体" w:cs="宋体"/>
                <w:szCs w:val="21"/>
              </w:rPr>
            </w:pPr>
            <w:r>
              <w:rPr>
                <w:rFonts w:ascii="宋体" w:hAnsi="宋体" w:cs="宋体"/>
                <w:szCs w:val="21"/>
              </w:rPr>
              <w:t>项目要求及技术需求</w:t>
            </w:r>
          </w:p>
        </w:tc>
        <w:tc>
          <w:tcPr>
            <w:tcW w:w="2520" w:type="dxa"/>
            <w:tcBorders>
              <w:top w:val="single" w:color="000000" w:sz="4" w:space="0"/>
              <w:left w:val="single" w:color="000000" w:sz="4" w:space="0"/>
              <w:bottom w:val="single" w:color="000000" w:sz="4" w:space="0"/>
              <w:right w:val="single" w:color="000000" w:sz="4" w:space="0"/>
            </w:tcBorders>
          </w:tcPr>
          <w:p>
            <w:pPr>
              <w:pStyle w:val="202"/>
              <w:spacing w:before="167"/>
              <w:ind w:left="304"/>
              <w:rPr>
                <w:rFonts w:ascii="宋体" w:hAnsi="宋体" w:cs="宋体"/>
                <w:szCs w:val="21"/>
              </w:rPr>
            </w:pPr>
            <w:r>
              <w:rPr>
                <w:rFonts w:ascii="宋体" w:hAnsi="宋体" w:cs="宋体"/>
                <w:szCs w:val="21"/>
              </w:rPr>
              <w:t>投标文件的响应情况</w:t>
            </w:r>
          </w:p>
        </w:tc>
        <w:tc>
          <w:tcPr>
            <w:tcW w:w="2249" w:type="dxa"/>
            <w:tcBorders>
              <w:top w:val="single" w:color="000000" w:sz="4" w:space="0"/>
              <w:left w:val="single" w:color="000000" w:sz="4" w:space="0"/>
              <w:bottom w:val="single" w:color="000000" w:sz="4" w:space="0"/>
              <w:right w:val="single" w:color="000000" w:sz="4" w:space="0"/>
            </w:tcBorders>
            <w:vAlign w:val="center"/>
          </w:tcPr>
          <w:p>
            <w:pPr>
              <w:pStyle w:val="202"/>
              <w:ind w:firstLine="420" w:firstLineChars="200"/>
              <w:rPr>
                <w:rFonts w:ascii="宋体" w:hAnsi="宋体" w:cs="宋体"/>
                <w:szCs w:val="21"/>
              </w:rPr>
            </w:pPr>
            <w:r>
              <w:rPr>
                <w:rFonts w:ascii="宋体" w:hAnsi="宋体" w:cs="宋体"/>
                <w:szCs w:val="21"/>
              </w:rPr>
              <w:t>偏离情况说明</w:t>
            </w:r>
          </w:p>
        </w:tc>
      </w:tr>
      <w:tr>
        <w:tblPrEx>
          <w:tblCellMar>
            <w:top w:w="0" w:type="dxa"/>
            <w:left w:w="0" w:type="dxa"/>
            <w:bottom w:w="0" w:type="dxa"/>
            <w:right w:w="0" w:type="dxa"/>
          </w:tblCellMar>
        </w:tblPrEx>
        <w:trPr>
          <w:trHeight w:val="610" w:hRule="exact"/>
        </w:trPr>
        <w:tc>
          <w:tcPr>
            <w:tcW w:w="850" w:type="dxa"/>
            <w:tcBorders>
              <w:top w:val="single" w:color="000000" w:sz="4" w:space="0"/>
              <w:left w:val="single" w:color="000000" w:sz="4" w:space="0"/>
              <w:bottom w:val="single" w:color="000000" w:sz="4" w:space="0"/>
              <w:right w:val="single" w:color="000000" w:sz="4" w:space="0"/>
            </w:tcBorders>
          </w:tcPr>
          <w:p>
            <w:pPr>
              <w:pStyle w:val="202"/>
              <w:spacing w:before="131"/>
              <w:ind w:right="2"/>
              <w:jc w:val="center"/>
              <w:rPr>
                <w:rFonts w:ascii="宋体" w:hAnsi="宋体" w:cs="宋体"/>
                <w:szCs w:val="21"/>
              </w:rPr>
            </w:pPr>
            <w:r>
              <w:rPr>
                <w:rFonts w:ascii="宋体"/>
              </w:rPr>
              <w:t>1</w:t>
            </w:r>
          </w:p>
        </w:tc>
        <w:tc>
          <w:tcPr>
            <w:tcW w:w="1390" w:type="dxa"/>
            <w:tcBorders>
              <w:top w:val="single" w:color="000000" w:sz="4" w:space="0"/>
              <w:left w:val="single" w:color="000000" w:sz="4" w:space="0"/>
              <w:bottom w:val="single" w:color="000000" w:sz="4" w:space="0"/>
              <w:right w:val="single" w:color="000000" w:sz="4" w:space="0"/>
            </w:tcBorders>
          </w:tcPr>
          <w:p/>
        </w:tc>
        <w:tc>
          <w:tcPr>
            <w:tcW w:w="2489" w:type="dxa"/>
            <w:tcBorders>
              <w:top w:val="single" w:color="000000" w:sz="4" w:space="0"/>
              <w:left w:val="single" w:color="000000" w:sz="4" w:space="0"/>
              <w:bottom w:val="single" w:color="000000" w:sz="4" w:space="0"/>
              <w:right w:val="single" w:color="000000" w:sz="4" w:space="0"/>
            </w:tcBorders>
          </w:tcPr>
          <w:p/>
        </w:tc>
        <w:tc>
          <w:tcPr>
            <w:tcW w:w="2520" w:type="dxa"/>
            <w:tcBorders>
              <w:top w:val="single" w:color="000000" w:sz="4" w:space="0"/>
              <w:left w:val="single" w:color="000000" w:sz="4" w:space="0"/>
              <w:bottom w:val="single" w:color="000000" w:sz="4" w:space="0"/>
              <w:right w:val="single" w:color="000000" w:sz="4" w:space="0"/>
            </w:tcBorders>
          </w:tcPr>
          <w:p/>
        </w:tc>
        <w:tc>
          <w:tcPr>
            <w:tcW w:w="224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0" w:hRule="exact"/>
        </w:trPr>
        <w:tc>
          <w:tcPr>
            <w:tcW w:w="850" w:type="dxa"/>
            <w:tcBorders>
              <w:top w:val="single" w:color="000000" w:sz="4" w:space="0"/>
              <w:left w:val="single" w:color="000000" w:sz="4" w:space="0"/>
              <w:bottom w:val="single" w:color="000000" w:sz="4" w:space="0"/>
              <w:right w:val="single" w:color="000000" w:sz="4" w:space="0"/>
            </w:tcBorders>
          </w:tcPr>
          <w:p>
            <w:pPr>
              <w:pStyle w:val="202"/>
              <w:spacing w:before="131"/>
              <w:ind w:right="2"/>
              <w:jc w:val="center"/>
              <w:rPr>
                <w:rFonts w:ascii="宋体" w:hAnsi="宋体" w:cs="宋体"/>
                <w:szCs w:val="21"/>
              </w:rPr>
            </w:pPr>
            <w:r>
              <w:rPr>
                <w:rFonts w:ascii="宋体"/>
              </w:rPr>
              <w:t>2</w:t>
            </w:r>
          </w:p>
        </w:tc>
        <w:tc>
          <w:tcPr>
            <w:tcW w:w="1390" w:type="dxa"/>
            <w:tcBorders>
              <w:top w:val="single" w:color="000000" w:sz="4" w:space="0"/>
              <w:left w:val="single" w:color="000000" w:sz="4" w:space="0"/>
              <w:bottom w:val="single" w:color="000000" w:sz="4" w:space="0"/>
              <w:right w:val="single" w:color="000000" w:sz="4" w:space="0"/>
            </w:tcBorders>
          </w:tcPr>
          <w:p/>
        </w:tc>
        <w:tc>
          <w:tcPr>
            <w:tcW w:w="2489" w:type="dxa"/>
            <w:tcBorders>
              <w:top w:val="single" w:color="000000" w:sz="4" w:space="0"/>
              <w:left w:val="single" w:color="000000" w:sz="4" w:space="0"/>
              <w:bottom w:val="single" w:color="000000" w:sz="4" w:space="0"/>
              <w:right w:val="single" w:color="000000" w:sz="4" w:space="0"/>
            </w:tcBorders>
          </w:tcPr>
          <w:p/>
        </w:tc>
        <w:tc>
          <w:tcPr>
            <w:tcW w:w="2520" w:type="dxa"/>
            <w:tcBorders>
              <w:top w:val="single" w:color="000000" w:sz="4" w:space="0"/>
              <w:left w:val="single" w:color="000000" w:sz="4" w:space="0"/>
              <w:bottom w:val="single" w:color="000000" w:sz="4" w:space="0"/>
              <w:right w:val="single" w:color="000000" w:sz="4" w:space="0"/>
            </w:tcBorders>
          </w:tcPr>
          <w:p/>
        </w:tc>
        <w:tc>
          <w:tcPr>
            <w:tcW w:w="224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2" w:hRule="exact"/>
        </w:trPr>
        <w:tc>
          <w:tcPr>
            <w:tcW w:w="850" w:type="dxa"/>
            <w:tcBorders>
              <w:top w:val="single" w:color="000000" w:sz="4" w:space="0"/>
              <w:left w:val="single" w:color="000000" w:sz="4" w:space="0"/>
              <w:bottom w:val="single" w:color="000000" w:sz="4" w:space="0"/>
              <w:right w:val="single" w:color="000000" w:sz="4" w:space="0"/>
            </w:tcBorders>
          </w:tcPr>
          <w:p>
            <w:pPr>
              <w:pStyle w:val="202"/>
              <w:spacing w:before="134"/>
              <w:ind w:right="2"/>
              <w:jc w:val="center"/>
              <w:rPr>
                <w:rFonts w:ascii="宋体" w:hAnsi="宋体" w:cs="宋体"/>
                <w:szCs w:val="21"/>
              </w:rPr>
            </w:pPr>
            <w:r>
              <w:rPr>
                <w:rFonts w:ascii="宋体" w:hAnsi="宋体" w:cs="宋体"/>
                <w:szCs w:val="21"/>
              </w:rPr>
              <w:t>…</w:t>
            </w:r>
          </w:p>
        </w:tc>
        <w:tc>
          <w:tcPr>
            <w:tcW w:w="1390" w:type="dxa"/>
            <w:tcBorders>
              <w:top w:val="single" w:color="000000" w:sz="4" w:space="0"/>
              <w:left w:val="single" w:color="000000" w:sz="4" w:space="0"/>
              <w:bottom w:val="single" w:color="000000" w:sz="4" w:space="0"/>
              <w:right w:val="single" w:color="000000" w:sz="4" w:space="0"/>
            </w:tcBorders>
          </w:tcPr>
          <w:p/>
        </w:tc>
        <w:tc>
          <w:tcPr>
            <w:tcW w:w="2489" w:type="dxa"/>
            <w:tcBorders>
              <w:top w:val="single" w:color="000000" w:sz="4" w:space="0"/>
              <w:left w:val="single" w:color="000000" w:sz="4" w:space="0"/>
              <w:bottom w:val="single" w:color="000000" w:sz="4" w:space="0"/>
              <w:right w:val="single" w:color="000000" w:sz="4" w:space="0"/>
            </w:tcBorders>
          </w:tcPr>
          <w:p/>
        </w:tc>
        <w:tc>
          <w:tcPr>
            <w:tcW w:w="2520" w:type="dxa"/>
            <w:tcBorders>
              <w:top w:val="single" w:color="000000" w:sz="4" w:space="0"/>
              <w:left w:val="single" w:color="000000" w:sz="4" w:space="0"/>
              <w:bottom w:val="single" w:color="000000" w:sz="4" w:space="0"/>
              <w:right w:val="single" w:color="000000" w:sz="4" w:space="0"/>
            </w:tcBorders>
          </w:tcPr>
          <w:p/>
        </w:tc>
        <w:tc>
          <w:tcPr>
            <w:tcW w:w="224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0" w:hRule="exact"/>
        </w:trPr>
        <w:tc>
          <w:tcPr>
            <w:tcW w:w="850" w:type="dxa"/>
            <w:tcBorders>
              <w:top w:val="single" w:color="000000" w:sz="4" w:space="0"/>
              <w:left w:val="single" w:color="000000" w:sz="4" w:space="0"/>
              <w:bottom w:val="single" w:color="000000" w:sz="4" w:space="0"/>
              <w:right w:val="single" w:color="000000" w:sz="4" w:space="0"/>
            </w:tcBorders>
          </w:tcPr>
          <w:p/>
        </w:tc>
        <w:tc>
          <w:tcPr>
            <w:tcW w:w="1390" w:type="dxa"/>
            <w:tcBorders>
              <w:top w:val="single" w:color="000000" w:sz="4" w:space="0"/>
              <w:left w:val="single" w:color="000000" w:sz="4" w:space="0"/>
              <w:bottom w:val="single" w:color="000000" w:sz="4" w:space="0"/>
              <w:right w:val="single" w:color="000000" w:sz="4" w:space="0"/>
            </w:tcBorders>
          </w:tcPr>
          <w:p/>
        </w:tc>
        <w:tc>
          <w:tcPr>
            <w:tcW w:w="2489" w:type="dxa"/>
            <w:tcBorders>
              <w:top w:val="single" w:color="000000" w:sz="4" w:space="0"/>
              <w:left w:val="single" w:color="000000" w:sz="4" w:space="0"/>
              <w:bottom w:val="single" w:color="000000" w:sz="4" w:space="0"/>
              <w:right w:val="single" w:color="000000" w:sz="4" w:space="0"/>
            </w:tcBorders>
          </w:tcPr>
          <w:p/>
        </w:tc>
        <w:tc>
          <w:tcPr>
            <w:tcW w:w="2520" w:type="dxa"/>
            <w:tcBorders>
              <w:top w:val="single" w:color="000000" w:sz="4" w:space="0"/>
              <w:left w:val="single" w:color="000000" w:sz="4" w:space="0"/>
              <w:bottom w:val="single" w:color="000000" w:sz="4" w:space="0"/>
              <w:right w:val="single" w:color="000000" w:sz="4" w:space="0"/>
            </w:tcBorders>
          </w:tcPr>
          <w:p/>
        </w:tc>
        <w:tc>
          <w:tcPr>
            <w:tcW w:w="2249" w:type="dxa"/>
            <w:tcBorders>
              <w:top w:val="single" w:color="000000" w:sz="4" w:space="0"/>
              <w:left w:val="single" w:color="000000" w:sz="4" w:space="0"/>
              <w:bottom w:val="single" w:color="000000" w:sz="4" w:space="0"/>
              <w:right w:val="single" w:color="000000" w:sz="4" w:space="0"/>
            </w:tcBorders>
          </w:tcPr>
          <w:p/>
        </w:tc>
      </w:tr>
    </w:tbl>
    <w:p>
      <w:pPr>
        <w:rPr>
          <w:rFonts w:ascii="宋体" w:hAnsi="宋体" w:cs="宋体"/>
          <w:b/>
          <w:bCs/>
          <w:sz w:val="20"/>
          <w:szCs w:val="20"/>
        </w:rPr>
      </w:pPr>
    </w:p>
    <w:p>
      <w:pPr>
        <w:pStyle w:val="22"/>
        <w:tabs>
          <w:tab w:val="left" w:pos="9869"/>
        </w:tabs>
        <w:spacing w:before="36" w:line="360" w:lineRule="auto"/>
        <w:ind w:firstLine="1260" w:firstLineChars="600"/>
        <w:rPr>
          <w:rFonts w:ascii="宋体" w:hAnsi="宋体" w:eastAsia="宋体" w:cs="宋体"/>
          <w:sz w:val="21"/>
          <w:szCs w:val="21"/>
        </w:rPr>
      </w:pPr>
      <w:r>
        <w:rPr>
          <w:rFonts w:hint="eastAsia" w:ascii="宋体" w:hAnsi="宋体" w:eastAsia="宋体" w:cs="宋体"/>
          <w:sz w:val="21"/>
          <w:szCs w:val="21"/>
        </w:rPr>
        <w:t>投标人（CA证书签章）：</w:t>
      </w:r>
      <w:r>
        <w:rPr>
          <w:rFonts w:hint="eastAsia" w:ascii="宋体" w:hAnsi="宋体" w:eastAsia="宋体" w:cs="宋体"/>
          <w:sz w:val="21"/>
          <w:szCs w:val="21"/>
          <w:u w:val="single" w:color="000000"/>
        </w:rPr>
        <w:tab/>
      </w:r>
    </w:p>
    <w:p>
      <w:pPr>
        <w:pStyle w:val="22"/>
        <w:tabs>
          <w:tab w:val="left" w:pos="9792"/>
        </w:tabs>
        <w:spacing w:before="37" w:line="360" w:lineRule="auto"/>
        <w:ind w:firstLine="1260" w:firstLineChars="600"/>
        <w:rPr>
          <w:rFonts w:eastAsia="Times New Roman"/>
          <w:sz w:val="24"/>
          <w:szCs w:val="24"/>
        </w:rPr>
      </w:pPr>
      <w:r>
        <w:rPr>
          <w:rFonts w:hint="eastAsia" w:ascii="宋体" w:hAnsi="宋体" w:eastAsia="宋体" w:cs="宋体"/>
          <w:sz w:val="21"/>
          <w:szCs w:val="21"/>
        </w:rPr>
        <w:t>法定代表人、负责人、自然人或相应的委托代理人签字（或个人CA证书签章）：</w:t>
      </w:r>
      <w:r>
        <w:rPr>
          <w:rFonts w:hint="eastAsia" w:ascii="宋体" w:hAnsi="宋体" w:eastAsia="宋体" w:cs="宋体"/>
          <w:sz w:val="21"/>
          <w:szCs w:val="21"/>
          <w:u w:val="single" w:color="000000"/>
        </w:rPr>
        <w:tab/>
      </w:r>
    </w:p>
    <w:p>
      <w:pPr>
        <w:pStyle w:val="22"/>
        <w:tabs>
          <w:tab w:val="left" w:pos="3972"/>
          <w:tab w:val="left" w:pos="9687"/>
        </w:tabs>
        <w:spacing w:before="36" w:line="360" w:lineRule="auto"/>
        <w:ind w:firstLine="1260" w:firstLineChars="600"/>
        <w:rPr>
          <w:rFonts w:eastAsia="Times New Roman"/>
          <w:sz w:val="22"/>
          <w:szCs w:val="22"/>
        </w:rPr>
      </w:pPr>
      <w:r>
        <w:rPr>
          <w:rFonts w:hint="eastAsia" w:ascii="宋体" w:hAnsi="宋体" w:eastAsia="宋体" w:cs="宋体"/>
          <w:sz w:val="21"/>
          <w:szCs w:val="21"/>
        </w:rPr>
        <w:t>日  期：</w:t>
      </w:r>
      <w:r>
        <w:rPr>
          <w:rFonts w:hint="eastAsia" w:ascii="宋体" w:hAnsi="宋体" w:eastAsia="宋体" w:cs="宋体"/>
          <w:sz w:val="21"/>
          <w:szCs w:val="21"/>
          <w:u w:val="single" w:color="000000"/>
        </w:rPr>
        <w:tab/>
      </w:r>
    </w:p>
    <w:p>
      <w:pPr>
        <w:pStyle w:val="9"/>
        <w:spacing w:before="172"/>
        <w:rPr>
          <w:rFonts w:ascii="Times New Roman" w:hAnsi="Times New Roman"/>
        </w:rPr>
      </w:pPr>
      <w:r>
        <w:rPr>
          <w:rFonts w:hint="eastAsia" w:ascii="Times New Roman" w:hAnsi="Times New Roman"/>
          <w:sz w:val="22"/>
          <w:szCs w:val="22"/>
        </w:rPr>
        <w:t>注：当本表由多页构成时，需逐页加盖投标人公章（属自然人的须逐页签字（</w:t>
      </w:r>
      <w:r>
        <w:rPr>
          <w:rFonts w:hint="eastAsia" w:ascii="宋体" w:hAnsi="宋体" w:cs="宋体"/>
          <w:sz w:val="21"/>
          <w:szCs w:val="21"/>
        </w:rPr>
        <w:t>或个人CA证书签章</w:t>
      </w:r>
      <w:r>
        <w:rPr>
          <w:rFonts w:hint="eastAsia" w:ascii="Times New Roman" w:hAnsi="Times New Roman"/>
          <w:sz w:val="22"/>
          <w:szCs w:val="22"/>
        </w:rPr>
        <w:t>）。</w:t>
      </w:r>
    </w:p>
    <w:p>
      <w:pPr>
        <w:pStyle w:val="27"/>
        <w:jc w:val="center"/>
        <w:rPr>
          <w:rFonts w:ascii="Calibri" w:hAnsi="宋体" w:cs="宋体"/>
          <w:b/>
          <w:kern w:val="2"/>
          <w:sz w:val="24"/>
          <w:szCs w:val="24"/>
        </w:rPr>
      </w:pPr>
    </w:p>
    <w:p>
      <w:pPr>
        <w:pStyle w:val="27"/>
        <w:jc w:val="center"/>
        <w:rPr>
          <w:rFonts w:hAnsi="宋体"/>
          <w:sz w:val="30"/>
        </w:rPr>
      </w:pPr>
      <w:r>
        <w:rPr>
          <w:rFonts w:hint="eastAsia" w:ascii="Calibri" w:hAnsi="宋体" w:cs="宋体"/>
          <w:b/>
          <w:kern w:val="2"/>
          <w:sz w:val="24"/>
          <w:szCs w:val="24"/>
        </w:rPr>
        <w:t>服务内容及要求响应表（格式）</w:t>
      </w:r>
    </w:p>
    <w:p>
      <w:pPr>
        <w:pStyle w:val="27"/>
      </w:pPr>
    </w:p>
    <w:tbl>
      <w:tblPr>
        <w:tblStyle w:val="43"/>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2155"/>
        <w:gridCol w:w="4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94" w:type="dxa"/>
            <w:vAlign w:val="center"/>
          </w:tcPr>
          <w:p>
            <w:pPr>
              <w:pStyle w:val="27"/>
              <w:spacing w:line="400" w:lineRule="exact"/>
              <w:jc w:val="center"/>
              <w:rPr>
                <w:sz w:val="21"/>
                <w:szCs w:val="21"/>
              </w:rPr>
            </w:pPr>
            <w:r>
              <w:rPr>
                <w:rFonts w:hint="eastAsia"/>
                <w:sz w:val="21"/>
                <w:szCs w:val="21"/>
              </w:rPr>
              <w:t>服务名称</w:t>
            </w:r>
          </w:p>
        </w:tc>
        <w:tc>
          <w:tcPr>
            <w:tcW w:w="2155" w:type="dxa"/>
            <w:vAlign w:val="center"/>
          </w:tcPr>
          <w:p>
            <w:pPr>
              <w:pStyle w:val="27"/>
              <w:spacing w:line="400" w:lineRule="exact"/>
              <w:jc w:val="center"/>
              <w:rPr>
                <w:sz w:val="21"/>
                <w:szCs w:val="21"/>
              </w:rPr>
            </w:pPr>
            <w:r>
              <w:rPr>
                <w:rFonts w:hint="eastAsia"/>
                <w:sz w:val="21"/>
                <w:szCs w:val="21"/>
              </w:rPr>
              <w:t>项目需求</w:t>
            </w:r>
          </w:p>
        </w:tc>
        <w:tc>
          <w:tcPr>
            <w:tcW w:w="4631" w:type="dxa"/>
            <w:vAlign w:val="center"/>
          </w:tcPr>
          <w:p>
            <w:pPr>
              <w:pStyle w:val="27"/>
              <w:spacing w:line="400" w:lineRule="exact"/>
              <w:jc w:val="center"/>
              <w:rPr>
                <w:sz w:val="21"/>
                <w:szCs w:val="21"/>
              </w:rPr>
            </w:pPr>
            <w:r>
              <w:rPr>
                <w:rFonts w:hint="eastAsia"/>
                <w:sz w:val="21"/>
                <w:szCs w:val="21"/>
              </w:rPr>
              <w:t>投标文件的响应情况（投标服务内容及要求承诺）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2194" w:type="dxa"/>
            <w:vAlign w:val="center"/>
          </w:tcPr>
          <w:p>
            <w:pPr>
              <w:pStyle w:val="27"/>
              <w:spacing w:line="400" w:lineRule="exact"/>
              <w:jc w:val="center"/>
              <w:rPr>
                <w:sz w:val="21"/>
                <w:szCs w:val="21"/>
              </w:rPr>
            </w:pPr>
          </w:p>
        </w:tc>
        <w:tc>
          <w:tcPr>
            <w:tcW w:w="2155" w:type="dxa"/>
            <w:vAlign w:val="center"/>
          </w:tcPr>
          <w:p>
            <w:pPr>
              <w:pStyle w:val="27"/>
              <w:spacing w:line="400" w:lineRule="exact"/>
              <w:jc w:val="center"/>
              <w:rPr>
                <w:sz w:val="21"/>
                <w:szCs w:val="21"/>
              </w:rPr>
            </w:pPr>
          </w:p>
        </w:tc>
        <w:tc>
          <w:tcPr>
            <w:tcW w:w="4631" w:type="dxa"/>
            <w:vAlign w:val="center"/>
          </w:tcPr>
          <w:p>
            <w:pPr>
              <w:pStyle w:val="27"/>
              <w:spacing w:line="400" w:lineRule="exact"/>
              <w:jc w:val="center"/>
              <w:rPr>
                <w:sz w:val="21"/>
                <w:szCs w:val="21"/>
              </w:rPr>
            </w:pPr>
          </w:p>
        </w:tc>
      </w:tr>
    </w:tbl>
    <w:p>
      <w:pPr>
        <w:snapToGrid w:val="0"/>
        <w:spacing w:line="360" w:lineRule="auto"/>
        <w:ind w:firstLine="1890" w:firstLineChars="900"/>
        <w:outlineLvl w:val="4"/>
        <w:rPr>
          <w:rFonts w:ascii="宋体" w:hAnsi="宋体"/>
          <w:szCs w:val="21"/>
        </w:rPr>
      </w:pPr>
    </w:p>
    <w:p>
      <w:pPr>
        <w:snapToGrid w:val="0"/>
        <w:spacing w:line="360" w:lineRule="auto"/>
        <w:ind w:firstLine="1680" w:firstLineChars="800"/>
        <w:outlineLvl w:val="4"/>
        <w:rPr>
          <w:rFonts w:ascii="宋体" w:hAnsi="宋体"/>
          <w:szCs w:val="21"/>
          <w:u w:val="single"/>
        </w:rPr>
      </w:pPr>
      <w:r>
        <w:rPr>
          <w:rFonts w:hint="eastAsia" w:ascii="宋体" w:hAnsi="宋体"/>
          <w:szCs w:val="21"/>
        </w:rPr>
        <w:t>投标人（CA证书签章）：</w:t>
      </w:r>
      <w:r>
        <w:rPr>
          <w:rFonts w:hint="eastAsia" w:ascii="宋体" w:hAnsi="宋体"/>
          <w:szCs w:val="21"/>
          <w:u w:val="single"/>
        </w:rPr>
        <w:t xml:space="preserve">                                         </w:t>
      </w:r>
    </w:p>
    <w:p>
      <w:pPr>
        <w:pStyle w:val="27"/>
        <w:spacing w:line="360" w:lineRule="auto"/>
        <w:ind w:firstLine="1680" w:firstLineChars="800"/>
        <w:rPr>
          <w:rFonts w:hAnsi="宋体"/>
          <w:sz w:val="21"/>
          <w:szCs w:val="21"/>
          <w:u w:val="single"/>
        </w:rPr>
      </w:pPr>
      <w:r>
        <w:rPr>
          <w:rFonts w:hint="eastAsia" w:hAnsi="宋体"/>
          <w:sz w:val="21"/>
          <w:szCs w:val="21"/>
        </w:rPr>
        <w:t>法定代表人、负责人、自然人或相应的委托代理人签字（或个人CA证书签章）：</w:t>
      </w:r>
      <w:r>
        <w:rPr>
          <w:rFonts w:hint="eastAsia" w:hAnsi="宋体"/>
          <w:sz w:val="21"/>
          <w:szCs w:val="21"/>
          <w:u w:val="single"/>
        </w:rPr>
        <w:t xml:space="preserve">                             </w:t>
      </w:r>
    </w:p>
    <w:p>
      <w:pPr>
        <w:spacing w:line="360" w:lineRule="auto"/>
        <w:ind w:firstLine="1680" w:firstLineChars="800"/>
        <w:rPr>
          <w:rFonts w:ascii="宋体" w:hAnsi="宋体" w:cs="宋体"/>
          <w:b/>
          <w:bCs/>
          <w:sz w:val="28"/>
          <w:szCs w:val="28"/>
        </w:rPr>
      </w:pPr>
      <w:r>
        <w:rPr>
          <w:rFonts w:hint="eastAsia" w:hAnsi="宋体"/>
          <w:szCs w:val="21"/>
        </w:rPr>
        <w:t>日   期：</w:t>
      </w:r>
      <w:r>
        <w:rPr>
          <w:rFonts w:hint="eastAsia" w:hAnsi="宋体"/>
          <w:szCs w:val="21"/>
          <w:u w:val="single"/>
        </w:rPr>
        <w:t xml:space="preserve">                           </w:t>
      </w:r>
    </w:p>
    <w:p>
      <w:pPr>
        <w:pStyle w:val="27"/>
        <w:spacing w:line="480" w:lineRule="auto"/>
        <w:rPr>
          <w:sz w:val="22"/>
          <w:szCs w:val="22"/>
        </w:rPr>
      </w:pPr>
      <w:r>
        <w:rPr>
          <w:rFonts w:hint="eastAsia" w:hAnsi="宋体" w:cs="宋体"/>
          <w:b/>
          <w:bCs/>
          <w:sz w:val="24"/>
          <w:szCs w:val="24"/>
        </w:rPr>
        <w:br w:type="page"/>
      </w:r>
    </w:p>
    <w:p>
      <w:pPr>
        <w:pStyle w:val="201"/>
        <w:spacing w:line="480" w:lineRule="auto"/>
        <w:rPr>
          <w:rFonts w:ascii="宋体" w:hAnsi="宋体" w:cs="宋体"/>
          <w:szCs w:val="21"/>
        </w:rPr>
      </w:pPr>
      <w:r>
        <w:rPr>
          <w:rFonts w:hint="eastAsia" w:ascii="宋体" w:hAnsi="宋体" w:cs="宋体"/>
          <w:b/>
          <w:bCs/>
          <w:szCs w:val="21"/>
          <w:lang w:val="en-US" w:eastAsia="zh-CN"/>
        </w:rPr>
        <w:t>4</w:t>
      </w:r>
      <w:r>
        <w:rPr>
          <w:rFonts w:hint="eastAsia" w:ascii="宋体" w:hAnsi="宋体" w:cs="宋体"/>
          <w:b/>
          <w:bCs/>
          <w:szCs w:val="21"/>
        </w:rPr>
        <w:t>.</w:t>
      </w:r>
      <w:r>
        <w:rPr>
          <w:rFonts w:ascii="宋体" w:hAnsi="宋体" w:cs="宋体"/>
          <w:b/>
          <w:bCs/>
          <w:szCs w:val="21"/>
        </w:rPr>
        <w:t>投标人的售后服务承诺书（含免费保修期、交付使用期、技术服务、技术培训、售后服务的内容和措施等）（必须提供）</w:t>
      </w:r>
      <w:r>
        <w:rPr>
          <w:rFonts w:hint="eastAsia" w:ascii="宋体" w:hAnsi="宋体" w:cs="宋体"/>
          <w:b/>
          <w:bCs/>
          <w:szCs w:val="21"/>
        </w:rPr>
        <w:t>；</w:t>
      </w:r>
    </w:p>
    <w:p>
      <w:pPr>
        <w:rPr>
          <w:rFonts w:ascii="宋体" w:hAnsi="宋体" w:cs="宋体"/>
          <w:b/>
          <w:bCs/>
          <w:sz w:val="24"/>
        </w:rPr>
      </w:pPr>
    </w:p>
    <w:p>
      <w:pPr>
        <w:spacing w:before="255"/>
        <w:ind w:left="3089" w:right="92"/>
        <w:rPr>
          <w:rFonts w:ascii="宋体" w:hAnsi="宋体" w:cs="宋体"/>
          <w:sz w:val="28"/>
          <w:szCs w:val="28"/>
        </w:rPr>
      </w:pPr>
      <w:r>
        <w:rPr>
          <w:rFonts w:ascii="宋体" w:hAnsi="宋体" w:cs="宋体"/>
          <w:b/>
          <w:bCs/>
          <w:sz w:val="28"/>
          <w:szCs w:val="28"/>
        </w:rPr>
        <w:t>售后服务承诺书（格式）</w:t>
      </w:r>
    </w:p>
    <w:p>
      <w:pPr>
        <w:rPr>
          <w:rFonts w:ascii="宋体" w:hAnsi="宋体" w:cs="宋体"/>
          <w:b/>
          <w:bCs/>
          <w:sz w:val="32"/>
          <w:szCs w:val="32"/>
        </w:rPr>
      </w:pPr>
    </w:p>
    <w:p>
      <w:pPr>
        <w:pStyle w:val="2"/>
        <w:rPr>
          <w:rFonts w:ascii="宋体" w:hAnsi="宋体" w:cs="宋体"/>
          <w:b/>
          <w:bCs/>
          <w:sz w:val="32"/>
          <w:szCs w:val="32"/>
        </w:rPr>
      </w:pPr>
    </w:p>
    <w:p>
      <w:pPr>
        <w:pStyle w:val="5"/>
      </w:pPr>
    </w:p>
    <w:p>
      <w:pPr>
        <w:pStyle w:val="201"/>
        <w:rPr>
          <w:rFonts w:ascii="宋体" w:hAnsi="宋体" w:cs="宋体"/>
          <w:b/>
          <w:bCs/>
          <w:szCs w:val="21"/>
        </w:rPr>
      </w:pPr>
    </w:p>
    <w:p>
      <w:pPr>
        <w:pStyle w:val="22"/>
        <w:tabs>
          <w:tab w:val="left" w:pos="9092"/>
        </w:tabs>
        <w:ind w:right="92" w:firstLine="1680" w:firstLineChars="800"/>
        <w:rPr>
          <w:rFonts w:ascii="宋体" w:hAnsi="宋体" w:eastAsia="宋体" w:cs="宋体"/>
          <w:sz w:val="21"/>
          <w:szCs w:val="21"/>
        </w:rPr>
      </w:pPr>
      <w:r>
        <w:rPr>
          <w:rFonts w:hint="eastAsia" w:ascii="宋体" w:hAnsi="宋体" w:eastAsia="宋体" w:cs="宋体"/>
          <w:sz w:val="21"/>
          <w:szCs w:val="21"/>
        </w:rPr>
        <w:t>投标人（CA证书签章）：</w:t>
      </w:r>
      <w:r>
        <w:rPr>
          <w:rFonts w:hint="eastAsia" w:ascii="宋体" w:hAnsi="宋体" w:eastAsia="宋体" w:cs="宋体"/>
          <w:sz w:val="21"/>
          <w:szCs w:val="21"/>
          <w:u w:val="single"/>
        </w:rPr>
        <w:t xml:space="preserve">                   </w:t>
      </w:r>
    </w:p>
    <w:p>
      <w:pPr>
        <w:spacing w:before="8"/>
        <w:rPr>
          <w:rFonts w:ascii="宋体" w:hAnsi="宋体" w:cs="宋体"/>
          <w:szCs w:val="21"/>
        </w:rPr>
      </w:pPr>
    </w:p>
    <w:p>
      <w:pPr>
        <w:pStyle w:val="22"/>
        <w:tabs>
          <w:tab w:val="left" w:pos="9092"/>
        </w:tabs>
        <w:spacing w:before="123"/>
        <w:ind w:right="92" w:firstLine="1680" w:firstLineChars="800"/>
        <w:rPr>
          <w:rFonts w:ascii="宋体" w:hAnsi="宋体" w:eastAsia="宋体" w:cs="宋体"/>
          <w:sz w:val="21"/>
          <w:szCs w:val="21"/>
        </w:rPr>
      </w:pPr>
      <w:r>
        <w:rPr>
          <w:rFonts w:hint="eastAsia" w:ascii="宋体" w:hAnsi="宋体" w:eastAsia="宋体" w:cs="宋体"/>
          <w:sz w:val="21"/>
          <w:szCs w:val="21"/>
        </w:rPr>
        <w:t>法定代表人、负责人、自然人或相应的委托代理人签字（或个人CA证书签章）：</w:t>
      </w:r>
      <w:r>
        <w:rPr>
          <w:rFonts w:hint="eastAsia" w:ascii="宋体" w:hAnsi="宋体" w:eastAsia="宋体" w:cs="宋体"/>
          <w:sz w:val="21"/>
          <w:szCs w:val="21"/>
          <w:u w:val="single"/>
        </w:rPr>
        <w:t xml:space="preserve">            </w:t>
      </w:r>
    </w:p>
    <w:p>
      <w:pPr>
        <w:spacing w:before="3"/>
        <w:rPr>
          <w:rFonts w:ascii="宋体" w:hAnsi="宋体" w:cs="宋体"/>
          <w:szCs w:val="21"/>
        </w:rPr>
      </w:pPr>
    </w:p>
    <w:p>
      <w:pPr>
        <w:pStyle w:val="201"/>
        <w:ind w:firstLine="1680" w:firstLineChars="800"/>
        <w:rPr>
          <w:rFonts w:ascii="宋体" w:hAnsi="宋体" w:cs="宋体"/>
          <w:szCs w:val="21"/>
        </w:rPr>
        <w:sectPr>
          <w:footerReference r:id="rId13" w:type="default"/>
          <w:pgSz w:w="11906" w:h="16838"/>
          <w:pgMar w:top="1440" w:right="935" w:bottom="1440" w:left="779" w:header="851" w:footer="992" w:gutter="0"/>
          <w:cols w:space="720" w:num="1"/>
          <w:docGrid w:type="linesAndChars" w:linePitch="312" w:charSpace="0"/>
        </w:sectPr>
      </w:pPr>
      <w:r>
        <w:rPr>
          <w:rFonts w:hint="eastAsia" w:ascii="宋体" w:hAnsi="宋体" w:cs="宋体"/>
          <w:szCs w:val="21"/>
        </w:rPr>
        <w:t xml:space="preserve">日  </w:t>
      </w:r>
      <w:r>
        <w:rPr>
          <w:rFonts w:hint="eastAsia" w:ascii="宋体" w:hAnsi="宋体" w:cs="宋体"/>
          <w:szCs w:val="21"/>
        </w:rPr>
        <w:tab/>
      </w:r>
      <w:r>
        <w:rPr>
          <w:rFonts w:hint="eastAsia" w:ascii="宋体" w:hAnsi="宋体" w:cs="宋体"/>
          <w:szCs w:val="21"/>
        </w:rPr>
        <w:t>期：</w:t>
      </w:r>
    </w:p>
    <w:p>
      <w:pPr>
        <w:numPr>
          <w:ilvl w:val="0"/>
          <w:numId w:val="8"/>
        </w:numPr>
        <w:spacing w:line="360" w:lineRule="auto"/>
        <w:jc w:val="left"/>
        <w:rPr>
          <w:rFonts w:ascii="宋体" w:hAnsi="宋体" w:cs="宋体"/>
          <w:b/>
          <w:bCs/>
          <w:sz w:val="28"/>
          <w:szCs w:val="28"/>
        </w:rPr>
      </w:pPr>
      <w:r>
        <w:rPr>
          <w:rFonts w:hint="eastAsia" w:ascii="宋体" w:hAnsi="宋体" w:cs="宋体"/>
          <w:b/>
          <w:bCs/>
          <w:sz w:val="28"/>
          <w:szCs w:val="28"/>
          <w:lang w:val="en-US" w:eastAsia="zh-CN"/>
        </w:rPr>
        <w:t>其他有效</w:t>
      </w:r>
      <w:r>
        <w:rPr>
          <w:rFonts w:ascii="宋体" w:hAnsi="宋体" w:cs="宋体"/>
          <w:b/>
          <w:bCs/>
          <w:sz w:val="28"/>
          <w:szCs w:val="28"/>
        </w:rPr>
        <w:t>证明材料（格式）</w:t>
      </w:r>
    </w:p>
    <w:p>
      <w:pPr>
        <w:pStyle w:val="201"/>
        <w:spacing w:line="480" w:lineRule="auto"/>
        <w:rPr>
          <w:rFonts w:ascii="宋体" w:hAnsi="宋体" w:cs="宋体"/>
          <w:b/>
          <w:bCs/>
          <w:szCs w:val="21"/>
          <w:highlight w:val="none"/>
        </w:rPr>
      </w:pPr>
      <w:r>
        <w:rPr>
          <w:rFonts w:hint="eastAsia" w:ascii="宋体" w:hAnsi="宋体" w:cs="宋体"/>
          <w:b/>
          <w:bCs/>
          <w:szCs w:val="21"/>
          <w:highlight w:val="none"/>
          <w:lang w:val="en-US" w:eastAsia="zh-CN"/>
        </w:rPr>
        <w:t>1</w:t>
      </w:r>
      <w:r>
        <w:rPr>
          <w:rFonts w:hint="eastAsia" w:ascii="宋体" w:hAnsi="宋体" w:cs="宋体"/>
          <w:b/>
          <w:bCs/>
          <w:szCs w:val="21"/>
          <w:highlight w:val="none"/>
        </w:rPr>
        <w:t>.</w:t>
      </w:r>
      <w:r>
        <w:rPr>
          <w:rFonts w:hint="eastAsia" w:ascii="宋体" w:hAnsi="宋体" w:cs="宋体"/>
          <w:b/>
          <w:bCs/>
          <w:szCs w:val="21"/>
          <w:highlight w:val="none"/>
          <w:lang w:val="en-US" w:eastAsia="zh-CN"/>
        </w:rPr>
        <w:t>售后服务</w:t>
      </w:r>
      <w:r>
        <w:rPr>
          <w:rFonts w:hint="eastAsia" w:ascii="宋体" w:hAnsi="宋体" w:cs="宋体"/>
          <w:b/>
          <w:bCs/>
          <w:szCs w:val="21"/>
          <w:highlight w:val="none"/>
        </w:rPr>
        <w:t>方案（</w:t>
      </w:r>
      <w:r>
        <w:rPr>
          <w:rFonts w:hint="eastAsia" w:ascii="宋体" w:hAnsi="宋体" w:cs="宋体"/>
          <w:b/>
          <w:bCs/>
          <w:szCs w:val="21"/>
        </w:rPr>
        <w:t>如有，请提供</w:t>
      </w:r>
      <w:r>
        <w:rPr>
          <w:rFonts w:hint="eastAsia" w:ascii="宋体" w:hAnsi="宋体" w:cs="宋体"/>
          <w:b/>
          <w:bCs/>
          <w:szCs w:val="21"/>
          <w:highlight w:val="none"/>
        </w:rPr>
        <w:t>）；</w:t>
      </w:r>
    </w:p>
    <w:p>
      <w:pPr>
        <w:spacing w:line="480" w:lineRule="auto"/>
        <w:ind w:right="91"/>
        <w:jc w:val="center"/>
        <w:rPr>
          <w:rFonts w:ascii="宋体" w:hAnsi="宋体" w:cs="宋体"/>
          <w:b/>
          <w:bCs/>
          <w:sz w:val="28"/>
          <w:szCs w:val="28"/>
        </w:rPr>
      </w:pPr>
      <w:r>
        <w:rPr>
          <w:rFonts w:hint="eastAsia" w:ascii="宋体" w:hAnsi="宋体" w:cs="宋体"/>
          <w:b/>
          <w:bCs/>
          <w:sz w:val="28"/>
          <w:szCs w:val="28"/>
          <w:lang w:val="en-US" w:eastAsia="zh-CN"/>
        </w:rPr>
        <w:t>售后服务</w:t>
      </w:r>
      <w:r>
        <w:rPr>
          <w:rFonts w:hint="eastAsia" w:ascii="宋体" w:hAnsi="宋体" w:cs="宋体"/>
          <w:b/>
          <w:bCs/>
          <w:sz w:val="28"/>
          <w:szCs w:val="28"/>
        </w:rPr>
        <w:t>方案（格式）</w:t>
      </w:r>
    </w:p>
    <w:p>
      <w:pPr>
        <w:pStyle w:val="22"/>
        <w:tabs>
          <w:tab w:val="left" w:pos="9092"/>
        </w:tabs>
        <w:ind w:left="1798" w:right="92"/>
        <w:rPr>
          <w:sz w:val="22"/>
          <w:szCs w:val="22"/>
        </w:rPr>
      </w:pPr>
    </w:p>
    <w:p>
      <w:pPr>
        <w:pStyle w:val="22"/>
        <w:tabs>
          <w:tab w:val="left" w:pos="9092"/>
        </w:tabs>
        <w:ind w:right="92"/>
        <w:rPr>
          <w:sz w:val="22"/>
          <w:szCs w:val="22"/>
        </w:rPr>
      </w:pPr>
    </w:p>
    <w:p>
      <w:pPr>
        <w:pStyle w:val="22"/>
        <w:tabs>
          <w:tab w:val="left" w:pos="9092"/>
        </w:tabs>
        <w:ind w:left="1798" w:right="92"/>
        <w:rPr>
          <w:sz w:val="22"/>
          <w:szCs w:val="22"/>
        </w:rPr>
      </w:pPr>
    </w:p>
    <w:p>
      <w:pPr>
        <w:pStyle w:val="22"/>
        <w:tabs>
          <w:tab w:val="left" w:pos="9092"/>
        </w:tabs>
        <w:ind w:right="92" w:firstLine="1680" w:firstLineChars="800"/>
        <w:rPr>
          <w:rFonts w:ascii="宋体" w:hAnsi="宋体" w:eastAsia="宋体" w:cs="宋体"/>
          <w:sz w:val="21"/>
          <w:szCs w:val="21"/>
        </w:rPr>
      </w:pPr>
      <w:r>
        <w:rPr>
          <w:rFonts w:hint="eastAsia" w:ascii="宋体" w:hAnsi="宋体" w:eastAsia="宋体" w:cs="宋体"/>
          <w:sz w:val="21"/>
          <w:szCs w:val="21"/>
        </w:rPr>
        <w:t>投标人（ CA证书签章）：</w:t>
      </w:r>
      <w:r>
        <w:rPr>
          <w:rFonts w:hint="eastAsia" w:ascii="宋体" w:hAnsi="宋体" w:eastAsia="宋体" w:cs="宋体"/>
          <w:sz w:val="21"/>
          <w:szCs w:val="21"/>
          <w:u w:val="single"/>
        </w:rPr>
        <w:t xml:space="preserve">           </w:t>
      </w:r>
    </w:p>
    <w:p>
      <w:pPr>
        <w:spacing w:before="8"/>
        <w:rPr>
          <w:rFonts w:ascii="宋体" w:hAnsi="宋体" w:cs="宋体"/>
          <w:szCs w:val="21"/>
        </w:rPr>
      </w:pPr>
    </w:p>
    <w:p>
      <w:pPr>
        <w:pStyle w:val="22"/>
        <w:tabs>
          <w:tab w:val="left" w:pos="9092"/>
        </w:tabs>
        <w:spacing w:before="123"/>
        <w:ind w:right="92" w:firstLine="1680" w:firstLineChars="800"/>
        <w:rPr>
          <w:rFonts w:ascii="宋体" w:hAnsi="宋体" w:eastAsia="宋体" w:cs="宋体"/>
          <w:sz w:val="21"/>
          <w:szCs w:val="21"/>
        </w:rPr>
      </w:pPr>
      <w:r>
        <w:rPr>
          <w:rFonts w:hint="eastAsia" w:ascii="宋体" w:hAnsi="宋体" w:eastAsia="宋体" w:cs="宋体"/>
          <w:sz w:val="21"/>
          <w:szCs w:val="21"/>
        </w:rPr>
        <w:t>法定代表人、负责人、自然人或相应的委托代理人签字（或个人CA证书签章）：</w:t>
      </w:r>
      <w:r>
        <w:rPr>
          <w:rFonts w:hint="eastAsia" w:ascii="宋体" w:hAnsi="宋体" w:eastAsia="宋体" w:cs="宋体"/>
          <w:sz w:val="21"/>
          <w:szCs w:val="21"/>
          <w:u w:val="single"/>
        </w:rPr>
        <w:t xml:space="preserve">          </w:t>
      </w:r>
    </w:p>
    <w:p>
      <w:pPr>
        <w:spacing w:before="3"/>
        <w:rPr>
          <w:rFonts w:ascii="宋体" w:hAnsi="宋体" w:cs="宋体"/>
          <w:szCs w:val="21"/>
        </w:rPr>
      </w:pPr>
    </w:p>
    <w:p>
      <w:pPr>
        <w:pStyle w:val="201"/>
        <w:ind w:firstLine="1680" w:firstLineChars="800"/>
        <w:rPr>
          <w:rFonts w:ascii="宋体" w:hAnsi="宋体" w:cs="宋体"/>
          <w:szCs w:val="21"/>
        </w:rPr>
      </w:pPr>
      <w:r>
        <w:rPr>
          <w:rFonts w:hint="eastAsia" w:ascii="宋体" w:hAnsi="宋体" w:cs="宋体"/>
          <w:szCs w:val="21"/>
        </w:rPr>
        <w:t>日  期：</w:t>
      </w:r>
    </w:p>
    <w:p>
      <w:pPr>
        <w:pStyle w:val="60"/>
        <w:numPr>
          <w:ilvl w:val="0"/>
          <w:numId w:val="0"/>
        </w:numPr>
        <w:rPr>
          <w:rFonts w:hint="eastAsia"/>
        </w:rPr>
      </w:pPr>
    </w:p>
    <w:p>
      <w:pPr>
        <w:rPr>
          <w:rFonts w:hint="eastAsia"/>
        </w:rPr>
      </w:pPr>
    </w:p>
    <w:p>
      <w:pPr>
        <w:pStyle w:val="27"/>
        <w:spacing w:line="400" w:lineRule="exact"/>
        <w:ind w:firstLine="2800" w:firstLineChars="1400"/>
        <w:rPr>
          <w:rFonts w:ascii="Times New Roman" w:hAnsi="Times New Roman" w:eastAsia="Times New Roman"/>
          <w:u w:val="single" w:color="000000"/>
        </w:rPr>
      </w:pPr>
    </w:p>
    <w:p>
      <w:pPr>
        <w:pStyle w:val="16"/>
        <w:rPr>
          <w:rFonts w:ascii="Times New Roman" w:hAnsi="Times New Roman" w:eastAsia="Times New Roman"/>
          <w:u w:val="single" w:color="000000"/>
        </w:rPr>
      </w:pPr>
    </w:p>
    <w:p>
      <w:pPr>
        <w:pStyle w:val="22"/>
      </w:pPr>
    </w:p>
    <w:p>
      <w:pPr>
        <w:spacing w:line="600" w:lineRule="auto"/>
        <w:ind w:right="92"/>
        <w:rPr>
          <w:rFonts w:ascii="Times New Roman" w:hAnsi="Times New Roman" w:eastAsia="Times New Roman"/>
          <w:sz w:val="21"/>
          <w:szCs w:val="21"/>
          <w:u w:val="single" w:color="000000"/>
        </w:rPr>
      </w:pPr>
      <w:r>
        <w:rPr>
          <w:rFonts w:hint="eastAsia" w:ascii="宋体" w:hAnsi="宋体" w:cs="宋体"/>
          <w:b/>
          <w:bCs/>
          <w:szCs w:val="21"/>
          <w:lang w:val="en-US" w:eastAsia="zh-CN"/>
        </w:rPr>
        <w:t>2</w:t>
      </w:r>
      <w:r>
        <w:rPr>
          <w:rFonts w:hint="eastAsia" w:ascii="宋体" w:hAnsi="宋体" w:cs="宋体"/>
          <w:b/>
          <w:bCs/>
          <w:szCs w:val="21"/>
        </w:rPr>
        <w:t>.</w:t>
      </w:r>
      <w:r>
        <w:rPr>
          <w:rFonts w:ascii="宋体" w:hAnsi="宋体" w:cs="宋体"/>
          <w:b/>
          <w:bCs/>
          <w:szCs w:val="21"/>
        </w:rPr>
        <w:t>节能方面的证书复印件（如有，请提供）</w:t>
      </w:r>
      <w:r>
        <w:rPr>
          <w:rFonts w:hint="eastAsia" w:ascii="宋体" w:hAnsi="宋体" w:cs="宋体"/>
          <w:b/>
          <w:bCs/>
          <w:szCs w:val="21"/>
        </w:rPr>
        <w:t>；</w:t>
      </w:r>
    </w:p>
    <w:p>
      <w:pPr>
        <w:pStyle w:val="27"/>
        <w:spacing w:line="600" w:lineRule="auto"/>
        <w:rPr>
          <w:rFonts w:hAnsi="宋体" w:cs="宋体"/>
          <w:b/>
          <w:bCs/>
          <w:sz w:val="21"/>
          <w:szCs w:val="21"/>
        </w:rPr>
      </w:pPr>
      <w:r>
        <w:rPr>
          <w:rFonts w:hint="eastAsia" w:hAnsi="宋体" w:cs="宋体"/>
          <w:b/>
          <w:bCs/>
          <w:sz w:val="21"/>
          <w:szCs w:val="21"/>
          <w:lang w:val="en-US" w:eastAsia="zh-CN"/>
        </w:rPr>
        <w:t>3</w:t>
      </w:r>
      <w:r>
        <w:rPr>
          <w:rFonts w:hint="eastAsia" w:hAnsi="宋体" w:cs="宋体"/>
          <w:b/>
          <w:bCs/>
          <w:sz w:val="21"/>
          <w:szCs w:val="21"/>
        </w:rPr>
        <w:t>.</w:t>
      </w:r>
      <w:r>
        <w:rPr>
          <w:rFonts w:hAnsi="宋体" w:cs="宋体"/>
          <w:b/>
          <w:bCs/>
          <w:sz w:val="21"/>
          <w:szCs w:val="21"/>
        </w:rPr>
        <w:t>环保方面的证书复印件（如有，请提供）</w:t>
      </w:r>
      <w:r>
        <w:rPr>
          <w:rFonts w:hint="eastAsia" w:hAnsi="宋体" w:cs="宋体"/>
          <w:b/>
          <w:bCs/>
          <w:sz w:val="21"/>
          <w:szCs w:val="21"/>
        </w:rPr>
        <w:t>；</w:t>
      </w:r>
    </w:p>
    <w:p>
      <w:pPr>
        <w:pStyle w:val="201"/>
        <w:spacing w:line="60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lang w:val="en-US" w:eastAsia="zh-CN"/>
        </w:rPr>
        <w:t>4</w:t>
      </w:r>
      <w:r>
        <w:rPr>
          <w:rFonts w:hint="eastAsia" w:asciiTheme="minorEastAsia" w:hAnsiTheme="minorEastAsia" w:eastAsiaTheme="minorEastAsia" w:cstheme="minorEastAsia"/>
          <w:b/>
          <w:bCs/>
          <w:szCs w:val="21"/>
        </w:rPr>
        <w:t>.投标人为生产厂家的，投标人的生产制造设备清单及专业技术能力说明（如有，请提供）；</w:t>
      </w:r>
    </w:p>
    <w:p>
      <w:pPr>
        <w:pStyle w:val="201"/>
        <w:spacing w:line="60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lang w:val="en-US" w:eastAsia="zh-CN"/>
        </w:rPr>
        <w:t>5</w:t>
      </w:r>
      <w:r>
        <w:rPr>
          <w:rFonts w:hint="eastAsia" w:asciiTheme="minorEastAsia" w:hAnsiTheme="minorEastAsia" w:eastAsiaTheme="minorEastAsia" w:cstheme="minorEastAsia"/>
          <w:b/>
          <w:bCs/>
          <w:szCs w:val="21"/>
        </w:rPr>
        <w:t>.投标人</w:t>
      </w:r>
      <w:r>
        <w:rPr>
          <w:rFonts w:hint="eastAsia" w:asciiTheme="minorEastAsia" w:hAnsiTheme="minorEastAsia" w:eastAsiaTheme="minorEastAsia" w:cstheme="minorEastAsia"/>
          <w:b/>
          <w:bCs/>
          <w:szCs w:val="21"/>
          <w:lang w:val="en-US" w:eastAsia="zh-CN"/>
        </w:rPr>
        <w:t>或其投标产品生产厂家</w:t>
      </w:r>
      <w:r>
        <w:rPr>
          <w:rFonts w:hint="eastAsia" w:asciiTheme="minorEastAsia" w:hAnsiTheme="minorEastAsia" w:eastAsiaTheme="minorEastAsia" w:cstheme="minorEastAsia"/>
          <w:b/>
          <w:bCs/>
          <w:szCs w:val="21"/>
        </w:rPr>
        <w:t>相关获奖证书、认证证书等复印件（如有，请提供）；</w:t>
      </w:r>
    </w:p>
    <w:p>
      <w:pPr>
        <w:pStyle w:val="201"/>
        <w:rPr>
          <w:rFonts w:ascii="宋体" w:hAnsi="宋体" w:cs="宋体"/>
          <w:b/>
          <w:bCs/>
          <w:szCs w:val="21"/>
        </w:rPr>
      </w:pPr>
    </w:p>
    <w:p>
      <w:pPr>
        <w:pStyle w:val="201"/>
        <w:rPr>
          <w:rFonts w:ascii="宋体" w:hAnsi="宋体" w:cs="宋体"/>
          <w:b/>
          <w:bCs/>
          <w:szCs w:val="21"/>
        </w:rPr>
      </w:pPr>
    </w:p>
    <w:p>
      <w:pPr>
        <w:pStyle w:val="201"/>
        <w:rPr>
          <w:rFonts w:ascii="宋体" w:hAnsi="宋体" w:cs="宋体"/>
          <w:b/>
          <w:bCs/>
          <w:szCs w:val="21"/>
        </w:rPr>
      </w:pPr>
    </w:p>
    <w:p>
      <w:pPr>
        <w:pStyle w:val="201"/>
        <w:rPr>
          <w:rFonts w:ascii="宋体" w:hAnsi="宋体" w:cs="宋体"/>
          <w:b/>
          <w:bCs/>
          <w:szCs w:val="21"/>
        </w:rPr>
      </w:pPr>
    </w:p>
    <w:p>
      <w:pPr>
        <w:pStyle w:val="201"/>
        <w:rPr>
          <w:rFonts w:ascii="宋体" w:hAnsi="宋体" w:cs="宋体"/>
          <w:b/>
          <w:bCs/>
          <w:szCs w:val="21"/>
        </w:rPr>
      </w:pPr>
    </w:p>
    <w:p>
      <w:pPr>
        <w:pStyle w:val="201"/>
        <w:rPr>
          <w:rFonts w:ascii="宋体" w:hAnsi="宋体" w:cs="宋体"/>
          <w:b/>
          <w:bCs/>
          <w:szCs w:val="21"/>
        </w:rPr>
      </w:pPr>
    </w:p>
    <w:p>
      <w:pPr>
        <w:pStyle w:val="201"/>
        <w:rPr>
          <w:rFonts w:ascii="宋体" w:hAnsi="宋体" w:cs="宋体"/>
          <w:b/>
          <w:bCs/>
          <w:szCs w:val="21"/>
        </w:rPr>
      </w:pPr>
    </w:p>
    <w:p>
      <w:pPr>
        <w:pStyle w:val="201"/>
        <w:rPr>
          <w:rFonts w:ascii="宋体" w:hAnsi="宋体" w:cs="宋体"/>
          <w:b/>
          <w:bCs/>
          <w:szCs w:val="21"/>
        </w:rPr>
      </w:pPr>
    </w:p>
    <w:p>
      <w:pPr>
        <w:pStyle w:val="201"/>
        <w:rPr>
          <w:rFonts w:ascii="宋体" w:hAnsi="宋体" w:cs="宋体"/>
          <w:b/>
          <w:bCs/>
          <w:szCs w:val="21"/>
        </w:rPr>
      </w:pPr>
    </w:p>
    <w:p>
      <w:pPr>
        <w:pStyle w:val="201"/>
        <w:rPr>
          <w:rFonts w:ascii="宋体" w:hAnsi="宋体" w:cs="宋体"/>
          <w:b/>
          <w:bCs/>
          <w:szCs w:val="21"/>
        </w:rPr>
      </w:pPr>
    </w:p>
    <w:p>
      <w:pPr>
        <w:pStyle w:val="201"/>
        <w:rPr>
          <w:rFonts w:ascii="宋体" w:hAnsi="宋体" w:cs="宋体"/>
          <w:b/>
          <w:bCs/>
          <w:szCs w:val="21"/>
        </w:rPr>
      </w:pPr>
    </w:p>
    <w:p>
      <w:pPr>
        <w:pStyle w:val="201"/>
        <w:rPr>
          <w:rFonts w:ascii="宋体" w:hAnsi="宋体" w:cs="宋体"/>
          <w:b/>
          <w:bCs/>
          <w:szCs w:val="21"/>
        </w:rPr>
      </w:pPr>
    </w:p>
    <w:p>
      <w:pPr>
        <w:pStyle w:val="201"/>
        <w:rPr>
          <w:rFonts w:ascii="宋体" w:hAnsi="宋体" w:cs="宋体"/>
          <w:b/>
          <w:bCs/>
          <w:szCs w:val="21"/>
        </w:rPr>
      </w:pPr>
    </w:p>
    <w:p>
      <w:pPr>
        <w:pStyle w:val="201"/>
        <w:rPr>
          <w:rFonts w:ascii="宋体" w:hAnsi="宋体" w:cs="宋体"/>
          <w:b/>
          <w:bCs/>
          <w:sz w:val="28"/>
          <w:szCs w:val="28"/>
        </w:rPr>
      </w:pPr>
      <w:r>
        <w:rPr>
          <w:rFonts w:hint="eastAsia" w:ascii="宋体" w:hAnsi="宋体" w:cs="宋体"/>
          <w:b/>
          <w:bCs/>
          <w:szCs w:val="21"/>
          <w:lang w:val="en-US" w:eastAsia="zh-CN"/>
        </w:rPr>
        <w:t>6</w:t>
      </w:r>
      <w:r>
        <w:rPr>
          <w:rFonts w:hint="eastAsia" w:ascii="宋体" w:hAnsi="宋体" w:cs="宋体"/>
          <w:b/>
          <w:bCs/>
          <w:szCs w:val="21"/>
        </w:rPr>
        <w:t>.其他有效证明文件的复印件（如产品属于小型、微型企业的，如实提供中小企业声明函）（如有，请提供）；</w:t>
      </w:r>
    </w:p>
    <w:p>
      <w:pPr>
        <w:pStyle w:val="201"/>
        <w:jc w:val="center"/>
        <w:rPr>
          <w:rFonts w:ascii="宋体" w:hAnsi="宋体" w:cs="宋体"/>
          <w:b/>
          <w:bCs/>
          <w:sz w:val="28"/>
          <w:szCs w:val="28"/>
        </w:rPr>
      </w:pPr>
      <w:r>
        <w:rPr>
          <w:rFonts w:ascii="宋体" w:hAnsi="宋体" w:cs="宋体"/>
          <w:b/>
          <w:bCs/>
          <w:sz w:val="28"/>
          <w:szCs w:val="28"/>
        </w:rPr>
        <w:t>中小企业声明函</w:t>
      </w:r>
    </w:p>
    <w:p>
      <w:pPr>
        <w:pStyle w:val="201"/>
        <w:rPr>
          <w:rFonts w:ascii="宋体" w:hAnsi="宋体" w:cs="宋体"/>
          <w:sz w:val="24"/>
        </w:rPr>
      </w:pPr>
    </w:p>
    <w:p>
      <w:pPr>
        <w:pStyle w:val="201"/>
        <w:spacing w:line="480" w:lineRule="auto"/>
        <w:ind w:firstLine="420" w:firstLineChars="200"/>
        <w:rPr>
          <w:rFonts w:ascii="宋体" w:hAnsi="宋体" w:cs="宋体"/>
          <w:szCs w:val="21"/>
        </w:rPr>
      </w:pPr>
      <w:r>
        <w:rPr>
          <w:rFonts w:hint="eastAsia" w:ascii="宋体" w:hAnsi="宋体" w:cs="宋体"/>
          <w:szCs w:val="21"/>
        </w:rPr>
        <w:t>本公司郑重声明，根据《政府采购促进中小企业发展管理办法》（财库﹝2020﹞46 号）的规定，本公司参加</w:t>
      </w:r>
      <w:r>
        <w:rPr>
          <w:rFonts w:hint="eastAsia" w:ascii="宋体" w:hAnsi="宋体" w:cs="宋体"/>
          <w:szCs w:val="21"/>
          <w:u w:val="single"/>
        </w:rPr>
        <w:t>（   单位名称   ）</w:t>
      </w:r>
      <w:r>
        <w:rPr>
          <w:rFonts w:hint="eastAsia" w:ascii="宋体" w:hAnsi="宋体" w:cs="宋体"/>
          <w:szCs w:val="21"/>
        </w:rPr>
        <w:t>的</w:t>
      </w:r>
      <w:r>
        <w:rPr>
          <w:rFonts w:hint="eastAsia" w:ascii="宋体" w:hAnsi="宋体" w:cs="宋体"/>
          <w:szCs w:val="21"/>
          <w:u w:val="single"/>
        </w:rPr>
        <w:t>（  项目名称  ）</w:t>
      </w:r>
      <w:r>
        <w:rPr>
          <w:rFonts w:hint="eastAsia" w:ascii="宋体" w:hAnsi="宋体" w:cs="宋体"/>
          <w:szCs w:val="21"/>
        </w:rPr>
        <w:t>采购活动，提供的货物全部由符合政策要求的中小企业制造。相关企业（含联合体中的中小企业、签订分包意向协议的中小企业）的具体情况如下：</w:t>
      </w:r>
    </w:p>
    <w:p>
      <w:pPr>
        <w:pStyle w:val="201"/>
        <w:spacing w:line="480" w:lineRule="auto"/>
        <w:ind w:left="120"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）行业；制造商为（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万元（备注①），属于（</w:t>
      </w:r>
      <w:r>
        <w:rPr>
          <w:rFonts w:hint="eastAsia" w:ascii="宋体" w:hAnsi="宋体" w:cs="宋体"/>
          <w:szCs w:val="21"/>
          <w:u w:val="single"/>
        </w:rPr>
        <w:t>中型企业、小 型企业、微型企业</w:t>
      </w:r>
      <w:r>
        <w:rPr>
          <w:rFonts w:hint="eastAsia" w:ascii="宋体" w:hAnsi="宋体" w:cs="宋体"/>
          <w:szCs w:val="21"/>
        </w:rPr>
        <w:t>）；</w:t>
      </w:r>
    </w:p>
    <w:p>
      <w:pPr>
        <w:pStyle w:val="201"/>
        <w:spacing w:line="480" w:lineRule="auto"/>
        <w:rPr>
          <w:rFonts w:ascii="宋体" w:hAnsi="宋体" w:cs="宋体"/>
          <w:szCs w:val="21"/>
        </w:rPr>
      </w:pPr>
      <w:r>
        <w:rPr>
          <w:rFonts w:hint="eastAsia" w:ascii="宋体" w:hAnsi="宋体" w:cs="宋体"/>
          <w:szCs w:val="21"/>
        </w:rPr>
        <w:t xml:space="preserve">     2、（</w:t>
      </w:r>
      <w:r>
        <w:rPr>
          <w:rFonts w:hint="eastAsia" w:ascii="宋体" w:hAnsi="宋体" w:cs="宋体"/>
          <w:szCs w:val="21"/>
          <w:u w:val="single"/>
        </w:rPr>
        <w:t>标的名称</w:t>
      </w:r>
      <w:r>
        <w:rPr>
          <w:rFonts w:hint="eastAsia" w:ascii="宋体" w:hAnsi="宋体" w:cs="宋体"/>
          <w:szCs w:val="21"/>
        </w:rPr>
        <w:t>） ，属于（</w:t>
      </w:r>
      <w:r>
        <w:rPr>
          <w:rFonts w:hint="eastAsia" w:ascii="宋体" w:hAnsi="宋体" w:cs="宋体"/>
          <w:szCs w:val="21"/>
          <w:u w:val="single"/>
        </w:rPr>
        <w:t>采购文件中明确的所属行业</w:t>
      </w:r>
      <w:r>
        <w:rPr>
          <w:rFonts w:hint="eastAsia" w:ascii="宋体" w:hAnsi="宋体" w:cs="宋体"/>
          <w:szCs w:val="21"/>
        </w:rPr>
        <w:t>）行业；制造商为（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 企业、微型企业</w:t>
      </w:r>
      <w:r>
        <w:rPr>
          <w:rFonts w:hint="eastAsia" w:ascii="宋体" w:hAnsi="宋体" w:cs="宋体"/>
          <w:szCs w:val="21"/>
        </w:rPr>
        <w:t>）。</w:t>
      </w:r>
    </w:p>
    <w:p>
      <w:pPr>
        <w:pStyle w:val="201"/>
        <w:spacing w:line="480" w:lineRule="auto"/>
        <w:ind w:firstLine="420" w:firstLineChars="200"/>
        <w:rPr>
          <w:rFonts w:ascii="宋体" w:hAnsi="宋体" w:cs="宋体"/>
          <w:szCs w:val="21"/>
        </w:rPr>
      </w:pPr>
      <w:r>
        <w:rPr>
          <w:rFonts w:hint="eastAsia" w:ascii="宋体" w:hAnsi="宋体" w:cs="宋体"/>
          <w:szCs w:val="21"/>
        </w:rPr>
        <w:t xml:space="preserve">以上企业，不属于大企业的分支机构，不存在控股股东 为大企业的情形，也不存在与大企业的负责人为同一人的情形。 </w:t>
      </w:r>
    </w:p>
    <w:p>
      <w:pPr>
        <w:pStyle w:val="201"/>
        <w:spacing w:line="480" w:lineRule="auto"/>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pPr>
        <w:pStyle w:val="201"/>
        <w:spacing w:line="480" w:lineRule="auto"/>
        <w:jc w:val="center"/>
        <w:rPr>
          <w:rFonts w:ascii="宋体" w:hAnsi="宋体" w:cs="宋体"/>
          <w:szCs w:val="21"/>
        </w:rPr>
      </w:pPr>
    </w:p>
    <w:p>
      <w:pPr>
        <w:pStyle w:val="201"/>
        <w:spacing w:line="480" w:lineRule="auto"/>
        <w:jc w:val="center"/>
        <w:rPr>
          <w:rFonts w:ascii="宋体" w:hAnsi="宋体" w:cs="宋体"/>
          <w:szCs w:val="21"/>
        </w:rPr>
      </w:pPr>
      <w:r>
        <w:rPr>
          <w:rFonts w:hint="eastAsia" w:ascii="宋体" w:hAnsi="宋体" w:cs="宋体"/>
          <w:szCs w:val="21"/>
        </w:rPr>
        <w:t xml:space="preserve">                           企业名称（CA证书签章）：</w:t>
      </w:r>
    </w:p>
    <w:p>
      <w:pPr>
        <w:pStyle w:val="201"/>
        <w:spacing w:line="480" w:lineRule="auto"/>
        <w:ind w:firstLine="5040" w:firstLineChars="2400"/>
        <w:rPr>
          <w:rFonts w:ascii="宋体" w:hAnsi="宋体" w:cs="宋体"/>
          <w:sz w:val="24"/>
        </w:rPr>
      </w:pPr>
      <w:r>
        <w:rPr>
          <w:rFonts w:hint="eastAsia" w:ascii="宋体" w:hAnsi="宋体" w:cs="宋体"/>
          <w:szCs w:val="21"/>
        </w:rPr>
        <w:t>日   期：</w:t>
      </w:r>
    </w:p>
    <w:p>
      <w:pPr>
        <w:spacing w:line="360" w:lineRule="auto"/>
        <w:rPr>
          <w:rFonts w:ascii="宋体" w:hAnsi="宋体" w:cs="宋体"/>
          <w:bCs/>
          <w:kern w:val="0"/>
          <w:szCs w:val="21"/>
        </w:rPr>
      </w:pPr>
      <w:r>
        <w:rPr>
          <w:rFonts w:hint="eastAsia" w:ascii="宋体" w:hAnsi="宋体" w:cs="宋体"/>
          <w:b/>
          <w:kern w:val="0"/>
          <w:szCs w:val="21"/>
        </w:rPr>
        <w:t>注：</w:t>
      </w:r>
      <w:r>
        <w:rPr>
          <w:rFonts w:hint="eastAsia" w:ascii="宋体" w:hAnsi="宋体" w:cs="宋体"/>
          <w:bCs/>
          <w:kern w:val="0"/>
          <w:szCs w:val="21"/>
        </w:rPr>
        <w:t>1.从业人员、营业收入、资产总额填报上一年度数据，无上一年度数据的新成立企业可不填报。</w:t>
      </w:r>
    </w:p>
    <w:p>
      <w:pPr>
        <w:spacing w:line="360" w:lineRule="auto"/>
        <w:ind w:firstLine="420" w:firstLineChars="200"/>
        <w:rPr>
          <w:rFonts w:ascii="宋体" w:hAnsi="宋体" w:cs="宋体"/>
          <w:bCs/>
          <w:kern w:val="0"/>
          <w:szCs w:val="21"/>
        </w:rPr>
      </w:pPr>
      <w:r>
        <w:rPr>
          <w:rFonts w:hint="eastAsia" w:ascii="宋体" w:hAnsi="宋体" w:cs="宋体"/>
          <w:bCs/>
          <w:kern w:val="0"/>
          <w:szCs w:val="21"/>
        </w:rPr>
        <w:t>2.中小企业在政府采购活动过程中，请根据自己的真实情况出具本声明函。依法享受中小企业优惠政策的，采购人或采购代理机构在公告成交结果时，同时公告其《中小企业声明函》，接受社会监督。</w:t>
      </w:r>
    </w:p>
    <w:p>
      <w:pPr>
        <w:pStyle w:val="60"/>
        <w:jc w:val="both"/>
      </w:pPr>
    </w:p>
    <w:p>
      <w:pPr>
        <w:snapToGrid w:val="0"/>
        <w:spacing w:line="400" w:lineRule="exact"/>
        <w:outlineLvl w:val="4"/>
        <w:rPr>
          <w:rFonts w:ascii="宋体" w:hAnsi="宋体" w:cs="宋体"/>
          <w:b/>
          <w:bCs/>
          <w:szCs w:val="21"/>
        </w:rPr>
      </w:pPr>
    </w:p>
    <w:p>
      <w:pPr>
        <w:pStyle w:val="2"/>
        <w:rPr>
          <w:rFonts w:ascii="宋体" w:hAnsi="宋体" w:cs="宋体"/>
          <w:b/>
          <w:bCs/>
          <w:szCs w:val="21"/>
        </w:rPr>
      </w:pPr>
    </w:p>
    <w:p>
      <w:pPr>
        <w:pStyle w:val="5"/>
        <w:rPr>
          <w:rFonts w:ascii="宋体" w:hAnsi="宋体" w:cs="宋体"/>
          <w:b/>
          <w:bCs/>
          <w:szCs w:val="21"/>
        </w:rPr>
      </w:pPr>
    </w:p>
    <w:p>
      <w:pPr>
        <w:pStyle w:val="5"/>
        <w:rPr>
          <w:rFonts w:ascii="宋体" w:hAnsi="宋体" w:cs="宋体"/>
          <w:b/>
          <w:bCs/>
          <w:szCs w:val="21"/>
        </w:rPr>
      </w:pPr>
    </w:p>
    <w:p>
      <w:pPr>
        <w:pStyle w:val="5"/>
        <w:rPr>
          <w:rFonts w:ascii="宋体" w:hAnsi="宋体" w:cs="宋体"/>
          <w:b/>
          <w:bCs/>
          <w:szCs w:val="21"/>
        </w:rPr>
      </w:pPr>
    </w:p>
    <w:p>
      <w:pPr>
        <w:pStyle w:val="5"/>
        <w:rPr>
          <w:rFonts w:ascii="宋体" w:hAnsi="宋体" w:cs="宋体"/>
          <w:b/>
          <w:bCs/>
          <w:szCs w:val="21"/>
        </w:rPr>
      </w:pPr>
    </w:p>
    <w:p>
      <w:pPr>
        <w:pStyle w:val="5"/>
        <w:rPr>
          <w:rFonts w:ascii="宋体" w:hAnsi="宋体" w:cs="宋体"/>
          <w:b/>
          <w:bCs/>
          <w:szCs w:val="21"/>
        </w:rPr>
      </w:pPr>
    </w:p>
    <w:p>
      <w:pPr>
        <w:pStyle w:val="5"/>
        <w:rPr>
          <w:rFonts w:ascii="宋体" w:hAnsi="宋体" w:cs="宋体"/>
          <w:b/>
          <w:bCs/>
          <w:szCs w:val="21"/>
        </w:rPr>
      </w:pPr>
    </w:p>
    <w:p>
      <w:pPr>
        <w:pStyle w:val="201"/>
        <w:rPr>
          <w:rFonts w:ascii="宋体" w:hAnsi="宋体" w:cs="宋体"/>
          <w:b/>
          <w:bCs/>
          <w:szCs w:val="21"/>
        </w:rPr>
      </w:pPr>
      <w:r>
        <w:rPr>
          <w:rFonts w:hint="eastAsia" w:ascii="宋体" w:hAnsi="宋体" w:cs="宋体"/>
          <w:b/>
          <w:bCs/>
          <w:szCs w:val="21"/>
          <w:lang w:val="en-US" w:eastAsia="zh-CN"/>
        </w:rPr>
        <w:t>7</w:t>
      </w:r>
      <w:r>
        <w:rPr>
          <w:rFonts w:hint="eastAsia" w:ascii="宋体" w:hAnsi="宋体" w:cs="宋体"/>
          <w:b/>
          <w:bCs/>
          <w:szCs w:val="21"/>
        </w:rPr>
        <w:t>.符合条件的残疾人福利性单位在参加政府采购活动时，应当提供《残疾人福利性单位声明函》（见附件），并对声明的真实性负责（如有，请提供）；</w:t>
      </w:r>
    </w:p>
    <w:p>
      <w:pPr>
        <w:spacing w:line="360" w:lineRule="auto"/>
        <w:rPr>
          <w:rFonts w:ascii="宋体" w:hAnsi="宋体" w:cs="宋体"/>
          <w:b/>
          <w:bCs/>
          <w:sz w:val="28"/>
          <w:szCs w:val="28"/>
        </w:rPr>
      </w:pPr>
    </w:p>
    <w:p>
      <w:pPr>
        <w:pStyle w:val="60"/>
        <w:rPr>
          <w:rFonts w:ascii="宋体" w:hAnsi="宋体" w:cs="宋体"/>
          <w:b/>
          <w:sz w:val="21"/>
          <w:szCs w:val="21"/>
        </w:rPr>
      </w:pPr>
      <w:r>
        <w:rPr>
          <w:rFonts w:hint="eastAsia" w:ascii="宋体" w:hAnsi="宋体" w:cs="宋体"/>
          <w:b/>
          <w:sz w:val="21"/>
          <w:szCs w:val="21"/>
        </w:rPr>
        <w:t>附件：</w:t>
      </w:r>
    </w:p>
    <w:p>
      <w:pPr>
        <w:spacing w:line="360" w:lineRule="auto"/>
        <w:jc w:val="center"/>
        <w:rPr>
          <w:rFonts w:ascii="宋体" w:hAnsi="宋体" w:cs="宋体"/>
          <w:b/>
          <w:bCs/>
          <w:sz w:val="28"/>
          <w:szCs w:val="28"/>
        </w:rPr>
      </w:pPr>
      <w:r>
        <w:rPr>
          <w:rFonts w:hint="eastAsia" w:ascii="宋体" w:hAnsi="宋体" w:cs="宋体"/>
          <w:b/>
          <w:bCs/>
          <w:sz w:val="28"/>
          <w:szCs w:val="28"/>
        </w:rPr>
        <w:t>残疾人福利性单位声明函</w:t>
      </w:r>
    </w:p>
    <w:p/>
    <w:p>
      <w:pPr>
        <w:spacing w:line="360" w:lineRule="auto"/>
        <w:ind w:firstLine="420" w:firstLineChars="200"/>
        <w:rPr>
          <w:rFonts w:ascii="宋体" w:hAnsi="宋体" w:cs="宋体"/>
          <w:szCs w:val="21"/>
        </w:rPr>
      </w:pPr>
      <w:r>
        <w:rPr>
          <w:rFonts w:hint="eastAsia" w:ascii="宋体" w:hAnsi="宋体" w:cs="宋体"/>
          <w:szCs w:val="21"/>
        </w:rPr>
        <w:t>本单位郑重声明，根据《财政部民政部中国残疾人联合会关于促进残疾人就业政府采购政策的通知》（财库〔2017〕 141 号） 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w:t>
      </w:r>
    </w:p>
    <w:p>
      <w:pPr>
        <w:spacing w:line="360" w:lineRule="auto"/>
        <w:rPr>
          <w:rFonts w:ascii="宋体" w:hAnsi="宋体" w:cs="宋体"/>
          <w:szCs w:val="21"/>
        </w:rPr>
      </w:pPr>
      <w:r>
        <w:rPr>
          <w:rFonts w:hint="eastAsia" w:ascii="宋体" w:hAnsi="宋体" w:cs="宋体"/>
          <w:szCs w:val="21"/>
        </w:rPr>
        <w:t>本单位对上述声明的真实性负责。如有虚假，将依法承担相应责任。</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4830" w:firstLineChars="2300"/>
        <w:rPr>
          <w:rFonts w:ascii="宋体" w:hAnsi="宋体" w:cs="宋体"/>
          <w:szCs w:val="21"/>
        </w:rPr>
      </w:pPr>
      <w:r>
        <w:rPr>
          <w:rFonts w:hint="eastAsia" w:ascii="宋体" w:hAnsi="宋体" w:cs="宋体"/>
          <w:szCs w:val="21"/>
        </w:rPr>
        <w:t xml:space="preserve">单位名称（CA证书签章）： </w:t>
      </w:r>
    </w:p>
    <w:p>
      <w:pPr>
        <w:spacing w:line="360" w:lineRule="auto"/>
        <w:ind w:firstLine="4830" w:firstLineChars="2300"/>
        <w:rPr>
          <w:szCs w:val="21"/>
        </w:rPr>
      </w:pPr>
      <w:r>
        <w:rPr>
          <w:rFonts w:hint="eastAsia" w:ascii="宋体" w:hAnsi="宋体" w:cs="宋体"/>
          <w:szCs w:val="21"/>
        </w:rPr>
        <w:t>日</w:t>
      </w:r>
      <w:r>
        <w:rPr>
          <w:rFonts w:hint="eastAsia" w:ascii="宋体" w:hAnsi="宋体" w:cs="宋体"/>
          <w:szCs w:val="21"/>
        </w:rPr>
        <w:tab/>
      </w:r>
      <w:r>
        <w:rPr>
          <w:rFonts w:hint="eastAsia" w:ascii="宋体" w:hAnsi="宋体" w:cs="宋体"/>
          <w:szCs w:val="21"/>
        </w:rPr>
        <w:t xml:space="preserve">  期：</w:t>
      </w:r>
    </w:p>
    <w:p>
      <w:pPr>
        <w:pStyle w:val="201"/>
      </w:pPr>
    </w:p>
    <w:p>
      <w:pPr>
        <w:pStyle w:val="201"/>
        <w:rPr>
          <w:rFonts w:ascii="宋体" w:hAnsi="宋体" w:cs="宋体"/>
          <w:b/>
          <w:bCs/>
          <w:szCs w:val="21"/>
        </w:rPr>
      </w:pPr>
      <w:r>
        <w:rPr>
          <w:rFonts w:hint="eastAsia" w:ascii="宋体" w:hAnsi="宋体" w:cs="宋体"/>
          <w:b/>
          <w:bCs/>
          <w:szCs w:val="21"/>
          <w:lang w:val="en-US" w:eastAsia="zh-CN"/>
        </w:rPr>
        <w:t>8</w:t>
      </w:r>
      <w:r>
        <w:rPr>
          <w:rFonts w:hint="eastAsia" w:ascii="宋体" w:hAnsi="宋体" w:cs="宋体"/>
          <w:b/>
          <w:bCs/>
          <w:szCs w:val="21"/>
        </w:rPr>
        <w:t>.监狱企业的证明文件[如产品属于监狱企业的，应当提供由省级以上监狱管理局、戒毒管理局（含新疆生产建设兵团）出具的属于监狱企业的证明文件, 否则不予享受优惠政策]（如有，请提供）；</w:t>
      </w:r>
    </w:p>
    <w:p>
      <w:pPr>
        <w:pStyle w:val="201"/>
        <w:rPr>
          <w:rFonts w:ascii="宋体" w:hAnsi="宋体" w:cs="宋体"/>
          <w:b/>
          <w:bCs/>
          <w:szCs w:val="21"/>
        </w:rPr>
      </w:pPr>
    </w:p>
    <w:p>
      <w:pPr>
        <w:pStyle w:val="201"/>
        <w:rPr>
          <w:rFonts w:ascii="宋体" w:hAnsi="宋体" w:cs="宋体"/>
          <w:b/>
          <w:bCs/>
          <w:szCs w:val="21"/>
        </w:rPr>
      </w:pPr>
      <w:r>
        <w:rPr>
          <w:rFonts w:hint="eastAsia" w:ascii="宋体" w:hAnsi="宋体" w:cs="宋体"/>
          <w:b/>
          <w:bCs/>
          <w:szCs w:val="21"/>
          <w:lang w:val="en-US" w:eastAsia="zh-CN"/>
        </w:rPr>
        <w:t>9</w:t>
      </w:r>
      <w:r>
        <w:rPr>
          <w:rFonts w:hint="eastAsia" w:ascii="宋体" w:hAnsi="宋体" w:cs="宋体"/>
          <w:b/>
          <w:bCs/>
          <w:szCs w:val="21"/>
        </w:rPr>
        <w:t>.投标人可结合本项目的评标办法视自身情况自行提交相关证明材料（如有，请提供）。</w:t>
      </w:r>
    </w:p>
    <w:p>
      <w:pPr>
        <w:spacing w:line="400" w:lineRule="exact"/>
        <w:jc w:val="center"/>
        <w:outlineLvl w:val="1"/>
      </w:pPr>
    </w:p>
    <w:sectPr>
      <w:footerReference r:id="rId1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5E586E6-478A-4FD1-ABC8-B8963BFF4DA2}"/>
  </w:font>
  <w:font w:name="黑体">
    <w:panose1 w:val="02010609060101010101"/>
    <w:charset w:val="86"/>
    <w:family w:val="auto"/>
    <w:pitch w:val="default"/>
    <w:sig w:usb0="800002BF" w:usb1="38CF7CFA" w:usb2="00000016" w:usb3="00000000" w:csb0="00040001" w:csb1="00000000"/>
    <w:embedRegular r:id="rId2" w:fontKey="{88D12C25-2DCB-44F7-A1C9-DEB97A4650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DF007E4-B774-4A02-A873-C7F73C1A30EF}"/>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monaco">
    <w:altName w:val="Courier New"/>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4" w:fontKey="{14613604-272E-4AC6-9959-3B8D78A5243F}"/>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embedRegular r:id="rId5" w:fontKey="{EB6C8867-A39F-4C34-BEBF-420FB1692875}"/>
  </w:font>
  <w:font w:name="华文中宋">
    <w:panose1 w:val="02010600040101010101"/>
    <w:charset w:val="86"/>
    <w:family w:val="auto"/>
    <w:pitch w:val="default"/>
    <w:sig w:usb0="00000287" w:usb1="080F0000" w:usb2="00000000" w:usb3="00000000" w:csb0="0004009F" w:csb1="DFD70000"/>
    <w:embedRegular r:id="rId6" w:fontKey="{6AACAC2B-AC26-49BE-8934-69F9602F0F9D}"/>
  </w:font>
  <w:font w:name="隶书">
    <w:panose1 w:val="02010509060101010101"/>
    <w:charset w:val="86"/>
    <w:family w:val="modern"/>
    <w:pitch w:val="default"/>
    <w:sig w:usb0="00000001" w:usb1="080E0000" w:usb2="00000000" w:usb3="00000000" w:csb0="00040000" w:csb1="00000000"/>
    <w:embedRegular r:id="rId7" w:fontKey="{0399B99F-4441-47CD-9F15-6778370DE44C}"/>
  </w:font>
  <w:font w:name="Wingdings 2">
    <w:panose1 w:val="05020102010507070707"/>
    <w:charset w:val="00"/>
    <w:family w:val="auto"/>
    <w:pitch w:val="default"/>
    <w:sig w:usb0="00000000" w:usb1="00000000" w:usb2="00000000" w:usb3="00000000" w:csb0="80000000" w:csb1="00000000"/>
    <w:embedRegular r:id="rId8" w:fontKey="{EB85AF50-92C3-4325-BA6B-71A0E53191EE}"/>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ind w:firstLine="360"/>
      <w:rPr>
        <w:rStyle w:val="47"/>
      </w:rPr>
    </w:pPr>
    <w:r>
      <w:fldChar w:fldCharType="begin"/>
    </w:r>
    <w:r>
      <w:rPr>
        <w:rStyle w:val="47"/>
      </w:rPr>
      <w:instrText xml:space="preserve">PAGE  </w:instrText>
    </w:r>
    <w:r>
      <w:fldChar w:fldCharType="separate"/>
    </w:r>
    <w:r>
      <w:rPr>
        <w:rStyle w:val="47"/>
      </w:rPr>
      <w:t>1</w:t>
    </w:r>
    <w:r>
      <w:fldChar w:fldCharType="end"/>
    </w:r>
  </w:p>
  <w:p>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p>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wps:txbx>
                    <wps:bodyPr vert="horz" wrap="none" lIns="0" tIns="0" rIns="0" bIns="0" anchor="t" anchorCtr="0">
                      <a:spAutoFit/>
                    </wps:bodyPr>
                  </wps:wsp>
                </a:graphicData>
              </a:graphic>
            </wp:anchor>
          </w:drawing>
        </mc:Choice>
        <mc:Fallback>
          <w:pict>
            <v:shape id="文本框 206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GnrvODaAQAAtQMAAA4AAAAAAAAAAQAg&#10;AAAAHgEAAGRycy9lMm9Eb2MueG1sUEsFBgAAAAAGAAYAWQEAAGoFAAAAAA==&#10;">
              <v:fill on="f" focussize="0,0"/>
              <v:stroke on="f"/>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mc:Fallback>
      </mc:AlternateContent>
    </w:r>
  </w:p>
  <w:p>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0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wrap="none" lIns="0" tIns="0" rIns="0" bIns="0">
                      <a:spAutoFit/>
                    </wps:bodyPr>
                  </wps:wsp>
                </a:graphicData>
              </a:graphic>
            </wp:anchor>
          </w:drawing>
        </mc:Choice>
        <mc:Fallback>
          <w:pict>
            <v:shape id="文本框 205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Fk2vO3NAQAAmgMAAA4AAAAAAAAAAQAgAAAAIgEAAGRy&#10;cy9lMm9Eb2MueG1sUEsFBgAAAAAGAAYAWQEAAGEFAAAAAA==&#10;">
              <v:fill on="f" focussize="0,0"/>
              <v:stroke on="f" weight="1.25pt"/>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47"/>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a:spAutoFit/>
                    </wps:bodyPr>
                  </wps:wsp>
                </a:graphicData>
              </a:graphic>
            </wp:anchor>
          </w:drawing>
        </mc:Choice>
        <mc:Fallback>
          <w:pict>
            <v:shape id="文本框 205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Dk75FPzgEAAJoDAAAOAAAAAAAAAAEAIAAAACIBAABk&#10;cnMvZTJvRG9jLnhtbFBLBQYAAAAABgAGAFkBAABiBQAAAAA=&#10;">
              <v:fill on="f" focussize="0,0"/>
              <v:stroke on="f" weight="1.25pt"/>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p>
    <w:pPr>
      <w:pStyle w:val="3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0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wrap="none" lIns="0" tIns="0" rIns="0" bIns="0">
                      <a:spAutoFit/>
                    </wps:bodyPr>
                  </wps:wsp>
                </a:graphicData>
              </a:graphic>
            </wp:anchor>
          </w:drawing>
        </mc:Choice>
        <mc:Fallback>
          <w:pict>
            <v:shape id="文本框 205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Dc7KvzgEAAJoDAAAOAAAAAAAAAAEAIAAAACIBAABk&#10;cnMvZTJvRG9jLnhtbFBLBQYAAAAABgAGAFkBAABiBQAAAAA=&#10;">
              <v:fill on="f" focussize="0,0"/>
              <v:stroke on="f" weight="1.25pt"/>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wps:txbx>
                    <wps:bodyPr vert="horz" wrap="none" lIns="0" tIns="0" rIns="0" bIns="0" anchor="t" anchorCtr="0">
                      <a:spAutoFit/>
                    </wps:bodyPr>
                  </wps:wsp>
                </a:graphicData>
              </a:graphic>
            </wp:anchor>
          </w:drawing>
        </mc:Choice>
        <mc:Fallback>
          <w:pict>
            <v:shape id="文本框 206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HJxPGdkBAAC1AwAADgAAAAAAAAABACAA&#10;AAAeAQAAZHJzL2Uyb0RvYy54bWxQSwUGAAAAAAYABgBZAQAAaQUAAAAA&#10;">
              <v:fill on="f" focussize="0,0"/>
              <v:stroke on="f"/>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v:textbox>
            </v:shape>
          </w:pict>
        </mc:Fallback>
      </mc:AlternateContent>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E26F4"/>
    <w:multiLevelType w:val="singleLevel"/>
    <w:tmpl w:val="AE1E26F4"/>
    <w:lvl w:ilvl="0" w:tentative="0">
      <w:start w:val="2"/>
      <w:numFmt w:val="decimal"/>
      <w:lvlText w:val="%1."/>
      <w:lvlJc w:val="left"/>
      <w:pPr>
        <w:tabs>
          <w:tab w:val="left" w:pos="312"/>
        </w:tabs>
      </w:pPr>
    </w:lvl>
  </w:abstractNum>
  <w:abstractNum w:abstractNumId="1">
    <w:nsid w:val="B50E2DE3"/>
    <w:multiLevelType w:val="singleLevel"/>
    <w:tmpl w:val="B50E2DE3"/>
    <w:lvl w:ilvl="0" w:tentative="0">
      <w:start w:val="3"/>
      <w:numFmt w:val="chineseCounting"/>
      <w:suff w:val="nothing"/>
      <w:lvlText w:val="%1、"/>
      <w:lvlJc w:val="left"/>
      <w:rPr>
        <w:rFonts w:hint="eastAsia"/>
      </w:rPr>
    </w:lvl>
  </w:abstractNum>
  <w:abstractNum w:abstractNumId="2">
    <w:nsid w:val="D244416D"/>
    <w:multiLevelType w:val="singleLevel"/>
    <w:tmpl w:val="D244416D"/>
    <w:lvl w:ilvl="0" w:tentative="0">
      <w:start w:val="3"/>
      <w:numFmt w:val="chineseCounting"/>
      <w:suff w:val="nothing"/>
      <w:lvlText w:val="第%1章　"/>
      <w:lvlJc w:val="left"/>
      <w:rPr>
        <w:rFonts w:hint="eastAsia"/>
      </w:rPr>
    </w:lvl>
  </w:abstractNum>
  <w:abstractNum w:abstractNumId="3">
    <w:nsid w:val="E7BF5548"/>
    <w:multiLevelType w:val="singleLevel"/>
    <w:tmpl w:val="E7BF5548"/>
    <w:lvl w:ilvl="0" w:tentative="0">
      <w:start w:val="3"/>
      <w:numFmt w:val="decimal"/>
      <w:lvlText w:val="%1."/>
      <w:lvlJc w:val="left"/>
      <w:pPr>
        <w:tabs>
          <w:tab w:val="left" w:pos="312"/>
        </w:tabs>
      </w:pPr>
    </w:lvl>
  </w:abstractNum>
  <w:abstractNum w:abstractNumId="4">
    <w:nsid w:val="07A34C11"/>
    <w:multiLevelType w:val="singleLevel"/>
    <w:tmpl w:val="07A34C11"/>
    <w:lvl w:ilvl="0" w:tentative="0">
      <w:start w:val="37"/>
      <w:numFmt w:val="decimal"/>
      <w:suff w:val="space"/>
      <w:lvlText w:val="%1."/>
      <w:lvlJc w:val="left"/>
      <w:rPr>
        <w:rFonts w:hint="default"/>
        <w:b/>
        <w:bCs/>
      </w:rPr>
    </w:lvl>
  </w:abstractNum>
  <w:abstractNum w:abstractNumId="5">
    <w:nsid w:val="3C7339B6"/>
    <w:multiLevelType w:val="multilevel"/>
    <w:tmpl w:val="3C7339B6"/>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6">
    <w:nsid w:val="405B6A10"/>
    <w:multiLevelType w:val="singleLevel"/>
    <w:tmpl w:val="405B6A10"/>
    <w:lvl w:ilvl="0" w:tentative="0">
      <w:start w:val="6"/>
      <w:numFmt w:val="chineseCounting"/>
      <w:suff w:val="nothing"/>
      <w:lvlText w:val="%1、"/>
      <w:lvlJc w:val="left"/>
      <w:rPr>
        <w:rFonts w:hint="eastAsia"/>
      </w:rPr>
    </w:lvl>
  </w:abstractNum>
  <w:abstractNum w:abstractNumId="7">
    <w:nsid w:val="749DFB23"/>
    <w:multiLevelType w:val="singleLevel"/>
    <w:tmpl w:val="749DFB23"/>
    <w:lvl w:ilvl="0" w:tentative="0">
      <w:start w:val="2"/>
      <w:numFmt w:val="decimal"/>
      <w:suff w:val="nothing"/>
      <w:lvlText w:val="（%1）"/>
      <w:lvlJc w:val="left"/>
    </w:lvl>
  </w:abstractNum>
  <w:num w:numId="1">
    <w:abstractNumId w:val="6"/>
  </w:num>
  <w:num w:numId="2">
    <w:abstractNumId w:val="3"/>
  </w:num>
  <w:num w:numId="3">
    <w:abstractNumId w:val="7"/>
  </w:num>
  <w:num w:numId="4">
    <w:abstractNumId w:val="4"/>
  </w:num>
  <w:num w:numId="5">
    <w:abstractNumId w:val="2"/>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ZTc5NjMyZWQwMzI3MTVjMmRjOGZkMWZkMDE2NjkifQ=="/>
    <w:docVar w:name="KSO_WPS_MARK_KEY" w:val="1a4265c9-4f2f-4b01-828c-4e514bb6bd18"/>
  </w:docVars>
  <w:rsids>
    <w:rsidRoot w:val="00283FD7"/>
    <w:rsid w:val="00006067"/>
    <w:rsid w:val="0000694B"/>
    <w:rsid w:val="000225DF"/>
    <w:rsid w:val="00040506"/>
    <w:rsid w:val="000431F2"/>
    <w:rsid w:val="000807F4"/>
    <w:rsid w:val="000853C0"/>
    <w:rsid w:val="0009753A"/>
    <w:rsid w:val="000B16C6"/>
    <w:rsid w:val="000C5479"/>
    <w:rsid w:val="000D2FD4"/>
    <w:rsid w:val="000D64B3"/>
    <w:rsid w:val="000F7270"/>
    <w:rsid w:val="000F79AC"/>
    <w:rsid w:val="001278AF"/>
    <w:rsid w:val="0015590A"/>
    <w:rsid w:val="00195864"/>
    <w:rsid w:val="001A4569"/>
    <w:rsid w:val="001C1A15"/>
    <w:rsid w:val="001E0485"/>
    <w:rsid w:val="001E2A51"/>
    <w:rsid w:val="001E4884"/>
    <w:rsid w:val="001E727A"/>
    <w:rsid w:val="001F2DC1"/>
    <w:rsid w:val="002042FF"/>
    <w:rsid w:val="00206ABD"/>
    <w:rsid w:val="00225589"/>
    <w:rsid w:val="002316B5"/>
    <w:rsid w:val="00237C4B"/>
    <w:rsid w:val="002614F0"/>
    <w:rsid w:val="002636B4"/>
    <w:rsid w:val="002714FC"/>
    <w:rsid w:val="00276C6A"/>
    <w:rsid w:val="00283FD7"/>
    <w:rsid w:val="00295BEF"/>
    <w:rsid w:val="002A18CD"/>
    <w:rsid w:val="002B0584"/>
    <w:rsid w:val="002D3C1A"/>
    <w:rsid w:val="002D7E6C"/>
    <w:rsid w:val="002E3943"/>
    <w:rsid w:val="00301D2C"/>
    <w:rsid w:val="00310B36"/>
    <w:rsid w:val="00314F25"/>
    <w:rsid w:val="00321AE4"/>
    <w:rsid w:val="003221DD"/>
    <w:rsid w:val="003221DF"/>
    <w:rsid w:val="003376AD"/>
    <w:rsid w:val="00337A73"/>
    <w:rsid w:val="00344F96"/>
    <w:rsid w:val="00347AFD"/>
    <w:rsid w:val="0035153F"/>
    <w:rsid w:val="003645CD"/>
    <w:rsid w:val="00365FC6"/>
    <w:rsid w:val="00387BA7"/>
    <w:rsid w:val="003A44ED"/>
    <w:rsid w:val="003B0D57"/>
    <w:rsid w:val="003B179F"/>
    <w:rsid w:val="003B24F0"/>
    <w:rsid w:val="003B291D"/>
    <w:rsid w:val="003D1BC5"/>
    <w:rsid w:val="003E347A"/>
    <w:rsid w:val="003E54DA"/>
    <w:rsid w:val="00407F57"/>
    <w:rsid w:val="00427AF6"/>
    <w:rsid w:val="00452909"/>
    <w:rsid w:val="00454A95"/>
    <w:rsid w:val="004560B3"/>
    <w:rsid w:val="00471215"/>
    <w:rsid w:val="0047759D"/>
    <w:rsid w:val="00482FEC"/>
    <w:rsid w:val="004946E1"/>
    <w:rsid w:val="004B1E81"/>
    <w:rsid w:val="004B2296"/>
    <w:rsid w:val="004C02A2"/>
    <w:rsid w:val="005133F7"/>
    <w:rsid w:val="00513CA0"/>
    <w:rsid w:val="00524333"/>
    <w:rsid w:val="00536DA3"/>
    <w:rsid w:val="00540E06"/>
    <w:rsid w:val="005535CC"/>
    <w:rsid w:val="005722C6"/>
    <w:rsid w:val="00585F56"/>
    <w:rsid w:val="00586723"/>
    <w:rsid w:val="00591D31"/>
    <w:rsid w:val="005C7361"/>
    <w:rsid w:val="005D1B74"/>
    <w:rsid w:val="005D4EF8"/>
    <w:rsid w:val="005E36B3"/>
    <w:rsid w:val="005E7634"/>
    <w:rsid w:val="005F7BDD"/>
    <w:rsid w:val="00604C3F"/>
    <w:rsid w:val="00622D92"/>
    <w:rsid w:val="0062647D"/>
    <w:rsid w:val="006264EF"/>
    <w:rsid w:val="00637FEE"/>
    <w:rsid w:val="00645EA3"/>
    <w:rsid w:val="006C127D"/>
    <w:rsid w:val="006C21D1"/>
    <w:rsid w:val="006E4458"/>
    <w:rsid w:val="006E5038"/>
    <w:rsid w:val="006F25DD"/>
    <w:rsid w:val="006F669A"/>
    <w:rsid w:val="0070187F"/>
    <w:rsid w:val="00707274"/>
    <w:rsid w:val="00721904"/>
    <w:rsid w:val="00733345"/>
    <w:rsid w:val="007605C1"/>
    <w:rsid w:val="007820DB"/>
    <w:rsid w:val="007C0F2D"/>
    <w:rsid w:val="007F03E7"/>
    <w:rsid w:val="007F3C79"/>
    <w:rsid w:val="0080371A"/>
    <w:rsid w:val="00807866"/>
    <w:rsid w:val="00815B0E"/>
    <w:rsid w:val="00822FD5"/>
    <w:rsid w:val="00825BBD"/>
    <w:rsid w:val="008376F4"/>
    <w:rsid w:val="0085209E"/>
    <w:rsid w:val="00864C7B"/>
    <w:rsid w:val="008659C3"/>
    <w:rsid w:val="00873475"/>
    <w:rsid w:val="00877713"/>
    <w:rsid w:val="00893D23"/>
    <w:rsid w:val="0089696B"/>
    <w:rsid w:val="008B0CF6"/>
    <w:rsid w:val="008B36AB"/>
    <w:rsid w:val="008C76B0"/>
    <w:rsid w:val="008D2876"/>
    <w:rsid w:val="008E30C2"/>
    <w:rsid w:val="009201BC"/>
    <w:rsid w:val="00926B1B"/>
    <w:rsid w:val="00936C2F"/>
    <w:rsid w:val="00951F29"/>
    <w:rsid w:val="009530D0"/>
    <w:rsid w:val="00966858"/>
    <w:rsid w:val="0098219A"/>
    <w:rsid w:val="00990E19"/>
    <w:rsid w:val="009A4433"/>
    <w:rsid w:val="009B68BB"/>
    <w:rsid w:val="009E147C"/>
    <w:rsid w:val="00A11262"/>
    <w:rsid w:val="00A12539"/>
    <w:rsid w:val="00A22026"/>
    <w:rsid w:val="00A26D2C"/>
    <w:rsid w:val="00A357AB"/>
    <w:rsid w:val="00A4059E"/>
    <w:rsid w:val="00A42B7B"/>
    <w:rsid w:val="00A55756"/>
    <w:rsid w:val="00A832E4"/>
    <w:rsid w:val="00AA1C1B"/>
    <w:rsid w:val="00AA2153"/>
    <w:rsid w:val="00AC174E"/>
    <w:rsid w:val="00AC36FD"/>
    <w:rsid w:val="00AC389F"/>
    <w:rsid w:val="00AD1EB7"/>
    <w:rsid w:val="00B336F6"/>
    <w:rsid w:val="00B375CC"/>
    <w:rsid w:val="00B45A82"/>
    <w:rsid w:val="00B45C5D"/>
    <w:rsid w:val="00B827D6"/>
    <w:rsid w:val="00B8496B"/>
    <w:rsid w:val="00BA0869"/>
    <w:rsid w:val="00BB043D"/>
    <w:rsid w:val="00BB5BB3"/>
    <w:rsid w:val="00BB6717"/>
    <w:rsid w:val="00BC191F"/>
    <w:rsid w:val="00BC3B25"/>
    <w:rsid w:val="00BD04B1"/>
    <w:rsid w:val="00BD49E7"/>
    <w:rsid w:val="00BD6C5F"/>
    <w:rsid w:val="00BD7E5C"/>
    <w:rsid w:val="00BE36C9"/>
    <w:rsid w:val="00BF3E71"/>
    <w:rsid w:val="00BF7E3B"/>
    <w:rsid w:val="00C13C82"/>
    <w:rsid w:val="00C240DD"/>
    <w:rsid w:val="00C24CDC"/>
    <w:rsid w:val="00C30C80"/>
    <w:rsid w:val="00C36284"/>
    <w:rsid w:val="00C46722"/>
    <w:rsid w:val="00C503FF"/>
    <w:rsid w:val="00C50692"/>
    <w:rsid w:val="00C5673B"/>
    <w:rsid w:val="00C57274"/>
    <w:rsid w:val="00C7646B"/>
    <w:rsid w:val="00C924AC"/>
    <w:rsid w:val="00CA3870"/>
    <w:rsid w:val="00CD2E3C"/>
    <w:rsid w:val="00CF62D6"/>
    <w:rsid w:val="00D235E9"/>
    <w:rsid w:val="00D3583D"/>
    <w:rsid w:val="00D41ABF"/>
    <w:rsid w:val="00D42A49"/>
    <w:rsid w:val="00D84FFD"/>
    <w:rsid w:val="00DA76E0"/>
    <w:rsid w:val="00DB50AA"/>
    <w:rsid w:val="00DE5021"/>
    <w:rsid w:val="00DF2EDD"/>
    <w:rsid w:val="00DF7BF1"/>
    <w:rsid w:val="00E02C68"/>
    <w:rsid w:val="00E1467E"/>
    <w:rsid w:val="00E25F20"/>
    <w:rsid w:val="00E2652D"/>
    <w:rsid w:val="00E3005D"/>
    <w:rsid w:val="00E32203"/>
    <w:rsid w:val="00E36042"/>
    <w:rsid w:val="00E503EC"/>
    <w:rsid w:val="00E56929"/>
    <w:rsid w:val="00E76B2D"/>
    <w:rsid w:val="00E85A8A"/>
    <w:rsid w:val="00E90EFA"/>
    <w:rsid w:val="00E9119F"/>
    <w:rsid w:val="00E949E8"/>
    <w:rsid w:val="00EA1C9F"/>
    <w:rsid w:val="00EB1685"/>
    <w:rsid w:val="00EB4647"/>
    <w:rsid w:val="00EF5233"/>
    <w:rsid w:val="00EF59EC"/>
    <w:rsid w:val="00F1082D"/>
    <w:rsid w:val="00F146A9"/>
    <w:rsid w:val="00F22AEB"/>
    <w:rsid w:val="00F327AE"/>
    <w:rsid w:val="00F4184A"/>
    <w:rsid w:val="00F50B84"/>
    <w:rsid w:val="00F87700"/>
    <w:rsid w:val="00F9110D"/>
    <w:rsid w:val="00FC32C2"/>
    <w:rsid w:val="00FD438D"/>
    <w:rsid w:val="00FE2752"/>
    <w:rsid w:val="00FE2F04"/>
    <w:rsid w:val="00FE3997"/>
    <w:rsid w:val="00FE79B8"/>
    <w:rsid w:val="012D0008"/>
    <w:rsid w:val="015B2D56"/>
    <w:rsid w:val="01B2188E"/>
    <w:rsid w:val="020D7D58"/>
    <w:rsid w:val="02217FDE"/>
    <w:rsid w:val="022D17A5"/>
    <w:rsid w:val="02491CAD"/>
    <w:rsid w:val="025136B4"/>
    <w:rsid w:val="02B81FC4"/>
    <w:rsid w:val="030B7966"/>
    <w:rsid w:val="03322157"/>
    <w:rsid w:val="03361D30"/>
    <w:rsid w:val="033A2950"/>
    <w:rsid w:val="03597303"/>
    <w:rsid w:val="035C6DF3"/>
    <w:rsid w:val="038500F8"/>
    <w:rsid w:val="03A52548"/>
    <w:rsid w:val="03A74512"/>
    <w:rsid w:val="03A96934"/>
    <w:rsid w:val="0417448E"/>
    <w:rsid w:val="0422003D"/>
    <w:rsid w:val="043B2EAD"/>
    <w:rsid w:val="044004C3"/>
    <w:rsid w:val="04437ADB"/>
    <w:rsid w:val="049820AD"/>
    <w:rsid w:val="04C11604"/>
    <w:rsid w:val="04DB2BDE"/>
    <w:rsid w:val="051406FC"/>
    <w:rsid w:val="05401FDD"/>
    <w:rsid w:val="056114C6"/>
    <w:rsid w:val="05647814"/>
    <w:rsid w:val="0576374F"/>
    <w:rsid w:val="05F402D2"/>
    <w:rsid w:val="06115DBF"/>
    <w:rsid w:val="06214EA3"/>
    <w:rsid w:val="062B6D97"/>
    <w:rsid w:val="063D3359"/>
    <w:rsid w:val="065C36FD"/>
    <w:rsid w:val="065F76C6"/>
    <w:rsid w:val="06657CF6"/>
    <w:rsid w:val="06AE0D27"/>
    <w:rsid w:val="06CE1786"/>
    <w:rsid w:val="0718214D"/>
    <w:rsid w:val="078110E2"/>
    <w:rsid w:val="07DB0C2F"/>
    <w:rsid w:val="08280F18"/>
    <w:rsid w:val="083200D2"/>
    <w:rsid w:val="084924B7"/>
    <w:rsid w:val="08623C15"/>
    <w:rsid w:val="088E4B01"/>
    <w:rsid w:val="08902A3C"/>
    <w:rsid w:val="08A31AD1"/>
    <w:rsid w:val="08CA27AD"/>
    <w:rsid w:val="08DD2974"/>
    <w:rsid w:val="08FC6EE2"/>
    <w:rsid w:val="09181A0E"/>
    <w:rsid w:val="092805EE"/>
    <w:rsid w:val="092E1232"/>
    <w:rsid w:val="09311277"/>
    <w:rsid w:val="094504AC"/>
    <w:rsid w:val="09735415"/>
    <w:rsid w:val="099461F1"/>
    <w:rsid w:val="09A96186"/>
    <w:rsid w:val="09B14EF7"/>
    <w:rsid w:val="09C247EA"/>
    <w:rsid w:val="09C806BB"/>
    <w:rsid w:val="09D640F1"/>
    <w:rsid w:val="09DD6F83"/>
    <w:rsid w:val="0A330B41"/>
    <w:rsid w:val="0A4174FE"/>
    <w:rsid w:val="0A6A44EC"/>
    <w:rsid w:val="0A6E4A78"/>
    <w:rsid w:val="0A7D7C24"/>
    <w:rsid w:val="0A9C5444"/>
    <w:rsid w:val="0AA36276"/>
    <w:rsid w:val="0AF97C8F"/>
    <w:rsid w:val="0B264024"/>
    <w:rsid w:val="0B2F231F"/>
    <w:rsid w:val="0B3749A3"/>
    <w:rsid w:val="0B517252"/>
    <w:rsid w:val="0B592E94"/>
    <w:rsid w:val="0B9E444D"/>
    <w:rsid w:val="0BB55310"/>
    <w:rsid w:val="0BFE28D9"/>
    <w:rsid w:val="0C1058F0"/>
    <w:rsid w:val="0C110E46"/>
    <w:rsid w:val="0C432A92"/>
    <w:rsid w:val="0C6D4FE5"/>
    <w:rsid w:val="0CAF61E6"/>
    <w:rsid w:val="0CB20F34"/>
    <w:rsid w:val="0CCA6AC2"/>
    <w:rsid w:val="0CF224D3"/>
    <w:rsid w:val="0D0616A0"/>
    <w:rsid w:val="0D0C7F2D"/>
    <w:rsid w:val="0D452843"/>
    <w:rsid w:val="0D63594E"/>
    <w:rsid w:val="0D74025E"/>
    <w:rsid w:val="0E6C11FB"/>
    <w:rsid w:val="0EA63E15"/>
    <w:rsid w:val="0EA659BF"/>
    <w:rsid w:val="0ED06596"/>
    <w:rsid w:val="0ED70ED7"/>
    <w:rsid w:val="0F5427E1"/>
    <w:rsid w:val="0F603CB2"/>
    <w:rsid w:val="0F9067A2"/>
    <w:rsid w:val="0FBD6115"/>
    <w:rsid w:val="0FD94F90"/>
    <w:rsid w:val="0FE25F96"/>
    <w:rsid w:val="0FE463D5"/>
    <w:rsid w:val="0FEA2B85"/>
    <w:rsid w:val="10073757"/>
    <w:rsid w:val="101D6AFE"/>
    <w:rsid w:val="104B1F92"/>
    <w:rsid w:val="1054742F"/>
    <w:rsid w:val="1066402F"/>
    <w:rsid w:val="10905626"/>
    <w:rsid w:val="10A36062"/>
    <w:rsid w:val="10AF5A9F"/>
    <w:rsid w:val="10E83A2A"/>
    <w:rsid w:val="11191FC7"/>
    <w:rsid w:val="11207C38"/>
    <w:rsid w:val="1165532F"/>
    <w:rsid w:val="116A443B"/>
    <w:rsid w:val="11861B94"/>
    <w:rsid w:val="11937EE6"/>
    <w:rsid w:val="11B04EDA"/>
    <w:rsid w:val="11C12C43"/>
    <w:rsid w:val="11F748B7"/>
    <w:rsid w:val="12241A12"/>
    <w:rsid w:val="12246D0B"/>
    <w:rsid w:val="1237135B"/>
    <w:rsid w:val="1264734C"/>
    <w:rsid w:val="126D3788"/>
    <w:rsid w:val="127400DD"/>
    <w:rsid w:val="12B82A3E"/>
    <w:rsid w:val="12C56D96"/>
    <w:rsid w:val="12E666D9"/>
    <w:rsid w:val="12E7717B"/>
    <w:rsid w:val="12F812AB"/>
    <w:rsid w:val="13090423"/>
    <w:rsid w:val="131B553E"/>
    <w:rsid w:val="13253BB0"/>
    <w:rsid w:val="133101ED"/>
    <w:rsid w:val="13313DF9"/>
    <w:rsid w:val="133C5C70"/>
    <w:rsid w:val="13581385"/>
    <w:rsid w:val="136A015C"/>
    <w:rsid w:val="13731593"/>
    <w:rsid w:val="13750189"/>
    <w:rsid w:val="137A57A0"/>
    <w:rsid w:val="138A02AC"/>
    <w:rsid w:val="13A806FF"/>
    <w:rsid w:val="13E73182"/>
    <w:rsid w:val="13E85A91"/>
    <w:rsid w:val="13F11368"/>
    <w:rsid w:val="13F467E1"/>
    <w:rsid w:val="14037C1F"/>
    <w:rsid w:val="141F7B09"/>
    <w:rsid w:val="144307CD"/>
    <w:rsid w:val="14691370"/>
    <w:rsid w:val="147026FF"/>
    <w:rsid w:val="147300C2"/>
    <w:rsid w:val="14850E79"/>
    <w:rsid w:val="1499542D"/>
    <w:rsid w:val="149D00E3"/>
    <w:rsid w:val="14AC19CC"/>
    <w:rsid w:val="14B44CE1"/>
    <w:rsid w:val="14E62778"/>
    <w:rsid w:val="14F77D1E"/>
    <w:rsid w:val="15521099"/>
    <w:rsid w:val="156A1EB7"/>
    <w:rsid w:val="15A845ED"/>
    <w:rsid w:val="15C55307"/>
    <w:rsid w:val="15CA5180"/>
    <w:rsid w:val="15FE2532"/>
    <w:rsid w:val="16046F64"/>
    <w:rsid w:val="160D0D10"/>
    <w:rsid w:val="1624089F"/>
    <w:rsid w:val="162C3F27"/>
    <w:rsid w:val="162E38A6"/>
    <w:rsid w:val="163E0711"/>
    <w:rsid w:val="163F7C2B"/>
    <w:rsid w:val="165C1517"/>
    <w:rsid w:val="166718DF"/>
    <w:rsid w:val="169721C5"/>
    <w:rsid w:val="16E96798"/>
    <w:rsid w:val="17375756"/>
    <w:rsid w:val="17490446"/>
    <w:rsid w:val="17F01650"/>
    <w:rsid w:val="17F33B4D"/>
    <w:rsid w:val="1800023D"/>
    <w:rsid w:val="180424E4"/>
    <w:rsid w:val="1811298E"/>
    <w:rsid w:val="18116229"/>
    <w:rsid w:val="18254E14"/>
    <w:rsid w:val="18532256"/>
    <w:rsid w:val="18B31317"/>
    <w:rsid w:val="18CB25F9"/>
    <w:rsid w:val="19341F4D"/>
    <w:rsid w:val="1948254E"/>
    <w:rsid w:val="194B192D"/>
    <w:rsid w:val="19713DB5"/>
    <w:rsid w:val="197E62C2"/>
    <w:rsid w:val="19C24DE5"/>
    <w:rsid w:val="19F3421C"/>
    <w:rsid w:val="1A1104E0"/>
    <w:rsid w:val="1A1750A0"/>
    <w:rsid w:val="1A3366A8"/>
    <w:rsid w:val="1A993ADA"/>
    <w:rsid w:val="1AB76681"/>
    <w:rsid w:val="1B1450BC"/>
    <w:rsid w:val="1B2E111E"/>
    <w:rsid w:val="1B3C7B1B"/>
    <w:rsid w:val="1B4F676B"/>
    <w:rsid w:val="1B8B5C0D"/>
    <w:rsid w:val="1B9F38C9"/>
    <w:rsid w:val="1BDB3B61"/>
    <w:rsid w:val="1BE32A90"/>
    <w:rsid w:val="1C0B1501"/>
    <w:rsid w:val="1C0F3C46"/>
    <w:rsid w:val="1C1147C7"/>
    <w:rsid w:val="1C19367C"/>
    <w:rsid w:val="1C2117E2"/>
    <w:rsid w:val="1C2C7853"/>
    <w:rsid w:val="1C6273FF"/>
    <w:rsid w:val="1C9F202D"/>
    <w:rsid w:val="1CCF7CB8"/>
    <w:rsid w:val="1CED5E90"/>
    <w:rsid w:val="1D2B1F51"/>
    <w:rsid w:val="1D304510"/>
    <w:rsid w:val="1D5030CD"/>
    <w:rsid w:val="1DB3762A"/>
    <w:rsid w:val="1DBE61C1"/>
    <w:rsid w:val="1E144587"/>
    <w:rsid w:val="1E2D609F"/>
    <w:rsid w:val="1E9F6C81"/>
    <w:rsid w:val="1EBF675C"/>
    <w:rsid w:val="1ED91EC9"/>
    <w:rsid w:val="1EF60F64"/>
    <w:rsid w:val="1EFE6456"/>
    <w:rsid w:val="1F2931F4"/>
    <w:rsid w:val="1F4031D7"/>
    <w:rsid w:val="1F6067DF"/>
    <w:rsid w:val="1F607F6A"/>
    <w:rsid w:val="1FAB60AE"/>
    <w:rsid w:val="1FB04EF2"/>
    <w:rsid w:val="1FC236F1"/>
    <w:rsid w:val="1FDD3583"/>
    <w:rsid w:val="20094A98"/>
    <w:rsid w:val="20206A35"/>
    <w:rsid w:val="202A7DFC"/>
    <w:rsid w:val="20320ECE"/>
    <w:rsid w:val="203F4474"/>
    <w:rsid w:val="20707C5A"/>
    <w:rsid w:val="2075768C"/>
    <w:rsid w:val="20E3392C"/>
    <w:rsid w:val="20E57FD0"/>
    <w:rsid w:val="20F05CF6"/>
    <w:rsid w:val="211A732D"/>
    <w:rsid w:val="216029BB"/>
    <w:rsid w:val="21675FC1"/>
    <w:rsid w:val="216D6944"/>
    <w:rsid w:val="21BA760D"/>
    <w:rsid w:val="21EF4DB8"/>
    <w:rsid w:val="22033625"/>
    <w:rsid w:val="220B2BC0"/>
    <w:rsid w:val="22155A3B"/>
    <w:rsid w:val="228710B6"/>
    <w:rsid w:val="22AF4D3A"/>
    <w:rsid w:val="22E20C6B"/>
    <w:rsid w:val="22F72BFA"/>
    <w:rsid w:val="23323DDD"/>
    <w:rsid w:val="234E742C"/>
    <w:rsid w:val="237D25FB"/>
    <w:rsid w:val="239674A8"/>
    <w:rsid w:val="23B4041C"/>
    <w:rsid w:val="23B95F8F"/>
    <w:rsid w:val="23CE4694"/>
    <w:rsid w:val="23D0113F"/>
    <w:rsid w:val="23F21DFF"/>
    <w:rsid w:val="23F7321D"/>
    <w:rsid w:val="24033914"/>
    <w:rsid w:val="24225E58"/>
    <w:rsid w:val="24250489"/>
    <w:rsid w:val="2432352D"/>
    <w:rsid w:val="24427966"/>
    <w:rsid w:val="24523BCF"/>
    <w:rsid w:val="246E4675"/>
    <w:rsid w:val="249B7782"/>
    <w:rsid w:val="24CC6F5D"/>
    <w:rsid w:val="24ED455E"/>
    <w:rsid w:val="24F762BD"/>
    <w:rsid w:val="25254250"/>
    <w:rsid w:val="25AA4947"/>
    <w:rsid w:val="25C24881"/>
    <w:rsid w:val="25DB1ACA"/>
    <w:rsid w:val="260C7BC7"/>
    <w:rsid w:val="260E5C0A"/>
    <w:rsid w:val="260F621B"/>
    <w:rsid w:val="262A6407"/>
    <w:rsid w:val="26754647"/>
    <w:rsid w:val="26C540F5"/>
    <w:rsid w:val="270419E4"/>
    <w:rsid w:val="27061712"/>
    <w:rsid w:val="272C055E"/>
    <w:rsid w:val="27990F78"/>
    <w:rsid w:val="27D47ADE"/>
    <w:rsid w:val="283A424B"/>
    <w:rsid w:val="28464C22"/>
    <w:rsid w:val="2864612A"/>
    <w:rsid w:val="286D039E"/>
    <w:rsid w:val="28A65C60"/>
    <w:rsid w:val="28AA63A3"/>
    <w:rsid w:val="28BE2F71"/>
    <w:rsid w:val="28C81095"/>
    <w:rsid w:val="28D160FF"/>
    <w:rsid w:val="28E20DFE"/>
    <w:rsid w:val="294B6B4A"/>
    <w:rsid w:val="2970609F"/>
    <w:rsid w:val="299A592B"/>
    <w:rsid w:val="29A749BD"/>
    <w:rsid w:val="29F052E3"/>
    <w:rsid w:val="29FE107D"/>
    <w:rsid w:val="2A053CD5"/>
    <w:rsid w:val="2A081C78"/>
    <w:rsid w:val="2A1B2793"/>
    <w:rsid w:val="2A1B3B7C"/>
    <w:rsid w:val="2A484859"/>
    <w:rsid w:val="2A48607F"/>
    <w:rsid w:val="2A907231"/>
    <w:rsid w:val="2ACB6D8B"/>
    <w:rsid w:val="2ADA5069"/>
    <w:rsid w:val="2ADB2B70"/>
    <w:rsid w:val="2ADF3CE2"/>
    <w:rsid w:val="2AE13EFE"/>
    <w:rsid w:val="2AE96552"/>
    <w:rsid w:val="2AF44D0C"/>
    <w:rsid w:val="2B2B1EB5"/>
    <w:rsid w:val="2B5731AB"/>
    <w:rsid w:val="2B5B73FC"/>
    <w:rsid w:val="2B6139A9"/>
    <w:rsid w:val="2BA65959"/>
    <w:rsid w:val="2BCE6A3C"/>
    <w:rsid w:val="2BDD6F30"/>
    <w:rsid w:val="2C01771F"/>
    <w:rsid w:val="2C1A1A35"/>
    <w:rsid w:val="2C3917D6"/>
    <w:rsid w:val="2C485860"/>
    <w:rsid w:val="2C5660EF"/>
    <w:rsid w:val="2C5A2BC3"/>
    <w:rsid w:val="2CA20413"/>
    <w:rsid w:val="2CA5739C"/>
    <w:rsid w:val="2CB216AE"/>
    <w:rsid w:val="2CC55886"/>
    <w:rsid w:val="2CC57DCE"/>
    <w:rsid w:val="2CCB0500"/>
    <w:rsid w:val="2CE55F2E"/>
    <w:rsid w:val="2D103481"/>
    <w:rsid w:val="2DA37249"/>
    <w:rsid w:val="2DFB52D7"/>
    <w:rsid w:val="2E074EAD"/>
    <w:rsid w:val="2E1B6F02"/>
    <w:rsid w:val="2E377C80"/>
    <w:rsid w:val="2E5334B2"/>
    <w:rsid w:val="2EA87C37"/>
    <w:rsid w:val="2EAD50BF"/>
    <w:rsid w:val="2EC2302B"/>
    <w:rsid w:val="2EC73149"/>
    <w:rsid w:val="2EF050AC"/>
    <w:rsid w:val="2F607817"/>
    <w:rsid w:val="2FC876CF"/>
    <w:rsid w:val="301B7B69"/>
    <w:rsid w:val="304765B2"/>
    <w:rsid w:val="307445F2"/>
    <w:rsid w:val="307A0E38"/>
    <w:rsid w:val="308717B0"/>
    <w:rsid w:val="30BF439A"/>
    <w:rsid w:val="31490108"/>
    <w:rsid w:val="315C1923"/>
    <w:rsid w:val="31742529"/>
    <w:rsid w:val="317918A6"/>
    <w:rsid w:val="317A63D1"/>
    <w:rsid w:val="31992E3D"/>
    <w:rsid w:val="319E2A7D"/>
    <w:rsid w:val="31A737AC"/>
    <w:rsid w:val="31DE6B3E"/>
    <w:rsid w:val="31F93C85"/>
    <w:rsid w:val="320C3DC4"/>
    <w:rsid w:val="3236683D"/>
    <w:rsid w:val="323F1AAB"/>
    <w:rsid w:val="3241027B"/>
    <w:rsid w:val="3245567F"/>
    <w:rsid w:val="32495624"/>
    <w:rsid w:val="3264243D"/>
    <w:rsid w:val="328A6130"/>
    <w:rsid w:val="329F2BDE"/>
    <w:rsid w:val="32B979F1"/>
    <w:rsid w:val="32C405B7"/>
    <w:rsid w:val="33020746"/>
    <w:rsid w:val="330227BA"/>
    <w:rsid w:val="33694A91"/>
    <w:rsid w:val="339A7EBA"/>
    <w:rsid w:val="339C6EE9"/>
    <w:rsid w:val="33B241FB"/>
    <w:rsid w:val="33C74824"/>
    <w:rsid w:val="33CB12A8"/>
    <w:rsid w:val="33D025C9"/>
    <w:rsid w:val="34000165"/>
    <w:rsid w:val="34092453"/>
    <w:rsid w:val="341C27DA"/>
    <w:rsid w:val="342D19FE"/>
    <w:rsid w:val="345602B2"/>
    <w:rsid w:val="347A26C8"/>
    <w:rsid w:val="34922517"/>
    <w:rsid w:val="350B4102"/>
    <w:rsid w:val="35753343"/>
    <w:rsid w:val="358950B3"/>
    <w:rsid w:val="359C0CEB"/>
    <w:rsid w:val="35A50F30"/>
    <w:rsid w:val="35B80985"/>
    <w:rsid w:val="36293445"/>
    <w:rsid w:val="363644EA"/>
    <w:rsid w:val="367857F4"/>
    <w:rsid w:val="36C4453B"/>
    <w:rsid w:val="3733277B"/>
    <w:rsid w:val="37425D25"/>
    <w:rsid w:val="376932B2"/>
    <w:rsid w:val="37B26422"/>
    <w:rsid w:val="37B54AD5"/>
    <w:rsid w:val="380B25BB"/>
    <w:rsid w:val="380C16D3"/>
    <w:rsid w:val="380C3FD0"/>
    <w:rsid w:val="382611A3"/>
    <w:rsid w:val="38345E90"/>
    <w:rsid w:val="38383496"/>
    <w:rsid w:val="386F4D5E"/>
    <w:rsid w:val="3884251B"/>
    <w:rsid w:val="3899266B"/>
    <w:rsid w:val="389F67D1"/>
    <w:rsid w:val="38E95002"/>
    <w:rsid w:val="39237490"/>
    <w:rsid w:val="39302414"/>
    <w:rsid w:val="394845A7"/>
    <w:rsid w:val="39496029"/>
    <w:rsid w:val="3A2D05C6"/>
    <w:rsid w:val="3A3376A4"/>
    <w:rsid w:val="3A391794"/>
    <w:rsid w:val="3A3E06F2"/>
    <w:rsid w:val="3A61630F"/>
    <w:rsid w:val="3A68164F"/>
    <w:rsid w:val="3AFB5482"/>
    <w:rsid w:val="3B135A0E"/>
    <w:rsid w:val="3B9376B1"/>
    <w:rsid w:val="3B9B1B14"/>
    <w:rsid w:val="3BA70B83"/>
    <w:rsid w:val="3BB8164A"/>
    <w:rsid w:val="3BB931EA"/>
    <w:rsid w:val="3BDE0C26"/>
    <w:rsid w:val="3C3C2D43"/>
    <w:rsid w:val="3C4C0969"/>
    <w:rsid w:val="3C566B00"/>
    <w:rsid w:val="3CA37BC4"/>
    <w:rsid w:val="3CC01BC6"/>
    <w:rsid w:val="3CCB6C79"/>
    <w:rsid w:val="3CEB1326"/>
    <w:rsid w:val="3CF60458"/>
    <w:rsid w:val="3CFD1828"/>
    <w:rsid w:val="3D09388A"/>
    <w:rsid w:val="3D0B08A6"/>
    <w:rsid w:val="3D1E387D"/>
    <w:rsid w:val="3D347271"/>
    <w:rsid w:val="3D516CC2"/>
    <w:rsid w:val="3D7B0F44"/>
    <w:rsid w:val="3DA908EF"/>
    <w:rsid w:val="3DBF2750"/>
    <w:rsid w:val="3DEE665D"/>
    <w:rsid w:val="3DF4757A"/>
    <w:rsid w:val="3E18158D"/>
    <w:rsid w:val="3E3078D1"/>
    <w:rsid w:val="3E386652"/>
    <w:rsid w:val="3E394BA7"/>
    <w:rsid w:val="3E6B3DB3"/>
    <w:rsid w:val="3E7F1CFC"/>
    <w:rsid w:val="3ED07692"/>
    <w:rsid w:val="3EDA75B6"/>
    <w:rsid w:val="3F130C59"/>
    <w:rsid w:val="3F4C155F"/>
    <w:rsid w:val="3F5A776C"/>
    <w:rsid w:val="3F8916C1"/>
    <w:rsid w:val="3F905FA2"/>
    <w:rsid w:val="3FB913F3"/>
    <w:rsid w:val="40205554"/>
    <w:rsid w:val="403F5400"/>
    <w:rsid w:val="40692B87"/>
    <w:rsid w:val="406D1521"/>
    <w:rsid w:val="40832568"/>
    <w:rsid w:val="408672B9"/>
    <w:rsid w:val="40BA01F2"/>
    <w:rsid w:val="40D21EC7"/>
    <w:rsid w:val="40EB606D"/>
    <w:rsid w:val="4135071D"/>
    <w:rsid w:val="4163343F"/>
    <w:rsid w:val="41870921"/>
    <w:rsid w:val="41B54A19"/>
    <w:rsid w:val="41EA4526"/>
    <w:rsid w:val="423C5A56"/>
    <w:rsid w:val="42412F87"/>
    <w:rsid w:val="424361B1"/>
    <w:rsid w:val="425B0CB6"/>
    <w:rsid w:val="42D66A4A"/>
    <w:rsid w:val="42E6330D"/>
    <w:rsid w:val="430667C9"/>
    <w:rsid w:val="43130DCE"/>
    <w:rsid w:val="43245DEF"/>
    <w:rsid w:val="43597697"/>
    <w:rsid w:val="4383232B"/>
    <w:rsid w:val="43AD04A2"/>
    <w:rsid w:val="43CD7A4D"/>
    <w:rsid w:val="43EE2391"/>
    <w:rsid w:val="43F80425"/>
    <w:rsid w:val="44374068"/>
    <w:rsid w:val="44507CD3"/>
    <w:rsid w:val="445924DC"/>
    <w:rsid w:val="448554DC"/>
    <w:rsid w:val="44C2222C"/>
    <w:rsid w:val="4514485C"/>
    <w:rsid w:val="451F2A03"/>
    <w:rsid w:val="451F6065"/>
    <w:rsid w:val="453A082C"/>
    <w:rsid w:val="456C5A33"/>
    <w:rsid w:val="4582210E"/>
    <w:rsid w:val="459C60A2"/>
    <w:rsid w:val="45C366F5"/>
    <w:rsid w:val="45C63796"/>
    <w:rsid w:val="45CA0646"/>
    <w:rsid w:val="45CF3A17"/>
    <w:rsid w:val="4655006A"/>
    <w:rsid w:val="46704F33"/>
    <w:rsid w:val="46A64E3E"/>
    <w:rsid w:val="46CB53EF"/>
    <w:rsid w:val="46F4162D"/>
    <w:rsid w:val="46F56910"/>
    <w:rsid w:val="472E78E0"/>
    <w:rsid w:val="47310AAE"/>
    <w:rsid w:val="47530456"/>
    <w:rsid w:val="47594D15"/>
    <w:rsid w:val="476750D3"/>
    <w:rsid w:val="476C1EC5"/>
    <w:rsid w:val="47C05A27"/>
    <w:rsid w:val="47C36A0E"/>
    <w:rsid w:val="47D86DC4"/>
    <w:rsid w:val="47E21344"/>
    <w:rsid w:val="47E963CD"/>
    <w:rsid w:val="47F51426"/>
    <w:rsid w:val="47FA3228"/>
    <w:rsid w:val="48036E0A"/>
    <w:rsid w:val="480F684B"/>
    <w:rsid w:val="481C4F78"/>
    <w:rsid w:val="48272AF9"/>
    <w:rsid w:val="4845294D"/>
    <w:rsid w:val="48574DC3"/>
    <w:rsid w:val="48AF169E"/>
    <w:rsid w:val="48B109E4"/>
    <w:rsid w:val="48BF71D5"/>
    <w:rsid w:val="48C35E53"/>
    <w:rsid w:val="48D96FCF"/>
    <w:rsid w:val="48F43F9A"/>
    <w:rsid w:val="490219AD"/>
    <w:rsid w:val="492009E2"/>
    <w:rsid w:val="493B2C65"/>
    <w:rsid w:val="49B86B98"/>
    <w:rsid w:val="49F067A9"/>
    <w:rsid w:val="49F326F7"/>
    <w:rsid w:val="4A432C32"/>
    <w:rsid w:val="4A5643FF"/>
    <w:rsid w:val="4A7D1791"/>
    <w:rsid w:val="4A9B7A35"/>
    <w:rsid w:val="4AAA7A11"/>
    <w:rsid w:val="4AC67E07"/>
    <w:rsid w:val="4AC76815"/>
    <w:rsid w:val="4B4762DA"/>
    <w:rsid w:val="4B7E5126"/>
    <w:rsid w:val="4BA356C8"/>
    <w:rsid w:val="4BBD266E"/>
    <w:rsid w:val="4BC75239"/>
    <w:rsid w:val="4BCB7C3F"/>
    <w:rsid w:val="4BCC5D64"/>
    <w:rsid w:val="4BDA2347"/>
    <w:rsid w:val="4BFD1BB4"/>
    <w:rsid w:val="4C363892"/>
    <w:rsid w:val="4C6065D9"/>
    <w:rsid w:val="4C690B9E"/>
    <w:rsid w:val="4C720B8B"/>
    <w:rsid w:val="4C8A2C90"/>
    <w:rsid w:val="4C97005E"/>
    <w:rsid w:val="4CA17BB8"/>
    <w:rsid w:val="4CC47592"/>
    <w:rsid w:val="4CE206C0"/>
    <w:rsid w:val="4CEF5311"/>
    <w:rsid w:val="4CFF4044"/>
    <w:rsid w:val="4D163416"/>
    <w:rsid w:val="4D472864"/>
    <w:rsid w:val="4D606CFC"/>
    <w:rsid w:val="4D730021"/>
    <w:rsid w:val="4DE83792"/>
    <w:rsid w:val="4DF52489"/>
    <w:rsid w:val="4E0E0901"/>
    <w:rsid w:val="4E1E04FA"/>
    <w:rsid w:val="4E1F24C4"/>
    <w:rsid w:val="4E2D0FC7"/>
    <w:rsid w:val="4E39210A"/>
    <w:rsid w:val="4E472389"/>
    <w:rsid w:val="4E931470"/>
    <w:rsid w:val="4EB33173"/>
    <w:rsid w:val="4EB75D7F"/>
    <w:rsid w:val="4ED418CD"/>
    <w:rsid w:val="4EE61A20"/>
    <w:rsid w:val="4EEC23A6"/>
    <w:rsid w:val="4EF95EF0"/>
    <w:rsid w:val="4F06257F"/>
    <w:rsid w:val="4F6379B0"/>
    <w:rsid w:val="4F881FE7"/>
    <w:rsid w:val="4F8E2609"/>
    <w:rsid w:val="4FD70883"/>
    <w:rsid w:val="4FEF14C0"/>
    <w:rsid w:val="4FF56BAF"/>
    <w:rsid w:val="500F216E"/>
    <w:rsid w:val="50152A4E"/>
    <w:rsid w:val="5077374A"/>
    <w:rsid w:val="508D7BB9"/>
    <w:rsid w:val="50941336"/>
    <w:rsid w:val="50965D81"/>
    <w:rsid w:val="50A751C6"/>
    <w:rsid w:val="50F418B7"/>
    <w:rsid w:val="511A2834"/>
    <w:rsid w:val="513A2FCE"/>
    <w:rsid w:val="517A482A"/>
    <w:rsid w:val="51850890"/>
    <w:rsid w:val="51C13FBE"/>
    <w:rsid w:val="51CB2747"/>
    <w:rsid w:val="51D23006"/>
    <w:rsid w:val="51F70271"/>
    <w:rsid w:val="52462715"/>
    <w:rsid w:val="52742472"/>
    <w:rsid w:val="52892D6A"/>
    <w:rsid w:val="528B078C"/>
    <w:rsid w:val="530B489A"/>
    <w:rsid w:val="53110785"/>
    <w:rsid w:val="532774AD"/>
    <w:rsid w:val="53312CE0"/>
    <w:rsid w:val="535B3617"/>
    <w:rsid w:val="536C28B5"/>
    <w:rsid w:val="537D44EB"/>
    <w:rsid w:val="53926B2B"/>
    <w:rsid w:val="53DD32F2"/>
    <w:rsid w:val="54185E47"/>
    <w:rsid w:val="542872F4"/>
    <w:rsid w:val="543713FE"/>
    <w:rsid w:val="54511807"/>
    <w:rsid w:val="546D1D19"/>
    <w:rsid w:val="548E74B2"/>
    <w:rsid w:val="54A00E43"/>
    <w:rsid w:val="54BE0915"/>
    <w:rsid w:val="54CF47D3"/>
    <w:rsid w:val="54DE0602"/>
    <w:rsid w:val="54F93FC1"/>
    <w:rsid w:val="55201667"/>
    <w:rsid w:val="553C572D"/>
    <w:rsid w:val="557A0122"/>
    <w:rsid w:val="55C0633B"/>
    <w:rsid w:val="55DD0265"/>
    <w:rsid w:val="55FF4536"/>
    <w:rsid w:val="55FF7988"/>
    <w:rsid w:val="562664C0"/>
    <w:rsid w:val="564B654C"/>
    <w:rsid w:val="565C6063"/>
    <w:rsid w:val="56675789"/>
    <w:rsid w:val="56705011"/>
    <w:rsid w:val="56A74837"/>
    <w:rsid w:val="56E04458"/>
    <w:rsid w:val="573204A7"/>
    <w:rsid w:val="577B3F4D"/>
    <w:rsid w:val="57B52368"/>
    <w:rsid w:val="57BA621E"/>
    <w:rsid w:val="57D5581D"/>
    <w:rsid w:val="57FF2CF6"/>
    <w:rsid w:val="580634CB"/>
    <w:rsid w:val="5809221B"/>
    <w:rsid w:val="58160494"/>
    <w:rsid w:val="5835267D"/>
    <w:rsid w:val="583F03D5"/>
    <w:rsid w:val="58407563"/>
    <w:rsid w:val="584B07B9"/>
    <w:rsid w:val="58907103"/>
    <w:rsid w:val="5894149F"/>
    <w:rsid w:val="58A67A6A"/>
    <w:rsid w:val="58EB4A9A"/>
    <w:rsid w:val="59172746"/>
    <w:rsid w:val="591A1628"/>
    <w:rsid w:val="594E3962"/>
    <w:rsid w:val="595D7738"/>
    <w:rsid w:val="595F355C"/>
    <w:rsid w:val="59945962"/>
    <w:rsid w:val="5998528B"/>
    <w:rsid w:val="59EB46B7"/>
    <w:rsid w:val="5A0705A6"/>
    <w:rsid w:val="5A3166FA"/>
    <w:rsid w:val="5A3B2434"/>
    <w:rsid w:val="5A476A55"/>
    <w:rsid w:val="5A8E7B6C"/>
    <w:rsid w:val="5AD676A3"/>
    <w:rsid w:val="5B61429A"/>
    <w:rsid w:val="5B9067AF"/>
    <w:rsid w:val="5BA97648"/>
    <w:rsid w:val="5BB82925"/>
    <w:rsid w:val="5BC70423"/>
    <w:rsid w:val="5BD2218D"/>
    <w:rsid w:val="5C0529FF"/>
    <w:rsid w:val="5C1214D0"/>
    <w:rsid w:val="5C2C0A67"/>
    <w:rsid w:val="5C50666A"/>
    <w:rsid w:val="5C995A32"/>
    <w:rsid w:val="5CAD5CEE"/>
    <w:rsid w:val="5CC45554"/>
    <w:rsid w:val="5CDD7F90"/>
    <w:rsid w:val="5CE06159"/>
    <w:rsid w:val="5CF865E1"/>
    <w:rsid w:val="5CFD0490"/>
    <w:rsid w:val="5D0B2591"/>
    <w:rsid w:val="5D190CD3"/>
    <w:rsid w:val="5D3F68CE"/>
    <w:rsid w:val="5D575F35"/>
    <w:rsid w:val="5D6D51B2"/>
    <w:rsid w:val="5DBD4A20"/>
    <w:rsid w:val="5DEB18AE"/>
    <w:rsid w:val="5DF04FFA"/>
    <w:rsid w:val="5E0C7005"/>
    <w:rsid w:val="5E1831B8"/>
    <w:rsid w:val="5E2C6143"/>
    <w:rsid w:val="5E326545"/>
    <w:rsid w:val="5E521D73"/>
    <w:rsid w:val="5E7C3368"/>
    <w:rsid w:val="5E7F3181"/>
    <w:rsid w:val="5EFA0523"/>
    <w:rsid w:val="5F0D0843"/>
    <w:rsid w:val="5F3C66D9"/>
    <w:rsid w:val="5F6614BD"/>
    <w:rsid w:val="5F837F4B"/>
    <w:rsid w:val="5F954394"/>
    <w:rsid w:val="5FAB28DD"/>
    <w:rsid w:val="5FC67CF3"/>
    <w:rsid w:val="5FC81CF2"/>
    <w:rsid w:val="602120CC"/>
    <w:rsid w:val="60244F9E"/>
    <w:rsid w:val="602F063B"/>
    <w:rsid w:val="606D077A"/>
    <w:rsid w:val="608429E8"/>
    <w:rsid w:val="609B1E2D"/>
    <w:rsid w:val="609C5E61"/>
    <w:rsid w:val="60A12B23"/>
    <w:rsid w:val="60BB3887"/>
    <w:rsid w:val="60EC6FCE"/>
    <w:rsid w:val="6107112A"/>
    <w:rsid w:val="611159A3"/>
    <w:rsid w:val="6112322E"/>
    <w:rsid w:val="611549B6"/>
    <w:rsid w:val="6118040B"/>
    <w:rsid w:val="611A2D52"/>
    <w:rsid w:val="61366DAB"/>
    <w:rsid w:val="616B1982"/>
    <w:rsid w:val="61842912"/>
    <w:rsid w:val="618A0AB5"/>
    <w:rsid w:val="619040E7"/>
    <w:rsid w:val="61A60ADB"/>
    <w:rsid w:val="61A66D2D"/>
    <w:rsid w:val="61C85AC7"/>
    <w:rsid w:val="61CE103B"/>
    <w:rsid w:val="61D24E3F"/>
    <w:rsid w:val="61E5552D"/>
    <w:rsid w:val="61F93ED7"/>
    <w:rsid w:val="620D010B"/>
    <w:rsid w:val="62107F87"/>
    <w:rsid w:val="62223E81"/>
    <w:rsid w:val="62337C96"/>
    <w:rsid w:val="62487E42"/>
    <w:rsid w:val="626D3C1F"/>
    <w:rsid w:val="62B540D4"/>
    <w:rsid w:val="62C10A41"/>
    <w:rsid w:val="62C30522"/>
    <w:rsid w:val="62D32E39"/>
    <w:rsid w:val="63117482"/>
    <w:rsid w:val="631B7BAA"/>
    <w:rsid w:val="632220FE"/>
    <w:rsid w:val="63454859"/>
    <w:rsid w:val="635263D8"/>
    <w:rsid w:val="63976F8D"/>
    <w:rsid w:val="63F52F6A"/>
    <w:rsid w:val="63F87786"/>
    <w:rsid w:val="63FA510E"/>
    <w:rsid w:val="64020B82"/>
    <w:rsid w:val="64032214"/>
    <w:rsid w:val="640B1F0A"/>
    <w:rsid w:val="64290B02"/>
    <w:rsid w:val="642C26A5"/>
    <w:rsid w:val="64460353"/>
    <w:rsid w:val="644A4BFD"/>
    <w:rsid w:val="644F664D"/>
    <w:rsid w:val="645740DA"/>
    <w:rsid w:val="645E53EA"/>
    <w:rsid w:val="647136A3"/>
    <w:rsid w:val="6479406B"/>
    <w:rsid w:val="649D0FC9"/>
    <w:rsid w:val="64AC6BB7"/>
    <w:rsid w:val="64F5789A"/>
    <w:rsid w:val="650333F0"/>
    <w:rsid w:val="65FF25D9"/>
    <w:rsid w:val="66111B92"/>
    <w:rsid w:val="66291CDA"/>
    <w:rsid w:val="665637B3"/>
    <w:rsid w:val="665F74AA"/>
    <w:rsid w:val="66621E49"/>
    <w:rsid w:val="66734D6E"/>
    <w:rsid w:val="66777298"/>
    <w:rsid w:val="6681025D"/>
    <w:rsid w:val="66A87267"/>
    <w:rsid w:val="66A96689"/>
    <w:rsid w:val="66AC705C"/>
    <w:rsid w:val="66C27CD6"/>
    <w:rsid w:val="66DD12D9"/>
    <w:rsid w:val="66F57C08"/>
    <w:rsid w:val="66FD3A84"/>
    <w:rsid w:val="66FF1B57"/>
    <w:rsid w:val="671A6197"/>
    <w:rsid w:val="671C21D0"/>
    <w:rsid w:val="674C7B37"/>
    <w:rsid w:val="675109A0"/>
    <w:rsid w:val="67816F37"/>
    <w:rsid w:val="678216A2"/>
    <w:rsid w:val="67991332"/>
    <w:rsid w:val="679F5ED4"/>
    <w:rsid w:val="67A10521"/>
    <w:rsid w:val="67AE3EDD"/>
    <w:rsid w:val="67E5001D"/>
    <w:rsid w:val="680173FA"/>
    <w:rsid w:val="680D44B2"/>
    <w:rsid w:val="68153C99"/>
    <w:rsid w:val="68243F50"/>
    <w:rsid w:val="68295FC1"/>
    <w:rsid w:val="684B5F38"/>
    <w:rsid w:val="68870897"/>
    <w:rsid w:val="68B3057B"/>
    <w:rsid w:val="68BA5634"/>
    <w:rsid w:val="68D2009C"/>
    <w:rsid w:val="68F505D1"/>
    <w:rsid w:val="6907100D"/>
    <w:rsid w:val="690C1AD5"/>
    <w:rsid w:val="692174F2"/>
    <w:rsid w:val="69357B65"/>
    <w:rsid w:val="693A561E"/>
    <w:rsid w:val="6975738E"/>
    <w:rsid w:val="69A753F0"/>
    <w:rsid w:val="69A76289"/>
    <w:rsid w:val="69A95901"/>
    <w:rsid w:val="69AD3FAE"/>
    <w:rsid w:val="69D45463"/>
    <w:rsid w:val="6A2F1A15"/>
    <w:rsid w:val="6A2F1E77"/>
    <w:rsid w:val="6A6B3C71"/>
    <w:rsid w:val="6A7E6516"/>
    <w:rsid w:val="6ADA35A3"/>
    <w:rsid w:val="6AE21395"/>
    <w:rsid w:val="6AFB0FE0"/>
    <w:rsid w:val="6B045705"/>
    <w:rsid w:val="6B1F04D8"/>
    <w:rsid w:val="6B755662"/>
    <w:rsid w:val="6B83539E"/>
    <w:rsid w:val="6BA860B8"/>
    <w:rsid w:val="6BD359D8"/>
    <w:rsid w:val="6C040F0E"/>
    <w:rsid w:val="6C632D22"/>
    <w:rsid w:val="6C6E637D"/>
    <w:rsid w:val="6C865790"/>
    <w:rsid w:val="6C8E42FB"/>
    <w:rsid w:val="6C903E02"/>
    <w:rsid w:val="6CE95A62"/>
    <w:rsid w:val="6CEB626C"/>
    <w:rsid w:val="6D077EC3"/>
    <w:rsid w:val="6D415B5B"/>
    <w:rsid w:val="6D5026AF"/>
    <w:rsid w:val="6DD956F4"/>
    <w:rsid w:val="6DEC2118"/>
    <w:rsid w:val="6DF963A7"/>
    <w:rsid w:val="6E072901"/>
    <w:rsid w:val="6E370C24"/>
    <w:rsid w:val="6E3E3969"/>
    <w:rsid w:val="6E545B5A"/>
    <w:rsid w:val="6E55366C"/>
    <w:rsid w:val="6E625D89"/>
    <w:rsid w:val="6E641B01"/>
    <w:rsid w:val="6E672A38"/>
    <w:rsid w:val="6EB06B99"/>
    <w:rsid w:val="6EFB257E"/>
    <w:rsid w:val="6F0C1C24"/>
    <w:rsid w:val="6F1C062E"/>
    <w:rsid w:val="6F235519"/>
    <w:rsid w:val="6F321C00"/>
    <w:rsid w:val="6F6D3E83"/>
    <w:rsid w:val="6F8834B6"/>
    <w:rsid w:val="6FCD398B"/>
    <w:rsid w:val="6FE85F9F"/>
    <w:rsid w:val="6FEF1353"/>
    <w:rsid w:val="70012E28"/>
    <w:rsid w:val="70696E2C"/>
    <w:rsid w:val="708C6249"/>
    <w:rsid w:val="70AA6F37"/>
    <w:rsid w:val="70C73885"/>
    <w:rsid w:val="70CE6927"/>
    <w:rsid w:val="70EB69EB"/>
    <w:rsid w:val="70F10452"/>
    <w:rsid w:val="717B4535"/>
    <w:rsid w:val="718F336D"/>
    <w:rsid w:val="71B93175"/>
    <w:rsid w:val="71B9670E"/>
    <w:rsid w:val="71D70F11"/>
    <w:rsid w:val="72E45DDC"/>
    <w:rsid w:val="72EA2818"/>
    <w:rsid w:val="7311571B"/>
    <w:rsid w:val="73560EC8"/>
    <w:rsid w:val="735D7F27"/>
    <w:rsid w:val="73E334C8"/>
    <w:rsid w:val="74050F45"/>
    <w:rsid w:val="7409369A"/>
    <w:rsid w:val="74123BF3"/>
    <w:rsid w:val="743655CD"/>
    <w:rsid w:val="744A2D0D"/>
    <w:rsid w:val="747C6BF3"/>
    <w:rsid w:val="748702F8"/>
    <w:rsid w:val="74B11819"/>
    <w:rsid w:val="74DA28B2"/>
    <w:rsid w:val="74F60D5D"/>
    <w:rsid w:val="74F87447"/>
    <w:rsid w:val="750131E6"/>
    <w:rsid w:val="752124FA"/>
    <w:rsid w:val="754C6CA4"/>
    <w:rsid w:val="75565262"/>
    <w:rsid w:val="756554D5"/>
    <w:rsid w:val="757758AD"/>
    <w:rsid w:val="758762F4"/>
    <w:rsid w:val="75A448FB"/>
    <w:rsid w:val="75A629FF"/>
    <w:rsid w:val="75A873C5"/>
    <w:rsid w:val="75C630A2"/>
    <w:rsid w:val="765320E5"/>
    <w:rsid w:val="76B45643"/>
    <w:rsid w:val="76CE607E"/>
    <w:rsid w:val="770B1874"/>
    <w:rsid w:val="770C4304"/>
    <w:rsid w:val="77110F15"/>
    <w:rsid w:val="771B5E81"/>
    <w:rsid w:val="77207ADF"/>
    <w:rsid w:val="77446974"/>
    <w:rsid w:val="77582F4B"/>
    <w:rsid w:val="779C40BA"/>
    <w:rsid w:val="779D33E2"/>
    <w:rsid w:val="77F019DE"/>
    <w:rsid w:val="78097F42"/>
    <w:rsid w:val="782224B1"/>
    <w:rsid w:val="784E1922"/>
    <w:rsid w:val="78797EEC"/>
    <w:rsid w:val="788C1D66"/>
    <w:rsid w:val="78C935D5"/>
    <w:rsid w:val="78E3438F"/>
    <w:rsid w:val="792C1EA2"/>
    <w:rsid w:val="794A5D98"/>
    <w:rsid w:val="797A5141"/>
    <w:rsid w:val="79A16564"/>
    <w:rsid w:val="79B73A8C"/>
    <w:rsid w:val="79EA6045"/>
    <w:rsid w:val="79EB5B33"/>
    <w:rsid w:val="79ED371A"/>
    <w:rsid w:val="79EF58D6"/>
    <w:rsid w:val="79F41AA5"/>
    <w:rsid w:val="7A1800AD"/>
    <w:rsid w:val="7A2D1FFE"/>
    <w:rsid w:val="7A6079ED"/>
    <w:rsid w:val="7A7211D4"/>
    <w:rsid w:val="7A7255A6"/>
    <w:rsid w:val="7ADA0837"/>
    <w:rsid w:val="7B0F731D"/>
    <w:rsid w:val="7B1E039E"/>
    <w:rsid w:val="7B71743E"/>
    <w:rsid w:val="7B852C34"/>
    <w:rsid w:val="7B911AEF"/>
    <w:rsid w:val="7BB54328"/>
    <w:rsid w:val="7BBA2CDF"/>
    <w:rsid w:val="7BC13DBD"/>
    <w:rsid w:val="7BCE5B7E"/>
    <w:rsid w:val="7BF53C86"/>
    <w:rsid w:val="7BF97178"/>
    <w:rsid w:val="7CA360C3"/>
    <w:rsid w:val="7CB73983"/>
    <w:rsid w:val="7CBD4970"/>
    <w:rsid w:val="7CE24C65"/>
    <w:rsid w:val="7CF37FBE"/>
    <w:rsid w:val="7D056657"/>
    <w:rsid w:val="7D2E57CF"/>
    <w:rsid w:val="7D3053E4"/>
    <w:rsid w:val="7D4D5E56"/>
    <w:rsid w:val="7D520906"/>
    <w:rsid w:val="7D7C2E0F"/>
    <w:rsid w:val="7D9B4E14"/>
    <w:rsid w:val="7DB625DB"/>
    <w:rsid w:val="7DE467BB"/>
    <w:rsid w:val="7DE71E07"/>
    <w:rsid w:val="7E012CE7"/>
    <w:rsid w:val="7E4D0364"/>
    <w:rsid w:val="7E5D7BC6"/>
    <w:rsid w:val="7E9278B6"/>
    <w:rsid w:val="7E986C83"/>
    <w:rsid w:val="7EA62974"/>
    <w:rsid w:val="7EA913D6"/>
    <w:rsid w:val="7EE51D06"/>
    <w:rsid w:val="7F581391"/>
    <w:rsid w:val="7F7F7115"/>
    <w:rsid w:val="7FC94238"/>
    <w:rsid w:val="7FF04416"/>
    <w:rsid w:val="7FF16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link w:val="67"/>
    <w:qFormat/>
    <w:uiPriority w:val="0"/>
    <w:pPr>
      <w:spacing w:beforeAutospacing="1" w:afterAutospacing="1" w:line="360" w:lineRule="auto"/>
      <w:jc w:val="center"/>
      <w:outlineLvl w:val="0"/>
    </w:pPr>
    <w:rPr>
      <w:rFonts w:ascii="宋体" w:hAnsi="宋体" w:cs="宋体"/>
      <w:b/>
      <w:kern w:val="44"/>
      <w:sz w:val="32"/>
      <w:szCs w:val="48"/>
    </w:rPr>
  </w:style>
  <w:style w:type="paragraph" w:styleId="7">
    <w:name w:val="heading 2"/>
    <w:basedOn w:val="1"/>
    <w:next w:val="1"/>
    <w:link w:val="68"/>
    <w:qFormat/>
    <w:uiPriority w:val="0"/>
    <w:pPr>
      <w:keepNext/>
      <w:keepLines/>
      <w:spacing w:before="260" w:after="260" w:line="416" w:lineRule="auto"/>
      <w:outlineLvl w:val="1"/>
    </w:pPr>
    <w:rPr>
      <w:rFonts w:ascii="Cambria" w:hAnsi="Cambria"/>
      <w:b/>
      <w:bCs/>
      <w:kern w:val="0"/>
      <w:sz w:val="32"/>
      <w:szCs w:val="32"/>
    </w:rPr>
  </w:style>
  <w:style w:type="paragraph" w:styleId="8">
    <w:name w:val="heading 3"/>
    <w:basedOn w:val="1"/>
    <w:next w:val="1"/>
    <w:link w:val="137"/>
    <w:qFormat/>
    <w:uiPriority w:val="0"/>
    <w:pPr>
      <w:keepNext/>
      <w:keepLines/>
      <w:spacing w:before="260" w:after="260" w:line="416" w:lineRule="auto"/>
      <w:outlineLvl w:val="2"/>
    </w:pPr>
    <w:rPr>
      <w:b/>
      <w:bCs/>
      <w:kern w:val="0"/>
      <w:sz w:val="32"/>
      <w:szCs w:val="32"/>
    </w:rPr>
  </w:style>
  <w:style w:type="paragraph" w:styleId="9">
    <w:name w:val="heading 4"/>
    <w:basedOn w:val="1"/>
    <w:next w:val="1"/>
    <w:link w:val="73"/>
    <w:qFormat/>
    <w:uiPriority w:val="0"/>
    <w:pPr>
      <w:widowControl/>
      <w:tabs>
        <w:tab w:val="left" w:pos="567"/>
        <w:tab w:val="left" w:pos="1080"/>
      </w:tabs>
      <w:spacing w:after="120"/>
      <w:jc w:val="left"/>
      <w:outlineLvl w:val="3"/>
    </w:pPr>
    <w:rPr>
      <w:kern w:val="0"/>
      <w:sz w:val="24"/>
      <w:lang w:val="en-NZ"/>
    </w:rPr>
  </w:style>
  <w:style w:type="paragraph" w:styleId="10">
    <w:name w:val="heading 5"/>
    <w:basedOn w:val="1"/>
    <w:next w:val="1"/>
    <w:link w:val="136"/>
    <w:qFormat/>
    <w:uiPriority w:val="0"/>
    <w:pPr>
      <w:widowControl/>
      <w:tabs>
        <w:tab w:val="left" w:pos="1021"/>
      </w:tabs>
      <w:spacing w:before="240" w:after="120"/>
      <w:jc w:val="left"/>
      <w:outlineLvl w:val="4"/>
    </w:pPr>
    <w:rPr>
      <w:rFonts w:ascii="Arial Narrow" w:hAnsi="Arial Narrow"/>
      <w:i/>
      <w:kern w:val="0"/>
      <w:sz w:val="24"/>
      <w:szCs w:val="20"/>
      <w:lang w:val="en-NZ"/>
    </w:rPr>
  </w:style>
  <w:style w:type="paragraph" w:styleId="11">
    <w:name w:val="heading 6"/>
    <w:basedOn w:val="1"/>
    <w:next w:val="1"/>
    <w:link w:val="112"/>
    <w:qFormat/>
    <w:uiPriority w:val="0"/>
    <w:pPr>
      <w:keepNext/>
      <w:keepLines/>
      <w:spacing w:before="240" w:after="64" w:line="320" w:lineRule="auto"/>
      <w:outlineLvl w:val="5"/>
    </w:pPr>
    <w:rPr>
      <w:rFonts w:ascii="Arial" w:hAnsi="Arial" w:eastAsia="黑体"/>
      <w:b/>
      <w:bCs/>
      <w:kern w:val="0"/>
      <w:sz w:val="24"/>
    </w:rPr>
  </w:style>
  <w:style w:type="paragraph" w:styleId="12">
    <w:name w:val="heading 7"/>
    <w:basedOn w:val="1"/>
    <w:next w:val="1"/>
    <w:link w:val="70"/>
    <w:qFormat/>
    <w:uiPriority w:val="0"/>
    <w:pPr>
      <w:widowControl/>
      <w:tabs>
        <w:tab w:val="left" w:pos="567"/>
      </w:tabs>
      <w:spacing w:before="240" w:after="60"/>
      <w:jc w:val="left"/>
      <w:outlineLvl w:val="6"/>
    </w:pPr>
    <w:rPr>
      <w:rFonts w:ascii="Arial" w:hAnsi="Arial"/>
      <w:kern w:val="0"/>
      <w:sz w:val="24"/>
      <w:szCs w:val="20"/>
      <w:lang w:val="en-NZ"/>
    </w:rPr>
  </w:style>
  <w:style w:type="paragraph" w:styleId="13">
    <w:name w:val="heading 8"/>
    <w:basedOn w:val="1"/>
    <w:next w:val="1"/>
    <w:link w:val="134"/>
    <w:qFormat/>
    <w:uiPriority w:val="0"/>
    <w:pPr>
      <w:widowControl/>
      <w:tabs>
        <w:tab w:val="left" w:pos="567"/>
      </w:tabs>
      <w:spacing w:before="240" w:after="60"/>
      <w:jc w:val="left"/>
      <w:outlineLvl w:val="7"/>
    </w:pPr>
    <w:rPr>
      <w:rFonts w:ascii="Arial" w:hAnsi="Arial"/>
      <w:i/>
      <w:kern w:val="0"/>
      <w:sz w:val="24"/>
      <w:szCs w:val="20"/>
      <w:lang w:val="en-NZ"/>
    </w:rPr>
  </w:style>
  <w:style w:type="paragraph" w:styleId="14">
    <w:name w:val="heading 9"/>
    <w:basedOn w:val="1"/>
    <w:next w:val="15"/>
    <w:link w:val="115"/>
    <w:qFormat/>
    <w:uiPriority w:val="0"/>
    <w:pPr>
      <w:keepNext/>
      <w:keepLines/>
      <w:spacing w:before="240" w:after="64" w:line="320" w:lineRule="auto"/>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link w:val="140"/>
    <w:qFormat/>
    <w:uiPriority w:val="0"/>
    <w:pPr>
      <w:spacing w:before="72" w:after="120"/>
      <w:ind w:left="360"/>
    </w:pPr>
    <w:rPr>
      <w:color w:val="000000"/>
      <w:kern w:val="0"/>
      <w:sz w:val="24"/>
    </w:rPr>
  </w:style>
  <w:style w:type="paragraph" w:customStyle="1" w:styleId="4">
    <w:name w:val="样式 正文文本缩进 + 首行缩进:  2 字符 行距: 1.5 倍行距"/>
    <w:basedOn w:val="3"/>
    <w:qFormat/>
    <w:uiPriority w:val="0"/>
    <w:rPr>
      <w:rFonts w:cs="宋体"/>
    </w:rPr>
  </w:style>
  <w:style w:type="paragraph" w:customStyle="1" w:styleId="5">
    <w:name w:val="**正文"/>
    <w:basedOn w:val="1"/>
    <w:qFormat/>
    <w:uiPriority w:val="0"/>
    <w:pPr>
      <w:ind w:firstLine="482"/>
    </w:pPr>
    <w:rPr>
      <w:rFonts w:ascii="宋体" w:hAnsi="宋体"/>
      <w:sz w:val="24"/>
    </w:rPr>
  </w:style>
  <w:style w:type="paragraph" w:styleId="15">
    <w:name w:val="Normal Indent"/>
    <w:basedOn w:val="1"/>
    <w:link w:val="91"/>
    <w:qFormat/>
    <w:uiPriority w:val="0"/>
    <w:pPr>
      <w:ind w:firstLine="420"/>
    </w:pPr>
    <w:rPr>
      <w:kern w:val="0"/>
      <w:sz w:val="20"/>
      <w:szCs w:val="20"/>
    </w:rPr>
  </w:style>
  <w:style w:type="paragraph" w:styleId="16">
    <w:name w:val="index 8"/>
    <w:basedOn w:val="1"/>
    <w:next w:val="1"/>
    <w:qFormat/>
    <w:uiPriority w:val="0"/>
    <w:pPr>
      <w:ind w:left="2940"/>
    </w:pPr>
  </w:style>
  <w:style w:type="paragraph" w:styleId="17">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8">
    <w:name w:val="caption"/>
    <w:basedOn w:val="1"/>
    <w:next w:val="1"/>
    <w:qFormat/>
    <w:uiPriority w:val="0"/>
    <w:rPr>
      <w:rFonts w:ascii="Cambria" w:hAnsi="Cambria" w:eastAsia="黑体"/>
      <w:sz w:val="20"/>
      <w:szCs w:val="20"/>
    </w:rPr>
  </w:style>
  <w:style w:type="paragraph" w:styleId="19">
    <w:name w:val="Document Map"/>
    <w:basedOn w:val="1"/>
    <w:link w:val="90"/>
    <w:qFormat/>
    <w:uiPriority w:val="0"/>
    <w:rPr>
      <w:rFonts w:ascii="宋体"/>
      <w:kern w:val="0"/>
      <w:sz w:val="18"/>
      <w:szCs w:val="18"/>
    </w:rPr>
  </w:style>
  <w:style w:type="paragraph" w:styleId="20">
    <w:name w:val="annotation text"/>
    <w:basedOn w:val="1"/>
    <w:link w:val="122"/>
    <w:qFormat/>
    <w:uiPriority w:val="99"/>
    <w:pPr>
      <w:jc w:val="left"/>
    </w:pPr>
    <w:rPr>
      <w:kern w:val="0"/>
      <w:sz w:val="20"/>
    </w:rPr>
  </w:style>
  <w:style w:type="paragraph" w:styleId="21">
    <w:name w:val="Body Text 3"/>
    <w:basedOn w:val="1"/>
    <w:link w:val="123"/>
    <w:qFormat/>
    <w:uiPriority w:val="0"/>
    <w:pPr>
      <w:spacing w:line="240" w:lineRule="exact"/>
    </w:pPr>
    <w:rPr>
      <w:rFonts w:ascii="宋体" w:hAnsi="宋体"/>
      <w:color w:val="000000"/>
      <w:kern w:val="0"/>
      <w:sz w:val="20"/>
      <w:szCs w:val="21"/>
    </w:rPr>
  </w:style>
  <w:style w:type="paragraph" w:styleId="22">
    <w:name w:val="Body Text"/>
    <w:basedOn w:val="1"/>
    <w:next w:val="1"/>
    <w:link w:val="85"/>
    <w:unhideWhenUsed/>
    <w:qFormat/>
    <w:uiPriority w:val="0"/>
    <w:pPr>
      <w:spacing w:after="120"/>
    </w:pPr>
    <w:rPr>
      <w:rFonts w:ascii="等线" w:hAnsi="等线" w:eastAsia="等线"/>
      <w:kern w:val="0"/>
      <w:sz w:val="20"/>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rFonts w:ascii="Times New Roman" w:hAnsi="Times New Roman"/>
      <w:kern w:val="0"/>
      <w:szCs w:val="20"/>
    </w:rPr>
  </w:style>
  <w:style w:type="paragraph" w:styleId="26">
    <w:name w:val="toc 3"/>
    <w:basedOn w:val="1"/>
    <w:next w:val="1"/>
    <w:qFormat/>
    <w:uiPriority w:val="0"/>
    <w:pPr>
      <w:ind w:left="840" w:leftChars="400"/>
    </w:pPr>
  </w:style>
  <w:style w:type="paragraph" w:styleId="27">
    <w:name w:val="Plain Text"/>
    <w:basedOn w:val="1"/>
    <w:next w:val="16"/>
    <w:link w:val="83"/>
    <w:qFormat/>
    <w:uiPriority w:val="0"/>
    <w:rPr>
      <w:rFonts w:ascii="宋体" w:hAnsi="Courier New"/>
      <w:kern w:val="0"/>
      <w:sz w:val="20"/>
      <w:szCs w:val="20"/>
    </w:rPr>
  </w:style>
  <w:style w:type="paragraph" w:styleId="28">
    <w:name w:val="Date"/>
    <w:basedOn w:val="1"/>
    <w:next w:val="1"/>
    <w:link w:val="71"/>
    <w:qFormat/>
    <w:uiPriority w:val="0"/>
    <w:pPr>
      <w:spacing w:line="360" w:lineRule="auto"/>
      <w:ind w:firstLine="480" w:firstLineChars="200"/>
    </w:pPr>
    <w:rPr>
      <w:kern w:val="0"/>
      <w:sz w:val="28"/>
      <w:szCs w:val="21"/>
    </w:rPr>
  </w:style>
  <w:style w:type="paragraph" w:styleId="29">
    <w:name w:val="Body Text Indent 2"/>
    <w:basedOn w:val="1"/>
    <w:link w:val="100"/>
    <w:qFormat/>
    <w:uiPriority w:val="0"/>
    <w:pPr>
      <w:ind w:firstLine="630"/>
    </w:pPr>
    <w:rPr>
      <w:sz w:val="32"/>
      <w:szCs w:val="22"/>
    </w:rPr>
  </w:style>
  <w:style w:type="paragraph" w:styleId="30">
    <w:name w:val="Balloon Text"/>
    <w:basedOn w:val="1"/>
    <w:link w:val="87"/>
    <w:qFormat/>
    <w:uiPriority w:val="0"/>
    <w:rPr>
      <w:kern w:val="0"/>
      <w:sz w:val="18"/>
      <w:szCs w:val="18"/>
    </w:rPr>
  </w:style>
  <w:style w:type="paragraph" w:styleId="31">
    <w:name w:val="footer"/>
    <w:basedOn w:val="1"/>
    <w:next w:val="1"/>
    <w:link w:val="86"/>
    <w:qFormat/>
    <w:uiPriority w:val="0"/>
    <w:pPr>
      <w:tabs>
        <w:tab w:val="center" w:pos="4153"/>
        <w:tab w:val="right" w:pos="8306"/>
      </w:tabs>
      <w:snapToGrid w:val="0"/>
      <w:jc w:val="left"/>
    </w:pPr>
    <w:rPr>
      <w:kern w:val="0"/>
      <w:sz w:val="18"/>
      <w:szCs w:val="18"/>
    </w:rPr>
  </w:style>
  <w:style w:type="paragraph" w:styleId="32">
    <w:name w:val="envelope return"/>
    <w:basedOn w:val="1"/>
    <w:qFormat/>
    <w:uiPriority w:val="0"/>
    <w:pPr>
      <w:snapToGrid w:val="0"/>
    </w:pPr>
    <w:rPr>
      <w:rFonts w:ascii="Arial" w:hAnsi="Arial"/>
    </w:rPr>
  </w:style>
  <w:style w:type="paragraph" w:styleId="33">
    <w:name w:val="header"/>
    <w:basedOn w:val="1"/>
    <w:link w:val="126"/>
    <w:qFormat/>
    <w:uiPriority w:val="0"/>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qFormat/>
    <w:uiPriority w:val="0"/>
    <w:pPr>
      <w:spacing w:line="360" w:lineRule="auto"/>
      <w:ind w:firstLine="480" w:firstLineChars="200"/>
    </w:pPr>
    <w:rPr>
      <w:sz w:val="24"/>
      <w:szCs w:val="21"/>
    </w:rPr>
  </w:style>
  <w:style w:type="paragraph" w:styleId="35">
    <w:name w:val="List"/>
    <w:basedOn w:val="1"/>
    <w:qFormat/>
    <w:uiPriority w:val="0"/>
    <w:pPr>
      <w:ind w:left="200" w:hanging="200" w:hangingChars="200"/>
    </w:pPr>
    <w:rPr>
      <w:sz w:val="28"/>
    </w:rPr>
  </w:style>
  <w:style w:type="paragraph" w:styleId="36">
    <w:name w:val="Body Text Indent 3"/>
    <w:basedOn w:val="1"/>
    <w:link w:val="92"/>
    <w:qFormat/>
    <w:uiPriority w:val="0"/>
    <w:pPr>
      <w:snapToGrid w:val="0"/>
      <w:spacing w:line="360" w:lineRule="exact"/>
      <w:ind w:left="645" w:firstLine="480" w:firstLineChars="200"/>
    </w:pPr>
    <w:rPr>
      <w:rFonts w:ascii="楷体_GB2312" w:eastAsia="楷体_GB2312"/>
      <w:kern w:val="0"/>
      <w:sz w:val="24"/>
      <w:szCs w:val="21"/>
    </w:rPr>
  </w:style>
  <w:style w:type="paragraph" w:styleId="37">
    <w:name w:val="toc 2"/>
    <w:basedOn w:val="1"/>
    <w:next w:val="1"/>
    <w:qFormat/>
    <w:uiPriority w:val="0"/>
    <w:pPr>
      <w:tabs>
        <w:tab w:val="right" w:leader="dot" w:pos="8585"/>
      </w:tabs>
      <w:adjustRightInd w:val="0"/>
      <w:spacing w:line="360" w:lineRule="auto"/>
      <w:ind w:firstLine="480" w:firstLineChars="200"/>
      <w:textAlignment w:val="baseline"/>
    </w:pPr>
    <w:rPr>
      <w:rFonts w:eastAsia="仿宋_GB2312"/>
      <w:bCs/>
      <w:color w:val="000000"/>
      <w:kern w:val="0"/>
      <w:sz w:val="28"/>
      <w:szCs w:val="28"/>
    </w:rPr>
  </w:style>
  <w:style w:type="paragraph" w:styleId="38">
    <w:name w:val="Body Text 2"/>
    <w:basedOn w:val="1"/>
    <w:link w:val="117"/>
    <w:qFormat/>
    <w:uiPriority w:val="0"/>
    <w:pPr>
      <w:spacing w:after="120" w:line="480" w:lineRule="auto"/>
    </w:pPr>
  </w:style>
  <w:style w:type="paragraph" w:styleId="3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pPr>
      <w:spacing w:line="400" w:lineRule="exact"/>
      <w:ind w:firstLine="420" w:firstLineChars="200"/>
    </w:pPr>
    <w:rPr>
      <w:rFonts w:ascii="宋体" w:hAnsi="Courier New"/>
      <w:b/>
      <w:szCs w:val="20"/>
    </w:rPr>
  </w:style>
  <w:style w:type="paragraph" w:styleId="41">
    <w:name w:val="Title"/>
    <w:basedOn w:val="1"/>
    <w:next w:val="1"/>
    <w:link w:val="69"/>
    <w:qFormat/>
    <w:uiPriority w:val="0"/>
    <w:pPr>
      <w:spacing w:before="240" w:after="60" w:line="360" w:lineRule="auto"/>
      <w:ind w:firstLine="480" w:firstLineChars="200"/>
      <w:jc w:val="center"/>
      <w:outlineLvl w:val="0"/>
    </w:pPr>
    <w:rPr>
      <w:rFonts w:ascii="Cambria" w:hAnsi="Cambria"/>
      <w:b/>
      <w:bCs/>
      <w:kern w:val="0"/>
      <w:sz w:val="32"/>
      <w:szCs w:val="32"/>
    </w:rPr>
  </w:style>
  <w:style w:type="paragraph" w:styleId="42">
    <w:name w:val="annotation subject"/>
    <w:basedOn w:val="20"/>
    <w:next w:val="20"/>
    <w:link w:val="84"/>
    <w:qFormat/>
    <w:uiPriority w:val="0"/>
    <w:rPr>
      <w:b/>
      <w:bCs/>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99"/>
    <w:rPr>
      <w:color w:val="000000"/>
      <w:u w:val="none"/>
    </w:rPr>
  </w:style>
  <w:style w:type="character" w:styleId="49">
    <w:name w:val="Emphasis"/>
    <w:qFormat/>
    <w:uiPriority w:val="0"/>
    <w:rPr>
      <w:i/>
      <w:iCs/>
    </w:rPr>
  </w:style>
  <w:style w:type="character" w:styleId="50">
    <w:name w:val="HTML Definition"/>
    <w:unhideWhenUsed/>
    <w:qFormat/>
    <w:uiPriority w:val="99"/>
  </w:style>
  <w:style w:type="character" w:styleId="51">
    <w:name w:val="HTML Typewriter"/>
    <w:basedOn w:val="45"/>
    <w:semiHidden/>
    <w:unhideWhenUsed/>
    <w:qFormat/>
    <w:uiPriority w:val="99"/>
    <w:rPr>
      <w:rFonts w:hint="default" w:ascii="monospace" w:hAnsi="monospace" w:eastAsia="monospace" w:cs="monospace"/>
      <w:sz w:val="20"/>
    </w:rPr>
  </w:style>
  <w:style w:type="character" w:styleId="52">
    <w:name w:val="HTML Acronym"/>
    <w:basedOn w:val="45"/>
    <w:unhideWhenUsed/>
    <w:qFormat/>
    <w:uiPriority w:val="99"/>
  </w:style>
  <w:style w:type="character" w:styleId="53">
    <w:name w:val="HTML Variable"/>
    <w:unhideWhenUsed/>
    <w:qFormat/>
    <w:uiPriority w:val="99"/>
    <w:rPr>
      <w:rFonts w:hint="default" w:ascii="monaco" w:hAnsi="monaco" w:eastAsia="monaco" w:cs="monaco"/>
      <w:i/>
      <w:sz w:val="19"/>
      <w:szCs w:val="19"/>
    </w:rPr>
  </w:style>
  <w:style w:type="character" w:styleId="54">
    <w:name w:val="Hyperlink"/>
    <w:qFormat/>
    <w:uiPriority w:val="99"/>
    <w:rPr>
      <w:color w:val="000000"/>
      <w:u w:val="none"/>
    </w:rPr>
  </w:style>
  <w:style w:type="character" w:styleId="55">
    <w:name w:val="HTML Code"/>
    <w:unhideWhenUsed/>
    <w:qFormat/>
    <w:uiPriority w:val="99"/>
    <w:rPr>
      <w:rFonts w:hint="default" w:ascii="monaco" w:hAnsi="monaco" w:eastAsia="monaco" w:cs="monaco"/>
      <w:sz w:val="19"/>
      <w:szCs w:val="19"/>
    </w:rPr>
  </w:style>
  <w:style w:type="character" w:styleId="56">
    <w:name w:val="annotation reference"/>
    <w:qFormat/>
    <w:uiPriority w:val="0"/>
    <w:rPr>
      <w:sz w:val="21"/>
      <w:szCs w:val="21"/>
    </w:rPr>
  </w:style>
  <w:style w:type="character" w:styleId="57">
    <w:name w:val="HTML Cite"/>
    <w:unhideWhenUsed/>
    <w:qFormat/>
    <w:uiPriority w:val="99"/>
  </w:style>
  <w:style w:type="character" w:styleId="58">
    <w:name w:val="HTML Keyboard"/>
    <w:unhideWhenUsed/>
    <w:qFormat/>
    <w:uiPriority w:val="99"/>
    <w:rPr>
      <w:rFonts w:ascii="monaco" w:hAnsi="monaco" w:eastAsia="monaco" w:cs="monaco"/>
      <w:sz w:val="19"/>
      <w:szCs w:val="19"/>
    </w:rPr>
  </w:style>
  <w:style w:type="character" w:styleId="59">
    <w:name w:val="HTML Sample"/>
    <w:unhideWhenUsed/>
    <w:qFormat/>
    <w:uiPriority w:val="99"/>
    <w:rPr>
      <w:rFonts w:hint="default" w:ascii="monaco" w:hAnsi="monaco" w:eastAsia="monaco" w:cs="monaco"/>
      <w:sz w:val="19"/>
      <w:szCs w:val="19"/>
    </w:rPr>
  </w:style>
  <w:style w:type="paragraph" w:customStyle="1" w:styleId="60">
    <w:name w:val="表格文字"/>
    <w:basedOn w:val="1"/>
    <w:next w:val="1"/>
    <w:qFormat/>
    <w:uiPriority w:val="0"/>
    <w:pPr>
      <w:spacing w:before="25" w:after="25"/>
      <w:jc w:val="left"/>
    </w:pPr>
    <w:rPr>
      <w:bCs/>
      <w:spacing w:val="10"/>
      <w:kern w:val="0"/>
      <w:sz w:val="24"/>
    </w:rPr>
  </w:style>
  <w:style w:type="paragraph" w:customStyle="1" w:styleId="61">
    <w:name w:val="正文首行缩进 21"/>
    <w:basedOn w:val="62"/>
    <w:qFormat/>
    <w:uiPriority w:val="0"/>
    <w:pPr>
      <w:ind w:firstLine="420" w:firstLineChars="200"/>
    </w:pPr>
  </w:style>
  <w:style w:type="paragraph" w:customStyle="1" w:styleId="62">
    <w:name w:val="正文文本缩进1"/>
    <w:basedOn w:val="1"/>
    <w:next w:val="3"/>
    <w:qFormat/>
    <w:uiPriority w:val="0"/>
    <w:pPr>
      <w:spacing w:after="120"/>
      <w:ind w:left="420" w:leftChars="200"/>
    </w:pPr>
  </w:style>
  <w:style w:type="paragraph" w:customStyle="1" w:styleId="63">
    <w:name w:val="首行缩进"/>
    <w:basedOn w:val="1"/>
    <w:qFormat/>
    <w:uiPriority w:val="0"/>
    <w:pPr>
      <w:ind w:firstLine="480" w:firstLineChars="200"/>
    </w:pPr>
  </w:style>
  <w:style w:type="paragraph" w:styleId="64">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65">
    <w:name w:val="current"/>
    <w:qFormat/>
    <w:uiPriority w:val="0"/>
  </w:style>
  <w:style w:type="character" w:customStyle="1" w:styleId="66">
    <w:name w:val="批注文字 Char1"/>
    <w:semiHidden/>
    <w:qFormat/>
    <w:uiPriority w:val="99"/>
    <w:rPr>
      <w:rFonts w:ascii="Times New Roman" w:hAnsi="Times New Roman" w:eastAsia="宋体" w:cs="Times New Roman"/>
      <w:szCs w:val="24"/>
    </w:rPr>
  </w:style>
  <w:style w:type="character" w:customStyle="1" w:styleId="67">
    <w:name w:val="标题 1 字符"/>
    <w:link w:val="6"/>
    <w:qFormat/>
    <w:uiPriority w:val="0"/>
    <w:rPr>
      <w:rFonts w:ascii="宋体" w:hAnsi="宋体" w:eastAsia="宋体" w:cs="宋体"/>
      <w:b/>
      <w:kern w:val="44"/>
      <w:sz w:val="32"/>
      <w:szCs w:val="48"/>
    </w:rPr>
  </w:style>
  <w:style w:type="character" w:customStyle="1" w:styleId="68">
    <w:name w:val="标题 2 字符"/>
    <w:link w:val="7"/>
    <w:qFormat/>
    <w:uiPriority w:val="0"/>
    <w:rPr>
      <w:rFonts w:ascii="Cambria" w:hAnsi="Cambria" w:eastAsia="宋体" w:cs="Times New Roman"/>
      <w:b/>
      <w:bCs/>
      <w:sz w:val="32"/>
      <w:szCs w:val="32"/>
    </w:rPr>
  </w:style>
  <w:style w:type="character" w:customStyle="1" w:styleId="69">
    <w:name w:val="标题 字符"/>
    <w:link w:val="41"/>
    <w:qFormat/>
    <w:uiPriority w:val="0"/>
    <w:rPr>
      <w:rFonts w:ascii="Cambria" w:hAnsi="Cambria" w:eastAsia="宋体" w:cs="Times New Roman"/>
      <w:b/>
      <w:bCs/>
      <w:sz w:val="32"/>
      <w:szCs w:val="32"/>
    </w:rPr>
  </w:style>
  <w:style w:type="character" w:customStyle="1" w:styleId="70">
    <w:name w:val="标题 7 字符"/>
    <w:link w:val="12"/>
    <w:qFormat/>
    <w:uiPriority w:val="0"/>
    <w:rPr>
      <w:rFonts w:ascii="Arial" w:hAnsi="Arial" w:eastAsia="宋体" w:cs="Times New Roman"/>
      <w:kern w:val="0"/>
      <w:sz w:val="24"/>
      <w:szCs w:val="20"/>
      <w:lang w:val="en-NZ"/>
    </w:rPr>
  </w:style>
  <w:style w:type="character" w:customStyle="1" w:styleId="71">
    <w:name w:val="日期 字符"/>
    <w:link w:val="28"/>
    <w:qFormat/>
    <w:uiPriority w:val="0"/>
    <w:rPr>
      <w:rFonts w:ascii="Times New Roman" w:hAnsi="Times New Roman" w:eastAsia="宋体" w:cs="Times New Roman"/>
      <w:sz w:val="28"/>
      <w:szCs w:val="21"/>
    </w:rPr>
  </w:style>
  <w:style w:type="character" w:customStyle="1" w:styleId="72">
    <w:name w:val="font41"/>
    <w:qFormat/>
    <w:uiPriority w:val="0"/>
    <w:rPr>
      <w:rFonts w:hint="eastAsia" w:ascii="仿宋" w:hAnsi="仿宋" w:eastAsia="仿宋" w:cs="仿宋"/>
      <w:b/>
      <w:color w:val="000000"/>
      <w:sz w:val="24"/>
      <w:szCs w:val="24"/>
      <w:u w:val="single"/>
    </w:rPr>
  </w:style>
  <w:style w:type="character" w:customStyle="1" w:styleId="73">
    <w:name w:val="标题 4 字符"/>
    <w:link w:val="9"/>
    <w:qFormat/>
    <w:uiPriority w:val="0"/>
    <w:rPr>
      <w:rFonts w:ascii="Times New Roman" w:hAnsi="Times New Roman" w:eastAsia="宋体" w:cs="Times New Roman"/>
      <w:sz w:val="24"/>
      <w:szCs w:val="24"/>
      <w:lang w:val="en-NZ"/>
    </w:rPr>
  </w:style>
  <w:style w:type="character" w:customStyle="1" w:styleId="74">
    <w:name w:val="正文文本缩进 Char1"/>
    <w:qFormat/>
    <w:uiPriority w:val="99"/>
    <w:rPr>
      <w:rFonts w:ascii="Times New Roman" w:hAnsi="Times New Roman" w:eastAsia="宋体" w:cs="Times New Roman"/>
      <w:szCs w:val="24"/>
    </w:rPr>
  </w:style>
  <w:style w:type="character" w:customStyle="1" w:styleId="75">
    <w:name w:val="日期 Char1"/>
    <w:qFormat/>
    <w:uiPriority w:val="0"/>
    <w:rPr>
      <w:rFonts w:ascii="宋体" w:hAnsi="Courier New" w:cs="Courier New"/>
      <w:szCs w:val="21"/>
    </w:rPr>
  </w:style>
  <w:style w:type="character" w:customStyle="1" w:styleId="76">
    <w:name w:val="文档结构图 Char1"/>
    <w:qFormat/>
    <w:uiPriority w:val="0"/>
    <w:rPr>
      <w:rFonts w:ascii="宋体" w:hAnsi="Times New Roman" w:eastAsia="宋体" w:cs="Times New Roman"/>
      <w:sz w:val="18"/>
      <w:szCs w:val="18"/>
    </w:rPr>
  </w:style>
  <w:style w:type="character" w:customStyle="1" w:styleId="77">
    <w:name w:val="strength-txt"/>
    <w:basedOn w:val="45"/>
    <w:qFormat/>
    <w:uiPriority w:val="0"/>
  </w:style>
  <w:style w:type="character" w:customStyle="1" w:styleId="78">
    <w:name w:val="ename"/>
    <w:qFormat/>
    <w:uiPriority w:val="0"/>
    <w:rPr>
      <w:sz w:val="18"/>
      <w:szCs w:val="18"/>
    </w:rPr>
  </w:style>
  <w:style w:type="character" w:customStyle="1" w:styleId="79">
    <w:name w:val="apple-style-span"/>
    <w:basedOn w:val="45"/>
    <w:qFormat/>
    <w:uiPriority w:val="0"/>
  </w:style>
  <w:style w:type="character" w:customStyle="1" w:styleId="80">
    <w:name w:val="font11"/>
    <w:qFormat/>
    <w:uiPriority w:val="0"/>
    <w:rPr>
      <w:rFonts w:hint="eastAsia" w:ascii="仿宋" w:hAnsi="仿宋" w:eastAsia="仿宋" w:cs="仿宋"/>
      <w:color w:val="000000"/>
      <w:sz w:val="24"/>
      <w:szCs w:val="24"/>
      <w:u w:val="none"/>
    </w:rPr>
  </w:style>
  <w:style w:type="character" w:customStyle="1" w:styleId="81">
    <w:name w:val="页眉 Char1"/>
    <w:qFormat/>
    <w:uiPriority w:val="0"/>
    <w:rPr>
      <w:sz w:val="18"/>
      <w:szCs w:val="18"/>
    </w:rPr>
  </w:style>
  <w:style w:type="character" w:customStyle="1" w:styleId="82">
    <w:name w:val="nc-lang-cnt"/>
    <w:basedOn w:val="45"/>
    <w:qFormat/>
    <w:uiPriority w:val="0"/>
  </w:style>
  <w:style w:type="character" w:customStyle="1" w:styleId="83">
    <w:name w:val="纯文本 字符"/>
    <w:link w:val="27"/>
    <w:qFormat/>
    <w:uiPriority w:val="0"/>
    <w:rPr>
      <w:rFonts w:ascii="宋体" w:hAnsi="Courier New" w:eastAsia="宋体"/>
    </w:rPr>
  </w:style>
  <w:style w:type="character" w:customStyle="1" w:styleId="84">
    <w:name w:val="批注主题 字符"/>
    <w:link w:val="42"/>
    <w:qFormat/>
    <w:uiPriority w:val="0"/>
    <w:rPr>
      <w:rFonts w:ascii="Times New Roman" w:hAnsi="Times New Roman" w:eastAsia="宋体" w:cs="Times New Roman"/>
      <w:b/>
      <w:bCs/>
      <w:szCs w:val="24"/>
    </w:rPr>
  </w:style>
  <w:style w:type="character" w:customStyle="1" w:styleId="85">
    <w:name w:val="正文文本 字符"/>
    <w:link w:val="22"/>
    <w:qFormat/>
    <w:uiPriority w:val="0"/>
    <w:rPr>
      <w:rFonts w:ascii="等线" w:hAnsi="等线" w:eastAsia="等线" w:cs="Times New Roman"/>
    </w:rPr>
  </w:style>
  <w:style w:type="character" w:customStyle="1" w:styleId="86">
    <w:name w:val="页脚 字符"/>
    <w:link w:val="31"/>
    <w:qFormat/>
    <w:uiPriority w:val="0"/>
    <w:rPr>
      <w:rFonts w:ascii="Times New Roman" w:hAnsi="Times New Roman" w:eastAsia="宋体" w:cs="Times New Roman"/>
      <w:sz w:val="18"/>
      <w:szCs w:val="18"/>
    </w:rPr>
  </w:style>
  <w:style w:type="character" w:customStyle="1" w:styleId="87">
    <w:name w:val="批注框文本 字符"/>
    <w:link w:val="30"/>
    <w:qFormat/>
    <w:uiPriority w:val="0"/>
    <w:rPr>
      <w:rFonts w:ascii="Times New Roman" w:hAnsi="Times New Roman" w:eastAsia="宋体" w:cs="Times New Roman"/>
      <w:sz w:val="18"/>
      <w:szCs w:val="18"/>
    </w:rPr>
  </w:style>
  <w:style w:type="character" w:customStyle="1" w:styleId="88">
    <w:name w:val="Char Char1"/>
    <w:qFormat/>
    <w:uiPriority w:val="0"/>
    <w:rPr>
      <w:rFonts w:eastAsia="宋体"/>
      <w:kern w:val="2"/>
      <w:sz w:val="21"/>
      <w:szCs w:val="24"/>
      <w:lang w:val="en-US" w:eastAsia="zh-CN" w:bidi="ar-SA"/>
    </w:rPr>
  </w:style>
  <w:style w:type="character" w:customStyle="1" w:styleId="89">
    <w:name w:val="ajax_loader"/>
    <w:basedOn w:val="45"/>
    <w:qFormat/>
    <w:uiPriority w:val="0"/>
  </w:style>
  <w:style w:type="character" w:customStyle="1" w:styleId="90">
    <w:name w:val="文档结构图 字符"/>
    <w:link w:val="19"/>
    <w:qFormat/>
    <w:uiPriority w:val="0"/>
    <w:rPr>
      <w:rFonts w:ascii="宋体"/>
      <w:sz w:val="18"/>
      <w:szCs w:val="18"/>
    </w:rPr>
  </w:style>
  <w:style w:type="character" w:customStyle="1" w:styleId="91">
    <w:name w:val="正文缩进 字符"/>
    <w:link w:val="15"/>
    <w:qFormat/>
    <w:locked/>
    <w:uiPriority w:val="0"/>
    <w:rPr>
      <w:rFonts w:eastAsia="宋体"/>
    </w:rPr>
  </w:style>
  <w:style w:type="character" w:customStyle="1" w:styleId="92">
    <w:name w:val="正文文本缩进 3 字符"/>
    <w:link w:val="36"/>
    <w:qFormat/>
    <w:uiPriority w:val="0"/>
    <w:rPr>
      <w:rFonts w:ascii="楷体_GB2312" w:hAnsi="Times New Roman" w:eastAsia="楷体_GB2312" w:cs="Times New Roman"/>
      <w:sz w:val="24"/>
      <w:szCs w:val="21"/>
    </w:rPr>
  </w:style>
  <w:style w:type="character" w:customStyle="1" w:styleId="93">
    <w:name w:val="正文文本 3 Char1"/>
    <w:qFormat/>
    <w:uiPriority w:val="0"/>
    <w:rPr>
      <w:b/>
      <w:bCs/>
      <w:sz w:val="24"/>
      <w:szCs w:val="24"/>
    </w:rPr>
  </w:style>
  <w:style w:type="character" w:customStyle="1" w:styleId="94">
    <w:name w:val="nc-lang-cnt2"/>
    <w:basedOn w:val="45"/>
    <w:qFormat/>
    <w:uiPriority w:val="0"/>
  </w:style>
  <w:style w:type="character" w:customStyle="1" w:styleId="95">
    <w:name w:val="纯文本 Char3"/>
    <w:qFormat/>
    <w:uiPriority w:val="0"/>
    <w:rPr>
      <w:rFonts w:ascii="宋体" w:hAnsi="Courier New" w:cs="Courier New"/>
      <w:szCs w:val="21"/>
    </w:rPr>
  </w:style>
  <w:style w:type="character" w:customStyle="1" w:styleId="96">
    <w:name w:val="Char Char2"/>
    <w:qFormat/>
    <w:uiPriority w:val="0"/>
    <w:rPr>
      <w:rFonts w:ascii="宋体" w:hAnsi="Courier New" w:eastAsia="宋体"/>
      <w:kern w:val="2"/>
      <w:sz w:val="21"/>
      <w:lang w:val="en-US" w:eastAsia="zh-CN" w:bidi="ar-SA"/>
    </w:rPr>
  </w:style>
  <w:style w:type="character" w:customStyle="1" w:styleId="97">
    <w:name w:val="Char Char18"/>
    <w:qFormat/>
    <w:uiPriority w:val="0"/>
    <w:rPr>
      <w:rFonts w:eastAsia="黑体"/>
      <w:b/>
      <w:sz w:val="28"/>
    </w:rPr>
  </w:style>
  <w:style w:type="character" w:customStyle="1" w:styleId="98">
    <w:name w:val="正文文本 Char1"/>
    <w:qFormat/>
    <w:uiPriority w:val="0"/>
    <w:rPr>
      <w:sz w:val="24"/>
      <w:szCs w:val="24"/>
    </w:rPr>
  </w:style>
  <w:style w:type="character" w:customStyle="1" w:styleId="99">
    <w:name w:val="正文文本缩进 2 Char"/>
    <w:qFormat/>
    <w:uiPriority w:val="0"/>
    <w:rPr>
      <w:rFonts w:ascii="Times New Roman" w:hAnsi="Times New Roman"/>
      <w:kern w:val="2"/>
      <w:sz w:val="21"/>
      <w:szCs w:val="24"/>
    </w:rPr>
  </w:style>
  <w:style w:type="character" w:customStyle="1" w:styleId="100">
    <w:name w:val="正文文本缩进 2 字符"/>
    <w:link w:val="29"/>
    <w:qFormat/>
    <w:uiPriority w:val="0"/>
    <w:rPr>
      <w:rFonts w:ascii="Calibri" w:hAnsi="Calibri" w:eastAsia="宋体" w:cs="Times New Roman"/>
      <w:kern w:val="2"/>
      <w:sz w:val="32"/>
      <w:szCs w:val="22"/>
    </w:rPr>
  </w:style>
  <w:style w:type="character" w:customStyle="1" w:styleId="101">
    <w:name w:val="Char Char6"/>
    <w:qFormat/>
    <w:locked/>
    <w:uiPriority w:val="0"/>
    <w:rPr>
      <w:kern w:val="2"/>
      <w:sz w:val="18"/>
      <w:szCs w:val="18"/>
      <w:lang w:bidi="ar-SA"/>
    </w:rPr>
  </w:style>
  <w:style w:type="character" w:customStyle="1" w:styleId="102">
    <w:name w:val="close6"/>
    <w:basedOn w:val="45"/>
    <w:qFormat/>
    <w:uiPriority w:val="0"/>
  </w:style>
  <w:style w:type="character" w:customStyle="1" w:styleId="103">
    <w:name w:val="正文文本缩进 3 Char1"/>
    <w:qFormat/>
    <w:uiPriority w:val="0"/>
    <w:rPr>
      <w:sz w:val="16"/>
      <w:szCs w:val="16"/>
    </w:rPr>
  </w:style>
  <w:style w:type="character" w:customStyle="1" w:styleId="104">
    <w:name w:val="Char"/>
    <w:qFormat/>
    <w:uiPriority w:val="0"/>
    <w:rPr>
      <w:rFonts w:ascii="Arial" w:hAnsi="Arial" w:eastAsia="黑体"/>
      <w:b/>
      <w:bCs/>
      <w:sz w:val="32"/>
      <w:szCs w:val="32"/>
      <w:lang w:val="en-US" w:eastAsia="zh-CN" w:bidi="ar-SA"/>
    </w:rPr>
  </w:style>
  <w:style w:type="character" w:customStyle="1" w:styleId="105">
    <w:name w:val="Default Char"/>
    <w:link w:val="106"/>
    <w:qFormat/>
    <w:uiPriority w:val="0"/>
    <w:rPr>
      <w:rFonts w:ascii="宋体" w:eastAsia="Times New Roman"/>
      <w:color w:val="000000"/>
      <w:sz w:val="24"/>
      <w:lang w:val="en-US" w:eastAsia="zh-CN" w:bidi="ar-SA"/>
    </w:rPr>
  </w:style>
  <w:style w:type="paragraph" w:customStyle="1" w:styleId="106">
    <w:name w:val="Default"/>
    <w:link w:val="105"/>
    <w:qFormat/>
    <w:uiPriority w:val="0"/>
    <w:pPr>
      <w:widowControl w:val="0"/>
      <w:autoSpaceDE w:val="0"/>
      <w:autoSpaceDN w:val="0"/>
      <w:adjustRightInd w:val="0"/>
    </w:pPr>
    <w:rPr>
      <w:rFonts w:ascii="宋体" w:hAnsi="Calibri" w:eastAsia="Times New Roman" w:cs="Times New Roman"/>
      <w:color w:val="000000"/>
      <w:sz w:val="24"/>
      <w:lang w:val="en-US" w:eastAsia="zh-CN" w:bidi="ar-SA"/>
    </w:rPr>
  </w:style>
  <w:style w:type="character" w:customStyle="1" w:styleId="107">
    <w:name w:val="word21"/>
    <w:qFormat/>
    <w:uiPriority w:val="0"/>
    <w:rPr>
      <w:color w:val="555555"/>
      <w:sz w:val="18"/>
      <w:szCs w:val="18"/>
    </w:rPr>
  </w:style>
  <w:style w:type="character" w:customStyle="1" w:styleId="108">
    <w:name w:val="正文文本 2 Char"/>
    <w:qFormat/>
    <w:uiPriority w:val="0"/>
    <w:rPr>
      <w:rFonts w:ascii="Times New Roman" w:hAnsi="Times New Roman"/>
      <w:kern w:val="2"/>
      <w:sz w:val="21"/>
      <w:szCs w:val="24"/>
    </w:rPr>
  </w:style>
  <w:style w:type="character" w:customStyle="1" w:styleId="109">
    <w:name w:val="Char Char"/>
    <w:qFormat/>
    <w:locked/>
    <w:uiPriority w:val="0"/>
    <w:rPr>
      <w:rFonts w:ascii="宋体" w:hAnsi="Courier New" w:eastAsia="宋体"/>
      <w:kern w:val="2"/>
      <w:sz w:val="21"/>
      <w:lang w:val="en-US" w:eastAsia="zh-CN" w:bidi="ar-SA"/>
    </w:rPr>
  </w:style>
  <w:style w:type="character" w:customStyle="1" w:styleId="110">
    <w:name w:val="nc-lang-cnt4"/>
    <w:qFormat/>
    <w:uiPriority w:val="0"/>
    <w:rPr>
      <w:rtl/>
    </w:rPr>
  </w:style>
  <w:style w:type="character" w:customStyle="1" w:styleId="111">
    <w:name w:val="nc-lang-cnt3"/>
    <w:qFormat/>
    <w:uiPriority w:val="0"/>
    <w:rPr>
      <w:rtl/>
    </w:rPr>
  </w:style>
  <w:style w:type="character" w:customStyle="1" w:styleId="112">
    <w:name w:val="标题 6 字符"/>
    <w:link w:val="11"/>
    <w:qFormat/>
    <w:uiPriority w:val="0"/>
    <w:rPr>
      <w:rFonts w:ascii="Arial" w:hAnsi="Arial" w:eastAsia="黑体" w:cs="Times New Roman"/>
      <w:b/>
      <w:bCs/>
      <w:sz w:val="24"/>
      <w:szCs w:val="24"/>
    </w:rPr>
  </w:style>
  <w:style w:type="character" w:customStyle="1" w:styleId="113">
    <w:name w:val="页脚 Char"/>
    <w:qFormat/>
    <w:uiPriority w:val="0"/>
    <w:rPr>
      <w:rFonts w:ascii="Times New Roman" w:hAnsi="Times New Roman" w:eastAsia="宋体" w:cs="Times New Roman"/>
      <w:sz w:val="18"/>
      <w:szCs w:val="18"/>
    </w:rPr>
  </w:style>
  <w:style w:type="character" w:customStyle="1" w:styleId="114">
    <w:name w:val="nc-lang-cnt5"/>
    <w:qFormat/>
    <w:uiPriority w:val="0"/>
    <w:rPr>
      <w:rtl/>
    </w:rPr>
  </w:style>
  <w:style w:type="character" w:customStyle="1" w:styleId="115">
    <w:name w:val="标题 9 字符"/>
    <w:link w:val="14"/>
    <w:qFormat/>
    <w:uiPriority w:val="0"/>
    <w:rPr>
      <w:rFonts w:ascii="Arial" w:hAnsi="Arial" w:eastAsia="黑体"/>
      <w:kern w:val="2"/>
      <w:sz w:val="21"/>
      <w:szCs w:val="24"/>
    </w:rPr>
  </w:style>
  <w:style w:type="character" w:customStyle="1" w:styleId="116">
    <w:name w:val="nc-lang-cnt6"/>
    <w:qFormat/>
    <w:uiPriority w:val="0"/>
    <w:rPr>
      <w:rtl/>
    </w:rPr>
  </w:style>
  <w:style w:type="character" w:customStyle="1" w:styleId="117">
    <w:name w:val="正文文本 2 字符"/>
    <w:link w:val="38"/>
    <w:qFormat/>
    <w:uiPriority w:val="0"/>
    <w:rPr>
      <w:rFonts w:ascii="Calibri" w:hAnsi="Calibri" w:eastAsia="宋体" w:cs="Times New Roman"/>
      <w:kern w:val="2"/>
      <w:sz w:val="21"/>
      <w:szCs w:val="24"/>
    </w:rPr>
  </w:style>
  <w:style w:type="character" w:customStyle="1" w:styleId="118">
    <w:name w:val="纯文本 Char1"/>
    <w:qFormat/>
    <w:uiPriority w:val="0"/>
    <w:rPr>
      <w:rFonts w:ascii="宋体" w:hAnsi="Courier New" w:eastAsia="宋体"/>
      <w:kern w:val="2"/>
      <w:sz w:val="21"/>
      <w:lang w:val="en-US" w:eastAsia="zh-CN" w:bidi="ar-SA"/>
    </w:rPr>
  </w:style>
  <w:style w:type="character" w:customStyle="1" w:styleId="119">
    <w:name w:val="批注框文本 Char1"/>
    <w:qFormat/>
    <w:uiPriority w:val="0"/>
    <w:rPr>
      <w:sz w:val="18"/>
      <w:szCs w:val="18"/>
    </w:rPr>
  </w:style>
  <w:style w:type="character" w:customStyle="1" w:styleId="120">
    <w:name w:val="apple-converted-space"/>
    <w:basedOn w:val="45"/>
    <w:qFormat/>
    <w:uiPriority w:val="0"/>
  </w:style>
  <w:style w:type="character" w:customStyle="1" w:styleId="121">
    <w:name w:val="meter-bar"/>
    <w:basedOn w:val="45"/>
    <w:qFormat/>
    <w:uiPriority w:val="0"/>
  </w:style>
  <w:style w:type="character" w:customStyle="1" w:styleId="122">
    <w:name w:val="批注文字 字符"/>
    <w:link w:val="20"/>
    <w:qFormat/>
    <w:uiPriority w:val="99"/>
    <w:rPr>
      <w:rFonts w:eastAsia="宋体"/>
      <w:szCs w:val="24"/>
    </w:rPr>
  </w:style>
  <w:style w:type="character" w:customStyle="1" w:styleId="123">
    <w:name w:val="正文文本 3 字符"/>
    <w:link w:val="21"/>
    <w:qFormat/>
    <w:uiPriority w:val="0"/>
    <w:rPr>
      <w:rFonts w:ascii="宋体" w:hAnsi="宋体" w:eastAsia="宋体" w:cs="Times New Roman"/>
      <w:color w:val="000000"/>
      <w:szCs w:val="21"/>
    </w:rPr>
  </w:style>
  <w:style w:type="character" w:customStyle="1" w:styleId="124">
    <w:name w:val="普通文字 Char Char5"/>
    <w:qFormat/>
    <w:uiPriority w:val="0"/>
    <w:rPr>
      <w:rFonts w:ascii="宋体" w:hAnsi="Courier New" w:eastAsia="宋体"/>
      <w:szCs w:val="21"/>
      <w:lang w:bidi="ar-SA"/>
    </w:rPr>
  </w:style>
  <w:style w:type="character" w:customStyle="1" w:styleId="125">
    <w:name w:val="font01"/>
    <w:qFormat/>
    <w:uiPriority w:val="0"/>
    <w:rPr>
      <w:rFonts w:hint="eastAsia" w:ascii="仿宋" w:hAnsi="仿宋" w:eastAsia="仿宋" w:cs="仿宋"/>
      <w:color w:val="000000"/>
      <w:sz w:val="22"/>
      <w:szCs w:val="22"/>
      <w:u w:val="none"/>
    </w:rPr>
  </w:style>
  <w:style w:type="character" w:customStyle="1" w:styleId="126">
    <w:name w:val="页眉 字符"/>
    <w:link w:val="33"/>
    <w:qFormat/>
    <w:uiPriority w:val="0"/>
    <w:rPr>
      <w:rFonts w:ascii="Times New Roman" w:hAnsi="Times New Roman" w:eastAsia="宋体" w:cs="Times New Roman"/>
      <w:sz w:val="18"/>
      <w:szCs w:val="18"/>
    </w:rPr>
  </w:style>
  <w:style w:type="character" w:customStyle="1" w:styleId="127">
    <w:name w:val="nc-lang-cnt1"/>
    <w:basedOn w:val="45"/>
    <w:qFormat/>
    <w:uiPriority w:val="0"/>
  </w:style>
  <w:style w:type="character" w:customStyle="1" w:styleId="128">
    <w:name w:val="case31"/>
    <w:qFormat/>
    <w:uiPriority w:val="0"/>
    <w:rPr>
      <w:rFonts w:hint="default"/>
      <w:spacing w:val="390"/>
      <w:sz w:val="21"/>
      <w:szCs w:val="21"/>
    </w:rPr>
  </w:style>
  <w:style w:type="character" w:customStyle="1" w:styleId="129">
    <w:name w:val="Char Char8"/>
    <w:qFormat/>
    <w:locked/>
    <w:uiPriority w:val="0"/>
    <w:rPr>
      <w:rFonts w:ascii="宋体" w:hAnsi="Courier New" w:eastAsia="宋体" w:cs="Times New Roman"/>
      <w:kern w:val="2"/>
      <w:sz w:val="21"/>
      <w:lang w:val="en-US" w:eastAsia="zh-CN"/>
    </w:rPr>
  </w:style>
  <w:style w:type="character" w:customStyle="1" w:styleId="130">
    <w:name w:val="font21"/>
    <w:qFormat/>
    <w:uiPriority w:val="0"/>
    <w:rPr>
      <w:rFonts w:hint="eastAsia" w:ascii="仿宋" w:hAnsi="仿宋" w:eastAsia="仿宋" w:cs="仿宋"/>
      <w:b/>
      <w:color w:val="000000"/>
      <w:sz w:val="32"/>
      <w:szCs w:val="32"/>
      <w:u w:val="none"/>
    </w:rPr>
  </w:style>
  <w:style w:type="character" w:customStyle="1" w:styleId="131">
    <w:name w:val="+● Char"/>
    <w:link w:val="132"/>
    <w:qFormat/>
    <w:uiPriority w:val="0"/>
    <w:rPr>
      <w:sz w:val="24"/>
      <w:szCs w:val="28"/>
    </w:rPr>
  </w:style>
  <w:style w:type="paragraph" w:customStyle="1" w:styleId="132">
    <w:name w:val="+●"/>
    <w:basedOn w:val="1"/>
    <w:link w:val="131"/>
    <w:qFormat/>
    <w:uiPriority w:val="0"/>
    <w:pPr>
      <w:tabs>
        <w:tab w:val="left" w:pos="360"/>
        <w:tab w:val="left" w:pos="780"/>
      </w:tabs>
      <w:spacing w:line="360" w:lineRule="auto"/>
      <w:ind w:left="780"/>
    </w:pPr>
    <w:rPr>
      <w:kern w:val="0"/>
      <w:sz w:val="24"/>
      <w:szCs w:val="28"/>
    </w:rPr>
  </w:style>
  <w:style w:type="character" w:customStyle="1" w:styleId="133">
    <w:name w:val="divider4"/>
    <w:qFormat/>
    <w:uiPriority w:val="0"/>
    <w:rPr>
      <w:shd w:val="clear" w:color="auto" w:fill="333333"/>
    </w:rPr>
  </w:style>
  <w:style w:type="character" w:customStyle="1" w:styleId="134">
    <w:name w:val="标题 8 字符"/>
    <w:link w:val="13"/>
    <w:qFormat/>
    <w:uiPriority w:val="0"/>
    <w:rPr>
      <w:rFonts w:ascii="Arial" w:hAnsi="Arial" w:eastAsia="宋体" w:cs="Times New Roman"/>
      <w:i/>
      <w:kern w:val="0"/>
      <w:sz w:val="24"/>
      <w:szCs w:val="20"/>
      <w:lang w:val="en-NZ"/>
    </w:rPr>
  </w:style>
  <w:style w:type="character" w:customStyle="1" w:styleId="135">
    <w:name w:val="纯文本 Char"/>
    <w:qFormat/>
    <w:uiPriority w:val="0"/>
    <w:rPr>
      <w:rFonts w:ascii="宋体" w:hAnsi="Courier New" w:eastAsia="宋体" w:cs="Courier New"/>
      <w:szCs w:val="21"/>
    </w:rPr>
  </w:style>
  <w:style w:type="character" w:customStyle="1" w:styleId="136">
    <w:name w:val="标题 5 字符"/>
    <w:link w:val="10"/>
    <w:qFormat/>
    <w:uiPriority w:val="0"/>
    <w:rPr>
      <w:rFonts w:ascii="Arial Narrow" w:hAnsi="Arial Narrow" w:eastAsia="宋体" w:cs="Times New Roman"/>
      <w:i/>
      <w:kern w:val="0"/>
      <w:sz w:val="24"/>
      <w:szCs w:val="20"/>
      <w:lang w:val="en-NZ"/>
    </w:rPr>
  </w:style>
  <w:style w:type="character" w:customStyle="1" w:styleId="137">
    <w:name w:val="标题 3 字符"/>
    <w:link w:val="8"/>
    <w:qFormat/>
    <w:uiPriority w:val="0"/>
    <w:rPr>
      <w:rFonts w:ascii="Times New Roman" w:hAnsi="Times New Roman" w:eastAsia="宋体" w:cs="Times New Roman"/>
      <w:b/>
      <w:bCs/>
      <w:sz w:val="32"/>
      <w:szCs w:val="32"/>
    </w:rPr>
  </w:style>
  <w:style w:type="character" w:customStyle="1" w:styleId="138">
    <w:name w:val="cname"/>
    <w:qFormat/>
    <w:uiPriority w:val="0"/>
    <w:rPr>
      <w:sz w:val="27"/>
      <w:szCs w:val="27"/>
    </w:rPr>
  </w:style>
  <w:style w:type="character" w:customStyle="1" w:styleId="139">
    <w:name w:val="font51"/>
    <w:qFormat/>
    <w:uiPriority w:val="0"/>
    <w:rPr>
      <w:rFonts w:hint="eastAsia" w:ascii="仿宋" w:hAnsi="仿宋" w:eastAsia="仿宋" w:cs="仿宋"/>
      <w:b/>
      <w:color w:val="000000"/>
      <w:sz w:val="24"/>
      <w:szCs w:val="24"/>
      <w:u w:val="none"/>
    </w:rPr>
  </w:style>
  <w:style w:type="character" w:customStyle="1" w:styleId="140">
    <w:name w:val="正文文本缩进 字符"/>
    <w:link w:val="3"/>
    <w:qFormat/>
    <w:locked/>
    <w:uiPriority w:val="0"/>
    <w:rPr>
      <w:color w:val="000000"/>
      <w:sz w:val="24"/>
      <w:szCs w:val="24"/>
    </w:rPr>
  </w:style>
  <w:style w:type="paragraph" w:customStyle="1" w:styleId="141">
    <w:name w:val="xl8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4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43">
    <w:name w:val="_Style 133"/>
    <w:basedOn w:val="1"/>
    <w:next w:val="1"/>
    <w:qFormat/>
    <w:uiPriority w:val="0"/>
    <w:pPr>
      <w:pBdr>
        <w:top w:val="single" w:color="auto" w:sz="6" w:space="1"/>
      </w:pBdr>
      <w:jc w:val="center"/>
    </w:pPr>
    <w:rPr>
      <w:rFonts w:ascii="Arial"/>
      <w:vanish/>
      <w:sz w:val="16"/>
    </w:rPr>
  </w:style>
  <w:style w:type="paragraph" w:customStyle="1" w:styleId="144">
    <w:name w:val="xl8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145">
    <w:name w:val="_Style 13"/>
    <w:basedOn w:val="1"/>
    <w:qFormat/>
    <w:uiPriority w:val="0"/>
    <w:rPr>
      <w:sz w:val="28"/>
      <w:szCs w:val="20"/>
    </w:rPr>
  </w:style>
  <w:style w:type="paragraph" w:customStyle="1" w:styleId="146">
    <w:name w:val="xl7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Cs w:val="21"/>
    </w:rPr>
  </w:style>
  <w:style w:type="paragraph" w:styleId="147">
    <w:name w:val="No Spacing"/>
    <w:qFormat/>
    <w:uiPriority w:val="99"/>
    <w:pPr>
      <w:widowControl w:val="0"/>
      <w:autoSpaceDE w:val="0"/>
      <w:autoSpaceDN w:val="0"/>
      <w:spacing w:line="300" w:lineRule="auto"/>
      <w:jc w:val="both"/>
    </w:pPr>
    <w:rPr>
      <w:rFonts w:ascii="宋体" w:hAnsi="宋体" w:eastAsia="宋体" w:cs="宋体"/>
      <w:kern w:val="2"/>
      <w:sz w:val="24"/>
      <w:szCs w:val="21"/>
      <w:lang w:val="en-US" w:eastAsia="zh-CN" w:bidi="ar-SA"/>
    </w:rPr>
  </w:style>
  <w:style w:type="paragraph" w:customStyle="1" w:styleId="148">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49">
    <w:name w:val="1"/>
    <w:basedOn w:val="1"/>
    <w:next w:val="27"/>
    <w:qFormat/>
    <w:uiPriority w:val="0"/>
    <w:rPr>
      <w:rFonts w:ascii="宋体" w:hAnsi="Courier New"/>
      <w:szCs w:val="20"/>
    </w:rPr>
  </w:style>
  <w:style w:type="paragraph" w:customStyle="1" w:styleId="150">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1">
    <w:name w:val="5"/>
    <w:basedOn w:val="1"/>
    <w:next w:val="27"/>
    <w:qFormat/>
    <w:uiPriority w:val="0"/>
    <w:rPr>
      <w:rFonts w:ascii="宋体" w:hAnsi="Courier New"/>
      <w:szCs w:val="20"/>
    </w:rPr>
  </w:style>
  <w:style w:type="paragraph" w:customStyle="1" w:styleId="152">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Cs w:val="21"/>
    </w:rPr>
  </w:style>
  <w:style w:type="paragraph" w:customStyle="1" w:styleId="155">
    <w:name w:val="段"/>
    <w:qFormat/>
    <w:uiPriority w:val="0"/>
    <w:pPr>
      <w:autoSpaceDE w:val="0"/>
      <w:autoSpaceDN w:val="0"/>
      <w:ind w:firstLine="200" w:firstLineChars="200"/>
      <w:jc w:val="both"/>
    </w:pPr>
    <w:rPr>
      <w:rFonts w:ascii="宋体" w:hAnsi="Calibri" w:eastAsia="宋体" w:cs="Times New Roman"/>
      <w:lang w:val="en-US" w:eastAsia="zh-CN" w:bidi="ar-SA"/>
    </w:rPr>
  </w:style>
  <w:style w:type="paragraph" w:customStyle="1" w:styleId="156">
    <w:name w:val="No Spacing1"/>
    <w:qFormat/>
    <w:uiPriority w:val="0"/>
    <w:pPr>
      <w:widowControl w:val="0"/>
      <w:jc w:val="both"/>
    </w:pPr>
    <w:rPr>
      <w:rFonts w:ascii="Calibri" w:hAnsi="Calibri" w:eastAsia="宋体" w:cs="Times New Roman"/>
      <w:sz w:val="21"/>
      <w:szCs w:val="22"/>
      <w:lang w:val="en-US" w:eastAsia="zh-CN" w:bidi="ar-SA"/>
    </w:rPr>
  </w:style>
  <w:style w:type="paragraph" w:customStyle="1" w:styleId="157">
    <w:name w:val="列出段落3"/>
    <w:basedOn w:val="1"/>
    <w:qFormat/>
    <w:uiPriority w:val="34"/>
    <w:pPr>
      <w:ind w:firstLine="420" w:firstLineChars="200"/>
    </w:pPr>
    <w:rPr>
      <w:szCs w:val="22"/>
    </w:rPr>
  </w:style>
  <w:style w:type="paragraph" w:customStyle="1" w:styleId="15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u w:val="single"/>
    </w:rPr>
  </w:style>
  <w:style w:type="paragraph" w:customStyle="1" w:styleId="15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60">
    <w:name w:val="Char Char Char Char Char"/>
    <w:basedOn w:val="1"/>
    <w:qFormat/>
    <w:uiPriority w:val="0"/>
    <w:rPr>
      <w:rFonts w:ascii="Tahoma" w:hAnsi="Tahoma"/>
      <w:sz w:val="24"/>
      <w:szCs w:val="20"/>
    </w:rPr>
  </w:style>
  <w:style w:type="paragraph" w:customStyle="1" w:styleId="161">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2">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Cs w:val="21"/>
    </w:rPr>
  </w:style>
  <w:style w:type="paragraph" w:customStyle="1" w:styleId="163">
    <w:name w:val="Char Char Char"/>
    <w:basedOn w:val="1"/>
    <w:qFormat/>
    <w:uiPriority w:val="0"/>
    <w:pPr>
      <w:spacing w:line="360" w:lineRule="auto"/>
      <w:ind w:firstLine="480" w:firstLineChars="200"/>
    </w:pPr>
    <w:rPr>
      <w:sz w:val="24"/>
    </w:rPr>
  </w:style>
  <w:style w:type="paragraph" w:customStyle="1" w:styleId="164">
    <w:name w:val="TOC 标题1"/>
    <w:basedOn w:val="6"/>
    <w:next w:val="1"/>
    <w:qFormat/>
    <w:uiPriority w:val="39"/>
    <w:pPr>
      <w:keepNext/>
      <w:keepLines/>
      <w:spacing w:before="340" w:beforeAutospacing="0" w:after="330" w:afterAutospacing="0" w:line="578" w:lineRule="auto"/>
      <w:jc w:val="both"/>
      <w:outlineLvl w:val="9"/>
    </w:pPr>
    <w:rPr>
      <w:rFonts w:ascii="Times New Roman" w:hAnsi="Times New Roman"/>
      <w:bCs/>
      <w:sz w:val="44"/>
      <w:szCs w:val="44"/>
    </w:rPr>
  </w:style>
  <w:style w:type="paragraph" w:customStyle="1" w:styleId="165">
    <w:name w:val="xl66"/>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66">
    <w:name w:val="_Style 156"/>
    <w:basedOn w:val="1"/>
    <w:next w:val="1"/>
    <w:qFormat/>
    <w:uiPriority w:val="0"/>
    <w:pPr>
      <w:pBdr>
        <w:bottom w:val="single" w:color="auto" w:sz="6" w:space="1"/>
      </w:pBdr>
      <w:jc w:val="center"/>
    </w:pPr>
    <w:rPr>
      <w:rFonts w:ascii="Arial"/>
      <w:vanish/>
      <w:sz w:val="16"/>
    </w:rPr>
  </w:style>
  <w:style w:type="paragraph" w:customStyle="1" w:styleId="167">
    <w:name w:val="表格"/>
    <w:basedOn w:val="1"/>
    <w:qFormat/>
    <w:uiPriority w:val="0"/>
    <w:pPr>
      <w:spacing w:line="400" w:lineRule="exact"/>
    </w:pPr>
    <w:rPr>
      <w:sz w:val="24"/>
    </w:rPr>
  </w:style>
  <w:style w:type="paragraph" w:customStyle="1" w:styleId="168">
    <w:name w:val="font5"/>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69">
    <w:name w:val="text"/>
    <w:basedOn w:val="1"/>
    <w:qFormat/>
    <w:uiPriority w:val="0"/>
    <w:pPr>
      <w:widowControl/>
      <w:tabs>
        <w:tab w:val="left" w:pos="1020"/>
        <w:tab w:val="left" w:pos="1090"/>
      </w:tabs>
      <w:overflowPunct w:val="0"/>
      <w:autoSpaceDE w:val="0"/>
      <w:autoSpaceDN w:val="0"/>
      <w:adjustRightInd w:val="0"/>
      <w:spacing w:beforeLines="100" w:after="60" w:line="264" w:lineRule="auto"/>
      <w:ind w:left="1098" w:leftChars="522" w:hanging="2"/>
      <w:textAlignment w:val="baseline"/>
    </w:pPr>
    <w:rPr>
      <w:rFonts w:ascii="楷体_GB2312" w:eastAsia="楷体_GB2312"/>
      <w:kern w:val="0"/>
      <w:sz w:val="24"/>
      <w:szCs w:val="21"/>
    </w:rPr>
  </w:style>
  <w:style w:type="paragraph" w:customStyle="1" w:styleId="170">
    <w:name w:val="列出段落1"/>
    <w:basedOn w:val="1"/>
    <w:qFormat/>
    <w:uiPriority w:val="0"/>
    <w:pPr>
      <w:ind w:firstLine="420" w:firstLineChars="200"/>
    </w:pPr>
  </w:style>
  <w:style w:type="paragraph" w:customStyle="1" w:styleId="171">
    <w:name w:val="正文首行缩进两字符"/>
    <w:basedOn w:val="1"/>
    <w:qFormat/>
    <w:uiPriority w:val="0"/>
    <w:pPr>
      <w:spacing w:line="360" w:lineRule="auto"/>
      <w:ind w:firstLine="200" w:firstLineChars="200"/>
    </w:pPr>
  </w:style>
  <w:style w:type="paragraph" w:customStyle="1" w:styleId="172">
    <w:name w:val="默认段落字体 Para Char Char Char Char Char Char Char Char Char1 Char Char Char Char"/>
    <w:basedOn w:val="1"/>
    <w:qFormat/>
    <w:uiPriority w:val="0"/>
    <w:rPr>
      <w:rFonts w:ascii="Tahoma" w:hAnsi="Tahoma"/>
      <w:sz w:val="24"/>
      <w:szCs w:val="20"/>
    </w:rPr>
  </w:style>
  <w:style w:type="paragraph" w:customStyle="1" w:styleId="17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宋体" w:hAnsi="宋体" w:cs="宋体"/>
      <w:kern w:val="0"/>
      <w:szCs w:val="21"/>
    </w:rPr>
  </w:style>
  <w:style w:type="paragraph" w:customStyle="1" w:styleId="174">
    <w:name w:val="Char Char Char Char"/>
    <w:basedOn w:val="1"/>
    <w:qFormat/>
    <w:uiPriority w:val="0"/>
    <w:rPr>
      <w:rFonts w:ascii="Tahoma" w:hAnsi="Tahoma"/>
      <w:sz w:val="24"/>
      <w:szCs w:val="20"/>
    </w:rPr>
  </w:style>
  <w:style w:type="paragraph" w:customStyle="1" w:styleId="175">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17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77">
    <w:name w:val="样式 标题 3 + (中文) 黑体 小四 非加粗 段前: 7.8 磅 段后: 0 磅 行距: 固定值 20 磅"/>
    <w:basedOn w:val="8"/>
    <w:qFormat/>
    <w:uiPriority w:val="0"/>
    <w:pPr>
      <w:spacing w:before="0" w:after="0" w:line="400" w:lineRule="exact"/>
    </w:pPr>
    <w:rPr>
      <w:rFonts w:eastAsia="黑体" w:cs="宋体"/>
      <w:b w:val="0"/>
      <w:bCs w:val="0"/>
      <w:kern w:val="2"/>
      <w:sz w:val="24"/>
      <w:szCs w:val="20"/>
    </w:rPr>
  </w:style>
  <w:style w:type="paragraph" w:customStyle="1" w:styleId="178">
    <w:name w:val="_Style 36"/>
    <w:basedOn w:val="1"/>
    <w:qFormat/>
    <w:uiPriority w:val="0"/>
    <w:rPr>
      <w:rFonts w:ascii="Tahoma" w:hAnsi="Tahoma"/>
      <w:sz w:val="24"/>
      <w:szCs w:val="20"/>
    </w:rPr>
  </w:style>
  <w:style w:type="paragraph" w:customStyle="1" w:styleId="179">
    <w:name w:val="正文段"/>
    <w:basedOn w:val="1"/>
    <w:qFormat/>
    <w:uiPriority w:val="0"/>
    <w:pPr>
      <w:widowControl/>
      <w:snapToGrid w:val="0"/>
      <w:spacing w:afterLines="50"/>
      <w:ind w:firstLine="200" w:firstLineChars="200"/>
    </w:pPr>
    <w:rPr>
      <w:kern w:val="0"/>
      <w:sz w:val="24"/>
      <w:szCs w:val="20"/>
    </w:rPr>
  </w:style>
  <w:style w:type="paragraph" w:customStyle="1" w:styleId="180">
    <w:name w:val="正文（缩进）"/>
    <w:basedOn w:val="1"/>
    <w:qFormat/>
    <w:uiPriority w:val="0"/>
    <w:pPr>
      <w:spacing w:line="360" w:lineRule="auto"/>
      <w:ind w:firstLine="480" w:firstLineChars="200"/>
    </w:pPr>
    <w:rPr>
      <w:rFonts w:ascii="Arial" w:hAnsi="Arial" w:eastAsia="楷体_GB2312"/>
      <w:kern w:val="0"/>
      <w:sz w:val="24"/>
      <w:szCs w:val="20"/>
      <w:lang w:val="zh-CN"/>
    </w:rPr>
  </w:style>
  <w:style w:type="paragraph" w:customStyle="1" w:styleId="181">
    <w:name w:val="font6"/>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82">
    <w:name w:val="yyn2"/>
    <w:basedOn w:val="1"/>
    <w:qFormat/>
    <w:uiPriority w:val="0"/>
    <w:pPr>
      <w:keepNext/>
      <w:widowControl/>
      <w:suppressAutoHyphens/>
      <w:overflowPunct w:val="0"/>
      <w:autoSpaceDE w:val="0"/>
      <w:spacing w:before="60" w:line="360" w:lineRule="auto"/>
      <w:jc w:val="center"/>
      <w:textAlignment w:val="baseline"/>
    </w:pPr>
    <w:rPr>
      <w:rFonts w:ascii="楷体_GB2312" w:hAnsi="楷体_GB2312" w:eastAsia="楷体_GB2312"/>
      <w:kern w:val="1"/>
      <w:szCs w:val="20"/>
      <w:lang w:eastAsia="ar-SA"/>
    </w:rPr>
  </w:style>
  <w:style w:type="paragraph" w:customStyle="1" w:styleId="183">
    <w:name w:val="样式 标题 2 + Times New Roman 四号 非加粗 段前: 5 磅 段后: 0 磅 行距: 固定值 20..."/>
    <w:basedOn w:val="7"/>
    <w:qFormat/>
    <w:uiPriority w:val="0"/>
    <w:pPr>
      <w:spacing w:before="100" w:after="0" w:line="400" w:lineRule="exact"/>
    </w:pPr>
    <w:rPr>
      <w:rFonts w:ascii="Times New Roman" w:hAnsi="Times New Roman" w:eastAsia="黑体" w:cs="宋体"/>
      <w:b w:val="0"/>
      <w:bCs w:val="0"/>
      <w:kern w:val="2"/>
      <w:sz w:val="28"/>
      <w:szCs w:val="20"/>
    </w:rPr>
  </w:style>
  <w:style w:type="paragraph" w:customStyle="1" w:styleId="184">
    <w:name w:val="正文 A"/>
    <w:basedOn w:val="1"/>
    <w:qFormat/>
    <w:uiPriority w:val="0"/>
    <w:pPr>
      <w:spacing w:line="300" w:lineRule="auto"/>
      <w:ind w:firstLine="420"/>
    </w:pPr>
    <w:rPr>
      <w:rFonts w:eastAsia="Calibri"/>
      <w:color w:val="000000"/>
      <w:sz w:val="24"/>
    </w:rPr>
  </w:style>
  <w:style w:type="paragraph" w:customStyle="1" w:styleId="185">
    <w:name w:val="xl8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6">
    <w:name w:val="样式 首行缩进:  2 字符"/>
    <w:basedOn w:val="1"/>
    <w:qFormat/>
    <w:uiPriority w:val="0"/>
    <w:pPr>
      <w:spacing w:line="400" w:lineRule="exact"/>
      <w:ind w:firstLine="200" w:firstLineChars="200"/>
    </w:pPr>
    <w:rPr>
      <w:rFonts w:cs="宋体"/>
      <w:sz w:val="24"/>
    </w:rPr>
  </w:style>
  <w:style w:type="paragraph" w:customStyle="1" w:styleId="187">
    <w:name w:val="_Style 177"/>
    <w:unhideWhenUsed/>
    <w:qFormat/>
    <w:uiPriority w:val="99"/>
    <w:rPr>
      <w:rFonts w:ascii="Calibri" w:hAnsi="Calibri" w:eastAsia="宋体" w:cs="Times New Roman"/>
      <w:kern w:val="2"/>
      <w:sz w:val="24"/>
      <w:szCs w:val="21"/>
      <w:lang w:val="en-US" w:eastAsia="zh-CN" w:bidi="ar-SA"/>
    </w:rPr>
  </w:style>
  <w:style w:type="paragraph" w:customStyle="1" w:styleId="188">
    <w:name w:val="Char1"/>
    <w:basedOn w:val="1"/>
    <w:qFormat/>
    <w:uiPriority w:val="0"/>
    <w:rPr>
      <w:szCs w:val="21"/>
    </w:rPr>
  </w:style>
  <w:style w:type="paragraph" w:customStyle="1" w:styleId="18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91">
    <w:name w:val="+列表1"/>
    <w:basedOn w:val="1"/>
    <w:qFormat/>
    <w:uiPriority w:val="0"/>
    <w:pPr>
      <w:jc w:val="center"/>
    </w:pPr>
  </w:style>
  <w:style w:type="paragraph" w:customStyle="1" w:styleId="192">
    <w:name w:val="Char Char Char Char Char Char Char Char Char Char Char Char Char"/>
    <w:basedOn w:val="19"/>
    <w:qFormat/>
    <w:uiPriority w:val="0"/>
    <w:pPr>
      <w:shd w:val="clear" w:color="auto" w:fill="000080"/>
    </w:pPr>
    <w:rPr>
      <w:rFonts w:hAnsi="Courier New"/>
      <w:kern w:val="2"/>
      <w:sz w:val="21"/>
      <w:szCs w:val="20"/>
    </w:rPr>
  </w:style>
  <w:style w:type="paragraph" w:customStyle="1" w:styleId="193">
    <w:name w:val="yyn"/>
    <w:basedOn w:val="1"/>
    <w:qFormat/>
    <w:uiPriority w:val="0"/>
    <w:pPr>
      <w:keepNext/>
      <w:widowControl/>
      <w:suppressAutoHyphens/>
      <w:overflowPunct w:val="0"/>
      <w:autoSpaceDE w:val="0"/>
      <w:spacing w:line="360" w:lineRule="auto"/>
      <w:ind w:right="562" w:firstLine="576"/>
      <w:textAlignment w:val="baseline"/>
    </w:pPr>
    <w:rPr>
      <w:rFonts w:ascii="宋体" w:hAnsi="宋体"/>
      <w:kern w:val="1"/>
      <w:sz w:val="28"/>
      <w:szCs w:val="20"/>
      <w:lang w:eastAsia="ar-SA"/>
    </w:rPr>
  </w:style>
  <w:style w:type="paragraph" w:customStyle="1" w:styleId="19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5">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Cs w:val="21"/>
    </w:rPr>
  </w:style>
  <w:style w:type="paragraph" w:customStyle="1" w:styleId="196">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1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pPr>
    <w:rPr>
      <w:rFonts w:ascii="宋体" w:hAnsi="宋体" w:cs="宋体"/>
      <w:kern w:val="0"/>
      <w:szCs w:val="21"/>
    </w:rPr>
  </w:style>
  <w:style w:type="paragraph" w:customStyle="1" w:styleId="19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宋体" w:hAnsi="宋体" w:cs="宋体"/>
      <w:kern w:val="0"/>
      <w:szCs w:val="21"/>
    </w:rPr>
  </w:style>
  <w:style w:type="paragraph" w:customStyle="1" w:styleId="19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Cs w:val="21"/>
    </w:rPr>
  </w:style>
  <w:style w:type="table" w:customStyle="1" w:styleId="200">
    <w:name w:val="Table Normal"/>
    <w:basedOn w:val="43"/>
    <w:qFormat/>
    <w:uiPriority w:val="0"/>
    <w:rPr>
      <w:rFonts w:eastAsia="Helvetica"/>
    </w:rPr>
    <w:tblPr>
      <w:tblCellMar>
        <w:left w:w="0" w:type="dxa"/>
        <w:right w:w="0" w:type="dxa"/>
      </w:tblCellMar>
    </w:tblPr>
  </w:style>
  <w:style w:type="paragraph" w:customStyle="1" w:styleId="201">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Table Paragraph"/>
    <w:basedOn w:val="1"/>
    <w:qFormat/>
    <w:uiPriority w:val="1"/>
  </w:style>
  <w:style w:type="paragraph" w:customStyle="1" w:styleId="203">
    <w:name w:val="Other|1"/>
    <w:basedOn w:val="1"/>
    <w:qFormat/>
    <w:uiPriority w:val="0"/>
    <w:pPr>
      <w:ind w:firstLine="160"/>
    </w:pPr>
    <w:rPr>
      <w:rFonts w:ascii="宋体" w:hAnsi="宋体" w:cs="宋体"/>
      <w:sz w:val="20"/>
      <w:szCs w:val="20"/>
      <w:lang w:val="zh-TW" w:eastAsia="zh-TW" w:bidi="zh-TW"/>
    </w:rPr>
  </w:style>
  <w:style w:type="paragraph" w:customStyle="1" w:styleId="204">
    <w:name w:val="目录 81"/>
    <w:basedOn w:val="1"/>
    <w:next w:val="1"/>
    <w:qFormat/>
    <w:uiPriority w:val="0"/>
    <w:pPr>
      <w:ind w:left="1470"/>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44835</Words>
  <Characters>48110</Characters>
  <Lines>322</Lines>
  <Paragraphs>90</Paragraphs>
  <TotalTime>51</TotalTime>
  <ScaleCrop>false</ScaleCrop>
  <LinksUpToDate>false</LinksUpToDate>
  <CharactersWithSpaces>53643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2018-01-22T04:22:00Z</dcterms:created>
  <dc:creator>Administrator</dc:creator>
  <cp:lastModifiedBy>翟才娟</cp:lastModifiedBy>
  <cp:lastPrinted>2022-09-22T08:46:00Z</cp:lastPrinted>
  <dcterms:modified xsi:type="dcterms:W3CDTF">2022-12-27T07:36:28Z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97D78704A81049FF8965C1EA05C9C9D9</vt:lpwstr>
  </property>
</Properties>
</file>