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olor w:val="000000" w:themeColor="text1"/>
          <w:sz w:val="84"/>
          <w:szCs w:val="84"/>
          <w14:textFill>
            <w14:solidFill>
              <w14:schemeClr w14:val="tx1"/>
            </w14:solidFill>
          </w14:textFill>
        </w:rPr>
      </w:pPr>
    </w:p>
    <w:p>
      <w:pPr>
        <w:spacing w:before="156" w:beforeLines="50"/>
        <w:ind w:firstLine="735" w:firstLineChars="350"/>
        <w:jc w:val="left"/>
        <w:rPr>
          <w:rFonts w:ascii="宋体" w:hAnsi="宋体"/>
          <w:color w:val="000000" w:themeColor="text1"/>
          <w:sz w:val="84"/>
          <w:szCs w:val="8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6192" behindDoc="0" locked="0" layoutInCell="1" allowOverlap="1">
                <wp:simplePos x="0" y="0"/>
                <wp:positionH relativeFrom="column">
                  <wp:posOffset>2379345</wp:posOffset>
                </wp:positionH>
                <wp:positionV relativeFrom="paragraph">
                  <wp:posOffset>400685</wp:posOffset>
                </wp:positionV>
                <wp:extent cx="3203575" cy="1161415"/>
                <wp:effectExtent l="0" t="0" r="0" b="635"/>
                <wp:wrapNone/>
                <wp:docPr id="3" name="文本框 3"/>
                <wp:cNvGraphicFramePr/>
                <a:graphic xmlns:a="http://schemas.openxmlformats.org/drawingml/2006/main">
                  <a:graphicData uri="http://schemas.microsoft.com/office/word/2010/wordprocessingShape">
                    <wps:wsp>
                      <wps:cNvSpPr>
                        <a:spLocks noChangeArrowheads="1"/>
                      </wps:cNvSpPr>
                      <wps:spPr bwMode="auto">
                        <a:xfrm>
                          <a:off x="0" y="0"/>
                          <a:ext cx="3203575" cy="1161415"/>
                        </a:xfrm>
                        <a:prstGeom prst="rect">
                          <a:avLst/>
                        </a:prstGeom>
                        <a:solidFill>
                          <a:srgbClr val="FFFFFF"/>
                        </a:solidFill>
                        <a:ln>
                          <a:noFill/>
                        </a:ln>
                      </wps:spPr>
                      <wps:txbx>
                        <w:txbxContent>
                          <w:p>
                            <w:pPr>
                              <w:spacing w:line="800" w:lineRule="exact"/>
                              <w:rPr>
                                <w:b/>
                                <w:spacing w:val="30"/>
                                <w:sz w:val="72"/>
                                <w:szCs w:val="72"/>
                              </w:rPr>
                            </w:pPr>
                            <w:r>
                              <w:rPr>
                                <w:rFonts w:hint="eastAsia"/>
                                <w:b/>
                                <w:spacing w:val="30"/>
                                <w:sz w:val="72"/>
                                <w:szCs w:val="72"/>
                              </w:rPr>
                              <w:t>中鼎誉润工程</w:t>
                            </w:r>
                          </w:p>
                          <w:p>
                            <w:pPr>
                              <w:spacing w:line="800" w:lineRule="exact"/>
                              <w:rPr>
                                <w:b/>
                                <w:spacing w:val="30"/>
                                <w:sz w:val="72"/>
                                <w:szCs w:val="72"/>
                              </w:rPr>
                            </w:pPr>
                            <w:r>
                              <w:rPr>
                                <w:rFonts w:hint="eastAsia"/>
                                <w:b/>
                                <w:spacing w:val="30"/>
                                <w:sz w:val="72"/>
                                <w:szCs w:val="72"/>
                              </w:rPr>
                              <w:t>咨询有限公司</w:t>
                            </w:r>
                          </w:p>
                        </w:txbxContent>
                      </wps:txbx>
                      <wps:bodyPr rot="0" vert="horz" wrap="square" lIns="91440" tIns="45720" rIns="91440" bIns="45720" anchor="t" anchorCtr="0" upright="1">
                        <a:noAutofit/>
                      </wps:bodyPr>
                    </wps:wsp>
                  </a:graphicData>
                </a:graphic>
              </wp:anchor>
            </w:drawing>
          </mc:Choice>
          <mc:Fallback>
            <w:pict>
              <v:rect id="文本框 3" o:spid="_x0000_s1026" o:spt="1" style="position:absolute;left:0pt;margin-left:187.35pt;margin-top:31.55pt;height:91.45pt;width:252.25pt;z-index:251656192;mso-width-relative:page;mso-height-relative:page;" fillcolor="#FFFFFF" filled="t" stroked="f" coordsize="21600,21600" o:gfxdata="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NkF8dkAAAAKAQAADwAAAAAAAAABACAAAAAiAAAAZHJzL2Rvd25yZXYueG1sUEsBAhQAFAAA&#10;AAgAh07iQC6CEgwnAgAANQQAAA4AAAAAAAAAAQAgAAAAKAEAAGRycy9lMm9Eb2MueG1sUEsFBgAA&#10;AAAGAAYAWQEAAMEFAAAAAA==&#10;">
                <v:fill on="t" focussize="0,0"/>
                <v:stroke on="f"/>
                <v:imagedata o:title=""/>
                <o:lock v:ext="edit" aspectratio="f"/>
                <v:textbox>
                  <w:txbxContent>
                    <w:p>
                      <w:pPr>
                        <w:spacing w:line="800" w:lineRule="exact"/>
                        <w:rPr>
                          <w:b/>
                          <w:spacing w:val="30"/>
                          <w:sz w:val="72"/>
                          <w:szCs w:val="72"/>
                        </w:rPr>
                      </w:pPr>
                      <w:r>
                        <w:rPr>
                          <w:rFonts w:hint="eastAsia"/>
                          <w:b/>
                          <w:spacing w:val="30"/>
                          <w:sz w:val="72"/>
                          <w:szCs w:val="72"/>
                        </w:rPr>
                        <w:t>中鼎誉润工程</w:t>
                      </w:r>
                    </w:p>
                    <w:p>
                      <w:pPr>
                        <w:spacing w:line="800" w:lineRule="exact"/>
                        <w:rPr>
                          <w:b/>
                          <w:spacing w:val="30"/>
                          <w:sz w:val="72"/>
                          <w:szCs w:val="72"/>
                        </w:rPr>
                      </w:pPr>
                      <w:r>
                        <w:rPr>
                          <w:rFonts w:hint="eastAsia"/>
                          <w:b/>
                          <w:spacing w:val="30"/>
                          <w:sz w:val="72"/>
                          <w:szCs w:val="72"/>
                        </w:rPr>
                        <w:t>咨询有限公司</w:t>
                      </w:r>
                    </w:p>
                  </w:txbxContent>
                </v:textbox>
              </v:rect>
            </w:pict>
          </mc:Fallback>
        </mc:AlternateContent>
      </w:r>
      <w:r>
        <w:rPr>
          <w:rFonts w:ascii="宋体" w:hAnsi="宋体"/>
          <w:b/>
          <w:color w:val="000000" w:themeColor="text1"/>
          <w:sz w:val="32"/>
          <w:szCs w:val="32"/>
          <w14:textFill>
            <w14:solidFill>
              <w14:schemeClr w14:val="tx1"/>
            </w14:solidFill>
          </w14:textFill>
        </w:rPr>
        <w:drawing>
          <wp:inline distT="0" distB="0" distL="0" distR="0">
            <wp:extent cx="1828800" cy="1403350"/>
            <wp:effectExtent l="0" t="0" r="0" b="6350"/>
            <wp:docPr id="1"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28800" cy="1403350"/>
                    </a:xfrm>
                    <a:prstGeom prst="rect">
                      <a:avLst/>
                    </a:prstGeom>
                    <a:noFill/>
                    <a:ln>
                      <a:noFill/>
                    </a:ln>
                  </pic:spPr>
                </pic:pic>
              </a:graphicData>
            </a:graphic>
          </wp:inline>
        </w:drawing>
      </w:r>
    </w:p>
    <w:p>
      <w:pPr>
        <w:rPr>
          <w:rFonts w:ascii="宋体" w:hAnsi="宋体"/>
          <w:color w:val="000000" w:themeColor="text1"/>
          <w:sz w:val="44"/>
          <w:szCs w:val="72"/>
          <w14:textFill>
            <w14:solidFill>
              <w14:schemeClr w14:val="tx1"/>
            </w14:solidFill>
          </w14:textFill>
        </w:rPr>
      </w:pPr>
    </w:p>
    <w:p>
      <w:pPr>
        <w:jc w:val="center"/>
        <w:rPr>
          <w:rFonts w:ascii="宋体" w:hAnsi="宋体" w:cs="宋体"/>
          <w:b/>
          <w:color w:val="000000" w:themeColor="text1"/>
          <w:sz w:val="80"/>
          <w:szCs w:val="80"/>
          <w14:textFill>
            <w14:solidFill>
              <w14:schemeClr w14:val="tx1"/>
            </w14:solidFill>
          </w14:textFill>
        </w:rPr>
      </w:pPr>
      <w:r>
        <w:rPr>
          <w:rFonts w:hint="eastAsia" w:ascii="宋体" w:hAnsi="宋体" w:cs="宋体"/>
          <w:b/>
          <w:color w:val="000000" w:themeColor="text1"/>
          <w:sz w:val="80"/>
          <w:szCs w:val="80"/>
          <w14:textFill>
            <w14:solidFill>
              <w14:schemeClr w14:val="tx1"/>
            </w14:solidFill>
          </w14:textFill>
        </w:rPr>
        <w:t>竞争性磋商采购文件</w:t>
      </w:r>
    </w:p>
    <w:p>
      <w:pPr>
        <w:snapToGrid w:val="0"/>
        <w:spacing w:before="156" w:beforeLines="50" w:line="360" w:lineRule="auto"/>
        <w:rPr>
          <w:rFonts w:ascii="宋体" w:hAnsi="宋体"/>
          <w:color w:val="000000" w:themeColor="text1"/>
          <w:sz w:val="30"/>
          <w:szCs w:val="72"/>
          <w14:textFill>
            <w14:solidFill>
              <w14:schemeClr w14:val="tx1"/>
            </w14:solidFill>
          </w14:textFill>
        </w:rPr>
      </w:pPr>
    </w:p>
    <w:p>
      <w:pPr>
        <w:pStyle w:val="18"/>
        <w:snapToGrid w:val="0"/>
        <w:spacing w:before="120" w:after="120" w:line="360" w:lineRule="auto"/>
        <w:jc w:val="center"/>
        <w:rPr>
          <w:rFonts w:hAnsi="宋体"/>
          <w:b/>
          <w:bCs/>
          <w:color w:val="000000" w:themeColor="text1"/>
          <w:sz w:val="30"/>
          <w:szCs w:val="30"/>
          <w14:textFill>
            <w14:solidFill>
              <w14:schemeClr w14:val="tx1"/>
            </w14:solidFill>
          </w14:textFill>
        </w:rPr>
      </w:pPr>
    </w:p>
    <w:p>
      <w:pPr>
        <w:rPr>
          <w:rFonts w:ascii="宋体" w:hAnsi="宋体" w:cs="宋体"/>
          <w:color w:val="000000" w:themeColor="text1"/>
          <w:sz w:val="32"/>
          <w:szCs w:val="32"/>
          <w14:textFill>
            <w14:solidFill>
              <w14:schemeClr w14:val="tx1"/>
            </w14:solidFill>
          </w14:textFill>
        </w:rPr>
      </w:pPr>
    </w:p>
    <w:p>
      <w:pPr>
        <w:spacing w:line="700" w:lineRule="exact"/>
        <w:ind w:left="2446" w:leftChars="400" w:right="840" w:rightChars="400" w:hanging="1606" w:hangingChars="50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项目名称：钟山县同古镇农村乱占耕地建房问题摸排服务项目</w:t>
      </w:r>
    </w:p>
    <w:p>
      <w:pPr>
        <w:spacing w:after="156" w:afterLines="50" w:line="700" w:lineRule="exact"/>
        <w:ind w:left="840" w:leftChars="400" w:right="840" w:rightChars="400"/>
        <w:rPr>
          <w:rFonts w:hint="eastAsia" w:ascii="宋体" w:hAnsi="宋体" w:eastAsia="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项目编号：</w:t>
      </w:r>
      <w:r>
        <w:rPr>
          <w:rFonts w:hint="eastAsia" w:ascii="宋体" w:hAnsi="宋体"/>
          <w:b/>
          <w:color w:val="000000" w:themeColor="text1"/>
          <w:sz w:val="32"/>
          <w:szCs w:val="32"/>
          <w:lang w:eastAsia="zh-CN"/>
          <w14:textFill>
            <w14:solidFill>
              <w14:schemeClr w14:val="tx1"/>
            </w14:solidFill>
          </w14:textFill>
        </w:rPr>
        <w:t>HZZC2020-C3-220233-ZDYR</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460" w:lineRule="exact"/>
        <w:ind w:right="69" w:rightChars="33"/>
        <w:rPr>
          <w:rFonts w:ascii="宋体" w:hAnsi="宋体" w:cs="宋体"/>
          <w:b/>
          <w:color w:val="000000" w:themeColor="text1"/>
          <w:sz w:val="36"/>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36830</wp:posOffset>
                </wp:positionV>
                <wp:extent cx="5521960" cy="635"/>
                <wp:effectExtent l="28575" t="36195" r="31115" b="29845"/>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5521960" cy="635"/>
                        </a:xfrm>
                        <a:prstGeom prst="line">
                          <a:avLst/>
                        </a:prstGeom>
                        <a:noFill/>
                        <a:ln w="57150" cmpd="thinThick">
                          <a:solidFill>
                            <a:srgbClr val="000000"/>
                          </a:solidFill>
                          <a:round/>
                        </a:ln>
                      </wps:spPr>
                      <wps:bodyPr/>
                    </wps:wsp>
                  </a:graphicData>
                </a:graphic>
              </wp:anchor>
            </w:drawing>
          </mc:Choice>
          <mc:Fallback>
            <w:pict>
              <v:line id="Line 3" o:spid="_x0000_s1026" o:spt="20" style="position:absolute;left:0pt;margin-left:8.6pt;margin-top:2.9pt;height:0.05pt;width:434.8pt;z-index:251659264;mso-width-relative:page;mso-height-relative:page;" filled="f" stroked="t" coordsize="21600,21600" o:gfxdata="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Q39UdYAAAAGAQAADwAAAAAAAAABACAA&#10;AAAiAAAAZHJzL2Rvd25yZXYueG1sUEsBAhQAFAAAAAgAh07iQKsQnxbWAQAAswMAAA4AAAAAAAAA&#10;AQAgAAAAJQEAAGRycy9lMm9Eb2MueG1sUEsFBgAAAAAGAAYAWQEAAG0FAAAAAA==&#10;">
                <v:fill on="f" focussize="0,0"/>
                <v:stroke weight="4.5pt" color="#000000" linestyle="thinThick" joinstyle="round"/>
                <v:imagedata o:title=""/>
                <o:lock v:ext="edit" aspectratio="f"/>
              </v:line>
            </w:pict>
          </mc:Fallback>
        </mc:AlternateContent>
      </w:r>
      <w:r>
        <w:rPr>
          <w:rFonts w:hint="eastAsia" w:ascii="宋体" w:hAnsi="宋体" w:cs="宋体"/>
          <w:b/>
          <w:color w:val="000000" w:themeColor="text1"/>
          <w:sz w:val="36"/>
          <w14:textFill>
            <w14:solidFill>
              <w14:schemeClr w14:val="tx1"/>
            </w14:solidFill>
          </w14:textFill>
        </w:rPr>
        <w:t xml:space="preserve">        </w:t>
      </w:r>
    </w:p>
    <w:p>
      <w:pPr>
        <w:spacing w:line="600" w:lineRule="exact"/>
        <w:ind w:firstLine="1558" w:firstLineChars="485"/>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   购   人：钟山县自然资源局</w:t>
      </w:r>
    </w:p>
    <w:p>
      <w:pPr>
        <w:spacing w:line="600" w:lineRule="exact"/>
        <w:ind w:firstLine="1558" w:firstLineChars="485"/>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采购代理机构：中鼎誉润工程咨询有限公司</w:t>
      </w:r>
    </w:p>
    <w:p>
      <w:pPr>
        <w:spacing w:line="400" w:lineRule="exact"/>
        <w:jc w:val="center"/>
        <w:rPr>
          <w:rFonts w:ascii="宋体" w:hAnsi="宋体"/>
          <w:color w:val="000000" w:themeColor="text1"/>
          <w:sz w:val="32"/>
          <w:szCs w:val="32"/>
          <w14:textFill>
            <w14:solidFill>
              <w14:schemeClr w14:val="tx1"/>
            </w14:solidFill>
          </w14:textFill>
        </w:rPr>
      </w:pPr>
    </w:p>
    <w:p>
      <w:pPr>
        <w:spacing w:before="312" w:beforeLines="100" w:after="312" w:afterLines="100" w:line="40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二〇二〇年十二月</w:t>
      </w:r>
    </w:p>
    <w:p>
      <w:pPr>
        <w:widowControl/>
        <w:jc w:val="left"/>
        <w:rPr>
          <w:color w:val="000000" w:themeColor="text1"/>
          <w14:textFill>
            <w14:solidFill>
              <w14:schemeClr w14:val="tx1"/>
            </w14:solidFill>
          </w14:textFill>
        </w:rPr>
      </w:pPr>
    </w:p>
    <w:p>
      <w:pPr>
        <w:spacing w:line="360" w:lineRule="auto"/>
        <w:jc w:val="center"/>
        <w:rPr>
          <w:rFonts w:ascii="宋体" w:hAnsi="宋体"/>
          <w:b/>
          <w:color w:val="000000" w:themeColor="text1"/>
          <w:sz w:val="44"/>
          <w:szCs w:val="44"/>
          <w14:textFill>
            <w14:solidFill>
              <w14:schemeClr w14:val="tx1"/>
            </w14:solidFill>
          </w14:textFill>
        </w:rPr>
      </w:pPr>
    </w:p>
    <w:p>
      <w:pPr>
        <w:spacing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目  录</w:t>
      </w:r>
    </w:p>
    <w:p>
      <w:pPr>
        <w:spacing w:line="360" w:lineRule="auto"/>
        <w:jc w:val="center"/>
        <w:rPr>
          <w:rFonts w:ascii="宋体" w:hAnsi="宋体"/>
          <w:b/>
          <w:color w:val="000000" w:themeColor="text1"/>
          <w:sz w:val="44"/>
          <w:szCs w:val="44"/>
          <w14:textFill>
            <w14:solidFill>
              <w14:schemeClr w14:val="tx1"/>
            </w14:solidFill>
          </w14:textFill>
        </w:rPr>
      </w:pPr>
    </w:p>
    <w:p>
      <w:pPr>
        <w:pStyle w:val="21"/>
        <w:tabs>
          <w:tab w:val="right" w:leader="dot" w:pos="8931"/>
        </w:tabs>
        <w:spacing w:line="700" w:lineRule="exact"/>
        <w:ind w:left="420" w:right="420" w:rightChars="200"/>
        <w:rPr>
          <w:rFonts w:ascii="宋体" w:hAnsi="宋体"/>
          <w:b/>
          <w:color w:val="000000" w:themeColor="text1"/>
          <w:sz w:val="28"/>
          <w14:textFill>
            <w14:solidFill>
              <w14:schemeClr w14:val="tx1"/>
            </w14:solidFill>
          </w14:textFill>
        </w:rPr>
      </w:pPr>
      <w:r>
        <w:rPr>
          <w:rFonts w:ascii="宋体" w:hAnsi="宋体"/>
          <w:b/>
          <w:color w:val="000000" w:themeColor="text1"/>
          <w:sz w:val="28"/>
          <w:szCs w:val="36"/>
          <w14:textFill>
            <w14:solidFill>
              <w14:schemeClr w14:val="tx1"/>
            </w14:solidFill>
          </w14:textFill>
        </w:rPr>
        <w:fldChar w:fldCharType="begin"/>
      </w:r>
      <w:r>
        <w:rPr>
          <w:rFonts w:ascii="宋体" w:hAnsi="宋体"/>
          <w:b/>
          <w:color w:val="000000" w:themeColor="text1"/>
          <w:sz w:val="28"/>
          <w:szCs w:val="36"/>
          <w14:textFill>
            <w14:solidFill>
              <w14:schemeClr w14:val="tx1"/>
            </w14:solidFill>
          </w14:textFill>
        </w:rPr>
        <w:instrText xml:space="preserve"> TOC \o "1-3" \h \z \u </w:instrText>
      </w:r>
      <w:r>
        <w:rPr>
          <w:rFonts w:ascii="宋体" w:hAnsi="宋体"/>
          <w:b/>
          <w:color w:val="000000" w:themeColor="text1"/>
          <w:sz w:val="28"/>
          <w:szCs w:val="36"/>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"_Toc504988676" </w:instrText>
      </w:r>
      <w:r>
        <w:rPr>
          <w:color w:val="000000" w:themeColor="text1"/>
          <w14:textFill>
            <w14:solidFill>
              <w14:schemeClr w14:val="tx1"/>
            </w14:solidFill>
          </w14:textFill>
        </w:rPr>
        <w:fldChar w:fldCharType="separate"/>
      </w:r>
      <w:r>
        <w:rPr>
          <w:rStyle w:val="35"/>
          <w:rFonts w:hint="eastAsia" w:ascii="宋体" w:hAnsi="宋体"/>
          <w:b/>
          <w:color w:val="000000" w:themeColor="text1"/>
          <w:sz w:val="28"/>
          <w14:textFill>
            <w14:solidFill>
              <w14:schemeClr w14:val="tx1"/>
            </w14:solidFill>
          </w14:textFill>
        </w:rPr>
        <w:t>第一章  竞争性磋商公告</w:t>
      </w:r>
      <w:r>
        <w:rPr>
          <w:rFonts w:ascii="宋体" w:hAnsi="宋体"/>
          <w:b/>
          <w:color w:val="000000" w:themeColor="text1"/>
          <w:sz w:val="28"/>
          <w14:textFill>
            <w14:solidFill>
              <w14:schemeClr w14:val="tx1"/>
            </w14:solidFill>
          </w14:textFill>
        </w:rPr>
        <w:tab/>
      </w:r>
      <w:r>
        <w:rPr>
          <w:rFonts w:hint="eastAsia" w:ascii="宋体" w:hAnsi="宋体"/>
          <w:b/>
          <w:color w:val="000000" w:themeColor="text1"/>
          <w:sz w:val="28"/>
          <w14:textFill>
            <w14:solidFill>
              <w14:schemeClr w14:val="tx1"/>
            </w14:solidFill>
          </w14:textFill>
        </w:rPr>
        <w:t>3</w:t>
      </w:r>
      <w:r>
        <w:rPr>
          <w:rFonts w:hint="eastAsia" w:ascii="宋体" w:hAnsi="宋体"/>
          <w:b/>
          <w:color w:val="000000" w:themeColor="text1"/>
          <w:sz w:val="28"/>
          <w14:textFill>
            <w14:solidFill>
              <w14:schemeClr w14:val="tx1"/>
            </w14:solidFill>
          </w14:textFill>
        </w:rPr>
        <w:fldChar w:fldCharType="end"/>
      </w:r>
    </w:p>
    <w:p>
      <w:pPr>
        <w:pStyle w:val="21"/>
        <w:tabs>
          <w:tab w:val="right" w:leader="dot" w:pos="8931"/>
        </w:tabs>
        <w:spacing w:line="700" w:lineRule="exact"/>
        <w:ind w:left="420" w:right="420" w:rightChars="200"/>
        <w:rPr>
          <w:rFonts w:ascii="宋体" w:hAnsi="宋体"/>
          <w:b/>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"_Toc504988677" </w:instrText>
      </w:r>
      <w:r>
        <w:rPr>
          <w:color w:val="000000" w:themeColor="text1"/>
          <w14:textFill>
            <w14:solidFill>
              <w14:schemeClr w14:val="tx1"/>
            </w14:solidFill>
          </w14:textFill>
        </w:rPr>
        <w:fldChar w:fldCharType="separate"/>
      </w:r>
      <w:r>
        <w:rPr>
          <w:rStyle w:val="35"/>
          <w:rFonts w:hint="eastAsia" w:ascii="宋体" w:hAnsi="宋体"/>
          <w:b/>
          <w:color w:val="000000" w:themeColor="text1"/>
          <w:sz w:val="28"/>
          <w14:textFill>
            <w14:solidFill>
              <w14:schemeClr w14:val="tx1"/>
            </w14:solidFill>
          </w14:textFill>
        </w:rPr>
        <w:t>第二章  供应商须知</w:t>
      </w:r>
      <w:r>
        <w:rPr>
          <w:rFonts w:ascii="宋体" w:hAnsi="宋体"/>
          <w:b/>
          <w:color w:val="000000" w:themeColor="text1"/>
          <w:sz w:val="28"/>
          <w14:textFill>
            <w14:solidFill>
              <w14:schemeClr w14:val="tx1"/>
            </w14:solidFill>
          </w14:textFill>
        </w:rPr>
        <w:tab/>
      </w:r>
      <w:r>
        <w:rPr>
          <w:rFonts w:ascii="宋体" w:hAnsi="宋体"/>
          <w:b/>
          <w:color w:val="000000" w:themeColor="text1"/>
          <w:sz w:val="28"/>
          <w14:textFill>
            <w14:solidFill>
              <w14:schemeClr w14:val="tx1"/>
            </w14:solidFill>
          </w14:textFill>
        </w:rPr>
        <w:t>6</w:t>
      </w:r>
      <w:r>
        <w:rPr>
          <w:rFonts w:ascii="宋体" w:hAnsi="宋体"/>
          <w:b/>
          <w:color w:val="000000" w:themeColor="text1"/>
          <w:sz w:val="28"/>
          <w14:textFill>
            <w14:solidFill>
              <w14:schemeClr w14:val="tx1"/>
            </w14:solidFill>
          </w14:textFill>
        </w:rPr>
        <w:fldChar w:fldCharType="end"/>
      </w:r>
    </w:p>
    <w:p>
      <w:pPr>
        <w:pStyle w:val="21"/>
        <w:tabs>
          <w:tab w:val="right" w:leader="dot" w:pos="8931"/>
        </w:tabs>
        <w:spacing w:line="700" w:lineRule="exact"/>
        <w:ind w:left="420" w:right="420" w:rightChars="200"/>
        <w:rPr>
          <w:rFonts w:ascii="宋体" w:hAnsi="宋体"/>
          <w:b/>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"_Toc504988678" </w:instrText>
      </w:r>
      <w:r>
        <w:rPr>
          <w:color w:val="000000" w:themeColor="text1"/>
          <w14:textFill>
            <w14:solidFill>
              <w14:schemeClr w14:val="tx1"/>
            </w14:solidFill>
          </w14:textFill>
        </w:rPr>
        <w:fldChar w:fldCharType="separate"/>
      </w:r>
      <w:r>
        <w:rPr>
          <w:rStyle w:val="35"/>
          <w:rFonts w:hint="eastAsia" w:ascii="宋体" w:hAnsi="宋体"/>
          <w:b/>
          <w:color w:val="000000" w:themeColor="text1"/>
          <w:sz w:val="28"/>
          <w14:textFill>
            <w14:solidFill>
              <w14:schemeClr w14:val="tx1"/>
            </w14:solidFill>
          </w14:textFill>
        </w:rPr>
        <w:t>第三章  项目采购需求</w:t>
      </w:r>
      <w:r>
        <w:rPr>
          <w:rFonts w:ascii="宋体" w:hAnsi="宋体"/>
          <w:b/>
          <w:color w:val="000000" w:themeColor="text1"/>
          <w:sz w:val="28"/>
          <w14:textFill>
            <w14:solidFill>
              <w14:schemeClr w14:val="tx1"/>
            </w14:solidFill>
          </w14:textFill>
        </w:rPr>
        <w:tab/>
      </w:r>
      <w:r>
        <w:rPr>
          <w:rFonts w:ascii="宋体" w:hAnsi="宋体"/>
          <w:b/>
          <w:color w:val="000000" w:themeColor="text1"/>
          <w:sz w:val="28"/>
          <w14:textFill>
            <w14:solidFill>
              <w14:schemeClr w14:val="tx1"/>
            </w14:solidFill>
          </w14:textFill>
        </w:rPr>
        <w:fldChar w:fldCharType="begin"/>
      </w:r>
      <w:r>
        <w:rPr>
          <w:rFonts w:ascii="宋体" w:hAnsi="宋体"/>
          <w:b/>
          <w:color w:val="000000" w:themeColor="text1"/>
          <w:sz w:val="28"/>
          <w14:textFill>
            <w14:solidFill>
              <w14:schemeClr w14:val="tx1"/>
            </w14:solidFill>
          </w14:textFill>
        </w:rPr>
        <w:instrText xml:space="preserve"> PAGEREF _Toc504988678 \h </w:instrText>
      </w:r>
      <w:r>
        <w:rPr>
          <w:rFonts w:ascii="宋体" w:hAnsi="宋体"/>
          <w:b/>
          <w:color w:val="000000" w:themeColor="text1"/>
          <w:sz w:val="28"/>
          <w14:textFill>
            <w14:solidFill>
              <w14:schemeClr w14:val="tx1"/>
            </w14:solidFill>
          </w14:textFill>
        </w:rPr>
        <w:fldChar w:fldCharType="separate"/>
      </w:r>
      <w:r>
        <w:rPr>
          <w:rFonts w:ascii="宋体" w:hAnsi="宋体"/>
          <w:b/>
          <w:color w:val="000000" w:themeColor="text1"/>
          <w:sz w:val="28"/>
          <w14:textFill>
            <w14:solidFill>
              <w14:schemeClr w14:val="tx1"/>
            </w14:solidFill>
          </w14:textFill>
        </w:rPr>
        <w:t>19</w:t>
      </w:r>
      <w:r>
        <w:rPr>
          <w:rFonts w:ascii="宋体" w:hAnsi="宋体"/>
          <w:b/>
          <w:color w:val="000000" w:themeColor="text1"/>
          <w:sz w:val="28"/>
          <w14:textFill>
            <w14:solidFill>
              <w14:schemeClr w14:val="tx1"/>
            </w14:solidFill>
          </w14:textFill>
        </w:rPr>
        <w:fldChar w:fldCharType="end"/>
      </w:r>
      <w:r>
        <w:rPr>
          <w:rFonts w:ascii="宋体" w:hAnsi="宋体"/>
          <w:b/>
          <w:color w:val="000000" w:themeColor="text1"/>
          <w:sz w:val="28"/>
          <w14:textFill>
            <w14:solidFill>
              <w14:schemeClr w14:val="tx1"/>
            </w14:solidFill>
          </w14:textFill>
        </w:rPr>
        <w:fldChar w:fldCharType="end"/>
      </w:r>
    </w:p>
    <w:p>
      <w:pPr>
        <w:pStyle w:val="21"/>
        <w:tabs>
          <w:tab w:val="right" w:leader="dot" w:pos="8931"/>
        </w:tabs>
        <w:spacing w:line="700" w:lineRule="exact"/>
        <w:ind w:left="420" w:right="420" w:rightChars="200"/>
        <w:rPr>
          <w:rFonts w:ascii="宋体" w:hAnsi="宋体"/>
          <w:b/>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"_Toc504988679" </w:instrText>
      </w:r>
      <w:r>
        <w:rPr>
          <w:color w:val="000000" w:themeColor="text1"/>
          <w14:textFill>
            <w14:solidFill>
              <w14:schemeClr w14:val="tx1"/>
            </w14:solidFill>
          </w14:textFill>
        </w:rPr>
        <w:fldChar w:fldCharType="separate"/>
      </w:r>
      <w:r>
        <w:rPr>
          <w:rStyle w:val="35"/>
          <w:rFonts w:hint="eastAsia" w:ascii="宋体" w:hAnsi="宋体"/>
          <w:b/>
          <w:color w:val="000000" w:themeColor="text1"/>
          <w:sz w:val="28"/>
          <w14:textFill>
            <w14:solidFill>
              <w14:schemeClr w14:val="tx1"/>
            </w14:solidFill>
          </w14:textFill>
        </w:rPr>
        <w:t>第四章  评审办法及评分标准</w:t>
      </w:r>
      <w:r>
        <w:rPr>
          <w:rFonts w:ascii="宋体" w:hAnsi="宋体"/>
          <w:b/>
          <w:color w:val="000000" w:themeColor="text1"/>
          <w:sz w:val="28"/>
          <w14:textFill>
            <w14:solidFill>
              <w14:schemeClr w14:val="tx1"/>
            </w14:solidFill>
          </w14:textFill>
        </w:rPr>
        <w:tab/>
      </w:r>
      <w:r>
        <w:rPr>
          <w:rFonts w:hint="eastAsia" w:ascii="宋体" w:hAnsi="宋体"/>
          <w:b/>
          <w:color w:val="000000" w:themeColor="text1"/>
          <w:sz w:val="28"/>
          <w14:textFill>
            <w14:solidFill>
              <w14:schemeClr w14:val="tx1"/>
            </w14:solidFill>
          </w14:textFill>
        </w:rPr>
        <w:t>30</w:t>
      </w:r>
      <w:r>
        <w:rPr>
          <w:rFonts w:hint="eastAsia" w:ascii="宋体" w:hAnsi="宋体"/>
          <w:b/>
          <w:color w:val="000000" w:themeColor="text1"/>
          <w:sz w:val="28"/>
          <w14:textFill>
            <w14:solidFill>
              <w14:schemeClr w14:val="tx1"/>
            </w14:solidFill>
          </w14:textFill>
        </w:rPr>
        <w:fldChar w:fldCharType="end"/>
      </w:r>
    </w:p>
    <w:p>
      <w:pPr>
        <w:pStyle w:val="21"/>
        <w:tabs>
          <w:tab w:val="right" w:leader="dot" w:pos="8931"/>
        </w:tabs>
        <w:spacing w:line="700" w:lineRule="exact"/>
        <w:ind w:left="420" w:right="420" w:rightChars="200"/>
        <w:rPr>
          <w:rFonts w:ascii="宋体" w:hAnsi="宋体"/>
          <w:b/>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"_Toc504988680" </w:instrText>
      </w:r>
      <w:r>
        <w:rPr>
          <w:color w:val="000000" w:themeColor="text1"/>
          <w14:textFill>
            <w14:solidFill>
              <w14:schemeClr w14:val="tx1"/>
            </w14:solidFill>
          </w14:textFill>
        </w:rPr>
        <w:fldChar w:fldCharType="separate"/>
      </w:r>
      <w:r>
        <w:rPr>
          <w:rStyle w:val="35"/>
          <w:rFonts w:hint="eastAsia" w:ascii="宋体" w:hAnsi="宋体"/>
          <w:b/>
          <w:color w:val="000000" w:themeColor="text1"/>
          <w:sz w:val="28"/>
          <w14:textFill>
            <w14:solidFill>
              <w14:schemeClr w14:val="tx1"/>
            </w14:solidFill>
          </w14:textFill>
        </w:rPr>
        <w:t>第五章  合同主要条款</w:t>
      </w:r>
      <w:r>
        <w:rPr>
          <w:rFonts w:ascii="宋体" w:hAnsi="宋体"/>
          <w:b/>
          <w:color w:val="000000" w:themeColor="text1"/>
          <w:sz w:val="28"/>
          <w14:textFill>
            <w14:solidFill>
              <w14:schemeClr w14:val="tx1"/>
            </w14:solidFill>
          </w14:textFill>
        </w:rPr>
        <w:tab/>
      </w:r>
      <w:r>
        <w:rPr>
          <w:rFonts w:hint="eastAsia" w:ascii="宋体" w:hAnsi="宋体"/>
          <w:b/>
          <w:color w:val="000000" w:themeColor="text1"/>
          <w:sz w:val="28"/>
          <w14:textFill>
            <w14:solidFill>
              <w14:schemeClr w14:val="tx1"/>
            </w14:solidFill>
          </w14:textFill>
        </w:rPr>
        <w:t>33</w:t>
      </w:r>
      <w:r>
        <w:rPr>
          <w:rFonts w:hint="eastAsia" w:ascii="宋体" w:hAnsi="宋体"/>
          <w:b/>
          <w:color w:val="000000" w:themeColor="text1"/>
          <w:sz w:val="28"/>
          <w14:textFill>
            <w14:solidFill>
              <w14:schemeClr w14:val="tx1"/>
            </w14:solidFill>
          </w14:textFill>
        </w:rPr>
        <w:fldChar w:fldCharType="end"/>
      </w:r>
    </w:p>
    <w:p>
      <w:pPr>
        <w:pStyle w:val="21"/>
        <w:tabs>
          <w:tab w:val="right" w:leader="dot" w:pos="8931"/>
        </w:tabs>
        <w:spacing w:line="700" w:lineRule="exact"/>
        <w:ind w:left="420" w:right="420" w:rightChars="2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"_Toc504988681" </w:instrText>
      </w:r>
      <w:r>
        <w:rPr>
          <w:color w:val="000000" w:themeColor="text1"/>
          <w14:textFill>
            <w14:solidFill>
              <w14:schemeClr w14:val="tx1"/>
            </w14:solidFill>
          </w14:textFill>
        </w:rPr>
        <w:fldChar w:fldCharType="separate"/>
      </w:r>
      <w:r>
        <w:rPr>
          <w:rStyle w:val="35"/>
          <w:rFonts w:hint="eastAsia" w:ascii="宋体" w:hAnsi="宋体"/>
          <w:b/>
          <w:color w:val="000000" w:themeColor="text1"/>
          <w:sz w:val="28"/>
          <w14:textFill>
            <w14:solidFill>
              <w14:schemeClr w14:val="tx1"/>
            </w14:solidFill>
          </w14:textFill>
        </w:rPr>
        <w:t>第六章  响应文件格式</w:t>
      </w:r>
      <w:r>
        <w:rPr>
          <w:rFonts w:ascii="宋体" w:hAnsi="宋体"/>
          <w:b/>
          <w:color w:val="000000" w:themeColor="text1"/>
          <w:sz w:val="28"/>
          <w14:textFill>
            <w14:solidFill>
              <w14:schemeClr w14:val="tx1"/>
            </w14:solidFill>
          </w14:textFill>
        </w:rPr>
        <w:tab/>
      </w:r>
      <w:r>
        <w:rPr>
          <w:rFonts w:ascii="宋体" w:hAnsi="宋体"/>
          <w:b/>
          <w:color w:val="000000" w:themeColor="text1"/>
          <w:sz w:val="28"/>
          <w14:textFill>
            <w14:solidFill>
              <w14:schemeClr w14:val="tx1"/>
            </w14:solidFill>
          </w14:textFill>
        </w:rPr>
        <w:t>3</w:t>
      </w:r>
      <w:r>
        <w:rPr>
          <w:rFonts w:hint="eastAsia" w:ascii="宋体" w:hAnsi="宋体"/>
          <w:b/>
          <w:color w:val="000000" w:themeColor="text1"/>
          <w:sz w:val="28"/>
          <w14:textFill>
            <w14:solidFill>
              <w14:schemeClr w14:val="tx1"/>
            </w14:solidFill>
          </w14:textFill>
        </w:rPr>
        <w:t>6</w:t>
      </w:r>
      <w:r>
        <w:rPr>
          <w:rFonts w:hint="eastAsia" w:ascii="宋体" w:hAnsi="宋体"/>
          <w:b/>
          <w:color w:val="000000" w:themeColor="text1"/>
          <w:sz w:val="28"/>
          <w14:textFill>
            <w14:solidFill>
              <w14:schemeClr w14:val="tx1"/>
            </w14:solidFill>
          </w14:textFill>
        </w:rPr>
        <w:fldChar w:fldCharType="end"/>
      </w:r>
    </w:p>
    <w:p>
      <w:pPr>
        <w:spacing w:line="360" w:lineRule="auto"/>
        <w:ind w:left="420" w:leftChars="200" w:right="420" w:rightChars="200"/>
        <w:jc w:val="left"/>
        <w:rPr>
          <w:rFonts w:ascii="宋体" w:hAnsi="宋体"/>
          <w:b/>
          <w:color w:val="000000" w:themeColor="text1"/>
          <w:sz w:val="32"/>
          <w:szCs w:val="32"/>
          <w14:textFill>
            <w14:solidFill>
              <w14:schemeClr w14:val="tx1"/>
            </w14:solidFill>
          </w14:textFill>
        </w:rPr>
      </w:pPr>
      <w:r>
        <w:rPr>
          <w:rFonts w:ascii="宋体" w:hAnsi="宋体"/>
          <w:b/>
          <w:color w:val="000000" w:themeColor="text1"/>
          <w:sz w:val="28"/>
          <w:szCs w:val="36"/>
          <w14:textFill>
            <w14:solidFill>
              <w14:schemeClr w14:val="tx1"/>
            </w14:solidFill>
          </w14:textFill>
        </w:rPr>
        <w:fldChar w:fldCharType="end"/>
      </w:r>
    </w:p>
    <w:p>
      <w:pPr>
        <w:widowControl/>
        <w:jc w:val="left"/>
        <w:rPr>
          <w:color w:val="000000" w:themeColor="text1"/>
          <w14:textFill>
            <w14:solidFill>
              <w14:schemeClr w14:val="tx1"/>
            </w14:solidFill>
          </w14:textFill>
        </w:rPr>
      </w:pPr>
    </w:p>
    <w:p>
      <w:pPr>
        <w:pStyle w:val="4"/>
        <w:keepNext w:val="0"/>
        <w:keepLines w:val="0"/>
        <w:numPr>
          <w:ilvl w:val="0"/>
          <w:numId w:val="0"/>
        </w:numPr>
        <w:spacing w:line="500" w:lineRule="exact"/>
        <w:jc w:val="center"/>
        <w:rPr>
          <w:rFonts w:ascii="宋体" w:hAnsi="宋体"/>
          <w:color w:val="000000" w:themeColor="text1"/>
          <w:szCs w:val="44"/>
          <w14:textFill>
            <w14:solidFill>
              <w14:schemeClr w14:val="tx1"/>
            </w14:solidFill>
          </w14:textFill>
        </w:rPr>
      </w:pPr>
      <w:bookmarkStart w:id="0" w:name="_Toc504988676"/>
      <w:r>
        <w:rPr>
          <w:rFonts w:ascii="宋体" w:hAnsi="宋体"/>
          <w:color w:val="000000" w:themeColor="text1"/>
          <w:szCs w:val="44"/>
          <w14:textFill>
            <w14:solidFill>
              <w14:schemeClr w14:val="tx1"/>
            </w14:solidFill>
          </w14:textFill>
        </w:rPr>
        <w:br w:type="page"/>
      </w:r>
      <w:r>
        <w:rPr>
          <w:rFonts w:hint="eastAsia" w:ascii="宋体" w:hAnsi="宋体"/>
          <w:color w:val="000000" w:themeColor="text1"/>
          <w:szCs w:val="44"/>
          <w14:textFill>
            <w14:solidFill>
              <w14:schemeClr w14:val="tx1"/>
            </w14:solidFill>
          </w14:textFill>
        </w:rPr>
        <w:t>第一章  竞争性磋商公告</w:t>
      </w:r>
      <w:bookmarkEnd w:id="0"/>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中鼎誉润工程咨询有限公司</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钟山县同古镇农村乱占耕地建房问题摸排服务项目</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（项目编号：</w:t>
      </w:r>
      <w:r>
        <w:rPr>
          <w:rFonts w:hint="eastAsia" w:ascii="宋体" w:hAnsi="宋体"/>
          <w:b/>
          <w:color w:val="000000" w:themeColor="text1"/>
          <w:sz w:val="24"/>
          <w:lang w:eastAsia="zh-CN"/>
          <w14:textFill>
            <w14:solidFill>
              <w14:schemeClr w14:val="tx1"/>
            </w14:solidFill>
          </w14:textFill>
        </w:rPr>
        <w:t>HZZC2020-C3-220233-ZDYR</w:t>
      </w:r>
      <w:r>
        <w:rPr>
          <w:rFonts w:hint="eastAsia" w:ascii="宋体" w:hAnsi="宋体"/>
          <w:b/>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after="156" w:afterLines="50" w:line="400" w:lineRule="exact"/>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竞争性磋商公告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钟山县同古镇农村乱占耕地建房问题摸排服务项目</w:t>
      </w:r>
      <w:r>
        <w:rPr>
          <w:rFonts w:hint="eastAsia" w:ascii="宋体" w:hAnsi="宋体" w:cs="宋体"/>
          <w:color w:val="000000" w:themeColor="text1"/>
          <w:szCs w:val="21"/>
          <w14:textFill>
            <w14:solidFill>
              <w14:schemeClr w14:val="tx1"/>
            </w14:solidFill>
          </w14:textFill>
        </w:rPr>
        <w:t>采购项目的潜在供应商应在</w:t>
      </w:r>
      <w:r>
        <w:rPr>
          <w:rFonts w:hint="eastAsia" w:ascii="宋体" w:hAnsi="宋体" w:cs="宋体"/>
          <w:color w:val="000000" w:themeColor="text1"/>
          <w:szCs w:val="21"/>
          <w:u w:val="single"/>
          <w14:textFill>
            <w14:solidFill>
              <w14:schemeClr w14:val="tx1"/>
            </w14:solidFill>
          </w14:textFill>
        </w:rPr>
        <w:t>贺州市钟山县滨江路2号（中鼎誉润工程咨询有限公司贺州分公司钟山办事处）</w:t>
      </w:r>
      <w:r>
        <w:rPr>
          <w:rFonts w:hint="eastAsia" w:ascii="宋体" w:hAnsi="宋体" w:cs="宋体"/>
          <w:color w:val="000000" w:themeColor="text1"/>
          <w:szCs w:val="21"/>
          <w14:textFill>
            <w14:solidFill>
              <w14:schemeClr w14:val="tx1"/>
            </w14:solidFill>
          </w14:textFill>
        </w:rPr>
        <w:t>获取采购文件，并于</w:t>
      </w:r>
      <w:r>
        <w:rPr>
          <w:rFonts w:hint="eastAsia" w:ascii="宋体" w:hAnsi="宋体" w:cs="宋体"/>
          <w:color w:val="000000" w:themeColor="text1"/>
          <w:szCs w:val="21"/>
          <w:u w:val="single"/>
          <w14:textFill>
            <w14:solidFill>
              <w14:schemeClr w14:val="tx1"/>
            </w14:solidFill>
          </w14:textFill>
        </w:rPr>
        <w:t>2020年</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18</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时</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bCs/>
          <w:color w:val="000000" w:themeColor="text1"/>
          <w:szCs w:val="21"/>
          <w14:textFill>
            <w14:solidFill>
              <w14:schemeClr w14:val="tx1"/>
            </w14:solidFill>
          </w14:textFill>
        </w:rPr>
        <w:t>（北京时间）前提交响应文件</w:t>
      </w:r>
      <w:r>
        <w:rPr>
          <w:rFonts w:hint="eastAsia" w:ascii="宋体" w:hAnsi="宋体" w:cs="宋体"/>
          <w:color w:val="000000" w:themeColor="text1"/>
          <w:szCs w:val="21"/>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432" w:hanging="432"/>
        <w:textAlignment w:val="auto"/>
        <w:rPr>
          <w:rFonts w:ascii="宋体" w:hAnsi="宋体" w:cs="宋体"/>
          <w:color w:val="000000" w:themeColor="text1"/>
          <w:sz w:val="21"/>
          <w:szCs w:val="21"/>
          <w14:textFill>
            <w14:solidFill>
              <w14:schemeClr w14:val="tx1"/>
            </w14:solidFill>
          </w14:textFill>
        </w:rPr>
      </w:pPr>
      <w:bookmarkStart w:id="1" w:name="_Toc35393629"/>
      <w:bookmarkStart w:id="2" w:name="_Toc28359012"/>
      <w:bookmarkStart w:id="3" w:name="_Toc28359089"/>
      <w:bookmarkStart w:id="4" w:name="_Toc35393798"/>
      <w:r>
        <w:rPr>
          <w:rFonts w:hint="eastAsia" w:ascii="宋体" w:hAnsi="宋体" w:cs="宋体"/>
          <w:color w:val="000000" w:themeColor="text1"/>
          <w:sz w:val="21"/>
          <w:szCs w:val="21"/>
          <w14:textFill>
            <w14:solidFill>
              <w14:schemeClr w14:val="tx1"/>
            </w14:solidFill>
          </w14:textFill>
        </w:rPr>
        <w:t>一、项目基本情况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HZZC2020-C3-220233-ZDYR</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项目名称：钟山县同古镇农村乱占耕地建房问题摸排服务项目</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采购方式：竞争性磋商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预算金额：叁拾叁万柒仟贰佰贰拾元整（￥337220.00）</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最高限价：叁拾叁万柒仟贰佰贰拾元整（￥337220.00）</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采购需求：钟山县</w:t>
      </w:r>
      <w:r>
        <w:rPr>
          <w:rFonts w:hint="eastAsia" w:ascii="宋体" w:hAnsi="宋体" w:cs="宋体"/>
          <w:color w:val="000000" w:themeColor="text1"/>
          <w:szCs w:val="21"/>
          <w:lang w:eastAsia="zh-CN"/>
          <w14:textFill>
            <w14:solidFill>
              <w14:schemeClr w14:val="tx1"/>
            </w14:solidFill>
          </w14:textFill>
        </w:rPr>
        <w:t>同古镇</w:t>
      </w:r>
      <w:r>
        <w:rPr>
          <w:rFonts w:hint="eastAsia" w:ascii="宋体" w:hAnsi="宋体" w:cs="宋体"/>
          <w:color w:val="000000" w:themeColor="text1"/>
          <w:szCs w:val="21"/>
          <w14:textFill>
            <w14:solidFill>
              <w14:schemeClr w14:val="tx1"/>
            </w14:solidFill>
          </w14:textFill>
        </w:rPr>
        <w:t>农村乱占耕地建房问题摸排服务，</w:t>
      </w:r>
      <w:r>
        <w:rPr>
          <w:rFonts w:hint="eastAsia" w:ascii="宋体"/>
          <w:color w:val="000000" w:themeColor="text1"/>
          <w:szCs w:val="21"/>
          <w14:textFill>
            <w14:solidFill>
              <w14:schemeClr w14:val="tx1"/>
            </w14:solidFill>
          </w14:textFill>
        </w:rPr>
        <w:t>如需进一步了解详细内容，详见竞争性磋商采购文件。</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合同履行期限：服务时间：2021年2月28日前，完成钟山县同古镇农村乱占耕地建房问题摸排数据库建设工作。</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w:t>
      </w:r>
    </w:p>
    <w:p>
      <w:pPr>
        <w:pStyle w:val="4"/>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432" w:hanging="432"/>
        <w:textAlignment w:val="auto"/>
        <w:rPr>
          <w:rFonts w:ascii="宋体" w:hAnsi="宋体" w:cs="宋体"/>
          <w:color w:val="000000" w:themeColor="text1"/>
          <w:sz w:val="21"/>
          <w:szCs w:val="21"/>
          <w14:textFill>
            <w14:solidFill>
              <w14:schemeClr w14:val="tx1"/>
            </w14:solidFill>
          </w14:textFill>
        </w:rPr>
      </w:pPr>
      <w:bookmarkStart w:id="5" w:name="_Toc28359090"/>
      <w:bookmarkStart w:id="6" w:name="_Toc35393799"/>
      <w:bookmarkStart w:id="7" w:name="_Toc28359013"/>
      <w:bookmarkStart w:id="8" w:name="_Toc35393630"/>
      <w:r>
        <w:rPr>
          <w:rFonts w:hint="eastAsia" w:ascii="宋体" w:hAnsi="宋体" w:cs="宋体"/>
          <w:color w:val="000000" w:themeColor="text1"/>
          <w:sz w:val="21"/>
          <w:szCs w:val="21"/>
          <w14:textFill>
            <w14:solidFill>
              <w14:schemeClr w14:val="tx1"/>
            </w14:solidFill>
          </w14:textFill>
        </w:rPr>
        <w:t>二、申请人的资格要求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1"/>
          <w14:textFill>
            <w14:solidFill>
              <w14:schemeClr w14:val="tx1"/>
            </w14:solidFill>
          </w14:textFill>
        </w:rPr>
      </w:pPr>
      <w:bookmarkStart w:id="9" w:name="_Toc35393631"/>
      <w:bookmarkStart w:id="10" w:name="_Toc28359091"/>
      <w:bookmarkStart w:id="11" w:name="_Toc35393800"/>
      <w:bookmarkStart w:id="12" w:name="_Toc28359014"/>
      <w:r>
        <w:rPr>
          <w:rFonts w:hint="eastAsia" w:ascii="宋体" w:hAnsi="宋体" w:cs="宋体"/>
          <w:color w:val="000000" w:themeColor="text1"/>
          <w:szCs w:val="21"/>
          <w14:textFill>
            <w14:solidFill>
              <w14:schemeClr w14:val="tx1"/>
            </w14:solidFill>
          </w14:textFill>
        </w:rPr>
        <w:t>1.满足《中华人民共和国政府采购法》第二十二条规定；</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bCs/>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国内注册（指按国家有关规定要求注册的），满足本次采购服务的供应商；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供应商须具备有效的测绘乙级或以上资质；</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.参加采购活动前3年内，在经营活动中没有重大违法记录（提供书面声明）；</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.单位负责人为同一人或者存在直接控股、管理关系的不同供应商，不得参加同一合同项下的政府采购活动。除单一来源</w:t>
      </w:r>
      <w:r>
        <w:rPr>
          <w:rFonts w:hint="eastAsia" w:ascii="宋体" w:hAnsi="宋体" w:cs="宋体"/>
          <w:color w:val="000000" w:themeColor="text1"/>
          <w:szCs w:val="21"/>
          <w14:textFill>
            <w14:solidFill>
              <w14:schemeClr w14:val="tx1"/>
            </w14:solidFill>
          </w14:textFill>
        </w:rPr>
        <w:t>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432" w:hanging="432"/>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三、获取采购文件</w:t>
      </w:r>
      <w:bookmarkEnd w:id="9"/>
      <w:bookmarkEnd w:id="10"/>
      <w:bookmarkEnd w:id="11"/>
      <w:bookmarkEnd w:id="12"/>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r>
        <w:rPr>
          <w:rFonts w:hint="eastAsia" w:ascii="宋体" w:hAnsi="宋体" w:cs="宋体"/>
          <w:color w:val="000000" w:themeColor="text1"/>
          <w:szCs w:val="21"/>
          <w:u w:val="single"/>
          <w14:textFill>
            <w14:solidFill>
              <w14:schemeClr w14:val="tx1"/>
            </w14:solidFill>
          </w14:textFill>
        </w:rPr>
        <w:t>2020年</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7</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14:textFill>
            <w14:solidFill>
              <w14:schemeClr w14:val="tx1"/>
            </w14:solidFill>
          </w14:textFill>
        </w:rPr>
        <w:t>至</w:t>
      </w:r>
      <w:r>
        <w:rPr>
          <w:rFonts w:hint="eastAsia" w:ascii="宋体" w:hAnsi="宋体" w:cs="宋体"/>
          <w:color w:val="000000" w:themeColor="text1"/>
          <w:szCs w:val="21"/>
          <w:u w:val="single"/>
          <w14:textFill>
            <w14:solidFill>
              <w14:schemeClr w14:val="tx1"/>
            </w14:solidFill>
          </w14:textFill>
        </w:rPr>
        <w:t>2020年</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14</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14:textFill>
            <w14:solidFill>
              <w14:schemeClr w14:val="tx1"/>
            </w14:solidFill>
          </w14:textFill>
        </w:rPr>
        <w:t>，每天上午</w:t>
      </w:r>
      <w:r>
        <w:rPr>
          <w:rFonts w:hint="eastAsia" w:ascii="宋体" w:hAnsi="宋体" w:cs="宋体"/>
          <w:color w:val="000000" w:themeColor="text1"/>
          <w:szCs w:val="21"/>
          <w:u w:val="single"/>
          <w14:textFill>
            <w14:solidFill>
              <w14:schemeClr w14:val="tx1"/>
            </w14:solidFill>
          </w14:textFill>
        </w:rPr>
        <w:t>8时30分</w:t>
      </w:r>
      <w:r>
        <w:rPr>
          <w:rFonts w:hint="eastAsia" w:ascii="宋体" w:hAnsi="宋体" w:cs="宋体"/>
          <w:color w:val="000000" w:themeColor="text1"/>
          <w:szCs w:val="21"/>
          <w14:textFill>
            <w14:solidFill>
              <w14:schemeClr w14:val="tx1"/>
            </w14:solidFill>
          </w14:textFill>
        </w:rPr>
        <w:t>至</w:t>
      </w:r>
      <w:r>
        <w:rPr>
          <w:rFonts w:hint="eastAsia" w:ascii="宋体" w:hAnsi="宋体" w:cs="宋体"/>
          <w:color w:val="000000" w:themeColor="text1"/>
          <w:szCs w:val="21"/>
          <w:u w:val="single"/>
          <w14:textFill>
            <w14:solidFill>
              <w14:schemeClr w14:val="tx1"/>
            </w14:solidFill>
          </w14:textFill>
        </w:rPr>
        <w:t>12时00分</w:t>
      </w:r>
      <w:r>
        <w:rPr>
          <w:rFonts w:hint="eastAsia" w:ascii="宋体" w:hAnsi="宋体" w:cs="宋体"/>
          <w:color w:val="000000" w:themeColor="text1"/>
          <w:szCs w:val="21"/>
          <w14:textFill>
            <w14:solidFill>
              <w14:schemeClr w14:val="tx1"/>
            </w14:solidFill>
          </w14:textFill>
        </w:rPr>
        <w:t>，下午</w:t>
      </w:r>
      <w:r>
        <w:rPr>
          <w:rFonts w:hint="eastAsia" w:ascii="宋体" w:hAnsi="宋体" w:cs="宋体"/>
          <w:color w:val="000000" w:themeColor="text1"/>
          <w:szCs w:val="21"/>
          <w:u w:val="single"/>
          <w14:textFill>
            <w14:solidFill>
              <w14:schemeClr w14:val="tx1"/>
            </w14:solidFill>
          </w14:textFill>
        </w:rPr>
        <w:t>15时00分</w:t>
      </w:r>
      <w:r>
        <w:rPr>
          <w:rFonts w:hint="eastAsia" w:ascii="宋体" w:hAnsi="宋体" w:cs="宋体"/>
          <w:color w:val="000000" w:themeColor="text1"/>
          <w:szCs w:val="21"/>
          <w14:textFill>
            <w14:solidFill>
              <w14:schemeClr w14:val="tx1"/>
            </w14:solidFill>
          </w14:textFill>
        </w:rPr>
        <w:t>至</w:t>
      </w:r>
      <w:r>
        <w:rPr>
          <w:rFonts w:hint="eastAsia" w:ascii="宋体" w:hAnsi="宋体" w:cs="宋体"/>
          <w:color w:val="000000" w:themeColor="text1"/>
          <w:szCs w:val="21"/>
          <w:u w:val="single"/>
          <w14:textFill>
            <w14:solidFill>
              <w14:schemeClr w14:val="tx1"/>
            </w14:solidFill>
          </w14:textFill>
        </w:rPr>
        <w:t>17时30分</w:t>
      </w:r>
      <w:r>
        <w:rPr>
          <w:rFonts w:hint="eastAsia" w:ascii="宋体" w:hAnsi="宋体" w:cs="宋体"/>
          <w:color w:val="000000" w:themeColor="text1"/>
          <w:szCs w:val="21"/>
          <w14:textFill>
            <w14:solidFill>
              <w14:schemeClr w14:val="tx1"/>
            </w14:solidFill>
          </w14:textFill>
        </w:rPr>
        <w:t>（北京时间，法定节假日除外）</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14:textFill>
            <w14:solidFill>
              <w14:schemeClr w14:val="tx1"/>
            </w14:solidFill>
          </w14:textFill>
        </w:rPr>
        <w:t>贺州市钟山县滨江路2号（中鼎誉润工程咨询有限公司贺州分公司钟山办事处）</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式：由法人代表或授权委托代理人请携带本人身份证及以下材料购买竞争性磋商采购文件：营业执照副本复印件、授权委托书原件（委托代理时提供），以上材料须提供加盖单位公章的复印件一份留档，资料合格后方可报名购买采购文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售价：采购文件工本费每本300元，售后不退（不代办邮寄）。</w:t>
      </w:r>
    </w:p>
    <w:p>
      <w:pPr>
        <w:pStyle w:val="4"/>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432" w:hanging="432"/>
        <w:textAlignment w:val="auto"/>
        <w:rPr>
          <w:rFonts w:ascii="宋体" w:hAnsi="宋体" w:cs="宋体"/>
          <w:color w:val="000000" w:themeColor="text1"/>
          <w:sz w:val="21"/>
          <w:szCs w:val="21"/>
          <w14:textFill>
            <w14:solidFill>
              <w14:schemeClr w14:val="tx1"/>
            </w14:solidFill>
          </w14:textFill>
        </w:rPr>
      </w:pPr>
      <w:bookmarkStart w:id="13" w:name="_Toc35393632"/>
      <w:bookmarkStart w:id="14" w:name="_Toc28359015"/>
      <w:bookmarkStart w:id="15" w:name="_Toc28359092"/>
      <w:bookmarkStart w:id="16" w:name="_Toc35393801"/>
      <w:r>
        <w:rPr>
          <w:rFonts w:hint="eastAsia" w:ascii="宋体" w:hAnsi="宋体" w:cs="宋体"/>
          <w:color w:val="000000" w:themeColor="text1"/>
          <w:sz w:val="21"/>
          <w:szCs w:val="21"/>
          <w14:textFill>
            <w14:solidFill>
              <w14:schemeClr w14:val="tx1"/>
            </w14:solidFill>
          </w14:textFill>
        </w:rPr>
        <w:t>四、响应文件提交</w:t>
      </w:r>
      <w:bookmarkEnd w:id="13"/>
      <w:bookmarkEnd w:id="14"/>
      <w:bookmarkEnd w:id="15"/>
      <w:bookmarkEnd w:id="16"/>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w:t>
      </w:r>
      <w:r>
        <w:rPr>
          <w:rFonts w:hint="eastAsia" w:ascii="宋体" w:hAnsi="宋体" w:cs="宋体"/>
          <w:color w:val="000000" w:themeColor="text1"/>
          <w:szCs w:val="21"/>
          <w:u w:val="single"/>
          <w14:textFill>
            <w14:solidFill>
              <w14:schemeClr w14:val="tx1"/>
            </w14:solidFill>
          </w14:textFill>
        </w:rPr>
        <w:t>2020年</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18</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时</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bCs/>
          <w:color w:val="000000" w:themeColor="text1"/>
          <w:szCs w:val="21"/>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广西钟山县兴钟中路14号政务中心三楼会议大厅</w:t>
      </w:r>
    </w:p>
    <w:p>
      <w:pPr>
        <w:pStyle w:val="4"/>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432" w:hanging="432"/>
        <w:textAlignment w:val="auto"/>
        <w:rPr>
          <w:rFonts w:ascii="宋体" w:hAnsi="宋体" w:cs="宋体"/>
          <w:color w:val="000000" w:themeColor="text1"/>
          <w:sz w:val="21"/>
          <w:szCs w:val="21"/>
          <w14:textFill>
            <w14:solidFill>
              <w14:schemeClr w14:val="tx1"/>
            </w14:solidFill>
          </w14:textFill>
        </w:rPr>
      </w:pPr>
      <w:bookmarkStart w:id="17" w:name="_Toc28359093"/>
      <w:bookmarkStart w:id="18" w:name="_Toc35393802"/>
      <w:bookmarkStart w:id="19" w:name="_Toc35393633"/>
      <w:bookmarkStart w:id="20" w:name="_Toc28359016"/>
      <w:r>
        <w:rPr>
          <w:rFonts w:hint="eastAsia" w:ascii="宋体" w:hAnsi="宋体" w:cs="宋体"/>
          <w:color w:val="000000" w:themeColor="text1"/>
          <w:sz w:val="21"/>
          <w:szCs w:val="21"/>
          <w14:textFill>
            <w14:solidFill>
              <w14:schemeClr w14:val="tx1"/>
            </w14:solidFill>
          </w14:textFill>
        </w:rPr>
        <w:t>五、开启</w:t>
      </w:r>
      <w:bookmarkEnd w:id="17"/>
      <w:bookmarkEnd w:id="18"/>
      <w:bookmarkEnd w:id="19"/>
      <w:bookmarkEnd w:id="20"/>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r>
        <w:rPr>
          <w:rFonts w:hint="eastAsia" w:ascii="宋体" w:hAnsi="宋体" w:cs="宋体"/>
          <w:color w:val="000000" w:themeColor="text1"/>
          <w:szCs w:val="21"/>
          <w:u w:val="single"/>
          <w14:textFill>
            <w14:solidFill>
              <w14:schemeClr w14:val="tx1"/>
            </w14:solidFill>
          </w14:textFill>
        </w:rPr>
        <w:t>2020年</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18</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时</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bCs/>
          <w:color w:val="000000" w:themeColor="text1"/>
          <w:szCs w:val="21"/>
          <w:u w:val="single"/>
          <w14:textFill>
            <w14:solidFill>
              <w14:schemeClr w14:val="tx1"/>
            </w14:solidFill>
          </w14:textFill>
        </w:rPr>
        <w:t>（北京时间）截止后为磋商小组与磋商供应商磋商时间，具体时间由采购代理机构另行通知。</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olor w:val="000000" w:themeColor="text1"/>
          <w:u w:val="single"/>
          <w14:textFill>
            <w14:solidFill>
              <w14:schemeClr w14:val="tx1"/>
            </w14:solidFill>
          </w14:textFill>
        </w:rPr>
        <w:t>广西钟山县兴钟中路14号政务中心三楼会议大厅，参加磋商的法定代表人或委托代理人必须持有效证件[法定代表人凭身份证或委托代理人凭法定代表人授权委托书原件和身份证]依时到达指定地点等候当面磋商。</w:t>
      </w:r>
    </w:p>
    <w:p>
      <w:pPr>
        <w:pStyle w:val="4"/>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432" w:hanging="432"/>
        <w:textAlignment w:val="auto"/>
        <w:rPr>
          <w:rFonts w:ascii="宋体" w:hAnsi="宋体" w:cs="宋体"/>
          <w:color w:val="000000" w:themeColor="text1"/>
          <w:sz w:val="21"/>
          <w:szCs w:val="21"/>
          <w14:textFill>
            <w14:solidFill>
              <w14:schemeClr w14:val="tx1"/>
            </w14:solidFill>
          </w14:textFill>
        </w:rPr>
      </w:pPr>
      <w:bookmarkStart w:id="21" w:name="_Toc35393634"/>
      <w:bookmarkStart w:id="22" w:name="_Toc35393803"/>
      <w:bookmarkStart w:id="23" w:name="_Toc28359017"/>
      <w:bookmarkStart w:id="24" w:name="_Toc28359094"/>
      <w:r>
        <w:rPr>
          <w:rFonts w:hint="eastAsia" w:ascii="宋体" w:hAnsi="宋体" w:cs="宋体"/>
          <w:color w:val="000000" w:themeColor="text1"/>
          <w:sz w:val="21"/>
          <w:szCs w:val="21"/>
          <w14:textFill>
            <w14:solidFill>
              <w14:schemeClr w14:val="tx1"/>
            </w14:solidFill>
          </w14:textFill>
        </w:rPr>
        <w:t>六、公告期限</w:t>
      </w:r>
      <w:bookmarkEnd w:id="21"/>
      <w:bookmarkEnd w:id="22"/>
      <w:bookmarkEnd w:id="23"/>
      <w:bookmarkEnd w:id="24"/>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p>
    <w:p>
      <w:pPr>
        <w:pStyle w:val="4"/>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432" w:hanging="432"/>
        <w:textAlignment w:val="auto"/>
        <w:rPr>
          <w:rFonts w:ascii="宋体" w:hAnsi="宋体" w:cs="宋体"/>
          <w:color w:val="000000" w:themeColor="text1"/>
          <w:sz w:val="21"/>
          <w:szCs w:val="21"/>
          <w14:textFill>
            <w14:solidFill>
              <w14:schemeClr w14:val="tx1"/>
            </w14:solidFill>
          </w14:textFill>
        </w:rPr>
      </w:pPr>
      <w:bookmarkStart w:id="25" w:name="_Toc35393804"/>
      <w:bookmarkStart w:id="26" w:name="_Toc35393635"/>
      <w:r>
        <w:rPr>
          <w:rFonts w:hint="eastAsia" w:ascii="宋体" w:hAnsi="宋体" w:cs="宋体"/>
          <w:color w:val="000000" w:themeColor="text1"/>
          <w:sz w:val="21"/>
          <w:szCs w:val="21"/>
          <w14:textFill>
            <w14:solidFill>
              <w14:schemeClr w14:val="tx1"/>
            </w14:solidFill>
          </w14:textFill>
        </w:rPr>
        <w:t>七、其他补充事宜</w:t>
      </w:r>
      <w:bookmarkEnd w:id="25"/>
      <w:bookmarkEnd w:id="26"/>
    </w:p>
    <w:p>
      <w:pPr>
        <w:pStyle w:val="1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1.磋商保证金(人民币)：伍仟元整（￥5000.00）</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1"/>
          <w14:textFill>
            <w14:solidFill>
              <w14:schemeClr w14:val="tx1"/>
            </w14:solidFill>
          </w14:textFill>
        </w:rPr>
      </w:pPr>
      <w:bookmarkStart w:id="27" w:name="_Toc35393636"/>
      <w:bookmarkStart w:id="28" w:name="_Toc28359018"/>
      <w:bookmarkStart w:id="29" w:name="_Toc28359095"/>
      <w:bookmarkStart w:id="30" w:name="_Toc35393805"/>
      <w:r>
        <w:rPr>
          <w:rFonts w:hint="eastAsia" w:ascii="宋体" w:hAnsi="宋体" w:cs="宋体"/>
          <w:color w:val="000000" w:themeColor="text1"/>
          <w:szCs w:val="21"/>
          <w14:textFill>
            <w14:solidFill>
              <w14:schemeClr w14:val="tx1"/>
            </w14:solidFill>
          </w14:textFill>
        </w:rPr>
        <w:t>磋商供应商应于响应文件递交截止时间前将磋商保证金以支票、汇票、本票、电汇或网上支付、银行转账或者金融机构、担保机构出具的保函等非现金形式提交。采用保函方式的，必须为无条件保函，保函有效期不得低于竞标有效期；采用电汇或网上支付、银行转账的，必须从磋商供应商的基本账户转账或电汇到以下指定的磋商保证金账户；采用支票、汇票、本票方式提交的，交款人必须是磋商供应商。办理磋商保证金手续时，需在交纳凭据上注明项目编号。</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账户名：中鼎誉润工程咨询有限公司贺州分公司</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  号：660400051546500010</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开户行：桂林银行贺州分行</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备注</w:t>
      </w:r>
      <w:r>
        <w:rPr>
          <w:rFonts w:hint="eastAsia"/>
          <w:b/>
          <w:color w:val="000000" w:themeColor="text1"/>
          <w:szCs w:val="21"/>
          <w14:textFill>
            <w14:solidFill>
              <w14:schemeClr w14:val="tx1"/>
            </w14:solidFill>
          </w14:textFill>
        </w:rPr>
        <w:t>：对受疫情影响的中小微企业（在提供真实可信证明材料的前提下），可以免收其磋商保证金。</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2.本项目需要落实的政府采购政策：《政府采购促进中小企业发展暂行办法》（财库[2011]181号）、《财政部、司法部关于政府采购支持监狱企业发展有关问题的通知》（财库〔2014〕68号）、《关于促进残疾人就业政府采购政策的通知》（财库〔2018〕141号）等政府采购相关政策。评审时小型和微型企业产品的价格给予10%的扣除；监狱企业、残疾人福利性单位视同小型、微型企业，其产品在评审时给予相同的价格扣除。</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3.网上查询地址：中国政府采购网（http://www.ccgp.gov.cn/）、广西政府采购网（http://zfcg.gxzf.gov.cn/）。</w:t>
      </w:r>
    </w:p>
    <w:p>
      <w:pPr>
        <w:pStyle w:val="4"/>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432" w:hanging="432"/>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八、凡对本次采购提出询问，请按以下方式联系。</w:t>
      </w:r>
      <w:bookmarkEnd w:id="27"/>
      <w:bookmarkEnd w:id="28"/>
      <w:bookmarkEnd w:id="29"/>
      <w:bookmarkEnd w:id="30"/>
    </w:p>
    <w:p>
      <w:pPr>
        <w:pStyle w:val="1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1.采购人信息</w:t>
      </w:r>
    </w:p>
    <w:p>
      <w:pPr>
        <w:pStyle w:val="18"/>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hAnsi="宋体" w:cs="宋体"/>
          <w:bCs/>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 xml:space="preserve">名 </w:t>
      </w:r>
      <w:r>
        <w:rPr>
          <w:rFonts w:hAnsi="宋体" w:cs="宋体"/>
          <w:color w:val="000000" w:themeColor="text1"/>
          <w:sz w:val="21"/>
          <w14:textFill>
            <w14:solidFill>
              <w14:schemeClr w14:val="tx1"/>
            </w14:solidFill>
          </w14:textFill>
        </w:rPr>
        <w:t xml:space="preserve">   </w:t>
      </w:r>
      <w:r>
        <w:rPr>
          <w:rFonts w:hint="eastAsia" w:hAnsi="宋体" w:cs="宋体"/>
          <w:color w:val="000000" w:themeColor="text1"/>
          <w:sz w:val="21"/>
          <w14:textFill>
            <w14:solidFill>
              <w14:schemeClr w14:val="tx1"/>
            </w14:solidFill>
          </w14:textFill>
        </w:rPr>
        <w:t>称：</w:t>
      </w:r>
      <w:r>
        <w:rPr>
          <w:rFonts w:hint="eastAsia" w:hAnsi="宋体" w:cs="宋体"/>
          <w:bCs/>
          <w:color w:val="000000" w:themeColor="text1"/>
          <w:sz w:val="21"/>
          <w14:textFill>
            <w14:solidFill>
              <w14:schemeClr w14:val="tx1"/>
            </w14:solidFill>
          </w14:textFill>
        </w:rPr>
        <w:t>钟山县自然资源局</w:t>
      </w:r>
    </w:p>
    <w:p>
      <w:pPr>
        <w:pStyle w:val="18"/>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 xml:space="preserve">地 </w:t>
      </w:r>
      <w:r>
        <w:rPr>
          <w:rFonts w:hAnsi="宋体" w:cs="宋体"/>
          <w:bCs/>
          <w:color w:val="000000" w:themeColor="text1"/>
          <w:sz w:val="21"/>
          <w14:textFill>
            <w14:solidFill>
              <w14:schemeClr w14:val="tx1"/>
            </w14:solidFill>
          </w14:textFill>
        </w:rPr>
        <w:t xml:space="preserve">   </w:t>
      </w:r>
      <w:r>
        <w:rPr>
          <w:rFonts w:hint="eastAsia" w:hAnsi="宋体" w:cs="宋体"/>
          <w:bCs/>
          <w:color w:val="000000" w:themeColor="text1"/>
          <w:sz w:val="21"/>
          <w14:textFill>
            <w14:solidFill>
              <w14:schemeClr w14:val="tx1"/>
            </w14:solidFill>
          </w14:textFill>
        </w:rPr>
        <w:t>址：钟山县民族路7号</w:t>
      </w:r>
    </w:p>
    <w:p>
      <w:pPr>
        <w:pStyle w:val="18"/>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hint="default" w:hAnsi="宋体" w:eastAsia="宋体" w:cs="宋体"/>
          <w:bCs/>
          <w:color w:val="000000" w:themeColor="text1"/>
          <w:sz w:val="21"/>
          <w:lang w:val="en-US" w:eastAsia="zh-CN"/>
          <w14:textFill>
            <w14:solidFill>
              <w14:schemeClr w14:val="tx1"/>
            </w14:solidFill>
          </w14:textFill>
        </w:rPr>
      </w:pPr>
      <w:r>
        <w:rPr>
          <w:rFonts w:hint="eastAsia" w:hAnsi="宋体" w:cs="宋体"/>
          <w:bCs/>
          <w:color w:val="000000" w:themeColor="text1"/>
          <w:sz w:val="21"/>
          <w14:textFill>
            <w14:solidFill>
              <w14:schemeClr w14:val="tx1"/>
            </w14:solidFill>
          </w14:textFill>
        </w:rPr>
        <w:t xml:space="preserve">联系方式: </w:t>
      </w:r>
      <w:r>
        <w:rPr>
          <w:rFonts w:hint="eastAsia" w:hAnsi="宋体" w:cs="宋体"/>
          <w:bCs/>
          <w:color w:val="000000" w:themeColor="text1"/>
          <w:sz w:val="21"/>
          <w:lang w:eastAsia="zh-CN"/>
          <w14:textFill>
            <w14:solidFill>
              <w14:schemeClr w14:val="tx1"/>
            </w14:solidFill>
          </w14:textFill>
        </w:rPr>
        <w:t>董</w:t>
      </w:r>
      <w:r>
        <w:rPr>
          <w:rFonts w:hint="eastAsia" w:hAnsi="宋体" w:cs="宋体"/>
          <w:bCs/>
          <w:color w:val="000000" w:themeColor="text1"/>
          <w:sz w:val="21"/>
          <w14:textFill>
            <w14:solidFill>
              <w14:schemeClr w14:val="tx1"/>
            </w14:solidFill>
          </w14:textFill>
        </w:rPr>
        <w:t>工，0774-89</w:t>
      </w:r>
      <w:r>
        <w:rPr>
          <w:rFonts w:hint="eastAsia" w:hAnsi="宋体" w:cs="宋体"/>
          <w:bCs/>
          <w:color w:val="000000" w:themeColor="text1"/>
          <w:sz w:val="21"/>
          <w:lang w:val="en-US" w:eastAsia="zh-CN"/>
          <w14:textFill>
            <w14:solidFill>
              <w14:schemeClr w14:val="tx1"/>
            </w14:solidFill>
          </w14:textFill>
        </w:rPr>
        <w:t>72838</w:t>
      </w:r>
    </w:p>
    <w:p>
      <w:pPr>
        <w:pStyle w:val="1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2.采购代理机构信息</w:t>
      </w:r>
    </w:p>
    <w:p>
      <w:pPr>
        <w:pStyle w:val="18"/>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 xml:space="preserve">名 </w:t>
      </w:r>
      <w:r>
        <w:rPr>
          <w:rFonts w:hAnsi="宋体" w:cs="宋体"/>
          <w:color w:val="000000" w:themeColor="text1"/>
          <w:sz w:val="21"/>
          <w14:textFill>
            <w14:solidFill>
              <w14:schemeClr w14:val="tx1"/>
            </w14:solidFill>
          </w14:textFill>
        </w:rPr>
        <w:t xml:space="preserve">   </w:t>
      </w:r>
      <w:r>
        <w:rPr>
          <w:rFonts w:hint="eastAsia" w:hAnsi="宋体" w:cs="宋体"/>
          <w:color w:val="000000" w:themeColor="text1"/>
          <w:sz w:val="21"/>
          <w14:textFill>
            <w14:solidFill>
              <w14:schemeClr w14:val="tx1"/>
            </w14:solidFill>
          </w14:textFill>
        </w:rPr>
        <w:t>称：</w:t>
      </w:r>
      <w:r>
        <w:rPr>
          <w:rFonts w:hint="eastAsia" w:hAnsi="宋体" w:cs="宋体"/>
          <w:bCs/>
          <w:color w:val="000000" w:themeColor="text1"/>
          <w:sz w:val="21"/>
          <w14:textFill>
            <w14:solidFill>
              <w14:schemeClr w14:val="tx1"/>
            </w14:solidFill>
          </w14:textFill>
        </w:rPr>
        <w:t>中鼎誉润工程咨询有限公司</w:t>
      </w:r>
    </w:p>
    <w:p>
      <w:pPr>
        <w:pStyle w:val="18"/>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 xml:space="preserve">地 </w:t>
      </w:r>
      <w:r>
        <w:rPr>
          <w:rFonts w:hAnsi="宋体" w:cs="宋体"/>
          <w:color w:val="000000" w:themeColor="text1"/>
          <w:sz w:val="21"/>
          <w14:textFill>
            <w14:solidFill>
              <w14:schemeClr w14:val="tx1"/>
            </w14:solidFill>
          </w14:textFill>
        </w:rPr>
        <w:t xml:space="preserve">   </w:t>
      </w:r>
      <w:r>
        <w:rPr>
          <w:rFonts w:hint="eastAsia" w:hAnsi="宋体" w:cs="宋体"/>
          <w:color w:val="000000" w:themeColor="text1"/>
          <w:sz w:val="21"/>
          <w14:textFill>
            <w14:solidFill>
              <w14:schemeClr w14:val="tx1"/>
            </w14:solidFill>
          </w14:textFill>
        </w:rPr>
        <w:t>址：贺州市钟山县滨江路2号</w:t>
      </w:r>
    </w:p>
    <w:p>
      <w:pPr>
        <w:pStyle w:val="18"/>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hAnsi="宋体" w:cs="宋体"/>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联系方式：廖</w:t>
      </w:r>
      <w:r>
        <w:rPr>
          <w:rFonts w:hint="eastAsia" w:hAnsi="宋体" w:cs="宋体"/>
          <w:color w:val="000000" w:themeColor="text1"/>
          <w:sz w:val="21"/>
          <w14:textFill>
            <w14:solidFill>
              <w14:schemeClr w14:val="tx1"/>
            </w14:solidFill>
          </w14:textFill>
        </w:rPr>
        <w:t>工，</w:t>
      </w:r>
      <w:r>
        <w:rPr>
          <w:rFonts w:hAnsi="宋体" w:cs="宋体"/>
          <w:color w:val="000000" w:themeColor="text1"/>
          <w:sz w:val="21"/>
          <w14:textFill>
            <w14:solidFill>
              <w14:schemeClr w14:val="tx1"/>
            </w14:solidFill>
          </w14:textFill>
        </w:rPr>
        <w:t>0774-8828720</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3.监督部门：钟山县政府采购监督管理办公室</w:t>
      </w:r>
    </w:p>
    <w:p>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r>
        <w:rPr>
          <w:rFonts w:ascii="宋体" w:hAnsi="宋体"/>
          <w:color w:val="000000" w:themeColor="text1"/>
          <w:szCs w:val="21"/>
          <w14:textFill>
            <w14:solidFill>
              <w14:schemeClr w14:val="tx1"/>
            </w14:solidFill>
          </w14:textFill>
        </w:rPr>
        <w:t>0774-8989660</w:t>
      </w:r>
    </w:p>
    <w:p>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textAlignment w:val="auto"/>
        <w:rPr>
          <w:rFonts w:ascii="宋体" w:hAnsi="宋体"/>
          <w:color w:val="000000" w:themeColor="text1"/>
          <w:szCs w:val="21"/>
          <w14:textFill>
            <w14:solidFill>
              <w14:schemeClr w14:val="tx1"/>
            </w14:solidFill>
          </w14:textFill>
        </w:rPr>
      </w:pPr>
    </w:p>
    <w:p>
      <w:pPr>
        <w:pStyle w:val="18"/>
        <w:keepNext w:val="0"/>
        <w:keepLines w:val="0"/>
        <w:pageBreakBefore w:val="0"/>
        <w:widowControl w:val="0"/>
        <w:kinsoku/>
        <w:wordWrap/>
        <w:overflowPunct/>
        <w:topLinePunct w:val="0"/>
        <w:autoSpaceDE/>
        <w:autoSpaceDN/>
        <w:bidi w:val="0"/>
        <w:adjustRightInd/>
        <w:spacing w:line="400" w:lineRule="exact"/>
        <w:ind w:firstLine="6195" w:firstLineChars="2950"/>
        <w:textAlignment w:val="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中鼎誉润工程咨询有限公司</w:t>
      </w:r>
    </w:p>
    <w:p>
      <w:pPr>
        <w:pStyle w:val="18"/>
        <w:keepNext w:val="0"/>
        <w:keepLines w:val="0"/>
        <w:pageBreakBefore w:val="0"/>
        <w:widowControl w:val="0"/>
        <w:kinsoku/>
        <w:wordWrap/>
        <w:overflowPunct/>
        <w:topLinePunct w:val="0"/>
        <w:autoSpaceDE/>
        <w:autoSpaceDN/>
        <w:bidi w:val="0"/>
        <w:adjustRightInd/>
        <w:spacing w:line="400" w:lineRule="exact"/>
        <w:ind w:firstLine="6615" w:firstLineChars="3150"/>
        <w:textAlignment w:val="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2020年</w:t>
      </w:r>
      <w:r>
        <w:rPr>
          <w:rFonts w:hint="eastAsia" w:hAnsi="宋体" w:cs="宋体"/>
          <w:color w:val="000000" w:themeColor="text1"/>
          <w:sz w:val="21"/>
          <w:lang w:val="en-US" w:eastAsia="zh-CN"/>
          <w14:textFill>
            <w14:solidFill>
              <w14:schemeClr w14:val="tx1"/>
            </w14:solidFill>
          </w14:textFill>
        </w:rPr>
        <w:t>12</w:t>
      </w:r>
      <w:r>
        <w:rPr>
          <w:rFonts w:hint="eastAsia" w:hAnsi="宋体" w:cs="宋体"/>
          <w:color w:val="000000" w:themeColor="text1"/>
          <w:sz w:val="21"/>
          <w14:textFill>
            <w14:solidFill>
              <w14:schemeClr w14:val="tx1"/>
            </w14:solidFill>
          </w14:textFill>
        </w:rPr>
        <w:t>月</w:t>
      </w:r>
      <w:r>
        <w:rPr>
          <w:rFonts w:hint="eastAsia" w:hAnsi="宋体" w:cs="宋体"/>
          <w:color w:val="000000" w:themeColor="text1"/>
          <w:sz w:val="21"/>
          <w:lang w:val="en-US" w:eastAsia="zh-CN"/>
          <w14:textFill>
            <w14:solidFill>
              <w14:schemeClr w14:val="tx1"/>
            </w14:solidFill>
          </w14:textFill>
        </w:rPr>
        <w:t>7</w:t>
      </w:r>
      <w:r>
        <w:rPr>
          <w:rFonts w:hint="eastAsia" w:hAnsi="宋体" w:cs="宋体"/>
          <w:color w:val="000000" w:themeColor="text1"/>
          <w:sz w:val="21"/>
          <w14:textFill>
            <w14:solidFill>
              <w14:schemeClr w14:val="tx1"/>
            </w14:solidFill>
          </w14:textFill>
        </w:rPr>
        <w:t>日</w:t>
      </w:r>
    </w:p>
    <w:p>
      <w:pPr>
        <w:pStyle w:val="64"/>
        <w:ind w:firstLine="240"/>
        <w:rPr>
          <w:rFonts w:ascii="宋体" w:hAnsi="宋体"/>
          <w:color w:val="000000" w:themeColor="text1"/>
          <w:lang w:eastAsia="zh-CN"/>
          <w14:textFill>
            <w14:solidFill>
              <w14:schemeClr w14:val="tx1"/>
            </w14:solidFill>
          </w14:textFill>
        </w:rPr>
      </w:pPr>
    </w:p>
    <w:p>
      <w:pPr>
        <w:spacing w:line="440" w:lineRule="exact"/>
        <w:jc w:val="center"/>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br w:type="page"/>
      </w:r>
    </w:p>
    <w:p>
      <w:pPr>
        <w:pStyle w:val="4"/>
        <w:keepNext w:val="0"/>
        <w:keepLines w:val="0"/>
        <w:numPr>
          <w:ilvl w:val="0"/>
          <w:numId w:val="0"/>
        </w:numPr>
        <w:spacing w:line="500" w:lineRule="exact"/>
        <w:jc w:val="center"/>
        <w:rPr>
          <w:rFonts w:ascii="宋体" w:hAnsi="宋体"/>
          <w:color w:val="000000" w:themeColor="text1"/>
          <w:szCs w:val="44"/>
          <w14:textFill>
            <w14:solidFill>
              <w14:schemeClr w14:val="tx1"/>
            </w14:solidFill>
          </w14:textFill>
        </w:rPr>
      </w:pPr>
      <w:bookmarkStart w:id="31" w:name="_Toc504988677"/>
      <w:r>
        <w:rPr>
          <w:rFonts w:hint="eastAsia" w:ascii="宋体" w:hAnsi="宋体"/>
          <w:color w:val="000000" w:themeColor="text1"/>
          <w:szCs w:val="44"/>
          <w14:textFill>
            <w14:solidFill>
              <w14:schemeClr w14:val="tx1"/>
            </w14:solidFill>
          </w14:textFill>
        </w:rPr>
        <w:t>第二章 供应商须知</w:t>
      </w:r>
      <w:bookmarkEnd w:id="31"/>
    </w:p>
    <w:p>
      <w:pPr>
        <w:spacing w:after="156" w:afterLines="50" w:line="400" w:lineRule="exact"/>
        <w:jc w:val="center"/>
        <w:rPr>
          <w:rFonts w:ascii="宋体" w:hAnsi="宋体"/>
          <w:b/>
          <w:color w:val="000000" w:themeColor="text1"/>
          <w:sz w:val="28"/>
          <w:szCs w:val="32"/>
          <w14:textFill>
            <w14:solidFill>
              <w14:schemeClr w14:val="tx1"/>
            </w14:solidFill>
          </w14:textFill>
        </w:rPr>
      </w:pPr>
      <w:r>
        <w:rPr>
          <w:rFonts w:hint="eastAsia" w:ascii="宋体" w:hAnsi="宋体"/>
          <w:b/>
          <w:color w:val="000000" w:themeColor="text1"/>
          <w:sz w:val="28"/>
          <w:szCs w:val="32"/>
          <w14:textFill>
            <w14:solidFill>
              <w14:schemeClr w14:val="tx1"/>
            </w14:solidFill>
          </w14:textFill>
        </w:rPr>
        <w:t>供应商须知前附表</w:t>
      </w:r>
    </w:p>
    <w:tbl>
      <w:tblPr>
        <w:tblStyle w:val="27"/>
        <w:tblW w:w="97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1"/>
        <w:gridCol w:w="7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817" w:type="dxa"/>
            <w:shd w:val="clear" w:color="auto" w:fill="D9D9D9"/>
            <w:vAlign w:val="center"/>
          </w:tcPr>
          <w:p>
            <w:pPr>
              <w:spacing w:line="36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序号</w:t>
            </w:r>
          </w:p>
        </w:tc>
        <w:tc>
          <w:tcPr>
            <w:tcW w:w="1271" w:type="dxa"/>
            <w:shd w:val="clear" w:color="auto" w:fill="D9D9D9"/>
            <w:vAlign w:val="center"/>
          </w:tcPr>
          <w:p>
            <w:pPr>
              <w:spacing w:line="36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条款号</w:t>
            </w:r>
          </w:p>
        </w:tc>
        <w:tc>
          <w:tcPr>
            <w:tcW w:w="7679" w:type="dxa"/>
            <w:shd w:val="clear" w:color="auto" w:fill="D9D9D9"/>
            <w:vAlign w:val="center"/>
          </w:tcPr>
          <w:p>
            <w:pPr>
              <w:spacing w:line="36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1271"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w:t>
            </w:r>
          </w:p>
        </w:tc>
        <w:tc>
          <w:tcPr>
            <w:tcW w:w="7679" w:type="dxa"/>
            <w:vAlign w:val="center"/>
          </w:tcPr>
          <w:p>
            <w:pPr>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项目名称：钟山县同古镇农村乱占耕地建房问题摸排服务项目</w:t>
            </w:r>
          </w:p>
          <w:p>
            <w:pPr>
              <w:spacing w:line="360" w:lineRule="exact"/>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项目编号：</w:t>
            </w:r>
            <w:r>
              <w:rPr>
                <w:rFonts w:hint="eastAsia" w:asciiTheme="minorEastAsia" w:hAnsiTheme="minorEastAsia" w:eastAsiaTheme="minorEastAsia"/>
                <w:color w:val="000000" w:themeColor="text1"/>
                <w:szCs w:val="21"/>
                <w:lang w:eastAsia="zh-CN"/>
                <w14:textFill>
                  <w14:solidFill>
                    <w14:schemeClr w14:val="tx1"/>
                  </w14:solidFill>
                </w14:textFill>
              </w:rPr>
              <w:t>HZZC2020-C3-220233-ZDYR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1271"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c>
          <w:tcPr>
            <w:tcW w:w="7679" w:type="dxa"/>
            <w:vAlign w:val="center"/>
          </w:tcPr>
          <w:p>
            <w:pPr>
              <w:spacing w:line="36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供应商的基本条件：</w:t>
            </w:r>
          </w:p>
          <w:p>
            <w:pPr>
              <w:spacing w:line="36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1.满足《中华人民共和国政府采购法》第二十二条规定；</w:t>
            </w:r>
          </w:p>
          <w:p>
            <w:pPr>
              <w:spacing w:line="36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2.国内注册（指按国家有关规定要求注册的），满足本次采购服务的供应商；</w:t>
            </w:r>
          </w:p>
          <w:p>
            <w:pPr>
              <w:spacing w:line="36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3.供应商须具备具备有效的测绘乙级或以上资质；</w:t>
            </w:r>
          </w:p>
          <w:p>
            <w:pPr>
              <w:spacing w:line="36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4.参加采购活动前3年内，在经营活动中没有重大违法记录（提供书面声明）；</w:t>
            </w:r>
          </w:p>
          <w:p>
            <w:pPr>
              <w:spacing w:line="36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c>
          <w:tcPr>
            <w:tcW w:w="1271"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w:t>
            </w:r>
          </w:p>
        </w:tc>
        <w:tc>
          <w:tcPr>
            <w:tcW w:w="7679" w:type="dxa"/>
            <w:vAlign w:val="center"/>
          </w:tcPr>
          <w:p>
            <w:pPr>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磋商有效期：自磋商截止之日起60日内。</w:t>
            </w:r>
          </w:p>
          <w:p>
            <w:pPr>
              <w:pStyle w:val="12"/>
              <w:widowControl w:val="0"/>
              <w:tabs>
                <w:tab w:val="clear" w:pos="454"/>
              </w:tabs>
              <w:snapToGrid w:val="0"/>
              <w:spacing w:afterLines="0" w:line="360" w:lineRule="exact"/>
              <w:ind w:left="0" w:firstLine="0"/>
              <w:rPr>
                <w:rFonts w:asciiTheme="minorEastAsia" w:hAnsiTheme="minorEastAsia" w:eastAsiaTheme="minorEastAsia"/>
                <w:color w:val="000000" w:themeColor="text1"/>
                <w:sz w:val="21"/>
                <w:szCs w:val="21"/>
                <w14:textFill>
                  <w14:solidFill>
                    <w14:schemeClr w14:val="tx1"/>
                  </w14:solidFill>
                </w14:textFill>
              </w:rPr>
            </w:pPr>
            <w:bookmarkStart w:id="32" w:name="_Toc254970681"/>
            <w:bookmarkStart w:id="33" w:name="_Toc254970540"/>
            <w:r>
              <w:rPr>
                <w:rFonts w:hint="eastAsia" w:asciiTheme="minorEastAsia" w:hAnsiTheme="minorEastAsia" w:eastAsiaTheme="minorEastAsia"/>
                <w:color w:val="000000" w:themeColor="text1"/>
                <w:sz w:val="21"/>
                <w:szCs w:val="21"/>
                <w14:textFill>
                  <w14:solidFill>
                    <w14:schemeClr w14:val="tx1"/>
                  </w14:solidFill>
                </w14:textFill>
              </w:rPr>
              <w:t>1.未成交的响应文件磋商有效期内均应保持有效。</w:t>
            </w:r>
            <w:bookmarkEnd w:id="32"/>
            <w:bookmarkEnd w:id="33"/>
          </w:p>
          <w:p>
            <w:pPr>
              <w:pStyle w:val="12"/>
              <w:widowControl w:val="0"/>
              <w:tabs>
                <w:tab w:val="clear" w:pos="454"/>
              </w:tabs>
              <w:snapToGrid w:val="0"/>
              <w:spacing w:afterLines="0" w:line="360" w:lineRule="exact"/>
              <w:ind w:left="0" w:firstLine="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r>
              <w:rPr>
                <w:rFonts w:hint="eastAsia" w:asciiTheme="minorEastAsia" w:hAnsiTheme="minorEastAsia" w:eastAsiaTheme="minorEastAsia"/>
                <w:color w:val="000000" w:themeColor="text1"/>
                <w:spacing w:val="-10"/>
                <w:sz w:val="21"/>
                <w:szCs w:val="21"/>
                <w14:textFill>
                  <w14:solidFill>
                    <w14:schemeClr w14:val="tx1"/>
                  </w14:solidFill>
                </w14:textFill>
              </w:rPr>
              <w:t>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1271"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w:t>
            </w:r>
          </w:p>
        </w:tc>
        <w:tc>
          <w:tcPr>
            <w:tcW w:w="7679" w:type="dxa"/>
            <w:vAlign w:val="center"/>
          </w:tcPr>
          <w:p>
            <w:pPr>
              <w:spacing w:line="36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磋商保证金（人民币）：伍仟元整（￥5000.00），须足额交纳。</w:t>
            </w:r>
          </w:p>
          <w:p>
            <w:pPr>
              <w:spacing w:line="36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磋商保证金有效期：响应文件递交截止时间之日起60天。</w:t>
            </w:r>
          </w:p>
          <w:p>
            <w:pPr>
              <w:pStyle w:val="13"/>
              <w:spacing w:line="360" w:lineRule="exact"/>
              <w:ind w:firstLine="0"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磋商供应商应于响应文件递交截止时间前将磋商保证金以支票、汇票、本票、电汇或网上支付、银行转账或者金融机构、担保机构出具的保函等非现金形式提交。采用保函方式的，必须为无条件保函，保函有效期不得低于竞标有效期，否则视为无效竞标；采用电汇或网上支付、银行转账的，必须从磋商供应商的基本账户转账或电汇到以下指定的磋商保证金账户，否则视为无效竞标；采用支票、汇票、本票方式提交的，交款人必须是磋商供应商，否则视为无效竞标。</w:t>
            </w:r>
          </w:p>
          <w:p>
            <w:pPr>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账户名：中鼎誉润工程咨询有限公司贺州分公司</w:t>
            </w:r>
          </w:p>
          <w:p>
            <w:pPr>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账  号：660400051546500010</w:t>
            </w:r>
          </w:p>
          <w:p>
            <w:pPr>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开户行：桂林银行贺州分行</w:t>
            </w:r>
          </w:p>
          <w:p>
            <w:pPr>
              <w:pStyle w:val="2"/>
              <w:spacing w:line="360" w:lineRule="exact"/>
              <w:rPr>
                <w:rFonts w:asciiTheme="minorEastAsia" w:hAnsiTheme="minorEastAsia" w:eastAsiaTheme="minorEastAsia"/>
                <w:color w:val="000000" w:themeColor="text1"/>
                <w:sz w:val="21"/>
                <w:szCs w:val="21"/>
                <w14:textFill>
                  <w14:solidFill>
                    <w14:schemeClr w14:val="tx1"/>
                  </w14:solidFill>
                </w14:textFill>
              </w:rPr>
            </w:pPr>
          </w:p>
          <w:p>
            <w:pPr>
              <w:pStyle w:val="13"/>
              <w:spacing w:line="360" w:lineRule="exact"/>
              <w:ind w:firstLine="0" w:firstLineChars="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备注：</w:t>
            </w:r>
          </w:p>
          <w:p>
            <w:pPr>
              <w:pStyle w:val="13"/>
              <w:spacing w:line="360" w:lineRule="exact"/>
              <w:ind w:firstLine="0" w:firstLineChars="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1.对受疫情影响的中小微企业（在提供真实可信证明材料的前提下），可以免收其磋商保证金；</w:t>
            </w:r>
          </w:p>
          <w:p>
            <w:pPr>
              <w:pStyle w:val="13"/>
              <w:spacing w:line="360" w:lineRule="exact"/>
              <w:ind w:firstLine="0" w:firstLineChars="0"/>
              <w:rPr>
                <w:rFonts w:asciiTheme="minorEastAsia" w:hAnsiTheme="minorEastAsia" w:eastAsiaTheme="minorEastAsia"/>
                <w:b/>
                <w:bCs/>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2</w:t>
            </w:r>
            <w:r>
              <w:rPr>
                <w:rFonts w:hint="eastAsia" w:asciiTheme="minorEastAsia" w:hAnsiTheme="minorEastAsia" w:eastAsiaTheme="minorEastAsia"/>
                <w:b/>
                <w:color w:val="000000" w:themeColor="text1"/>
                <w:szCs w:val="21"/>
                <w14:textFill>
                  <w14:solidFill>
                    <w14:schemeClr w14:val="tx1"/>
                  </w14:solidFill>
                </w14:textFill>
              </w:rPr>
              <w:t>.办理磋商保证金手续时，需在交纳凭据上注明项目编号</w:t>
            </w:r>
            <w:r>
              <w:rPr>
                <w:rFonts w:hint="eastAsia" w:asciiTheme="minorEastAsia" w:hAnsiTheme="minorEastAsia" w:eastAsiaTheme="minorEastAsia"/>
                <w:b/>
                <w:bCs/>
                <w:color w:val="000000" w:themeColor="text1"/>
                <w:szCs w:val="21"/>
                <w14:textFill>
                  <w14:solidFill>
                    <w14:schemeClr w14:val="tx1"/>
                  </w14:solidFill>
                </w14:textFill>
              </w:rPr>
              <w:t>，以免耽误竞标；</w:t>
            </w:r>
          </w:p>
          <w:p>
            <w:pPr>
              <w:spacing w:line="360" w:lineRule="exact"/>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3</w:t>
            </w:r>
            <w:r>
              <w:rPr>
                <w:rFonts w:hint="eastAsia" w:asciiTheme="minorEastAsia" w:hAnsiTheme="minorEastAsia" w:eastAsiaTheme="minorEastAsia"/>
                <w:b/>
                <w:color w:val="000000" w:themeColor="text1"/>
                <w:szCs w:val="21"/>
                <w14:textFill>
                  <w14:solidFill>
                    <w14:schemeClr w14:val="tx1"/>
                  </w14:solidFill>
                </w14:textFill>
              </w:rPr>
              <w:t>.采用银行转账、电汇方式形式提交磋商保证金的，须在采购代理机构财务处开具磋商保证金资金到户收据，并将资金到户收据复印件加盖磋商供应商单位公章装入响应文件中；</w:t>
            </w:r>
          </w:p>
          <w:p>
            <w:pPr>
              <w:spacing w:line="360" w:lineRule="exact"/>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4</w:t>
            </w:r>
            <w:r>
              <w:rPr>
                <w:rFonts w:hint="eastAsia" w:asciiTheme="minorEastAsia" w:hAnsiTheme="minorEastAsia" w:eastAsiaTheme="minorEastAsia"/>
                <w:b/>
                <w:color w:val="000000" w:themeColor="text1"/>
                <w:szCs w:val="21"/>
                <w14:textFill>
                  <w14:solidFill>
                    <w14:schemeClr w14:val="tx1"/>
                  </w14:solidFill>
                </w14:textFill>
              </w:rPr>
              <w:t>.凡未在规定时间内提交或以其它方式递交的磋商保证金均视为无效竞标。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w:t>
            </w:r>
          </w:p>
        </w:tc>
        <w:tc>
          <w:tcPr>
            <w:tcW w:w="1271"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14.1</w:t>
            </w:r>
          </w:p>
        </w:tc>
        <w:tc>
          <w:tcPr>
            <w:tcW w:w="7679" w:type="dxa"/>
            <w:vAlign w:val="center"/>
          </w:tcPr>
          <w:p>
            <w:pPr>
              <w:tabs>
                <w:tab w:val="left" w:pos="525"/>
              </w:tabs>
              <w:snapToGrid w:val="0"/>
              <w:spacing w:line="36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磋商报价：供应商必须就所磋商项目的全部内容作完整唯一报价，漏项报价的或有选择的或有条件的报价，其磋商将视为无效。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w:t>
            </w:r>
          </w:p>
        </w:tc>
        <w:tc>
          <w:tcPr>
            <w:tcW w:w="1271"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15.1.1</w:t>
            </w:r>
          </w:p>
        </w:tc>
        <w:tc>
          <w:tcPr>
            <w:tcW w:w="7679" w:type="dxa"/>
            <w:vAlign w:val="center"/>
          </w:tcPr>
          <w:p>
            <w:pPr>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响应文件份数：正本一份、副本三份。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w:t>
            </w:r>
          </w:p>
        </w:tc>
        <w:tc>
          <w:tcPr>
            <w:tcW w:w="1271"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15.2.2</w:t>
            </w:r>
          </w:p>
        </w:tc>
        <w:tc>
          <w:tcPr>
            <w:tcW w:w="7679" w:type="dxa"/>
            <w:vAlign w:val="center"/>
          </w:tcPr>
          <w:p>
            <w:pPr>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响应文件递交截止时间：</w:t>
            </w:r>
            <w:r>
              <w:rPr>
                <w:rFonts w:hint="eastAsia" w:ascii="宋体" w:hAnsi="宋体" w:cs="宋体"/>
                <w:color w:val="000000" w:themeColor="text1"/>
                <w:szCs w:val="21"/>
                <w:u w:val="single"/>
                <w14:textFill>
                  <w14:solidFill>
                    <w14:schemeClr w14:val="tx1"/>
                  </w14:solidFill>
                </w14:textFill>
              </w:rPr>
              <w:t>2020年</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18</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时</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w:t>
            </w:r>
            <w:r>
              <w:rPr>
                <w:rFonts w:hint="eastAsia" w:asciiTheme="minorEastAsia" w:hAnsiTheme="minorEastAsia" w:eastAsiaTheme="minorEastAsia"/>
                <w:color w:val="000000" w:themeColor="text1"/>
                <w:szCs w:val="21"/>
                <w14:textFill>
                  <w14:solidFill>
                    <w14:schemeClr w14:val="tx1"/>
                  </w14:solidFill>
                </w14:textFill>
              </w:rPr>
              <w:t>，供应商应按竞争性磋商文件中规定的响应截止时间前递交响应文件。</w:t>
            </w:r>
          </w:p>
          <w:p>
            <w:pPr>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响应文件递交地点：</w:t>
            </w:r>
            <w:r>
              <w:rPr>
                <w:rFonts w:hint="eastAsia" w:asciiTheme="minorEastAsia" w:hAnsiTheme="minorEastAsia" w:eastAsiaTheme="minorEastAsia"/>
                <w:b/>
                <w:color w:val="000000" w:themeColor="text1"/>
                <w:szCs w:val="21"/>
                <w:u w:val="single"/>
                <w14:textFill>
                  <w14:solidFill>
                    <w14:schemeClr w14:val="tx1"/>
                  </w14:solidFill>
                </w14:textFill>
              </w:rPr>
              <w:t>广西钟山县兴钟中路14号政务中心三楼会议大厅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w:t>
            </w:r>
          </w:p>
        </w:tc>
        <w:tc>
          <w:tcPr>
            <w:tcW w:w="1271"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19.4.1</w:t>
            </w:r>
          </w:p>
        </w:tc>
        <w:tc>
          <w:tcPr>
            <w:tcW w:w="7679" w:type="dxa"/>
            <w:vAlign w:val="center"/>
          </w:tcPr>
          <w:p>
            <w:pPr>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磋商时间：</w:t>
            </w:r>
            <w:r>
              <w:rPr>
                <w:rFonts w:hint="eastAsia" w:ascii="宋体" w:hAnsi="宋体" w:cs="宋体"/>
                <w:color w:val="000000" w:themeColor="text1"/>
                <w:szCs w:val="21"/>
                <w:u w:val="single"/>
                <w14:textFill>
                  <w14:solidFill>
                    <w14:schemeClr w14:val="tx1"/>
                  </w14:solidFill>
                </w14:textFill>
              </w:rPr>
              <w:t>2020年</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18</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时</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w:t>
            </w:r>
            <w:r>
              <w:rPr>
                <w:rFonts w:hint="eastAsia" w:asciiTheme="minorEastAsia" w:hAnsiTheme="minorEastAsia" w:eastAsiaTheme="minorEastAsia"/>
                <w:color w:val="000000" w:themeColor="text1"/>
                <w:szCs w:val="21"/>
                <w14:textFill>
                  <w14:solidFill>
                    <w14:schemeClr w14:val="tx1"/>
                  </w14:solidFill>
                </w14:textFill>
              </w:rPr>
              <w:t>截标后（具体时间由本公司工作人员另行通知）</w:t>
            </w:r>
          </w:p>
          <w:p>
            <w:pPr>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磋商地点：</w:t>
            </w:r>
            <w:r>
              <w:rPr>
                <w:rFonts w:hint="eastAsia" w:asciiTheme="minorEastAsia" w:hAnsiTheme="minorEastAsia" w:eastAsiaTheme="minorEastAsia"/>
                <w:color w:val="000000" w:themeColor="text1"/>
                <w:szCs w:val="21"/>
                <w:u w:val="single"/>
                <w14:textFill>
                  <w14:solidFill>
                    <w14:schemeClr w14:val="tx1"/>
                  </w14:solidFill>
                </w14:textFill>
              </w:rPr>
              <w:t>广西钟山县兴钟中路14号政务中心三楼会议大厅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9</w:t>
            </w:r>
          </w:p>
        </w:tc>
        <w:tc>
          <w:tcPr>
            <w:tcW w:w="1271"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27.1</w:t>
            </w:r>
          </w:p>
        </w:tc>
        <w:tc>
          <w:tcPr>
            <w:tcW w:w="7679" w:type="dxa"/>
            <w:vAlign w:val="center"/>
          </w:tcPr>
          <w:p>
            <w:pPr>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履约保证金：无。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r>
              <w:rPr>
                <w:rFonts w:asciiTheme="minorEastAsia" w:hAnsiTheme="minorEastAsia" w:eastAsiaTheme="minorEastAsia"/>
                <w:color w:val="000000" w:themeColor="text1"/>
                <w:szCs w:val="21"/>
                <w14:textFill>
                  <w14:solidFill>
                    <w14:schemeClr w14:val="tx1"/>
                  </w14:solidFill>
                </w14:textFill>
              </w:rPr>
              <w:t>0</w:t>
            </w:r>
          </w:p>
        </w:tc>
        <w:tc>
          <w:tcPr>
            <w:tcW w:w="1271"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p>
        </w:tc>
        <w:tc>
          <w:tcPr>
            <w:tcW w:w="7679" w:type="dxa"/>
            <w:vAlign w:val="center"/>
          </w:tcPr>
          <w:p>
            <w:pPr>
              <w:autoSpaceDE w:val="0"/>
              <w:autoSpaceDN w:val="0"/>
              <w:snapToGrid w:val="0"/>
              <w:spacing w:line="360" w:lineRule="exact"/>
              <w:textAlignment w:val="bottom"/>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评标方法：</w:t>
            </w:r>
            <w:r>
              <w:rPr>
                <w:rFonts w:hint="eastAsia" w:asciiTheme="minorEastAsia" w:hAnsiTheme="minorEastAsia" w:eastAsiaTheme="minorEastAsia"/>
                <w:color w:val="000000" w:themeColor="text1"/>
                <w:szCs w:val="21"/>
                <w14:textFill>
                  <w14:solidFill>
                    <w14:schemeClr w14:val="tx1"/>
                  </w14:solidFill>
                </w14:textFill>
              </w:rPr>
              <w:t>综合评分法（详见《第四章 评审办法及评分标准》）。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r>
              <w:rPr>
                <w:rFonts w:asciiTheme="minorEastAsia" w:hAnsiTheme="minorEastAsia" w:eastAsiaTheme="minorEastAsia"/>
                <w:color w:val="000000" w:themeColor="text1"/>
                <w:szCs w:val="21"/>
                <w14:textFill>
                  <w14:solidFill>
                    <w14:schemeClr w14:val="tx1"/>
                  </w14:solidFill>
                </w14:textFill>
              </w:rPr>
              <w:t>1</w:t>
            </w:r>
          </w:p>
        </w:tc>
        <w:tc>
          <w:tcPr>
            <w:tcW w:w="1271"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p>
        </w:tc>
        <w:tc>
          <w:tcPr>
            <w:tcW w:w="7679" w:type="dxa"/>
            <w:vAlign w:val="center"/>
          </w:tcPr>
          <w:p>
            <w:pPr>
              <w:autoSpaceDE w:val="0"/>
              <w:autoSpaceDN w:val="0"/>
              <w:snapToGrid w:val="0"/>
              <w:spacing w:line="360" w:lineRule="exact"/>
              <w:textAlignment w:val="bottom"/>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采购预算金额（人民币）：</w:t>
            </w:r>
            <w:r>
              <w:rPr>
                <w:rFonts w:hint="eastAsia" w:cs="宋体" w:asciiTheme="minorEastAsia" w:hAnsiTheme="minorEastAsia" w:eastAsiaTheme="minorEastAsia"/>
                <w:color w:val="000000" w:themeColor="text1"/>
                <w:szCs w:val="21"/>
                <w14:textFill>
                  <w14:solidFill>
                    <w14:schemeClr w14:val="tx1"/>
                  </w14:solidFill>
                </w14:textFill>
              </w:rPr>
              <w:t>叁拾叁万柒仟贰佰贰拾元整（￥337220.00）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r>
              <w:rPr>
                <w:rFonts w:asciiTheme="minorEastAsia" w:hAnsiTheme="minorEastAsia" w:eastAsiaTheme="minorEastAsia"/>
                <w:color w:val="000000" w:themeColor="text1"/>
                <w:szCs w:val="21"/>
                <w14:textFill>
                  <w14:solidFill>
                    <w14:schemeClr w14:val="tx1"/>
                  </w14:solidFill>
                </w14:textFill>
              </w:rPr>
              <w:t>2</w:t>
            </w:r>
          </w:p>
        </w:tc>
        <w:tc>
          <w:tcPr>
            <w:tcW w:w="1271"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p>
        </w:tc>
        <w:tc>
          <w:tcPr>
            <w:tcW w:w="7679" w:type="dxa"/>
            <w:vAlign w:val="center"/>
          </w:tcPr>
          <w:p>
            <w:pPr>
              <w:autoSpaceDE w:val="0"/>
              <w:autoSpaceDN w:val="0"/>
              <w:snapToGrid w:val="0"/>
              <w:spacing w:line="360" w:lineRule="exact"/>
              <w:textAlignment w:val="bottom"/>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信用查询：</w:t>
            </w:r>
          </w:p>
          <w:p>
            <w:pPr>
              <w:autoSpaceDE w:val="0"/>
              <w:autoSpaceDN w:val="0"/>
              <w:snapToGrid w:val="0"/>
              <w:spacing w:line="360" w:lineRule="exact"/>
              <w:textAlignment w:val="bottom"/>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在对供应商资格审查时进行信用查询</w:t>
            </w:r>
          </w:p>
          <w:p>
            <w:pPr>
              <w:autoSpaceDE w:val="0"/>
              <w:autoSpaceDN w:val="0"/>
              <w:snapToGrid w:val="0"/>
              <w:spacing w:line="360" w:lineRule="exact"/>
              <w:textAlignment w:val="bottom"/>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查询渠道: “信用中国”网站(www.creditchina.gov.cn) 、中国政府采购网(www.ccgp.gov.cn)</w:t>
            </w:r>
          </w:p>
          <w:p>
            <w:pPr>
              <w:autoSpaceDE w:val="0"/>
              <w:autoSpaceDN w:val="0"/>
              <w:snapToGrid w:val="0"/>
              <w:spacing w:line="360" w:lineRule="exact"/>
              <w:textAlignment w:val="bottom"/>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信用查询时间：资格审查时</w:t>
            </w:r>
          </w:p>
          <w:p>
            <w:pPr>
              <w:autoSpaceDE w:val="0"/>
              <w:autoSpaceDN w:val="0"/>
              <w:snapToGrid w:val="0"/>
              <w:spacing w:line="360" w:lineRule="exact"/>
              <w:textAlignment w:val="bottom"/>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查询记录和证据留存方式:在查询网站中直接打印查询记录，打印材料作为评审资料保存。</w:t>
            </w:r>
          </w:p>
          <w:p>
            <w:pPr>
              <w:autoSpaceDE w:val="0"/>
              <w:autoSpaceDN w:val="0"/>
              <w:snapToGrid w:val="0"/>
              <w:spacing w:line="360" w:lineRule="exact"/>
              <w:textAlignment w:val="bottom"/>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信用信息使用规则:对在“信用中国”网站(www.creditchina.gov.cn) 、中国政府采购网(www.ccgp.gov.cn)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r>
              <w:rPr>
                <w:rFonts w:asciiTheme="minorEastAsia" w:hAnsiTheme="minorEastAsia" w:eastAsiaTheme="minorEastAsia"/>
                <w:color w:val="000000" w:themeColor="text1"/>
                <w:szCs w:val="21"/>
                <w14:textFill>
                  <w14:solidFill>
                    <w14:schemeClr w14:val="tx1"/>
                  </w14:solidFill>
                </w14:textFill>
              </w:rPr>
              <w:t>3</w:t>
            </w:r>
          </w:p>
        </w:tc>
        <w:tc>
          <w:tcPr>
            <w:tcW w:w="1271"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p>
        </w:tc>
        <w:tc>
          <w:tcPr>
            <w:tcW w:w="7679" w:type="dxa"/>
            <w:vAlign w:val="center"/>
          </w:tcPr>
          <w:p>
            <w:pPr>
              <w:autoSpaceDE w:val="0"/>
              <w:autoSpaceDN w:val="0"/>
              <w:snapToGrid w:val="0"/>
              <w:spacing w:line="360" w:lineRule="exact"/>
              <w:textAlignment w:val="bottom"/>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解释权：本竞争性磋商文件的解释权属于采购代理机构。</w:t>
            </w:r>
          </w:p>
        </w:tc>
      </w:tr>
    </w:tbl>
    <w:p>
      <w:pPr>
        <w:rPr>
          <w:color w:val="000000" w:themeColor="text1"/>
          <w14:textFill>
            <w14:solidFill>
              <w14:schemeClr w14:val="tx1"/>
            </w14:solidFill>
          </w14:textFill>
        </w:rPr>
      </w:pPr>
    </w:p>
    <w:p>
      <w:pPr>
        <w:spacing w:line="560" w:lineRule="exact"/>
        <w:jc w:val="center"/>
        <w:rPr>
          <w:rFonts w:ascii="宋体" w:hAnsi="宋体"/>
          <w:b/>
          <w:color w:val="000000" w:themeColor="text1"/>
          <w:sz w:val="28"/>
          <w:szCs w:val="32"/>
          <w14:textFill>
            <w14:solidFill>
              <w14:schemeClr w14:val="tx1"/>
            </w14:solidFill>
          </w14:textFill>
        </w:rPr>
      </w:pPr>
      <w:r>
        <w:rPr>
          <w:rFonts w:ascii="宋体" w:hAnsi="宋体"/>
          <w:b/>
          <w:color w:val="000000" w:themeColor="text1"/>
          <w:sz w:val="28"/>
          <w:szCs w:val="32"/>
          <w14:textFill>
            <w14:solidFill>
              <w14:schemeClr w14:val="tx1"/>
            </w14:solidFill>
          </w14:textFill>
        </w:rPr>
        <w:br w:type="page"/>
      </w:r>
      <w:r>
        <w:rPr>
          <w:rFonts w:hint="eastAsia" w:ascii="宋体" w:hAnsi="宋体"/>
          <w:b/>
          <w:color w:val="000000" w:themeColor="text1"/>
          <w:sz w:val="28"/>
          <w:szCs w:val="32"/>
          <w14:textFill>
            <w14:solidFill>
              <w14:schemeClr w14:val="tx1"/>
            </w14:solidFill>
          </w14:textFill>
        </w:rPr>
        <w:t>供应商须知正文部分</w:t>
      </w:r>
    </w:p>
    <w:p>
      <w:pPr>
        <w:spacing w:before="156" w:beforeLines="50" w:after="156" w:afterLines="50" w:line="420" w:lineRule="exact"/>
        <w:jc w:val="center"/>
        <w:rPr>
          <w:rFonts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一、总则</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 适用范围</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1.1项目名称：钟山县同古镇农村乱占耕地建房问题摸排服务项目</w:t>
      </w:r>
    </w:p>
    <w:p>
      <w:pPr>
        <w:spacing w:line="420" w:lineRule="exact"/>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lang w:eastAsia="zh-CN"/>
          <w14:textFill>
            <w14:solidFill>
              <w14:schemeClr w14:val="tx1"/>
            </w14:solidFill>
          </w14:textFill>
        </w:rPr>
        <w:t>HZZC2020-C3-220233-ZDYR</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本文件仅适用于本文件中所叙述的货物、服务类采购项目。</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 定义</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2.1“采购人”是指：钟山县自然资源局。</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2.2“采购代理机构”是指：中鼎誉润工程咨询有限公司。</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2.3“供应商”是指响应本文件要求，参加磋商的法人或者其他组织。如果该供应商在本次磋商中成交，即成为“成交人”。</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2.4“货物”是指各种形态和种类的物品，包括原材料、燃料、设备、产品等。</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2.5“服务”是指除货物和工程以外的其他采购对象。</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2.6“响应文件”是指</w:t>
      </w:r>
      <w:r>
        <w:rPr>
          <w:rFonts w:hint="eastAsia" w:ascii="宋体" w:hAnsi="宋体"/>
          <w:color w:val="000000" w:themeColor="text1"/>
          <w:spacing w:val="-10"/>
          <w:szCs w:val="21"/>
          <w14:textFill>
            <w14:solidFill>
              <w14:schemeClr w14:val="tx1"/>
            </w14:solidFill>
          </w14:textFill>
        </w:rPr>
        <w:t>：供应商根据本文件要求，编制包含报价、技术和服务等</w:t>
      </w:r>
      <w:r>
        <w:rPr>
          <w:rFonts w:hint="eastAsia" w:ascii="宋体" w:hAnsi="宋体"/>
          <w:color w:val="000000" w:themeColor="text1"/>
          <w:szCs w:val="21"/>
          <w14:textFill>
            <w14:solidFill>
              <w14:schemeClr w14:val="tx1"/>
            </w14:solidFill>
          </w14:textFill>
        </w:rPr>
        <w:t>所有内容的响应文件。</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 供应商的基本条件：</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见“供应商须知前附表”。</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 磋商费用</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供应商应自行承担所有与编写和提交响应文件有关的费用，不论磋商结果如何，采购人和采购代理机构在任何情况下无义务和责任承担此类费用。</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 本项目不接受联合体竞标。</w:t>
      </w:r>
    </w:p>
    <w:p>
      <w:pPr>
        <w:spacing w:before="156" w:beforeLines="50" w:after="156" w:afterLines="50" w:line="420" w:lineRule="exact"/>
        <w:jc w:val="center"/>
        <w:rPr>
          <w:rFonts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二、磋商文件</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 竞争性磋商文件（以下简称磋商文件）的组成</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（1）竞争性磋商公告；</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（2）供应商须知；</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（3）项目采购需求；</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（4）评审办法及评分标准；</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（5）合同主要条款；</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（6）响应文件格式；</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（7）其他资料。</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 现场考察或答疑会</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不组织、不召开。</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8. 磋商文件的澄清与修改</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8.1 供应商应认真阅读磋商文件的采购需求，如发现需求中有误或要求不合理的，供应商必须在提交首次响应文件截止之日5日前，以书面形式向采购人、采购代理机构提出。</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before="156" w:beforeLines="50" w:after="156" w:afterLines="50" w:line="420" w:lineRule="exact"/>
        <w:jc w:val="center"/>
        <w:rPr>
          <w:rFonts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三、响应文件的编制</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9. 响应文件编制基本要求</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9.1供应商对响应文件的编制应按要求装订和封装。</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9.3供应商应认真阅读、并充分理解本文件的全部内容（包括所有的补充、修改内容），承诺并履行本文件中各项条款规定及要求。</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9.4响应文件必须按本文件的全部内容，包括所有的补充通知及附件进行编制。</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9.5如因供应商只填写和提供了本文件要求的部分内容和附件，而给评审造成困难，其可能导致的结果和责任由供应商自行承担。</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9.6响应文件的组成：</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9.6.1 竞争性磋商供应商编写的响应文件应包括下列内容，采用粘连方式装订，不得使用活页装订：</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★（1）磋商函及磋商声明函； </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★（2）磋商报价表；</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★（3）项目服务方案；</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★（4）商务条款偏离表；</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（5）竞争性磋商供应商资格、资信证明文件；</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竞争性磋商供应商认为有必要提供的其它资料</w:t>
      </w:r>
      <w:r>
        <w:rPr>
          <w:rFonts w:hint="eastAsia" w:ascii="宋体" w:hAnsi="宋体"/>
          <w:color w:val="000000" w:themeColor="text1"/>
          <w:szCs w:val="21"/>
          <w14:textFill>
            <w14:solidFill>
              <w14:schemeClr w14:val="tx1"/>
            </w14:solidFill>
          </w14:textFill>
        </w:rPr>
        <w:t>。</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9.6.2竞争性磋商供应商资格、资信证明文件包括：</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★（1）磋商保证金缴纳证明复印件（附基本账户开户许可证或银行开具的《基本存款账户信息》凭证复印件）；</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★（2）有效的营业执照副本复印件；</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★（3）法定代表人身份证复印件；</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）资质证书复印件；</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）法定代表人授权委托书和委托代理人身份证复印件（委托代理时必须提供）；</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）磋商供应商关于政府采购活动中信用信息记录的书面声明；</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磋商供应商竞标截止时间前半年内连续三个月依法缴纳税收的凭证复印件【如税务机关开具的完税证、银行缴税付款凭证或缴款回单等；无纳税记录的，应提供磋商供应商所在地的税务部门出具的《依法纳税或依法免税证明》复印件】；</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 xml:space="preserve">）磋商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 </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）投标人</w:t>
      </w:r>
      <w:r>
        <w:rPr>
          <w:rFonts w:ascii="宋体" w:hAnsi="宋体"/>
          <w:color w:val="000000" w:themeColor="text1"/>
          <w:szCs w:val="21"/>
          <w14:textFill>
            <w14:solidFill>
              <w14:schemeClr w14:val="tx1"/>
            </w14:solidFill>
          </w14:textFill>
        </w:rPr>
        <w:t>2019</w:t>
      </w:r>
      <w:r>
        <w:rPr>
          <w:rFonts w:hint="eastAsia" w:ascii="宋体" w:hAnsi="宋体"/>
          <w:color w:val="000000" w:themeColor="text1"/>
          <w:szCs w:val="21"/>
          <w14:textFill>
            <w14:solidFill>
              <w14:schemeClr w14:val="tx1"/>
            </w14:solidFill>
          </w14:textFill>
        </w:rPr>
        <w:t>年财务状况（提供经会计师事务所或审计机构审计的财务会计报表复印件，如为新建企业按实际发生年限提供）；</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）供应商认为必要提供的声明及文件资料。</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注：1.“9.6响应文件的组成”中</w:t>
      </w:r>
      <w:r>
        <w:rPr>
          <w:rFonts w:hint="eastAsia" w:ascii="宋体" w:hAnsi="宋体"/>
          <w:b/>
          <w:color w:val="000000" w:themeColor="text1"/>
          <w:szCs w:val="21"/>
          <w14:textFill>
            <w14:solidFill>
              <w14:schemeClr w14:val="tx1"/>
            </w14:solidFill>
          </w14:textFill>
        </w:rPr>
        <w:t>编号前标有“★”号的材料均为必须提供的材料，如未提供，响应文件无效；2.</w:t>
      </w:r>
      <w:r>
        <w:rPr>
          <w:rFonts w:hint="eastAsia" w:hAnsi="宋体" w:cs="宋体"/>
          <w:b/>
          <w:bCs/>
          <w:color w:val="000000" w:themeColor="text1"/>
          <w14:textFill>
            <w14:solidFill>
              <w14:schemeClr w14:val="tx1"/>
            </w14:solidFill>
          </w14:textFill>
        </w:rPr>
        <w:t>复印件均须加盖单位公章（扫描公章无效），</w:t>
      </w:r>
      <w:r>
        <w:rPr>
          <w:rFonts w:hint="eastAsia" w:ascii="宋体" w:hAnsi="宋体"/>
          <w:b/>
          <w:color w:val="000000" w:themeColor="text1"/>
          <w:szCs w:val="21"/>
          <w14:textFill>
            <w14:solidFill>
              <w14:schemeClr w14:val="tx1"/>
            </w14:solidFill>
          </w14:textFill>
        </w:rPr>
        <w:t>如未加盖公章的，响应文件无效。</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10. 计量单位</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10.1除技术要求中另有规定外，本文件所要求使用的计量单位均应采用国家法定计量单位。</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11.响应文件有效期</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11.1响应文件有效期按“供应商须知前附表”规定的期限，有效期不足的响应文件按无效处理。</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11.2未成交的响应文件有效期内均应保持有效。</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11.3成交供应商的响应文件自响应文件递交截止之日起至合同履行完毕止均应保持有效。</w:t>
      </w:r>
    </w:p>
    <w:p>
      <w:pPr>
        <w:spacing w:line="420" w:lineRule="exact"/>
        <w:ind w:firstLine="422" w:firstLineChars="2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12.响应文件的书写及签名、盖章要求</w:t>
      </w:r>
    </w:p>
    <w:p>
      <w:pPr>
        <w:spacing w:line="42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12.1供应商应准备正本一份、副本三份，共四份，并在每一份响应文件上明确注明“正本”或“副本”字样，一旦正本和副本报价有差异，以正本为准。副本可以是加盖公章的正本的复印件。</w:t>
      </w:r>
    </w:p>
    <w:p>
      <w:pPr>
        <w:spacing w:line="42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12.2 响应文件必须使用不褪色的墨水书写或打印并装订成册，其中响应文件正本必须逐页加盖单位公章，否则响应文件无效。响应文件不得涂改，若有修改错漏处，修改处由企业法定代表人或授权委托代理人用不褪色的墨水签字和加盖单位公章（扫描公章无效），否则其响应文件无效。</w:t>
      </w:r>
    </w:p>
    <w:p>
      <w:pPr>
        <w:spacing w:line="42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12.3 响应文件企业法定代表人或授权委托代理人应在采购文件规定签名、盖章处逐一用不褪色的墨水签名和加盖单位公章（扫描公章无效），否则响应文件无效。</w:t>
      </w:r>
    </w:p>
    <w:p>
      <w:pPr>
        <w:spacing w:line="42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12.4字迹潦草、表达不清、未按要求填写或可能导致非唯一理解的响应文件可能被认定为无效的竞标。</w:t>
      </w:r>
    </w:p>
    <w:p>
      <w:pPr>
        <w:spacing w:line="42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12.5 电报、电话、传真、邮寄形式的竞标概不接受。</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13.磋商保证金</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13.1供应商必须按“供应商须知前附表”的规定交纳磋商保证金，否则，其响应文件按无效响应处理。</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13.2磋商保证金交纳方式：按“供应商须知前附表”的规定。</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13.3磋商保证金交纳截止时间：按“供应商须知前附表”的规定。</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13.4磋商保证金的退还均以转账形式退回到供应商银行账户。</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13.4.1未成交供应商的磋商保证金在成交通知书发出后五个工作日内以转账方式无息退还</w:t>
      </w:r>
      <w:r>
        <w:rPr>
          <w:rFonts w:hint="eastAsia" w:ascii="宋体" w:hAnsi="宋体"/>
          <w:b/>
          <w:color w:val="000000" w:themeColor="text1"/>
          <w14:textFill>
            <w14:solidFill>
              <w14:schemeClr w14:val="tx1"/>
            </w14:solidFill>
          </w14:textFill>
        </w:rPr>
        <w:t>【提供申请退还保证金的函、采购代理机构开具的磋商保证金资金到户收据原件（如有）、磋商保证金银行转账或电汇底单复印件（如有）】</w:t>
      </w:r>
      <w:r>
        <w:rPr>
          <w:rFonts w:hint="eastAsia" w:ascii="宋体" w:hAnsi="宋体"/>
          <w:color w:val="000000" w:themeColor="text1"/>
          <w:szCs w:val="21"/>
          <w14:textFill>
            <w14:solidFill>
              <w14:schemeClr w14:val="tx1"/>
            </w14:solidFill>
          </w14:textFill>
        </w:rPr>
        <w:t>。</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13.4.2成交供应商的磋商保证金在成交供应商与采购人签订合同后五个工作日内以转账方式无息退还</w:t>
      </w:r>
      <w:r>
        <w:rPr>
          <w:rFonts w:hint="eastAsia" w:ascii="宋体" w:hAnsi="宋体"/>
          <w:b/>
          <w:color w:val="000000" w:themeColor="text1"/>
          <w14:textFill>
            <w14:solidFill>
              <w14:schemeClr w14:val="tx1"/>
            </w14:solidFill>
          </w14:textFill>
        </w:rPr>
        <w:t>【提供申请退还保证金的函、与采购人签订的本项目的合同副本1份、采购代理机构开具的磋商保证金资金到户收据原件（如有）、磋商保证金银行转账或电汇底单复印件（如有）】</w:t>
      </w:r>
      <w:r>
        <w:rPr>
          <w:rFonts w:hint="eastAsia" w:hAnsi="宋体" w:cs="宋体"/>
          <w:b/>
          <w:bCs/>
          <w:color w:val="000000" w:themeColor="text1"/>
          <w14:textFill>
            <w14:solidFill>
              <w14:schemeClr w14:val="tx1"/>
            </w14:solidFill>
          </w14:textFill>
        </w:rPr>
        <w:t>。</w:t>
      </w:r>
    </w:p>
    <w:p>
      <w:pPr>
        <w:widowControl/>
        <w:spacing w:line="42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13.5供应商有下列情形之一的，磋商保证金将不予退还：</w:t>
      </w:r>
    </w:p>
    <w:p>
      <w:pPr>
        <w:widowControl/>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（1）供应商在提交响应文件截止时间后撤回响应文件的；</w:t>
      </w:r>
    </w:p>
    <w:p>
      <w:pPr>
        <w:widowControl/>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（2）供应商在响应文件中提供虚假材料的；</w:t>
      </w:r>
    </w:p>
    <w:p>
      <w:pPr>
        <w:widowControl/>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（3）除因不可抗力或磋商文件认可的情形以外，成交供应商不与采购人签订合同的；</w:t>
      </w:r>
    </w:p>
    <w:p>
      <w:pPr>
        <w:widowControl/>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（4）供应商与采购人、其他供应商或者采购代理机构恶意串通的；</w:t>
      </w:r>
    </w:p>
    <w:p>
      <w:pPr>
        <w:widowControl/>
        <w:spacing w:line="4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（5）磋商文件规定的其他情形。</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14. 磋商报价要求</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14.1供应商必须就所磋商项目的全部内容作完整唯一报价，漏项报价的或有选择的或有条件的报价，其响应文件将视为无效。</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14.2成交供应商负责本项目所需服务的全部工作。</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15.响应文件的份数、封装和递交</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15.1 磋商响应文件的份数和封装</w:t>
      </w:r>
    </w:p>
    <w:p>
      <w:pPr>
        <w:spacing w:line="420" w:lineRule="exact"/>
        <w:ind w:firstLine="42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15.1.1竞争性磋商响应文件正本一份，副本三份，单独装订成册，响应文件的封面应注明“正本”或“副本”字样，一旦正本和副本不符，以正本为准。响应文件的封面上写明项目名称、项目编号、采购代理机构名称、供应商名称、供应商地址等内容。活页装订的响应文件将被拒绝。</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15.1.2供应商应将竞争性磋商</w:t>
      </w:r>
      <w:r>
        <w:rPr>
          <w:rFonts w:hint="eastAsia" w:ascii="宋体" w:hAnsi="宋体"/>
          <w:color w:val="000000" w:themeColor="text1"/>
          <w:szCs w:val="21"/>
          <w14:textFill>
            <w14:solidFill>
              <w14:schemeClr w14:val="tx1"/>
            </w14:solidFill>
          </w14:textFill>
        </w:rPr>
        <w:t>响应文件正、副本（正本一份，副本三份）装入到一个竞争性磋商响应文件袋内，封装并加以密封签章（公章、密封章、法定代表人或其委托代理人签字均可，要求文件袋无明显缝隙露出袋内文件）。</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15.1.3在响应文件的信封上应注明：</w:t>
      </w:r>
    </w:p>
    <w:p>
      <w:pPr>
        <w:adjustRightInd w:val="0"/>
        <w:spacing w:line="420" w:lineRule="exact"/>
        <w:ind w:firstLine="420" w:firstLineChars="200"/>
        <w:textAlignment w:val="baseline"/>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（1）项目名称：</w:t>
      </w:r>
      <w:r>
        <w:rPr>
          <w:rFonts w:hint="eastAsia" w:ascii="宋体" w:hAnsi="宋体"/>
          <w:color w:val="000000" w:themeColor="text1"/>
          <w:szCs w:val="21"/>
          <w:u w:val="single"/>
          <w14:textFill>
            <w14:solidFill>
              <w14:schemeClr w14:val="tx1"/>
            </w14:solidFill>
          </w14:textFill>
        </w:rPr>
        <w:t>钟山县同古镇农村乱占耕地建房问题摸排服务项目</w:t>
      </w:r>
    </w:p>
    <w:p>
      <w:pPr>
        <w:adjustRightInd w:val="0"/>
        <w:spacing w:line="420" w:lineRule="exact"/>
        <w:ind w:firstLine="420" w:firstLineChars="200"/>
        <w:textAlignment w:val="baseline"/>
        <w:rPr>
          <w:rFonts w:hint="eastAsia" w:ascii="宋体" w:hAnsi="宋体" w:eastAsia="宋体" w:cs="Arial"/>
          <w:color w:val="000000" w:themeColor="text1"/>
          <w:kern w:val="0"/>
          <w:szCs w:val="21"/>
          <w:u w:val="single"/>
          <w:lang w:eastAsia="zh-CN"/>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（2）项目编号：</w:t>
      </w:r>
      <w:r>
        <w:rPr>
          <w:rFonts w:hint="eastAsia" w:ascii="宋体" w:hAnsi="宋体" w:cs="Arial"/>
          <w:color w:val="000000" w:themeColor="text1"/>
          <w:kern w:val="0"/>
          <w:szCs w:val="21"/>
          <w:u w:val="single"/>
          <w:lang w:eastAsia="zh-CN"/>
          <w14:textFill>
            <w14:solidFill>
              <w14:schemeClr w14:val="tx1"/>
            </w14:solidFill>
          </w14:textFill>
        </w:rPr>
        <w:t>HZZC2020-C3-220233-ZDYR</w:t>
      </w:r>
    </w:p>
    <w:p>
      <w:pPr>
        <w:adjustRightInd w:val="0"/>
        <w:spacing w:line="420" w:lineRule="exact"/>
        <w:ind w:firstLine="420" w:firstLineChars="200"/>
        <w:textAlignment w:val="baseline"/>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（3）供应商名称：</w:t>
      </w:r>
      <w:r>
        <w:rPr>
          <w:rFonts w:hint="eastAsia" w:ascii="宋体" w:hAnsi="宋体" w:cs="Arial"/>
          <w:color w:val="000000" w:themeColor="text1"/>
          <w:kern w:val="0"/>
          <w:szCs w:val="21"/>
          <w:u w:val="single"/>
          <w14:textFill>
            <w14:solidFill>
              <w14:schemeClr w14:val="tx1"/>
            </w14:solidFill>
          </w14:textFill>
        </w:rPr>
        <w:t xml:space="preserve">                    </w:t>
      </w:r>
    </w:p>
    <w:p>
      <w:pPr>
        <w:adjustRightInd w:val="0"/>
        <w:spacing w:line="420" w:lineRule="exact"/>
        <w:ind w:firstLine="420" w:firstLineChars="200"/>
        <w:textAlignment w:val="baseline"/>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（4）供应商地址：</w:t>
      </w:r>
      <w:r>
        <w:rPr>
          <w:rFonts w:hint="eastAsia" w:ascii="宋体" w:hAnsi="宋体" w:cs="Arial"/>
          <w:color w:val="000000" w:themeColor="text1"/>
          <w:kern w:val="0"/>
          <w:szCs w:val="21"/>
          <w:u w:val="single"/>
          <w14:textFill>
            <w14:solidFill>
              <w14:schemeClr w14:val="tx1"/>
            </w14:solidFill>
          </w14:textFill>
        </w:rPr>
        <w:t xml:space="preserve">                    </w:t>
      </w:r>
    </w:p>
    <w:p>
      <w:pPr>
        <w:adjustRightInd w:val="0"/>
        <w:spacing w:line="420" w:lineRule="exact"/>
        <w:ind w:firstLine="420" w:firstLineChars="200"/>
        <w:textAlignment w:val="baseline"/>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（5）XXXX年XX月XX日XX时XX分开标，此时间以前不得开封。（由磋商供应商填写）</w:t>
      </w:r>
    </w:p>
    <w:p>
      <w:pPr>
        <w:adjustRightInd w:val="0"/>
        <w:spacing w:line="420" w:lineRule="exact"/>
        <w:ind w:firstLine="420" w:firstLineChars="200"/>
        <w:textAlignment w:val="baseline"/>
        <w:rPr>
          <w:rFonts w:ascii="宋体" w:hAnsi="宋体" w:cs="Arial"/>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15.1.4</w:t>
      </w:r>
      <w:r>
        <w:rPr>
          <w:rFonts w:hint="eastAsia" w:ascii="宋体" w:hAnsi="宋体" w:cs="Arial"/>
          <w:color w:val="000000" w:themeColor="text1"/>
          <w:kern w:val="0"/>
          <w:szCs w:val="21"/>
          <w14:textFill>
            <w14:solidFill>
              <w14:schemeClr w14:val="tx1"/>
            </w14:solidFill>
          </w14:textFill>
        </w:rPr>
        <w:t>如果响应文件没有按上述规定密封、装订并加写标志，采购代理机构将拒绝接收其响应文件。已经接收的响应文件并不应视其为密封完整性完全符合采购文件要求。</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 响应文件的递交</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15.2.1响应文件应于竞争性磋商采购文件中规定的时间前递交到指定地点位置。</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15.2.2响应文件递交截止时间及地点：见“供应商须知前附表”。</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15.2.3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15.2.4迟交的响应文件</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按《中华人民共和国政府采购法》的规定，逾期送达的或者未送达指定地点的响应文件，采购代理机构拒绝接收。</w:t>
      </w:r>
    </w:p>
    <w:p>
      <w:pPr>
        <w:pStyle w:val="18"/>
        <w:spacing w:line="420" w:lineRule="exact"/>
        <w:ind w:firstLine="422" w:firstLineChars="200"/>
        <w:outlineLvl w:val="2"/>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16.响应文件的修改及撤回</w:t>
      </w:r>
    </w:p>
    <w:p>
      <w:pPr>
        <w:pStyle w:val="18"/>
        <w:spacing w:line="420" w:lineRule="exact"/>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16.1竞争性磋商供应商在响应文件递交截止时间前，对所递交的响应文件可以进行补充、修改或撤回。竞争性磋商供应商对所递交的补充、修改或撤回需向本代理出具书面通知。补充、修改或撤回的内容为响应文件的组成部分。</w:t>
      </w:r>
    </w:p>
    <w:p>
      <w:pPr>
        <w:pStyle w:val="18"/>
        <w:spacing w:line="420" w:lineRule="exact"/>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16.2响应文件的修改通知须按本须知第15条的规定密封、标记和递交，并在封面上标明“修改”字样。</w:t>
      </w:r>
    </w:p>
    <w:p>
      <w:pPr>
        <w:pStyle w:val="18"/>
        <w:spacing w:line="420" w:lineRule="exact"/>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16.3在响应文件递交截止时间后，竞争性磋商供应商不得对其竞标做任何修改。</w:t>
      </w:r>
    </w:p>
    <w:p>
      <w:pPr>
        <w:pStyle w:val="18"/>
        <w:spacing w:line="420" w:lineRule="exact"/>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16.4在响应文件递交截止时间后的磋商有效期内，竞争性磋商供应商不得撤回其竞标，否则其所撤回分标的磋商保证金将不予以退还。</w:t>
      </w:r>
    </w:p>
    <w:p>
      <w:pPr>
        <w:spacing w:before="156" w:beforeLines="50" w:after="156" w:afterLines="50" w:line="420" w:lineRule="exact"/>
        <w:jc w:val="center"/>
        <w:rPr>
          <w:rFonts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四、竞争性磋商（简称磋商）与评审</w:t>
      </w:r>
    </w:p>
    <w:p>
      <w:pPr>
        <w:pStyle w:val="18"/>
        <w:spacing w:line="420" w:lineRule="exact"/>
        <w:ind w:firstLine="422" w:firstLineChars="200"/>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17.截标</w:t>
      </w:r>
    </w:p>
    <w:p>
      <w:pPr>
        <w:pStyle w:val="18"/>
        <w:spacing w:line="420" w:lineRule="exact"/>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采购代理机构将于“供应商须知前附表”规定的时间和地点举行开标会议，参加磋商的供应商法定代表人或授权委托代理人必须持证件</w:t>
      </w:r>
      <w:r>
        <w:rPr>
          <w:rFonts w:hint="eastAsia" w:hAnsi="宋体"/>
          <w:b/>
          <w:color w:val="000000" w:themeColor="text1"/>
          <w:sz w:val="21"/>
          <w14:textFill>
            <w14:solidFill>
              <w14:schemeClr w14:val="tx1"/>
            </w14:solidFill>
          </w14:textFill>
        </w:rPr>
        <w:t>【磋商供应商单位代表身份证原件、法定代表人授权委托书原件（如委托代理时）、磋商保证金银行转账（或电汇）底单复印件（加盖公章）或保函原件或支票原件或汇票原件或本票原件】</w:t>
      </w:r>
      <w:r>
        <w:rPr>
          <w:rFonts w:hint="eastAsia" w:hAnsi="宋体"/>
          <w:color w:val="000000" w:themeColor="text1"/>
          <w:sz w:val="21"/>
          <w14:textFill>
            <w14:solidFill>
              <w14:schemeClr w14:val="tx1"/>
            </w14:solidFill>
          </w14:textFill>
        </w:rPr>
        <w:t>签名报到，不按规定出席开标会的响应文件作无效处理。</w:t>
      </w:r>
    </w:p>
    <w:p>
      <w:pPr>
        <w:pStyle w:val="18"/>
        <w:spacing w:line="420" w:lineRule="exact"/>
        <w:ind w:firstLine="422" w:firstLineChars="200"/>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18.磋商小组组建</w:t>
      </w:r>
    </w:p>
    <w:p>
      <w:pPr>
        <w:spacing w:line="42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18.1磋商小组由采购人代表和评审专家共3人以上单数组成，其中评审专家人数不得少于磋商小组成员总数的2/3。</w:t>
      </w:r>
    </w:p>
    <w:p>
      <w:pPr>
        <w:spacing w:line="42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18.2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pPr>
        <w:spacing w:line="420" w:lineRule="exact"/>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19.评审程序</w:t>
      </w:r>
    </w:p>
    <w:p>
      <w:pPr>
        <w:spacing w:line="420" w:lineRule="exact"/>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19.1采购代理机向磋商小组移交接收所有的响应文件。</w:t>
      </w:r>
    </w:p>
    <w:p>
      <w:pPr>
        <w:spacing w:line="420" w:lineRule="exact"/>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19.2磋商小组评审响应文件</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磋商小组在对响应文件的有效性、完整性和响应程度进行审查。</w:t>
      </w:r>
    </w:p>
    <w:p>
      <w:pPr>
        <w:spacing w:line="420" w:lineRule="exact"/>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19.3澄清</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20" w:lineRule="exact"/>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19.4磋商</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19.4.1磋商时间及地点：按“供应商须知前附表”规定。</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19.4.2供应商参加需要携带的材料：供应商投标代表如为法定代表人须携带身份证原件，如为委托代理人须携带身份证原件以及法定代表人授权委托书原件。磋商供应商未按时到达评审会场参加磋商或未能出示上述证件的，视为放弃磋商。</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19.4.3磋商小组所有成员集中与单一供应商分别进行磋商，并给予所有参加磋商的供应商平等的磋商机会。</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对于资格条件不符合的供应商或未实质性响应磋商文件的响应文件按无效响应处理，磋商小组应当告知有关供应商。</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对磋商文件作出的实质性变动是磋商文件的有效组成部分，磋商小组应当及时以书面形式同时通知所有参加磋商的供应商。</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供应商应当按照磋商文件的变动情况和磋商小组的要求重新提交响应文件，并由其法定代表人或授权代表签字或者加盖公章。由授权代表签字的，应当附法定代表人授权书。</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磋商中，磋商的任何一方不得透露与磋商有关的其他供应商的技术资料、价格和其他信息。</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采购代理机构对磋商过程和重要磋商内容进行记录，磋商双方在记录上签字确认。</w:t>
      </w:r>
    </w:p>
    <w:p>
      <w:pPr>
        <w:spacing w:line="420" w:lineRule="exact"/>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19.5最后报价</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19.5.1磋商文件能够详细列明采购标的的技术、服务要求的，磋商结束后，磋商小组应当要求所有继续参加磋商的供应商在规定时间内密封提交最后报价，提交最后报价的供应商不得少于3家。</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19.5.3属于市场竞争不充分的科研项目，以及需要扶持的科技成果转化项目，提交最后报价的供应商可以为2家。</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19.5.4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19.5.5最后报价是供应商响应文件的有效组成部分。</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19.5.6 已经提交响应文件的供应商，在提交最后报价之前，可以根据磋商情况退出磋商。采购人、采购代理机构将退还退出磋商的供应商的保证金。</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19.5.7 响应供应商的报价均高于了最高限价的，磋商活动终止。</w:t>
      </w:r>
    </w:p>
    <w:p>
      <w:pPr>
        <w:widowControl/>
        <w:tabs>
          <w:tab w:val="left" w:pos="540"/>
        </w:tabs>
        <w:spacing w:line="42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20.最终磋商结束后，磋商小组不得再与供应商进行任何形式的商谈。</w:t>
      </w:r>
    </w:p>
    <w:p>
      <w:pPr>
        <w:widowControl/>
        <w:tabs>
          <w:tab w:val="left" w:pos="540"/>
        </w:tabs>
        <w:spacing w:line="42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21.评审与比较</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21.1经磋商确定最终采购需求和提交最后报价的供应商后，由磋商小组采用综合评分法对提交最后报价的供应商的响应文件和最后报价进行综合评分。</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21.2评审原则。磋商小组必须公平、公正、客观，不带任何倾向性和启发性；不得向外界透露任何与评审有关的内容；任何单位和个人不得干扰、影响评审的正常进行。</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21.3评审办法及评分标准详见第四章。</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21.3.1小型和微型企业最终报价扣除计算。</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按照《政府采购促进中小企业发展暂行办法》（财库[2011]181号）之规定，磋商产品被认定为小型和微型企业产品（以响应文件提供《中小企业声明函》为准）的，对小型和微型企业产品的价格给予</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%的扣除，扣除后的价格为评标价，即评标价=磋商价×（1-</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%），评标价=磋商价。</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照《关于促进残疾人就业政府采购政策的通知》（财库〔2018〕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
        <w:rPr>
          <w:color w:val="000000" w:themeColor="text1"/>
          <w14:textFill>
            <w14:solidFill>
              <w14:schemeClr w14:val="tx1"/>
            </w14:solidFill>
          </w14:textFill>
        </w:rPr>
      </w:pPr>
    </w:p>
    <w:p>
      <w:pPr>
        <w:widowControl/>
        <w:tabs>
          <w:tab w:val="left" w:pos="540"/>
        </w:tabs>
        <w:spacing w:line="420" w:lineRule="exact"/>
        <w:ind w:firstLine="422" w:firstLineChars="200"/>
        <w:jc w:val="left"/>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22.</w:t>
      </w:r>
      <w:r>
        <w:rPr>
          <w:rFonts w:hint="eastAsia" w:ascii="宋体" w:hAnsi="宋体"/>
          <w:b/>
          <w:bCs/>
          <w:color w:val="000000" w:themeColor="text1"/>
          <w:szCs w:val="21"/>
          <w14:textFill>
            <w14:solidFill>
              <w14:schemeClr w14:val="tx1"/>
            </w14:solidFill>
          </w14:textFill>
        </w:rPr>
        <w:t>在评标过程中出现法律法规和磋商文件均没有明确规定的情形时，由磋商小组现场协商解决，协商不一致的，由全体磋商小组投票表决，以得票率二分之一以上专家的意见为准。</w:t>
      </w:r>
    </w:p>
    <w:p>
      <w:pPr>
        <w:widowControl/>
        <w:tabs>
          <w:tab w:val="left" w:pos="540"/>
        </w:tabs>
        <w:spacing w:line="42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23. 特别说明：</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23.1供应商竞标所使用的资格、信誉、荣誉、业绩与企业认证必须为其组织所拥有。供应商竞标所使用的采购项目实施人员必须为组织员工（或必须为本法人或控股公司正式员工）。</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23.2供应商应仔细阅读竞争性磋商文件的所有内容，按照竞争性磋商文件的要求提交响应文件，并对所提供的全部资料的真实性承担法律责任。</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23.3供应商在竞标活动中提供任何虚假材料,其响应文件无效，并报监管部门查处；成交后发现的,成交供应商须依照《中华人民共和国消费者权益保护法》规定赔偿采购人，且民事赔偿并不免除违法供应商的行政与刑事责任。</w:t>
      </w:r>
    </w:p>
    <w:p>
      <w:pPr>
        <w:widowControl/>
        <w:shd w:val="clear" w:color="auto" w:fill="FFFFFF"/>
        <w:spacing w:line="40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23.5属于下列情况之一者，响应文件无效：</w:t>
      </w:r>
    </w:p>
    <w:p>
      <w:pPr>
        <w:snapToGrid w:val="0"/>
        <w:spacing w:line="400" w:lineRule="exact"/>
        <w:ind w:firstLine="420" w:firstLineChars="200"/>
        <w:outlineLvl w:val="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（1）未按13条款交纳磋商保证金的；</w:t>
      </w:r>
    </w:p>
    <w:p>
      <w:pPr>
        <w:snapToGrid w:val="0"/>
        <w:spacing w:line="400" w:lineRule="exact"/>
        <w:ind w:firstLine="420" w:firstLineChars="200"/>
        <w:outlineLvl w:val="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（2）未按竞争性磋商文件规定完整提交响应文件或未按规定要求密封、签字（或盖章）、盖单位公章的；</w:t>
      </w:r>
    </w:p>
    <w:p>
      <w:pPr>
        <w:snapToGrid w:val="0"/>
        <w:spacing w:line="400" w:lineRule="exact"/>
        <w:ind w:firstLine="420" w:firstLineChars="200"/>
        <w:outlineLvl w:val="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（3）超越了按照法律法规规定必须获得行政许可或者行政审批的经营范围的；</w:t>
      </w:r>
    </w:p>
    <w:p>
      <w:pPr>
        <w:snapToGrid w:val="0"/>
        <w:spacing w:line="400" w:lineRule="exact"/>
        <w:ind w:firstLine="420" w:firstLineChars="200"/>
        <w:outlineLvl w:val="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（4）不具备竞争性磋商文件规定的资格要求的；</w:t>
      </w:r>
    </w:p>
    <w:p>
      <w:pPr>
        <w:snapToGrid w:val="0"/>
        <w:spacing w:line="400" w:lineRule="exact"/>
        <w:ind w:firstLine="420" w:firstLineChars="200"/>
        <w:outlineLvl w:val="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（5）响应文件未按竞争性磋商文件的内容和要求编制，或提供虚假材料的；</w:t>
      </w:r>
    </w:p>
    <w:p>
      <w:pPr>
        <w:snapToGrid w:val="0"/>
        <w:spacing w:line="400" w:lineRule="exact"/>
        <w:ind w:firstLine="420" w:firstLineChars="200"/>
        <w:outlineLvl w:val="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（6）未满足“项目采购需求”中标注★号及表述为“须”或“必须”条款的实质性要求的；</w:t>
      </w:r>
    </w:p>
    <w:p>
      <w:pPr>
        <w:snapToGrid w:val="0"/>
        <w:spacing w:line="400" w:lineRule="exact"/>
        <w:ind w:firstLine="420" w:firstLineChars="200"/>
        <w:outlineLvl w:val="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（7）响应文件有效期、保证金有效期、服务期限、售后服务等不能满足竞争性磋商文件要求的；</w:t>
      </w:r>
    </w:p>
    <w:p>
      <w:pPr>
        <w:snapToGrid w:val="0"/>
        <w:spacing w:line="400" w:lineRule="exact"/>
        <w:ind w:firstLine="420" w:firstLineChars="200"/>
        <w:outlineLvl w:val="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（8）供应商未就“项目采购需求”中所有货物或服务内容作完整唯一报价的，或报价超出采购预算总金额的；</w:t>
      </w:r>
    </w:p>
    <w:p>
      <w:pPr>
        <w:snapToGrid w:val="0"/>
        <w:spacing w:line="400" w:lineRule="exact"/>
        <w:ind w:firstLine="420" w:firstLineChars="200"/>
        <w:outlineLvl w:val="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r>
        <w:rPr>
          <w:rFonts w:ascii="宋体" w:hAnsi="宋体"/>
          <w:color w:val="000000" w:themeColor="text1"/>
          <w:szCs w:val="21"/>
          <w14:textFill>
            <w14:solidFill>
              <w14:schemeClr w14:val="tx1"/>
            </w14:solidFill>
          </w14:textFill>
        </w:rPr>
        <w:t>未在</w:t>
      </w:r>
      <w:r>
        <w:rPr>
          <w:rFonts w:hint="eastAsia" w:ascii="宋体" w:hAnsi="宋体"/>
          <w:color w:val="000000" w:themeColor="text1"/>
          <w:szCs w:val="21"/>
          <w14:textFill>
            <w14:solidFill>
              <w14:schemeClr w14:val="tx1"/>
            </w14:solidFill>
          </w14:textFill>
        </w:rPr>
        <w:t>磋商</w:t>
      </w:r>
      <w:r>
        <w:rPr>
          <w:rFonts w:ascii="宋体" w:hAnsi="宋体"/>
          <w:color w:val="000000" w:themeColor="text1"/>
          <w:szCs w:val="21"/>
          <w14:textFill>
            <w14:solidFill>
              <w14:schemeClr w14:val="tx1"/>
            </w14:solidFill>
          </w14:textFill>
        </w:rPr>
        <w:t>小组规定的时间内</w:t>
      </w:r>
      <w:r>
        <w:rPr>
          <w:rFonts w:hint="eastAsia" w:ascii="宋体" w:hAnsi="宋体"/>
          <w:color w:val="000000" w:themeColor="text1"/>
          <w:szCs w:val="21"/>
          <w14:textFill>
            <w14:solidFill>
              <w14:schemeClr w14:val="tx1"/>
            </w14:solidFill>
          </w14:textFill>
        </w:rPr>
        <w:t>重新提交响应文件</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w:t>
      </w:r>
    </w:p>
    <w:p>
      <w:pPr>
        <w:snapToGrid w:val="0"/>
        <w:spacing w:line="400" w:lineRule="exact"/>
        <w:ind w:firstLine="420" w:firstLineChars="200"/>
        <w:outlineLvl w:val="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（10）未满足竞争性磋商文件全部实质性要求的或者响应文件有采购人不能接受的附加条件的；</w:t>
      </w:r>
    </w:p>
    <w:p>
      <w:pPr>
        <w:snapToGrid w:val="0"/>
        <w:spacing w:line="400" w:lineRule="exact"/>
        <w:ind w:firstLine="420" w:firstLineChars="200"/>
        <w:outlineLvl w:val="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（11）未按规定向采购代理机构购买本项目竞争性磋商文件的（有文件规定除外）；</w:t>
      </w:r>
    </w:p>
    <w:p>
      <w:pPr>
        <w:snapToGrid w:val="0"/>
        <w:spacing w:line="400" w:lineRule="exact"/>
        <w:ind w:firstLine="420" w:firstLineChars="200"/>
        <w:outlineLvl w:val="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（12）不符合法律、法规和竞争性磋商文件规定的其他实质性要求和条件的。</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23.6有下列情形之一的视为供应商相互串通竞标，响应文件将被视为无效：</w:t>
      </w:r>
    </w:p>
    <w:p>
      <w:pPr>
        <w:spacing w:line="420" w:lineRule="exact"/>
        <w:ind w:firstLine="420" w:firstLineChars="200"/>
        <w:rPr>
          <w:rFonts w:ascii="宋体" w:hAnsi="宋体"/>
          <w:strike/>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（1）不同供应商的响应文件由同一单位或者个人编制；或不同供应商报名的IP地址一致的；</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（2）不同供应商委托同一单位或者个人办理竞标事宜；</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（3）不同的供应商的响应文件载明的项目管理员为同一个人；</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（4）不同供应商的响应文件异常一致或报价呈规律性差异；</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（5）不同供应商的响应文件相互混装；</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（6）不同供应商的保证金从同一单位或者个人账户转出；</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（7）响应文件实质性要求未做变动，供应商最终报价高于第一次报价的。</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23.7供应商有下列情形之一的，属于恶意串通行为：</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（1）供应商直接或者间接从采购人或者采购代理机构处获得其他供应商的相关信息并修改其响应文件：</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（2）供应商按照采购人或者采购代理机构的授意撤换、修改响应文件；</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（3）供应商之间协商报价、技术方案等响应文件的实质性内容；</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（4）属于同一集团、协会、商会等组织成员的供应商按照该组织要求协同参加政府采购活动；</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（5）供应商之间事先约定一致抬高或者压低报价,或者在采购项目中事先约定轮流以高价位或者低价位成交,或者事先约定由某一特定供应商成交,然后再参加竞标；</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（6）供应商之间商定部分供应商放弃参加政府采购活动或者放弃成交；</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23.8关联供应商不得参加同一合同项下政府采购活动，否则响应文件将被视为无效：</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（1）单位负责人为同一人或者存在直接控股、管理关系的不同的供应商，不得参加同一合同项下的政府采购活动；</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）生产厂商授权给供应商后自己不得参加同一合同项下的政府采购活动；生产厂商对同一品牌同一型号的货物，仅能委托一个代理商参加竞标。</w:t>
      </w:r>
    </w:p>
    <w:p>
      <w:pPr>
        <w:spacing w:line="4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24.出现下列情形之一的，采购人或者采购代理机构应当终止竞争性磋商采购活动，发布项目终止公告并说明原因，重新开展采购活动：</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（1）因情况变化，不再符合规定的竞争性磋商采购方式适用情形的；</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（2）出现影响采购公正的违法、违规行为的；</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（3）除本须知19.5.3、19.5.4及法律法规规定的情形外，在采购过程中符合要求的供应商或者报价未高于最高限价的供应商不足3家的。</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25.在采购活动中因重大变故，采购任务取消的，采购人或者采购代理机构应当终止采购活动，通知所有参加采购活动的供应商，并将项目实施情况和采购任务取消原因报送本级财政部门。</w:t>
      </w:r>
    </w:p>
    <w:p>
      <w:pPr>
        <w:spacing w:before="156" w:beforeLines="50" w:after="156" w:afterLines="50" w:line="420" w:lineRule="exact"/>
        <w:jc w:val="center"/>
        <w:rPr>
          <w:rFonts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五、确定成交供应商办法及结果公告</w:t>
      </w:r>
    </w:p>
    <w:p>
      <w:pPr>
        <w:spacing w:line="42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26.1</w:t>
      </w:r>
      <w:r>
        <w:rPr>
          <w:rFonts w:hint="eastAsia" w:ascii="宋体" w:hAnsi="宋体" w:cs="宋体"/>
          <w:color w:val="000000" w:themeColor="text1"/>
          <w:kern w:val="0"/>
          <w:szCs w:val="21"/>
          <w14:textFill>
            <w14:solidFill>
              <w14:schemeClr w14:val="tx1"/>
            </w14:solidFill>
          </w14:textFill>
        </w:rPr>
        <w:t>采购</w:t>
      </w:r>
      <w:r>
        <w:rPr>
          <w:rFonts w:hint="eastAsia" w:ascii="宋体" w:hAnsi="宋体"/>
          <w:color w:val="000000" w:themeColor="text1"/>
          <w:szCs w:val="21"/>
          <w14:textFill>
            <w14:solidFill>
              <w14:schemeClr w14:val="tx1"/>
            </w14:solidFill>
          </w14:textFill>
        </w:rPr>
        <w:t>代理</w:t>
      </w:r>
      <w:r>
        <w:rPr>
          <w:rFonts w:hint="eastAsia" w:ascii="宋体" w:hAnsi="宋体" w:cs="宋体"/>
          <w:color w:val="000000" w:themeColor="text1"/>
          <w:kern w:val="0"/>
          <w:szCs w:val="21"/>
          <w14:textFill>
            <w14:solidFill>
              <w14:schemeClr w14:val="tx1"/>
            </w14:solidFill>
          </w14:textFill>
        </w:rPr>
        <w:t>机构应当在评审结束后2个工作日内将评审报告送采购人确认。采购人应当在收到评审报告后5个工作日内确定成交供应商。采购人逾期未确定成交供应商且不提出异议的，视为确定评审报告提出的排序第一的供应商为成交供应商。</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26.2采购代理机构应当在成交供应商确定后2个工作日内，在竞争性磋商公告发布媒体上公告成交结果，同时向成交供应商发出成交通知书。</w:t>
      </w:r>
    </w:p>
    <w:p>
      <w:pPr>
        <w:spacing w:before="156" w:beforeLines="50" w:after="156" w:afterLines="50" w:line="420" w:lineRule="exact"/>
        <w:jc w:val="center"/>
        <w:rPr>
          <w:rFonts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六、履约保证金</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27.1 本项目无履约保证金。</w:t>
      </w:r>
    </w:p>
    <w:p>
      <w:pPr>
        <w:spacing w:before="156" w:beforeLines="50" w:after="156" w:afterLines="50" w:line="420" w:lineRule="exact"/>
        <w:jc w:val="center"/>
        <w:rPr>
          <w:rFonts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七、签订合同</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28.1成交供应商在收到成交通知书后，按规定与采购人签订采购合同。</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28.2政府采购合同签订应当采用政府采购合同格式文本，合同应内容完整、盖章齐全；项目合同的各要素和内容应与磋商文件、成交供应商的承诺、中标通知书等的内容一致；合同附件齐全；多页合同每页应顺序标出页码并盖骑缝章。</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28.3政府采购合同（正本、副本）自签订之日起七个工作日内，由采购代理机构送钟山县政府采购管理办公室备案。</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28.4成交通知书发出后，成交供应商有下列情形之一的，成交无效，采购代理机构不予退还其交纳的磋商保证金，采购人可追究成交供应商承担相应的法律责任。如采购人无正当理由拒签合同的，采购代理机构向成交供应商退还磋商保证金；采购人给成交供应商造成损失的，成交供应商可追究采购人承担相应的法律责任。</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（1）成交后无正当理由不与采购人或者采购代理机构按规定的时间、地点签订合同的；</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（2）成交后与采购人签订对磋商文件和响应文件作了实质性修改的合同，或与采购人私下订立背离合同实质性内容的协议的；</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（3）将成交项目转让给他人，或者在响应文件中未说明，且未经采购人或采购代理机构同意，将成交项目分包给他人的。</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28.5 采购人在签订合同之前有权要求成交供应商提供本项目磋商文件要求的资料原件进行核查，成交供应商不得拒绝。如成交供应商拒绝提供，则自行承担由此产生的后果。</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28.6成交供应商因不可抗力或者自身原因不能履行政府采购合同的，如仍在磋商有效期内，采购人可以与排位在成交供应商之后第一位的成交候选供应商签订政府采购合同，以此类推。</w:t>
      </w:r>
    </w:p>
    <w:p>
      <w:pPr>
        <w:spacing w:before="156" w:beforeLines="50" w:after="156" w:afterLines="50" w:line="420" w:lineRule="exact"/>
        <w:jc w:val="center"/>
        <w:rPr>
          <w:rFonts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八、政府采购合同公告</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29.1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before="156" w:beforeLines="50" w:after="156" w:afterLines="50" w:line="420" w:lineRule="exact"/>
        <w:jc w:val="center"/>
        <w:rPr>
          <w:rFonts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九、适用法律</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 采购当事人的一切活动均适用于《中华人民共和国政府采购法》、《中华人民共和国政府合同法》、《政府采购竞争性磋商采购方式管理暂行办法》及相关规定。</w:t>
      </w:r>
    </w:p>
    <w:p>
      <w:pPr>
        <w:spacing w:before="156" w:beforeLines="50" w:after="156" w:afterLines="50" w:line="420" w:lineRule="exact"/>
        <w:jc w:val="center"/>
        <w:rPr>
          <w:rFonts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十、其他事项</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 招标代理服务收费：</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31.1根据本项目采购人与采购代理机构签订的采购代理合同约定，本项目的招标代理服务费和交易服务费由成交人在领取成交通知书时，一次性向采购代理机构支付。</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31.2本项目招标代理服务费依据“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规定的收费标准收取。</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 询问、质疑和投诉</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32.1供应商对政府采购活动事项有疑问的，可以向采购人、采购代理机构提出询问。</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32.2供应商认为采购文件、采购过程或成交结果使自己的合法权益受到损害的，应当在知道或者应知其权益受到损害之日起七个工作日内，以书面形式向采购人、采购代理机构提出质疑。具体计算时间如下：</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（一）对可以质疑的采购文件提出质疑的，为收到采购文件之日；</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（二）对采购过程提出质疑的，为各采购程序环节结束之日；</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（三）对成交结果提出质疑的，为成交结果公告期限届满之日。</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供应商对招标采购单位的质疑答复不满意或者招标采购单位未在规定时间内作出答复的，可以在答复期满后十五个工作日内向同级采购监管部门投诉。</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32.3质疑、投诉应当采用书面形式，质疑书、投诉书均应明确阐述采购文件、采购过程、成交结果中使自己合法权益受到损害的实质性内容，提供相关事实、明确的请求、必要的证明材料，便于有关单位调查、答复和处理。</w:t>
      </w:r>
    </w:p>
    <w:p>
      <w:pPr>
        <w:tabs>
          <w:tab w:val="left" w:pos="2190"/>
        </w:tabs>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32.4质疑</w:t>
      </w:r>
      <w:r>
        <w:rPr>
          <w:rFonts w:ascii="宋体" w:hAnsi="宋体"/>
          <w:color w:val="000000" w:themeColor="text1"/>
          <w:szCs w:val="21"/>
          <w14:textFill>
            <w14:solidFill>
              <w14:schemeClr w14:val="tx1"/>
            </w14:solidFill>
          </w14:textFill>
        </w:rPr>
        <w:t>联系部门</w:t>
      </w:r>
      <w:r>
        <w:rPr>
          <w:rFonts w:hint="eastAsia" w:ascii="宋体" w:hAnsi="宋体"/>
          <w:color w:val="000000" w:themeColor="text1"/>
          <w:szCs w:val="21"/>
          <w14:textFill>
            <w14:solidFill>
              <w14:schemeClr w14:val="tx1"/>
            </w14:solidFill>
          </w14:textFill>
        </w:rPr>
        <w:t>：中鼎誉润工程咨询有限公司</w:t>
      </w:r>
    </w:p>
    <w:p>
      <w:pPr>
        <w:tabs>
          <w:tab w:val="left" w:pos="2190"/>
        </w:tabs>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r>
        <w:rPr>
          <w:rFonts w:ascii="宋体" w:hAnsi="宋体"/>
          <w:color w:val="000000" w:themeColor="text1"/>
          <w:szCs w:val="21"/>
          <w14:textFill>
            <w14:solidFill>
              <w14:schemeClr w14:val="tx1"/>
            </w14:solidFill>
          </w14:textFill>
        </w:rPr>
        <w:t>0774-8828720</w:t>
      </w:r>
    </w:p>
    <w:p>
      <w:pPr>
        <w:tabs>
          <w:tab w:val="left" w:pos="2190"/>
        </w:tabs>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通讯地址：贺州市钟山县滨江路2号</w:t>
      </w:r>
    </w:p>
    <w:p>
      <w:pPr>
        <w:tabs>
          <w:tab w:val="left" w:pos="2190"/>
        </w:tabs>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32.5投诉联系部门：钟山县政府采购监督管理办公室</w:t>
      </w:r>
    </w:p>
    <w:p>
      <w:pPr>
        <w:tabs>
          <w:tab w:val="left" w:pos="2190"/>
        </w:tabs>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联系电话：0774-8989660</w:t>
      </w:r>
    </w:p>
    <w:p>
      <w:pPr>
        <w:tabs>
          <w:tab w:val="left" w:pos="2190"/>
        </w:tabs>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通讯地址：钟山县北路10号</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4"/>
        <w:keepNext w:val="0"/>
        <w:keepLines w:val="0"/>
        <w:numPr>
          <w:ilvl w:val="0"/>
          <w:numId w:val="0"/>
        </w:numPr>
        <w:spacing w:line="500" w:lineRule="exact"/>
        <w:jc w:val="center"/>
        <w:rPr>
          <w:rFonts w:ascii="宋体" w:hAnsi="宋体"/>
          <w:color w:val="000000" w:themeColor="text1"/>
          <w:szCs w:val="44"/>
          <w14:textFill>
            <w14:solidFill>
              <w14:schemeClr w14:val="tx1"/>
            </w14:solidFill>
          </w14:textFill>
        </w:rPr>
      </w:pPr>
      <w:bookmarkStart w:id="34" w:name="_Toc504988678"/>
      <w:r>
        <w:rPr>
          <w:rFonts w:ascii="宋体" w:hAnsi="宋体"/>
          <w:color w:val="000000" w:themeColor="text1"/>
          <w:szCs w:val="44"/>
          <w14:textFill>
            <w14:solidFill>
              <w14:schemeClr w14:val="tx1"/>
            </w14:solidFill>
          </w14:textFill>
        </w:rPr>
        <w:br w:type="page"/>
      </w:r>
      <w:r>
        <w:rPr>
          <w:rFonts w:hint="eastAsia" w:ascii="宋体" w:hAnsi="宋体"/>
          <w:color w:val="000000" w:themeColor="text1"/>
          <w:szCs w:val="44"/>
          <w14:textFill>
            <w14:solidFill>
              <w14:schemeClr w14:val="tx1"/>
            </w14:solidFill>
          </w14:textFill>
        </w:rPr>
        <w:t>第三章 项目采购需求</w:t>
      </w:r>
      <w:bookmarkEnd w:id="34"/>
      <w:bookmarkStart w:id="35" w:name="_Toc504988679"/>
    </w:p>
    <w:tbl>
      <w:tblPr>
        <w:tblStyle w:val="27"/>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46"/>
        <w:gridCol w:w="708"/>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服务名称</w:t>
            </w:r>
          </w:p>
        </w:tc>
        <w:tc>
          <w:tcPr>
            <w:tcW w:w="7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数量</w:t>
            </w:r>
          </w:p>
        </w:tc>
        <w:tc>
          <w:tcPr>
            <w:tcW w:w="6651"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Theme="minorEastAsia" w:hAnsiTheme="minorEastAsia" w:eastAsiaTheme="minorEastAsia"/>
                <w:b w:val="0"/>
                <w:color w:val="000000" w:themeColor="text1"/>
                <w:sz w:val="21"/>
                <w:szCs w:val="21"/>
                <w14:textFill>
                  <w14:solidFill>
                    <w14:schemeClr w14:val="tx1"/>
                  </w14:solidFill>
                </w14:textFill>
              </w:rPr>
            </w:pPr>
            <w:r>
              <w:rPr>
                <w:rFonts w:hint="eastAsia" w:asciiTheme="minorEastAsia" w:hAnsiTheme="minorEastAsia" w:eastAsiaTheme="minorEastAsia"/>
                <w:b w:val="0"/>
                <w:color w:val="000000" w:themeColor="text1"/>
                <w:sz w:val="21"/>
                <w:szCs w:val="21"/>
                <w14:textFill>
                  <w14:solidFill>
                    <w14:schemeClr w14:val="tx1"/>
                  </w14:solidFill>
                </w14:textFill>
              </w:rPr>
              <w:t>1</w:t>
            </w:r>
          </w:p>
        </w:tc>
        <w:tc>
          <w:tcPr>
            <w:tcW w:w="1746"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rPr>
                <w:rFonts w:asciiTheme="minorEastAsia" w:hAnsiTheme="minorEastAsia" w:eastAsiaTheme="minorEastAsia"/>
                <w:b w:val="0"/>
                <w:color w:val="000000" w:themeColor="text1"/>
                <w:sz w:val="21"/>
                <w:szCs w:val="21"/>
                <w14:textFill>
                  <w14:solidFill>
                    <w14:schemeClr w14:val="tx1"/>
                  </w14:solidFill>
                </w14:textFill>
              </w:rPr>
            </w:pPr>
            <w:r>
              <w:rPr>
                <w:rFonts w:hint="eastAsia" w:asciiTheme="minorEastAsia" w:hAnsiTheme="minorEastAsia" w:eastAsiaTheme="minorEastAsia"/>
                <w:b w:val="0"/>
                <w:color w:val="000000" w:themeColor="text1"/>
                <w:sz w:val="21"/>
                <w:szCs w:val="21"/>
                <w14:textFill>
                  <w14:solidFill>
                    <w14:schemeClr w14:val="tx1"/>
                  </w14:solidFill>
                </w14:textFill>
              </w:rPr>
              <w:t>钟山县同古镇农村乱占耕地建房问题摸排服务</w:t>
            </w:r>
          </w:p>
        </w:tc>
        <w:tc>
          <w:tcPr>
            <w:tcW w:w="7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Theme="minorEastAsia" w:hAnsiTheme="minorEastAsia" w:eastAsiaTheme="minorEastAsia"/>
                <w:b w:val="0"/>
                <w:color w:val="000000" w:themeColor="text1"/>
                <w:sz w:val="21"/>
                <w:szCs w:val="21"/>
                <w14:textFill>
                  <w14:solidFill>
                    <w14:schemeClr w14:val="tx1"/>
                  </w14:solidFill>
                </w14:textFill>
              </w:rPr>
            </w:pPr>
            <w:r>
              <w:rPr>
                <w:rFonts w:hint="eastAsia" w:asciiTheme="minorEastAsia" w:hAnsiTheme="minorEastAsia" w:eastAsiaTheme="minorEastAsia"/>
                <w:b w:val="0"/>
                <w:color w:val="000000" w:themeColor="text1"/>
                <w:sz w:val="21"/>
                <w:szCs w:val="21"/>
                <w14:textFill>
                  <w14:solidFill>
                    <w14:schemeClr w14:val="tx1"/>
                  </w14:solidFill>
                </w14:textFill>
              </w:rPr>
              <w:t>1项</w:t>
            </w:r>
          </w:p>
        </w:tc>
        <w:tc>
          <w:tcPr>
            <w:tcW w:w="66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一、服务目标</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逐宗调查2013年1月1日以来钟山县农村乱占耕地建房的状况，调查每宗地的使用人、户籍情况、实际用途、占地面积、占用耕地面积、建房时间、建筑层数、不动产登记发证情况、用地审批情况、符合规划情况、“一户一宅”情况、“一户多宅”情况等信息，汇交广西壮族自治区自然资源厅“一宗一台账”的台账记录及相关成果。</w:t>
            </w:r>
          </w:p>
          <w:p>
            <w:pPr>
              <w:spacing w:line="400" w:lineRule="exact"/>
              <w:rPr>
                <w:rFonts w:ascii="宋体" w:hAnsi="宋体" w:cs="宋体"/>
                <w:b/>
                <w:bCs/>
                <w:color w:val="000000" w:themeColor="text1"/>
                <w14:textFill>
                  <w14:solidFill>
                    <w14:schemeClr w14:val="tx1"/>
                  </w14:solidFill>
                </w14:textFill>
              </w:rPr>
            </w:pPr>
          </w:p>
          <w:p>
            <w:pPr>
              <w:spacing w:line="40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二、服务内容</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国务院和广西壮族自治区及贺州市农村乱占耕地建房问题整治工作的相关要求，明确摸排范围和内容，摸清2013年以来钟山县农村乱占耕地建房涉及用地情况，房屋建设、使用和非法出售情况、处罚情况等，建立钟山县农村乱占耕地建房问题工作台账，建设农村乱占耕地建房问题宗地数据库。</w:t>
            </w:r>
          </w:p>
          <w:p>
            <w:pPr>
              <w:spacing w:line="40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（一）摸排范围</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摸排钟山县范围内2013年1月1日以来占用耕地建设的没有合法合规用地手续的房屋。之前个别或部分已经建设但与2013年以来违法违规建房行为有整体关联性的房屋，要一并摸排。</w:t>
            </w:r>
          </w:p>
          <w:p>
            <w:pPr>
              <w:spacing w:line="40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（二）范围界定</w:t>
            </w:r>
          </w:p>
          <w:p>
            <w:pPr>
              <w:spacing w:line="400" w:lineRule="exact"/>
              <w:ind w:firstLine="422" w:firstLineChars="20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1.耕地：</w:t>
            </w:r>
            <w:r>
              <w:rPr>
                <w:rFonts w:hint="eastAsia" w:ascii="宋体" w:hAnsi="宋体" w:cs="宋体"/>
                <w:color w:val="000000" w:themeColor="text1"/>
                <w14:textFill>
                  <w14:solidFill>
                    <w14:schemeClr w14:val="tx1"/>
                  </w14:solidFill>
                </w14:textFill>
              </w:rPr>
              <w:t>占用的耕地是指第二次全国土地调查（以下简称“二调”）成果为耕地且未依法依规变更用途或现状为应按耕地管理的土地，以及“二调”后各年度通过土地整理复垦开发等途径新增加的耕地或按耕地管理的土地。具体情形如:长年耕种的纯耕地；休耕、撂荒的耕地；应按照耕地管理的园地、林地、草地、坑塘等用地；应按照耕地管理的设施农业用地；应按照耕地管理的地面已硬化的乡村广场等用地；自然资源管理部门认定为耕地，但林业管理部门认定为林地、草原管理部门认定为草地的土地；应按照耕地管理的可调整地类等。</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没有合法合规用地手续建设的房屋，无论全部或者部分违法占用耕地（包括国有的和集体的），都要纳入摸排范围。对实际已经建设但因各种原因导致“二调”时调查为耕地的土地上建设的房屋，也要纳入摸排范围。</w:t>
            </w:r>
          </w:p>
          <w:p>
            <w:pPr>
              <w:spacing w:line="400" w:lineRule="exact"/>
              <w:ind w:firstLine="422" w:firstLineChars="20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2.用地手续：</w:t>
            </w:r>
            <w:r>
              <w:rPr>
                <w:rFonts w:hint="eastAsia" w:ascii="宋体" w:hAnsi="宋体" w:cs="宋体"/>
                <w:color w:val="000000" w:themeColor="text1"/>
                <w14:textFill>
                  <w14:solidFill>
                    <w14:schemeClr w14:val="tx1"/>
                  </w14:solidFill>
                </w14:textFill>
              </w:rPr>
              <w:t>乱占耕地建房，是指没有合法合规用地手续或用地手续不全，占用上述各类耕地建设房屋。如：因停批造成多年未批准宅基地的；不符合分户条件等原因未能批准宅基地的；不符合规划未能办理用地手续的；没有用地计划指标未办理用地手续的，没有缴纳相关费用未取得用地手续的；虽有手续但不合法合规的。</w:t>
            </w:r>
          </w:p>
          <w:p>
            <w:pPr>
              <w:spacing w:line="40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3.不纳入本次摸排范围的房屋主要包括：</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（1）已依法取得农用地转用审批手续的土地上的房屋，已合法审批的宅基地上建设的房屋。</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（2）已依法取得不动产登记证书（含之前依法颁发的土地使用权证、房屋所有权证）且未扩建违法占用耕地的房屋。</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（3）已依法取得临时用地手续且尚未到期的临时用地上的房屋。</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（4）在“大棚房”清理整治工作中已整改到位的设施农业用地上的房屋。</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符合《自然资源部农业农村部关于设施农业用地管理有关问题的通知》（自然资规〔2019〕4号）和《自治区自然资源厅农业农村厅关于进一步加强和规范我区设施农业用地管理的通知》（桂自然资规〔2020〕3号）要求的种植业、养殖业房屋。</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（6）已经纳入全国违建别墅问题清查整治专项行动的房屋。</w:t>
            </w:r>
          </w:p>
          <w:p>
            <w:pPr>
              <w:spacing w:line="40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（三）摸排类型</w:t>
            </w:r>
          </w:p>
          <w:p>
            <w:pPr>
              <w:spacing w:line="400" w:lineRule="exact"/>
              <w:ind w:firstLine="422" w:firstLineChars="20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1.住宅类房屋：</w:t>
            </w:r>
            <w:r>
              <w:rPr>
                <w:rFonts w:hint="eastAsia" w:ascii="宋体" w:hAnsi="宋体" w:cs="宋体"/>
                <w:color w:val="000000" w:themeColor="text1"/>
                <w14:textFill>
                  <w14:solidFill>
                    <w14:schemeClr w14:val="tx1"/>
                  </w14:solidFill>
                </w14:textFill>
              </w:rPr>
              <w:t>对农村宅基地类住宅，以宗为单元开展摸排，并认定房屋是否符合当地“一户一宅”政策或“分户条件”。对单元楼式的多户住宅，以项目为单元开展摸排。摸清房屋类型、建设和使用情况、土地违法和处罚情况等，最终形成住宅类农村乱占耕地建房问题工作台账，摸排结果和认定情况予以公示。</w:t>
            </w:r>
          </w:p>
          <w:p>
            <w:pPr>
              <w:spacing w:line="400" w:lineRule="exact"/>
              <w:ind w:firstLine="422" w:firstLineChars="20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2.公共管理和公共服务类房屋：</w:t>
            </w:r>
            <w:r>
              <w:rPr>
                <w:rFonts w:hint="eastAsia" w:ascii="宋体" w:hAnsi="宋体" w:cs="宋体"/>
                <w:color w:val="000000" w:themeColor="text1"/>
                <w14:textFill>
                  <w14:solidFill>
                    <w14:schemeClr w14:val="tx1"/>
                  </w14:solidFill>
                </w14:textFill>
              </w:rPr>
              <w:t>以项目为单元，摸清该类房屋用途、建设主体、建设依据、土地违法和处罚情况等，最终形成公共管理和公共服务类农村乱占耕地建房问题工作台账。</w:t>
            </w:r>
          </w:p>
          <w:p>
            <w:pPr>
              <w:spacing w:line="400" w:lineRule="exact"/>
              <w:ind w:firstLine="422" w:firstLineChars="20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3.工矿、仓储、商服、旅游等产业类房屋：</w:t>
            </w:r>
            <w:r>
              <w:rPr>
                <w:rFonts w:hint="eastAsia" w:ascii="宋体" w:hAnsi="宋体" w:cs="宋体"/>
                <w:color w:val="000000" w:themeColor="text1"/>
                <w14:textFill>
                  <w14:solidFill>
                    <w14:schemeClr w14:val="tx1"/>
                  </w14:solidFill>
                </w14:textFill>
              </w:rPr>
              <w:t>以项目为单元，摸清该类房屋用途、建设主体、建设依据、土地违法和处罚情况等，最终形成产业类农村乱占耕地建房问题工作台账。</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注：各类房屋无论其调查地类，均应按其实际用途归入以上类型，并填写相应的信息采集表。</w:t>
            </w:r>
          </w:p>
          <w:p>
            <w:pPr>
              <w:spacing w:line="40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三、技术路线</w:t>
            </w:r>
          </w:p>
          <w:p>
            <w:pPr>
              <w:spacing w:line="40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（一）地方开展摸排调查</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广西壮族自治区下发的指引图斑进行排查；国家下发遥感监测图斑后，再和广西壮族自治区下发的指引图斑进行叠加分析，对重复的图斑进行剔除，对不重复的开展补充摸排调查。国家下发的遥感监测图斑和广西壮族自治区下发的指引图斑，均仅是作为摸排调查的指引图斑，仅是为地方开展摸排工作提供线索，不能作为摸排调查的最终依据。对国家和广西壮族自治区下发指引图斑中遗漏的，要实事求是补充调查，摸排到位；错误的，要修改完善，保证与实地现状一致。</w:t>
            </w:r>
          </w:p>
          <w:p>
            <w:pPr>
              <w:spacing w:line="40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1.内业数据分析</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国家和广西壮族自治区下发的指引图斑，结合二调最终成果数据库及遥感影像底图、2012—2018年度土地变更调查最终成果数据库及遥感影像底图、三调统一时点更新数据及遥感影像底图，2012—2018年度土地卫片执法图斑、2019年四个季度和2020年一、二季度土地卫片执法图斑、土地利用规划数据库、城乡（村庄）规划以及国土空间规划数据、基本农田和永久基本农田数据库、2010年以来新增耕地项目图斑、农转用审批备案数据库、城乡建设用地增减挂钩项目备案数据库、农村宅基地和集体建设用地确权发证、地籍调查（测量），以及土地承包经营权调查相关工作成果，开展内业数据分析。</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内业分析，核实国家和广西壮族自治区下发的指引图斑，对不属于本次摸排范围的图斑，剔除出摸排范围，并在下发的图斑信息表上进行备注；对指引图斑未覆盖到的需摸排图斑，要纳入摸排范围，摸排到位，不能遗漏。对需要摸排的图斑，可根据内业分析的结果，预填写信息采集表中的部分用地管理信息，待外业调查时进行核实确认。</w:t>
            </w:r>
          </w:p>
          <w:p>
            <w:pPr>
              <w:spacing w:line="40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2.外业摸排调查</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内业提取的摸排图斑，逐图斑开展外业核实。对图斑中包含多个住宅宗地或公共管理和公共服务、产业项目的，要按住宅宗地或项目范围分割指引图斑，并以住宅宗地或项目为单元开展摸排调查。对信息采集表（详见国家下发的摸排工作方案）中需填写的内容，都需逐一核实。在进行外业摸排调查时，要从不同角度拍摄能全面反映房屋及占地状况的现场照片。房屋占地面积没有国土调查、确权登记或地籍调查（测量）等成果可准确确定的，可采取皮尺丈量、图上勾绘等简便方法确定。在分类处置时，根据实际需要再进行测量。对指引图斑中遗漏或错误的宗地或项目，需要通过外业调查进行补充、完善。</w:t>
            </w:r>
          </w:p>
          <w:p>
            <w:pPr>
              <w:spacing w:line="40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3. 分类填表</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在外业摸排调查的基础上，根据房屋的实际用途，分类填写信息采集表，信息采集表上的内容原则都需要填写，对信息采集表上存在多项选择的内容，原则上只能选择最主要的一项。</w:t>
            </w:r>
            <w:r>
              <w:rPr>
                <w:rFonts w:hint="eastAsia" w:ascii="宋体" w:hAnsi="宋体" w:cs="宋体"/>
                <w:color w:val="000000" w:themeColor="text1"/>
                <w:u w:val="single"/>
                <w14:textFill>
                  <w14:solidFill>
                    <w14:schemeClr w14:val="tx1"/>
                  </w14:solidFill>
                </w14:textFill>
              </w:rPr>
              <w:t>信息采集表中的“填报人”由具体调查人(入户调查人员）签字，“审核人”由（村级）签字，“复核人”由（乡镇级）签字（注：填报信息采集表需三方在场）。</w:t>
            </w:r>
            <w:r>
              <w:rPr>
                <w:rFonts w:hint="eastAsia" w:ascii="宋体" w:hAnsi="宋体" w:cs="宋体"/>
                <w:color w:val="000000" w:themeColor="text1"/>
                <w14:textFill>
                  <w14:solidFill>
                    <w14:schemeClr w14:val="tx1"/>
                  </w14:solidFill>
                </w14:textFill>
              </w:rPr>
              <w:t>在信息采集表上，增加“图斑预编号”和“宗地编号”或“项目编号”项，样例详见附件。</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以信息采集表为基础，分别形成各级的住宅类、公共管理和公共服务类、产业类的农村乱占耕地建房问题工作台账。行政村、乡镇和县级的党政负责人，要在相应级别的台账上签字。</w:t>
            </w:r>
          </w:p>
          <w:p>
            <w:pPr>
              <w:spacing w:line="40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（二）统一数据汇交</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通过“国土调查云”平台向国家汇交平台上报调查摸排结果，形成统计汇总结果。</w:t>
            </w:r>
          </w:p>
          <w:p>
            <w:pPr>
              <w:spacing w:line="40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（三）建立摸排数据库</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将摸排的宗地和项目范围按照坐标信息落到最新的高分辨率遥感影像上，并根据广西壮族自治区统一确定的数据库标准，录入信息采集表中的各项属性信息，建立钟山县农村乱占耕地建房问题调查摸排数据库。</w:t>
            </w:r>
          </w:p>
          <w:p>
            <w:pPr>
              <w:spacing w:line="400" w:lineRule="exact"/>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（四）成果质量管控</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立严格的质量控制机制，充分采用公开、公示等方式，确保调查摸排结果真实、准确。每宗宅基地房屋或每个项目均要明确记录填报人、审核人、复核人等（均可多人），确保填报信息可追溯。采取多种方式，层层把关，严格检验摸排结果。对发现存在弄虚作假等问题的，要坚决予以纠正，并严肃追究相关单位负责人和直接责任人责任。</w:t>
            </w:r>
          </w:p>
          <w:p>
            <w:pPr>
              <w:spacing w:line="400" w:lineRule="exact"/>
              <w:ind w:firstLine="422" w:firstLineChars="200"/>
              <w:rPr>
                <w:rFonts w:ascii="宋体" w:hAnsi="宋体" w:cs="宋体"/>
                <w:b/>
                <w:bCs/>
                <w:color w:val="000000" w:themeColor="text1"/>
                <w14:textFill>
                  <w14:solidFill>
                    <w14:schemeClr w14:val="tx1"/>
                  </w14:solidFill>
                </w14:textFill>
              </w:rPr>
            </w:pPr>
          </w:p>
          <w:p>
            <w:pPr>
              <w:spacing w:line="40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四、图斑数量要求</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同古镇图斑数2594个。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磋商报价</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报价包含执行本项目服务所需的人工、设备、管理、交通、维护、必要的各类保险费用、利润、各项税费、政策性文件规定及合同包含的所有风险、责任等各项所有费用，采购人不再支付成交价格以外的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合同签订日期</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自成交通知书发出之日起7日内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服务时间</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2021年2月28日前，完成钟山县同古镇农村乱占耕地建房问题摸排数据库建设工作。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服务地点</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钟山县内，采购人指定地点。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成果要求</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根据《广西壮族自治区村庄规划编制技术导则（实行）》要求，完成专家评审稿，通过专家评审。不含评审修改，建立数据库等内容。（注：以自然资源部和广西壮族自治区自然资源厅国土空间总体规划编制相关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付款方式</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签订采购合同后7个工作日内采购人向成交供应商支付合同总价的20%；提交摸排成果后采购人向成交供应商支付合同总价的50%；摸排成果经采购人、市级、自治区及国家审核合格后7个工作日内一次性付清剩余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服务响应时间</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接到采购人处理问题通知后，6个小时内到达采购人指定现场，12个小时内提出解决方案，2个工作日内完成问题处理。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其他条款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其他要求</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1.摸排成果未通过采购人验收的，须在5个日历天内完成整改；未通过市级、自治区及国家审核要求的必须在规定时间内完成整改，成交人负责整改并保证在规定时间内通过所有部门审核为止。</w:t>
            </w:r>
          </w:p>
          <w:p>
            <w:pPr>
              <w:spacing w:line="360" w:lineRule="auto"/>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2.对涉及保密管理单位的房屋（含军用土地上的房屋），不得在非保密的信息系统或数据汇交平台中填报，须单独上报。</w:t>
            </w:r>
          </w:p>
          <w:p>
            <w:pPr>
              <w:spacing w:line="360" w:lineRule="auto"/>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3.对住宅类房屋的摸排要以村（组）为工作单元，充分发挥村党组织和村民自治组织的作用，通过民主决策、成果公示等方式，使摸排结果和认定情况公开、透明、准确。摸排结果和认定情况公示时间不少于10天，公示期内要拍摄公示的相关照片存档。</w:t>
            </w:r>
          </w:p>
          <w:p>
            <w:pPr>
              <w:spacing w:line="360" w:lineRule="auto"/>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4.保密要求：成交供应商须承诺严格遵守采购人保密制度要求，在项目开展过程中，对本项目所有项目信息以及接触到数据予以保密，未经采购人书面允许，不得以任何形式向第三方透露本项目的任何内容。</w:t>
            </w:r>
          </w:p>
          <w:p>
            <w:pPr>
              <w:spacing w:line="400" w:lineRule="exact"/>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5.</w:t>
            </w:r>
            <w:r>
              <w:rPr>
                <w:rFonts w:hint="eastAsia" w:ascii="宋体" w:hAnsi="宋体"/>
                <w:bCs/>
                <w:color w:val="000000" w:themeColor="text1"/>
                <w:szCs w:val="21"/>
                <w14:textFill>
                  <w14:solidFill>
                    <w14:schemeClr w14:val="tx1"/>
                  </w14:solidFill>
                </w14:textFill>
              </w:rPr>
              <w:t>本项目采购预算金额：</w:t>
            </w:r>
            <w:r>
              <w:rPr>
                <w:rFonts w:hint="eastAsia" w:ascii="宋体" w:hAnsi="宋体"/>
                <w:bCs/>
                <w:color w:val="000000" w:themeColor="text1"/>
                <w:szCs w:val="21"/>
                <w:u w:val="single"/>
                <w14:textFill>
                  <w14:solidFill>
                    <w14:schemeClr w14:val="tx1"/>
                  </w14:solidFill>
                </w14:textFill>
              </w:rPr>
              <w:t>叁拾叁万柒仟贰佰贰拾元整（￥337220.00）</w:t>
            </w:r>
            <w:r>
              <w:rPr>
                <w:rFonts w:hint="eastAsia" w:ascii="宋体" w:hAnsi="宋体"/>
                <w:bCs/>
                <w:color w:val="000000" w:themeColor="text1"/>
                <w:szCs w:val="21"/>
                <w14:textFill>
                  <w14:solidFill>
                    <w14:schemeClr w14:val="tx1"/>
                  </w14:solidFill>
                </w14:textFill>
              </w:rPr>
              <w:t>；磋商总报价超过采购预算金额的，响应文件作竞标无效处理。</w:t>
            </w:r>
          </w:p>
        </w:tc>
      </w:tr>
    </w:tbl>
    <w:p>
      <w:pPr>
        <w:rPr>
          <w:color w:val="000000" w:themeColor="text1"/>
          <w14:textFill>
            <w14:solidFill>
              <w14:schemeClr w14:val="tx1"/>
            </w14:solidFill>
          </w14:textFill>
        </w:rPr>
      </w:pPr>
    </w:p>
    <w:p>
      <w:pPr>
        <w:widowControl/>
        <w:jc w:val="left"/>
        <w:rPr>
          <w:color w:val="000000" w:themeColor="text1"/>
          <w:sz w:val="18"/>
          <w:szCs w:val="18"/>
          <w14:textFill>
            <w14:solidFill>
              <w14:schemeClr w14:val="tx1"/>
            </w14:solidFill>
          </w14:textFill>
        </w:rPr>
      </w:pPr>
      <w:r>
        <w:rPr>
          <w:color w:val="000000" w:themeColor="text1"/>
          <w14:textFill>
            <w14:solidFill>
              <w14:schemeClr w14:val="tx1"/>
            </w14:solidFill>
          </w14:textFill>
        </w:rPr>
        <w:br w:type="page"/>
      </w:r>
    </w:p>
    <w:p>
      <w:pPr>
        <w:rPr>
          <w:rFonts w:ascii="宋体" w:hAnsi="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附件：</w:t>
      </w:r>
      <w:r>
        <w:rPr>
          <w:rFonts w:ascii="宋体" w:hAnsi="宋体"/>
          <w:b/>
          <w:color w:val="000000" w:themeColor="text1"/>
          <w:szCs w:val="21"/>
          <w14:textFill>
            <w14:solidFill>
              <w14:schemeClr w14:val="tx1"/>
            </w14:solidFill>
          </w14:textFill>
        </w:rPr>
        <w:t xml:space="preserve"> </w:t>
      </w:r>
    </w:p>
    <w:tbl>
      <w:tblPr>
        <w:tblStyle w:val="27"/>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88"/>
        <w:gridCol w:w="1241"/>
        <w:gridCol w:w="1121"/>
        <w:gridCol w:w="142"/>
        <w:gridCol w:w="1226"/>
        <w:gridCol w:w="191"/>
        <w:gridCol w:w="1288"/>
        <w:gridCol w:w="413"/>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696" w:type="dxa"/>
            <w:gridSpan w:val="10"/>
            <w:tcBorders>
              <w:top w:val="nil"/>
              <w:left w:val="nil"/>
              <w:bottom w:val="nil"/>
              <w:right w:val="nil"/>
            </w:tcBorders>
            <w:vAlign w:val="bottom"/>
          </w:tcPr>
          <w:p>
            <w:pPr>
              <w:widowControl/>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696" w:type="dxa"/>
            <w:gridSpan w:val="10"/>
            <w:tcBorders>
              <w:top w:val="nil"/>
              <w:left w:val="nil"/>
              <w:bottom w:val="nil"/>
              <w:right w:val="nil"/>
            </w:tcBorders>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信息采集表</w:t>
            </w:r>
            <w:r>
              <w:rPr>
                <w:rFonts w:ascii="宋体" w:hAnsi="宋体"/>
                <w:b/>
                <w:bCs/>
                <w:color w:val="000000" w:themeColor="text1"/>
                <w:kern w:val="0"/>
                <w:szCs w:val="21"/>
                <w14:textFill>
                  <w14:solidFill>
                    <w14:schemeClr w14:val="tx1"/>
                  </w14:solidFill>
                </w14:textFill>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696" w:type="dxa"/>
            <w:gridSpan w:val="10"/>
            <w:tcBorders>
              <w:top w:val="nil"/>
              <w:left w:val="nil"/>
              <w:bottom w:val="nil"/>
              <w:right w:val="nil"/>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（住宅类）</w:t>
            </w:r>
          </w:p>
          <w:p>
            <w:pPr>
              <w:widowControl/>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图斑预编号：</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宗地编号：</w:t>
            </w:r>
            <w:r>
              <w:rPr>
                <w:rFonts w:hint="eastAsia" w:ascii="宋体" w:hAnsi="宋体" w:cs="宋体"/>
                <w:color w:val="000000" w:themeColor="text1"/>
                <w:kern w:val="0"/>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96" w:type="dxa"/>
            <w:gridSpan w:val="10"/>
            <w:tcBorders>
              <w:top w:val="nil"/>
              <w:left w:val="nil"/>
              <w:bottom w:val="single" w:color="auto" w:sz="4" w:space="0"/>
              <w:right w:val="nil"/>
            </w:tcBorders>
            <w:vAlign w:val="center"/>
          </w:tcPr>
          <w:p>
            <w:pPr>
              <w:widowControl/>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乡（镇、街道）</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村（社区）</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组</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（门牌号）</w:t>
            </w:r>
            <w:r>
              <w:rPr>
                <w:rFonts w:hint="eastAsia" w:ascii="宋体" w:hAnsi="宋体" w:cs="宋体"/>
                <w:color w:val="000000" w:themeColor="text1"/>
                <w:kern w:val="0"/>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76" w:type="dxa"/>
            <w:vMerge w:val="restart"/>
            <w:tcBorders>
              <w:top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基</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本</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信</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息</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房屋类型</w:t>
            </w:r>
          </w:p>
        </w:tc>
        <w:tc>
          <w:tcPr>
            <w:tcW w:w="7932"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单户住宅</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多户住宅（项目名称</w:t>
            </w:r>
            <w:r>
              <w:rPr>
                <w:rFonts w:ascii="宋体" w:hAnsi="宋体" w:cs="宋体"/>
                <w:color w:val="000000" w:themeColor="text1"/>
                <w:kern w:val="0"/>
                <w:szCs w:val="21"/>
                <w:u w:val="single"/>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76" w:type="dxa"/>
            <w:vMerge w:val="continue"/>
            <w:tcBorders>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建设主体</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个人姓名：</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 xml:space="preserve">     </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个人身份</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干部</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中共党员</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群众</w:t>
            </w:r>
          </w:p>
        </w:tc>
        <w:tc>
          <w:tcPr>
            <w:tcW w:w="147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是否本村</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村民</w:t>
            </w:r>
          </w:p>
        </w:tc>
        <w:tc>
          <w:tcPr>
            <w:tcW w:w="272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本村村民</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外村村民</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城镇居民</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76" w:type="dxa"/>
            <w:vMerge w:val="continue"/>
            <w:tcBorders>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932" w:type="dxa"/>
            <w:gridSpan w:val="8"/>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单位名称：</w:t>
            </w:r>
            <w:r>
              <w:rPr>
                <w:rFonts w:hint="eastAsia" w:ascii="宋体" w:hAnsi="宋体" w:cs="宋体"/>
                <w:color w:val="000000" w:themeColor="text1"/>
                <w:kern w:val="0"/>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6" w:type="dxa"/>
            <w:vMerge w:val="continue"/>
            <w:tcBorders>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土地主要来源</w:t>
            </w:r>
          </w:p>
        </w:tc>
        <w:tc>
          <w:tcPr>
            <w:tcW w:w="236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承包地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租赁</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自留地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购买</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集体自营</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流转</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建房原因</w:t>
            </w:r>
          </w:p>
        </w:tc>
        <w:tc>
          <w:tcPr>
            <w:tcW w:w="420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分户</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地质灾害搬迁</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移民搬迁</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生态整治搬迁</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异地扶贫搬迁</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76" w:type="dxa"/>
            <w:vMerge w:val="continue"/>
            <w:tcBorders>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开工时间</w:t>
            </w:r>
          </w:p>
        </w:tc>
        <w:tc>
          <w:tcPr>
            <w:tcW w:w="236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年</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房屋是否</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出售</w:t>
            </w:r>
          </w:p>
        </w:tc>
        <w:tc>
          <w:tcPr>
            <w:tcW w:w="420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否</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部分</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6" w:type="dxa"/>
            <w:vMerge w:val="restart"/>
            <w:tcBorders>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管</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信</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息</w:t>
            </w:r>
          </w:p>
        </w:tc>
        <w:tc>
          <w:tcPr>
            <w:tcW w:w="11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是否符合“一户一宅”或符合分户条件但未分户</w:t>
            </w:r>
          </w:p>
        </w:tc>
        <w:tc>
          <w:tcPr>
            <w:tcW w:w="7932"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76" w:type="dxa"/>
            <w:vMerge w:val="continue"/>
            <w:tcBorders>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否</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一户多宅的原因</w:t>
            </w:r>
          </w:p>
        </w:tc>
        <w:tc>
          <w:tcPr>
            <w:tcW w:w="557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不符合分户条件</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继承</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建新未拆旧</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赠予</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出售后再建</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购买</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纯多占</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76" w:type="dxa"/>
            <w:vMerge w:val="continue"/>
            <w:tcBorders>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24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房屋（项目）总占地面积</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（平方米）</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占用耕地面积</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（平方米）</w:t>
            </w:r>
          </w:p>
        </w:tc>
        <w:tc>
          <w:tcPr>
            <w:tcW w:w="231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6" w:type="dxa"/>
            <w:vMerge w:val="continue"/>
            <w:tcBorders>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24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占用永久基本农田面积</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（平方米）</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超出本地区宅基地标准面积</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（平方米）</w:t>
            </w:r>
          </w:p>
        </w:tc>
        <w:tc>
          <w:tcPr>
            <w:tcW w:w="231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576" w:type="dxa"/>
            <w:vMerge w:val="continue"/>
            <w:tcBorders>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占用耕地的主要类型</w:t>
            </w:r>
          </w:p>
        </w:tc>
        <w:tc>
          <w:tcPr>
            <w:tcW w:w="7932"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纯耕地</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休耕、撂荒的耕地</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应按照耕地管理的园地、林地、草地、坑塘等用地</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应按照耕地管理的设施农业用地</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应按照耕地管理的地面已硬化的乡村广场等用地</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自然资源管理部门认定为耕地，但林草管理部门认定为林地或草地的土地</w:t>
            </w:r>
          </w:p>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应按照耕地管理的可调整地类</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其他耕地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76" w:type="dxa"/>
            <w:vMerge w:val="continue"/>
            <w:tcBorders>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是否符合城乡（村庄）规划</w:t>
            </w:r>
          </w:p>
        </w:tc>
        <w:tc>
          <w:tcPr>
            <w:tcW w:w="250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未编制规划</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符合</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部分符合</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不符合</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是否符合土地利用总体规划（国土空间规划）情况</w:t>
            </w:r>
          </w:p>
        </w:tc>
        <w:tc>
          <w:tcPr>
            <w:tcW w:w="401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符合</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 xml:space="preserve">部分符合 </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76" w:type="dxa"/>
            <w:vMerge w:val="continue"/>
            <w:tcBorders>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用地手续情况</w:t>
            </w:r>
          </w:p>
        </w:tc>
        <w:tc>
          <w:tcPr>
            <w:tcW w:w="250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无手续</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手续不全</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有手续但不合规</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住建部门手续</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办理情况</w:t>
            </w:r>
          </w:p>
        </w:tc>
        <w:tc>
          <w:tcPr>
            <w:tcW w:w="401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无手续</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手续不全</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有手续但不合规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76" w:type="dxa"/>
            <w:vMerge w:val="continue"/>
            <w:tcBorders>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没有合法合规用地手续主要原因</w:t>
            </w:r>
          </w:p>
        </w:tc>
        <w:tc>
          <w:tcPr>
            <w:tcW w:w="250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未申请办理用地手续</w:t>
            </w:r>
          </w:p>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停批</w:t>
            </w:r>
          </w:p>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不符合申请条件</w:t>
            </w:r>
          </w:p>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不符合规划</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无用地计划指标</w:t>
            </w:r>
            <w:r>
              <w:rPr>
                <w:rFonts w:ascii="宋体" w:hAnsi="宋体" w:cs="宋体"/>
                <w:color w:val="000000" w:themeColor="text1"/>
                <w:kern w:val="0"/>
                <w:szCs w:val="21"/>
                <w14:textFill>
                  <w14:solidFill>
                    <w14:schemeClr w14:val="tx1"/>
                  </w14:solidFill>
                </w14:textFill>
              </w:rPr>
              <w:t></w:t>
            </w:r>
          </w:p>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未缴费</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没有合法合规住建部门手续主要原因</w:t>
            </w:r>
          </w:p>
        </w:tc>
        <w:tc>
          <w:tcPr>
            <w:tcW w:w="4011"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未申请办理住建手续</w:t>
            </w:r>
          </w:p>
          <w:p>
            <w:pPr>
              <w:widowControl/>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停批</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不符合申请条件</w:t>
            </w:r>
            <w:r>
              <w:rPr>
                <w:rFonts w:ascii="宋体" w:hAnsi="宋体" w:cs="宋体"/>
                <w:color w:val="000000" w:themeColor="text1"/>
                <w:kern w:val="0"/>
                <w:szCs w:val="21"/>
                <w14:textFill>
                  <w14:solidFill>
                    <w14:schemeClr w14:val="tx1"/>
                  </w14:solidFill>
                </w14:textFill>
              </w:rPr>
              <w:t></w:t>
            </w:r>
          </w:p>
          <w:p>
            <w:pPr>
              <w:widowControl/>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不符合规划</w:t>
            </w:r>
          </w:p>
          <w:p>
            <w:pPr>
              <w:widowControl/>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76" w:type="dxa"/>
            <w:vMerge w:val="continue"/>
            <w:tcBorders>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692" w:type="dxa"/>
            <w:gridSpan w:val="4"/>
            <w:tcBorders>
              <w:top w:val="single" w:color="auto" w:sz="4" w:space="0"/>
              <w:left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是否作出行政处罚</w:t>
            </w:r>
          </w:p>
        </w:tc>
        <w:tc>
          <w:tcPr>
            <w:tcW w:w="542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是</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76" w:type="dxa"/>
            <w:vMerge w:val="continue"/>
            <w:tcBorders>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692" w:type="dxa"/>
            <w:gridSpan w:val="4"/>
            <w:tcBorders>
              <w:left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是否申请法院强制执行</w:t>
            </w:r>
          </w:p>
        </w:tc>
        <w:tc>
          <w:tcPr>
            <w:tcW w:w="542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是</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76" w:type="dxa"/>
            <w:vMerge w:val="continue"/>
            <w:tcBorders>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692" w:type="dxa"/>
            <w:gridSpan w:val="4"/>
            <w:tcBorders>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法院是否受理</w:t>
            </w:r>
          </w:p>
        </w:tc>
        <w:tc>
          <w:tcPr>
            <w:tcW w:w="542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是</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6" w:type="dxa"/>
            <w:tcBorders>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备注（身份证号及其他补充信息）</w:t>
            </w:r>
          </w:p>
        </w:tc>
        <w:tc>
          <w:tcPr>
            <w:tcW w:w="9120"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696" w:type="dxa"/>
            <w:gridSpan w:val="10"/>
            <w:tcBorders>
              <w:top w:val="single" w:color="auto" w:sz="4" w:space="0"/>
              <w:left w:val="nil"/>
              <w:bottom w:val="nil"/>
              <w:right w:val="nil"/>
            </w:tcBorders>
            <w:vAlign w:val="center"/>
          </w:tcPr>
          <w:p>
            <w:pPr>
              <w:widowControl/>
              <w:jc w:val="left"/>
              <w:rPr>
                <w:rFonts w:ascii="宋体" w:hAnsi="宋体" w:cs="宋体"/>
                <w:color w:val="000000" w:themeColor="text1"/>
                <w:kern w:val="0"/>
                <w:szCs w:val="21"/>
                <w14:textFill>
                  <w14:solidFill>
                    <w14:schemeClr w14:val="tx1"/>
                  </w14:solidFill>
                </w14:textFill>
              </w:rPr>
            </w:pPr>
          </w:p>
          <w:p>
            <w:pPr>
              <w:widowControl/>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户主（签名、盖指印）：</w:t>
            </w:r>
            <w:r>
              <w:rPr>
                <w:rFonts w:hint="eastAsia" w:ascii="宋体" w:hAnsi="宋体" w:cs="宋体"/>
                <w:color w:val="000000" w:themeColor="text1"/>
                <w:kern w:val="0"/>
                <w:szCs w:val="21"/>
                <w:u w:val="single"/>
                <w14:textFill>
                  <w14:solidFill>
                    <w14:schemeClr w14:val="tx1"/>
                  </w14:solidFill>
                </w14:textFill>
              </w:rPr>
              <w:t xml:space="preserve">                  </w:t>
            </w:r>
          </w:p>
          <w:p>
            <w:pPr>
              <w:widowControl/>
              <w:jc w:val="left"/>
              <w:rPr>
                <w:rFonts w:ascii="宋体" w:hAnsi="宋体" w:cs="宋体"/>
                <w:color w:val="000000" w:themeColor="text1"/>
                <w:kern w:val="0"/>
                <w:szCs w:val="21"/>
                <w:u w:val="single"/>
                <w14:textFill>
                  <w14:solidFill>
                    <w14:schemeClr w14:val="tx1"/>
                  </w14:solidFill>
                </w14:textFill>
              </w:rPr>
            </w:pP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填报人（签名）： </w:t>
            </w:r>
            <w:r>
              <w:rPr>
                <w:rFonts w:hint="eastAsia" w:ascii="宋体" w:hAnsi="宋体" w:cs="宋体"/>
                <w:color w:val="000000" w:themeColor="text1"/>
                <w:kern w:val="0"/>
                <w:szCs w:val="21"/>
                <w:u w:val="single"/>
                <w14:textFill>
                  <w14:solidFill>
                    <w14:schemeClr w14:val="tx1"/>
                  </w14:solidFill>
                </w14:textFill>
              </w:rPr>
              <w:t xml:space="preserve">   入户调查人员          </w:t>
            </w:r>
            <w:r>
              <w:rPr>
                <w:rFonts w:hint="eastAsia" w:ascii="宋体" w:hAnsi="宋体" w:cs="宋体"/>
                <w:color w:val="000000" w:themeColor="text1"/>
                <w:kern w:val="0"/>
                <w:szCs w:val="21"/>
                <w14:textFill>
                  <w14:solidFill>
                    <w14:schemeClr w14:val="tx1"/>
                  </w14:solidFill>
                </w14:textFill>
              </w:rPr>
              <w:t xml:space="preserve"> </w:t>
            </w:r>
          </w:p>
          <w:p>
            <w:pPr>
              <w:widowControl/>
              <w:jc w:val="left"/>
              <w:rPr>
                <w:rFonts w:ascii="宋体" w:hAnsi="宋体" w:cs="宋体"/>
                <w:color w:val="000000" w:themeColor="text1"/>
                <w:kern w:val="0"/>
                <w:szCs w:val="21"/>
                <w14:textFill>
                  <w14:solidFill>
                    <w14:schemeClr w14:val="tx1"/>
                  </w14:solidFill>
                </w14:textFill>
              </w:rPr>
            </w:pP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审核人（签名）：</w:t>
            </w:r>
            <w:r>
              <w:rPr>
                <w:rFonts w:hint="eastAsia" w:ascii="宋体" w:hAnsi="宋体" w:cs="宋体"/>
                <w:color w:val="000000" w:themeColor="text1"/>
                <w:kern w:val="0"/>
                <w:szCs w:val="21"/>
                <w:u w:val="single"/>
                <w14:textFill>
                  <w14:solidFill>
                    <w14:schemeClr w14:val="tx1"/>
                  </w14:solidFill>
                </w14:textFill>
              </w:rPr>
              <w:t xml:space="preserve"> 村级               </w:t>
            </w:r>
            <w:r>
              <w:rPr>
                <w:rFonts w:hint="eastAsia" w:ascii="宋体" w:hAnsi="宋体" w:cs="宋体"/>
                <w:color w:val="000000" w:themeColor="text1"/>
                <w:kern w:val="0"/>
                <w:szCs w:val="21"/>
                <w14:textFill>
                  <w14:solidFill>
                    <w14:schemeClr w14:val="tx1"/>
                  </w14:solidFill>
                </w14:textFill>
              </w:rPr>
              <w:t xml:space="preserve">  </w:t>
            </w:r>
          </w:p>
          <w:p>
            <w:pPr>
              <w:widowControl/>
              <w:jc w:val="left"/>
              <w:rPr>
                <w:rFonts w:ascii="宋体" w:hAnsi="宋体" w:cs="宋体"/>
                <w:color w:val="000000" w:themeColor="text1"/>
                <w:kern w:val="0"/>
                <w:szCs w:val="21"/>
                <w14:textFill>
                  <w14:solidFill>
                    <w14:schemeClr w14:val="tx1"/>
                  </w14:solidFill>
                </w14:textFill>
              </w:rPr>
            </w:pPr>
          </w:p>
          <w:p>
            <w:pPr>
              <w:widowControl/>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复核人（签名）</w:t>
            </w:r>
            <w:r>
              <w:rPr>
                <w:rFonts w:hint="eastAsia" w:ascii="宋体" w:hAnsi="宋体" w:cs="宋体"/>
                <w:color w:val="000000" w:themeColor="text1"/>
                <w:kern w:val="0"/>
                <w:szCs w:val="21"/>
                <w:u w:val="single"/>
                <w14:textFill>
                  <w14:solidFill>
                    <w14:schemeClr w14:val="tx1"/>
                  </w14:solidFill>
                </w14:textFill>
              </w:rPr>
              <w:t xml:space="preserve">   乡镇级              </w:t>
            </w:r>
          </w:p>
          <w:p>
            <w:pPr>
              <w:pStyle w:val="2"/>
              <w:rPr>
                <w:color w:val="000000" w:themeColor="text1"/>
                <w14:textFill>
                  <w14:solidFill>
                    <w14:schemeClr w14:val="tx1"/>
                  </w14:solidFill>
                </w14:textFill>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tbl>
      <w:tblPr>
        <w:tblStyle w:val="27"/>
        <w:tblW w:w="9696" w:type="dxa"/>
        <w:jc w:val="center"/>
        <w:tblLayout w:type="fixed"/>
        <w:tblCellMar>
          <w:top w:w="0" w:type="dxa"/>
          <w:left w:w="108" w:type="dxa"/>
          <w:bottom w:w="0" w:type="dxa"/>
          <w:right w:w="108" w:type="dxa"/>
        </w:tblCellMar>
      </w:tblPr>
      <w:tblGrid>
        <w:gridCol w:w="706"/>
        <w:gridCol w:w="1577"/>
        <w:gridCol w:w="1194"/>
        <w:gridCol w:w="1358"/>
        <w:gridCol w:w="567"/>
        <w:gridCol w:w="38"/>
        <w:gridCol w:w="812"/>
        <w:gridCol w:w="135"/>
        <w:gridCol w:w="1191"/>
        <w:gridCol w:w="2118"/>
      </w:tblGrid>
      <w:tr>
        <w:tblPrEx>
          <w:tblCellMar>
            <w:top w:w="0" w:type="dxa"/>
            <w:left w:w="108" w:type="dxa"/>
            <w:bottom w:w="0" w:type="dxa"/>
            <w:right w:w="108" w:type="dxa"/>
          </w:tblCellMar>
        </w:tblPrEx>
        <w:trPr>
          <w:trHeight w:val="420" w:hRule="atLeast"/>
          <w:jc w:val="center"/>
        </w:trPr>
        <w:tc>
          <w:tcPr>
            <w:tcW w:w="9696" w:type="dxa"/>
            <w:gridSpan w:val="10"/>
            <w:tcBorders>
              <w:top w:val="nil"/>
              <w:left w:val="nil"/>
              <w:bottom w:val="nil"/>
              <w:right w:val="nil"/>
            </w:tcBorders>
            <w:vAlign w:val="center"/>
          </w:tcPr>
          <w:p>
            <w:pPr>
              <w:widowControl/>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表2</w:t>
            </w:r>
          </w:p>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信息采集表</w:t>
            </w:r>
            <w:r>
              <w:rPr>
                <w:rFonts w:ascii="宋体" w:hAnsi="宋体"/>
                <w:b/>
                <w:bCs/>
                <w:color w:val="000000" w:themeColor="text1"/>
                <w:kern w:val="0"/>
                <w:szCs w:val="21"/>
                <w14:textFill>
                  <w14:solidFill>
                    <w14:schemeClr w14:val="tx1"/>
                  </w14:solidFill>
                </w14:textFill>
              </w:rPr>
              <w:t>（示例）</w:t>
            </w:r>
          </w:p>
        </w:tc>
      </w:tr>
      <w:tr>
        <w:tblPrEx>
          <w:tblCellMar>
            <w:top w:w="0" w:type="dxa"/>
            <w:left w:w="108" w:type="dxa"/>
            <w:bottom w:w="0" w:type="dxa"/>
            <w:right w:w="108" w:type="dxa"/>
          </w:tblCellMar>
        </w:tblPrEx>
        <w:trPr>
          <w:trHeight w:val="360" w:hRule="atLeast"/>
          <w:jc w:val="center"/>
        </w:trPr>
        <w:tc>
          <w:tcPr>
            <w:tcW w:w="9696" w:type="dxa"/>
            <w:gridSpan w:val="10"/>
            <w:tcBorders>
              <w:top w:val="nil"/>
              <w:left w:val="nil"/>
              <w:bottom w:val="nil"/>
              <w:right w:val="nil"/>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（公共管理服务类）</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图斑预编号：</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宗地编号：</w:t>
            </w:r>
            <w:r>
              <w:rPr>
                <w:rFonts w:hint="eastAsia" w:ascii="宋体" w:hAnsi="宋体" w:cs="宋体"/>
                <w:color w:val="000000" w:themeColor="text1"/>
                <w:kern w:val="0"/>
                <w:szCs w:val="21"/>
                <w:u w:val="single"/>
                <w14:textFill>
                  <w14:solidFill>
                    <w14:schemeClr w14:val="tx1"/>
                  </w14:solidFill>
                </w14:textFill>
              </w:rPr>
              <w:t xml:space="preserve">               </w:t>
            </w:r>
          </w:p>
        </w:tc>
      </w:tr>
      <w:tr>
        <w:tblPrEx>
          <w:tblCellMar>
            <w:top w:w="0" w:type="dxa"/>
            <w:left w:w="108" w:type="dxa"/>
            <w:bottom w:w="0" w:type="dxa"/>
            <w:right w:w="108" w:type="dxa"/>
          </w:tblCellMar>
        </w:tblPrEx>
        <w:trPr>
          <w:trHeight w:val="402" w:hRule="atLeast"/>
          <w:jc w:val="center"/>
        </w:trPr>
        <w:tc>
          <w:tcPr>
            <w:tcW w:w="9696" w:type="dxa"/>
            <w:gridSpan w:val="10"/>
            <w:tcBorders>
              <w:top w:val="nil"/>
              <w:left w:val="nil"/>
              <w:bottom w:val="nil"/>
              <w:right w:val="nil"/>
            </w:tcBorders>
            <w:vAlign w:val="center"/>
          </w:tcPr>
          <w:p>
            <w:pPr>
              <w:widowControl/>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乡（镇、街道）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村（社区）</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组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（门牌号）</w:t>
            </w:r>
            <w:r>
              <w:rPr>
                <w:rFonts w:hint="eastAsia" w:ascii="宋体" w:hAnsi="宋体" w:cs="宋体"/>
                <w:color w:val="000000" w:themeColor="text1"/>
                <w:kern w:val="0"/>
                <w:szCs w:val="21"/>
                <w:u w:val="single"/>
                <w14:textFill>
                  <w14:solidFill>
                    <w14:schemeClr w14:val="tx1"/>
                  </w14:solidFill>
                </w14:textFill>
              </w:rPr>
              <w:t xml:space="preserve">        </w:t>
            </w:r>
          </w:p>
        </w:tc>
      </w:tr>
      <w:tr>
        <w:tblPrEx>
          <w:tblCellMar>
            <w:top w:w="0" w:type="dxa"/>
            <w:left w:w="108" w:type="dxa"/>
            <w:bottom w:w="0" w:type="dxa"/>
            <w:right w:w="108" w:type="dxa"/>
          </w:tblCellMar>
        </w:tblPrEx>
        <w:trPr>
          <w:trHeight w:val="540" w:hRule="atLeast"/>
          <w:jc w:val="center"/>
        </w:trPr>
        <w:tc>
          <w:tcPr>
            <w:tcW w:w="706"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基</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本</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信</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息</w:t>
            </w:r>
          </w:p>
        </w:tc>
        <w:tc>
          <w:tcPr>
            <w:tcW w:w="15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7413"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114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57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房屋主要</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用途</w:t>
            </w:r>
          </w:p>
        </w:tc>
        <w:tc>
          <w:tcPr>
            <w:tcW w:w="7413" w:type="dxa"/>
            <w:gridSpan w:val="8"/>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村“两委”办公用房</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学校、幼儿园等教育实施</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敬老院等养老服务设施</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图书馆、阅览室、礼堂及硬化了的公共广场等文化娱乐实施</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卫生站、垃圾处理站、公共厕所等医疗卫生实施</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祠堂、寺庙、教堂等实施</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其他</w:t>
            </w:r>
          </w:p>
        </w:tc>
      </w:tr>
      <w:tr>
        <w:tblPrEx>
          <w:tblCellMar>
            <w:top w:w="0" w:type="dxa"/>
            <w:left w:w="108" w:type="dxa"/>
            <w:bottom w:w="0" w:type="dxa"/>
            <w:right w:w="108" w:type="dxa"/>
          </w:tblCellMar>
        </w:tblPrEx>
        <w:trPr>
          <w:trHeight w:val="60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413"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96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建设主体</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名称</w:t>
            </w:r>
          </w:p>
        </w:tc>
        <w:tc>
          <w:tcPr>
            <w:tcW w:w="315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4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建设主体性质</w:t>
            </w:r>
          </w:p>
        </w:tc>
        <w:tc>
          <w:tcPr>
            <w:tcW w:w="330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集体经济组织</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其他</w:t>
            </w:r>
          </w:p>
        </w:tc>
      </w:tr>
      <w:tr>
        <w:tblPrEx>
          <w:tblCellMar>
            <w:top w:w="0" w:type="dxa"/>
            <w:left w:w="108" w:type="dxa"/>
            <w:bottom w:w="0" w:type="dxa"/>
            <w:right w:w="108" w:type="dxa"/>
          </w:tblCellMar>
        </w:tblPrEx>
        <w:trPr>
          <w:trHeight w:val="96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土地主要</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来源</w:t>
            </w:r>
          </w:p>
        </w:tc>
        <w:tc>
          <w:tcPr>
            <w:tcW w:w="7413" w:type="dxa"/>
            <w:gridSpan w:val="8"/>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集体自营土地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租赁</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购买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流转</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承包地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自留地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其他</w:t>
            </w:r>
          </w:p>
        </w:tc>
      </w:tr>
      <w:tr>
        <w:tblPrEx>
          <w:tblCellMar>
            <w:top w:w="0" w:type="dxa"/>
            <w:left w:w="108" w:type="dxa"/>
            <w:bottom w:w="0" w:type="dxa"/>
            <w:right w:w="108" w:type="dxa"/>
          </w:tblCellMar>
        </w:tblPrEx>
        <w:trPr>
          <w:trHeight w:val="96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是否扶贫</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项目</w:t>
            </w:r>
          </w:p>
        </w:tc>
        <w:tc>
          <w:tcPr>
            <w:tcW w:w="119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是</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否</w:t>
            </w:r>
          </w:p>
        </w:tc>
        <w:tc>
          <w:tcPr>
            <w:tcW w:w="19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是否上级部门</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有明确要求</w:t>
            </w:r>
          </w:p>
        </w:tc>
        <w:tc>
          <w:tcPr>
            <w:tcW w:w="4294"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是</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部门名称：</w:t>
            </w:r>
            <w:r>
              <w:rPr>
                <w:rFonts w:ascii="宋体" w:hAnsi="宋体" w:cs="宋体"/>
                <w:color w:val="000000" w:themeColor="text1"/>
                <w:kern w:val="0"/>
                <w:szCs w:val="21"/>
                <w:u w:val="single"/>
                <w14:textFill>
                  <w14:solidFill>
                    <w14:schemeClr w14:val="tx1"/>
                  </w14:solidFill>
                </w14:textFill>
              </w:rPr>
              <w:t></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否</w:t>
            </w:r>
          </w:p>
        </w:tc>
      </w:tr>
      <w:tr>
        <w:tblPrEx>
          <w:tblCellMar>
            <w:top w:w="0" w:type="dxa"/>
            <w:left w:w="108" w:type="dxa"/>
            <w:bottom w:w="0" w:type="dxa"/>
            <w:right w:w="108" w:type="dxa"/>
          </w:tblCellMar>
        </w:tblPrEx>
        <w:trPr>
          <w:trHeight w:val="78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开工时间</w:t>
            </w:r>
          </w:p>
        </w:tc>
        <w:tc>
          <w:tcPr>
            <w:tcW w:w="119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年</w:t>
            </w:r>
          </w:p>
        </w:tc>
        <w:tc>
          <w:tcPr>
            <w:tcW w:w="19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利用情况</w:t>
            </w:r>
          </w:p>
        </w:tc>
        <w:tc>
          <w:tcPr>
            <w:tcW w:w="4294"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闲置</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很少使用</w:t>
            </w:r>
            <w:r>
              <w:rPr>
                <w:rFonts w:ascii="宋体" w:hAnsi="宋体" w:cs="宋体"/>
                <w:color w:val="000000" w:themeColor="text1"/>
                <w:kern w:val="0"/>
                <w:szCs w:val="21"/>
                <w14:textFill>
                  <w14:solidFill>
                    <w14:schemeClr w14:val="tx1"/>
                  </w14:solidFill>
                </w14:textFill>
              </w:rPr>
              <w:t></w:t>
            </w:r>
          </w:p>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经常使用</w:t>
            </w:r>
          </w:p>
        </w:tc>
      </w:tr>
      <w:tr>
        <w:tblPrEx>
          <w:tblCellMar>
            <w:top w:w="0" w:type="dxa"/>
            <w:left w:w="108" w:type="dxa"/>
            <w:bottom w:w="0" w:type="dxa"/>
            <w:right w:w="108" w:type="dxa"/>
          </w:tblCellMar>
        </w:tblPrEx>
        <w:trPr>
          <w:trHeight w:val="1071" w:hRule="atLeast"/>
          <w:jc w:val="center"/>
        </w:trPr>
        <w:tc>
          <w:tcPr>
            <w:tcW w:w="7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管</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信</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息</w:t>
            </w: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项目总占用</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土地地面积</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（平方米）</w:t>
            </w:r>
          </w:p>
        </w:tc>
        <w:tc>
          <w:tcPr>
            <w:tcW w:w="119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9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占用耕地面积</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（平方米）</w:t>
            </w:r>
          </w:p>
        </w:tc>
        <w:tc>
          <w:tcPr>
            <w:tcW w:w="985"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19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占用永久基本农田面积</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（平方米）</w:t>
            </w:r>
          </w:p>
        </w:tc>
        <w:tc>
          <w:tcPr>
            <w:tcW w:w="211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204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占用耕地的</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主要类型</w:t>
            </w:r>
          </w:p>
        </w:tc>
        <w:tc>
          <w:tcPr>
            <w:tcW w:w="7413"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纯耕地</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休耕、撂荒的耕地</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应按照耕地管理的园地、林地、草地、坑塘等用地</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应按照耕地管理的设施农业用地</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应按照耕地管理的地面已硬化的乡村广场等用地</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自然资源管理部门认定为耕地，但林草管理部门认定为林地或草地的土地</w:t>
            </w:r>
          </w:p>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应按照耕地管理的可调整地类</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其他耕地</w:t>
            </w:r>
          </w:p>
        </w:tc>
      </w:tr>
      <w:tr>
        <w:tblPrEx>
          <w:tblCellMar>
            <w:top w:w="0" w:type="dxa"/>
            <w:left w:w="108" w:type="dxa"/>
            <w:bottom w:w="0" w:type="dxa"/>
            <w:right w:w="108" w:type="dxa"/>
          </w:tblCellMar>
        </w:tblPrEx>
        <w:trPr>
          <w:trHeight w:val="126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5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是否符合城乡（村庄）规划</w:t>
            </w:r>
          </w:p>
        </w:tc>
        <w:tc>
          <w:tcPr>
            <w:tcW w:w="2552"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未编制划</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符合</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部分符合</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不符合</w:t>
            </w:r>
          </w:p>
        </w:tc>
        <w:tc>
          <w:tcPr>
            <w:tcW w:w="1417"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是否符合土地利用总体规划（国土空间规划）情况</w:t>
            </w:r>
          </w:p>
        </w:tc>
        <w:tc>
          <w:tcPr>
            <w:tcW w:w="3444"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符合</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 xml:space="preserve">部分符合 </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不符合</w:t>
            </w:r>
          </w:p>
        </w:tc>
      </w:tr>
      <w:tr>
        <w:tblPrEx>
          <w:tblCellMar>
            <w:top w:w="0" w:type="dxa"/>
            <w:left w:w="108" w:type="dxa"/>
            <w:bottom w:w="0" w:type="dxa"/>
            <w:right w:w="108" w:type="dxa"/>
          </w:tblCellMar>
        </w:tblPrEx>
        <w:trPr>
          <w:trHeight w:val="126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5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用地手续情况</w:t>
            </w:r>
          </w:p>
        </w:tc>
        <w:tc>
          <w:tcPr>
            <w:tcW w:w="2552"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无手续</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手续不全</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有手续但不合规</w:t>
            </w:r>
          </w:p>
        </w:tc>
        <w:tc>
          <w:tcPr>
            <w:tcW w:w="1417"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住建部门手续</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办理情况</w:t>
            </w:r>
          </w:p>
        </w:tc>
        <w:tc>
          <w:tcPr>
            <w:tcW w:w="3444"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无手续</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手续不全</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有手续但不合规</w:t>
            </w:r>
          </w:p>
        </w:tc>
      </w:tr>
      <w:tr>
        <w:tblPrEx>
          <w:tblCellMar>
            <w:top w:w="0" w:type="dxa"/>
            <w:left w:w="108" w:type="dxa"/>
            <w:bottom w:w="0" w:type="dxa"/>
            <w:right w:w="108" w:type="dxa"/>
          </w:tblCellMar>
        </w:tblPrEx>
        <w:trPr>
          <w:trHeight w:val="126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5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没有合法合规用地手续主要原因</w:t>
            </w:r>
          </w:p>
        </w:tc>
        <w:tc>
          <w:tcPr>
            <w:tcW w:w="2552"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未申请办理用地手续</w:t>
            </w:r>
          </w:p>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不符合规划</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不符合申请条件</w:t>
            </w:r>
            <w:r>
              <w:rPr>
                <w:rFonts w:ascii="宋体" w:hAnsi="宋体" w:cs="宋体"/>
                <w:color w:val="000000" w:themeColor="text1"/>
                <w:kern w:val="0"/>
                <w:szCs w:val="21"/>
                <w14:textFill>
                  <w14:solidFill>
                    <w14:schemeClr w14:val="tx1"/>
                  </w14:solidFill>
                </w14:textFill>
              </w:rPr>
              <w:t></w:t>
            </w:r>
          </w:p>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未缴费</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无用地计划指标</w:t>
            </w:r>
            <w:r>
              <w:rPr>
                <w:rFonts w:ascii="宋体" w:hAnsi="宋体" w:cs="宋体"/>
                <w:color w:val="000000" w:themeColor="text1"/>
                <w:kern w:val="0"/>
                <w:szCs w:val="21"/>
                <w14:textFill>
                  <w14:solidFill>
                    <w14:schemeClr w14:val="tx1"/>
                  </w14:solidFill>
                </w14:textFill>
              </w:rPr>
              <w:t></w:t>
            </w:r>
          </w:p>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其他</w:t>
            </w:r>
          </w:p>
        </w:tc>
        <w:tc>
          <w:tcPr>
            <w:tcW w:w="141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没有合法合规住建部门手续主要原因</w:t>
            </w:r>
          </w:p>
        </w:tc>
        <w:tc>
          <w:tcPr>
            <w:tcW w:w="3444"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未申请办理住建手续</w:t>
            </w:r>
            <w:r>
              <w:rPr>
                <w:rFonts w:ascii="宋体" w:hAnsi="宋体" w:cs="宋体"/>
                <w:color w:val="000000" w:themeColor="text1"/>
                <w:kern w:val="0"/>
                <w:szCs w:val="21"/>
                <w14:textFill>
                  <w14:solidFill>
                    <w14:schemeClr w14:val="tx1"/>
                  </w14:solidFill>
                </w14:textFill>
              </w:rPr>
              <w:t></w:t>
            </w:r>
          </w:p>
          <w:p>
            <w:pPr>
              <w:widowControl/>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不符合规划</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不符合申请条件</w:t>
            </w:r>
            <w:r>
              <w:rPr>
                <w:rFonts w:ascii="宋体" w:hAnsi="宋体" w:cs="宋体"/>
                <w:color w:val="000000" w:themeColor="text1"/>
                <w:kern w:val="0"/>
                <w:szCs w:val="21"/>
                <w14:textFill>
                  <w14:solidFill>
                    <w14:schemeClr w14:val="tx1"/>
                  </w14:solidFill>
                </w14:textFill>
              </w:rPr>
              <w:t></w:t>
            </w:r>
          </w:p>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未缴费</w:t>
            </w:r>
          </w:p>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其他</w:t>
            </w:r>
          </w:p>
        </w:tc>
      </w:tr>
      <w:tr>
        <w:tblPrEx>
          <w:tblCellMar>
            <w:top w:w="0" w:type="dxa"/>
            <w:left w:w="108" w:type="dxa"/>
            <w:bottom w:w="0" w:type="dxa"/>
            <w:right w:w="108" w:type="dxa"/>
          </w:tblCellMar>
        </w:tblPrEx>
        <w:trPr>
          <w:trHeight w:val="66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129" w:type="dxa"/>
            <w:gridSpan w:val="3"/>
            <w:tcBorders>
              <w:top w:val="single" w:color="auto" w:sz="4" w:space="0"/>
              <w:left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是否作出行政处罚</w:t>
            </w:r>
          </w:p>
        </w:tc>
        <w:tc>
          <w:tcPr>
            <w:tcW w:w="4861"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是</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否</w:t>
            </w:r>
          </w:p>
        </w:tc>
      </w:tr>
      <w:tr>
        <w:tblPrEx>
          <w:tblCellMar>
            <w:top w:w="0" w:type="dxa"/>
            <w:left w:w="108" w:type="dxa"/>
            <w:bottom w:w="0" w:type="dxa"/>
            <w:right w:w="108" w:type="dxa"/>
          </w:tblCellMar>
        </w:tblPrEx>
        <w:trPr>
          <w:trHeight w:val="66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129" w:type="dxa"/>
            <w:gridSpan w:val="3"/>
            <w:tcBorders>
              <w:left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是否申请法院强制执行</w:t>
            </w:r>
          </w:p>
        </w:tc>
        <w:tc>
          <w:tcPr>
            <w:tcW w:w="4861"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是</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否</w:t>
            </w:r>
          </w:p>
        </w:tc>
      </w:tr>
      <w:tr>
        <w:tblPrEx>
          <w:tblCellMar>
            <w:top w:w="0" w:type="dxa"/>
            <w:left w:w="108" w:type="dxa"/>
            <w:bottom w:w="0" w:type="dxa"/>
            <w:right w:w="108" w:type="dxa"/>
          </w:tblCellMar>
        </w:tblPrEx>
        <w:trPr>
          <w:trHeight w:val="48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4129" w:type="dxa"/>
            <w:gridSpan w:val="3"/>
            <w:tcBorders>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法院是否受理</w:t>
            </w:r>
          </w:p>
        </w:tc>
        <w:tc>
          <w:tcPr>
            <w:tcW w:w="4861"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是</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否</w:t>
            </w:r>
          </w:p>
        </w:tc>
      </w:tr>
      <w:tr>
        <w:tblPrEx>
          <w:tblCellMar>
            <w:top w:w="0" w:type="dxa"/>
            <w:left w:w="108" w:type="dxa"/>
            <w:bottom w:w="0" w:type="dxa"/>
            <w:right w:w="108" w:type="dxa"/>
          </w:tblCellMar>
        </w:tblPrEx>
        <w:trPr>
          <w:trHeight w:val="480" w:hRule="atLeast"/>
          <w:jc w:val="center"/>
        </w:trPr>
        <w:tc>
          <w:tcPr>
            <w:tcW w:w="70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备注（身份证号及其他补充信息）</w:t>
            </w:r>
          </w:p>
          <w:p>
            <w:pPr>
              <w:widowControl/>
              <w:rPr>
                <w:rFonts w:ascii="宋体" w:hAnsi="宋体" w:cs="宋体"/>
                <w:color w:val="000000" w:themeColor="text1"/>
                <w:kern w:val="0"/>
                <w:szCs w:val="21"/>
                <w14:textFill>
                  <w14:solidFill>
                    <w14:schemeClr w14:val="tx1"/>
                  </w14:solidFill>
                </w14:textFill>
              </w:rPr>
            </w:pPr>
          </w:p>
        </w:tc>
        <w:tc>
          <w:tcPr>
            <w:tcW w:w="899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739" w:hRule="atLeast"/>
          <w:jc w:val="center"/>
        </w:trPr>
        <w:tc>
          <w:tcPr>
            <w:tcW w:w="9696" w:type="dxa"/>
            <w:gridSpan w:val="10"/>
            <w:tcBorders>
              <w:top w:val="nil"/>
              <w:left w:val="nil"/>
              <w:bottom w:val="nil"/>
              <w:right w:val="nil"/>
            </w:tcBorders>
            <w:vAlign w:val="center"/>
          </w:tcPr>
          <w:p>
            <w:pPr>
              <w:widowControl/>
              <w:jc w:val="left"/>
              <w:rPr>
                <w:rFonts w:ascii="宋体" w:hAnsi="宋体" w:cs="宋体"/>
                <w:color w:val="000000" w:themeColor="text1"/>
                <w:kern w:val="0"/>
                <w:szCs w:val="21"/>
                <w14:textFill>
                  <w14:solidFill>
                    <w14:schemeClr w14:val="tx1"/>
                  </w14:solidFill>
                </w14:textFill>
              </w:rPr>
            </w:pPr>
          </w:p>
          <w:p>
            <w:pPr>
              <w:widowControl/>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户主（签名、盖指印）：</w:t>
            </w:r>
            <w:r>
              <w:rPr>
                <w:rFonts w:hint="eastAsia" w:ascii="宋体" w:hAnsi="宋体" w:cs="宋体"/>
                <w:color w:val="000000" w:themeColor="text1"/>
                <w:kern w:val="0"/>
                <w:szCs w:val="21"/>
                <w:u w:val="single"/>
                <w14:textFill>
                  <w14:solidFill>
                    <w14:schemeClr w14:val="tx1"/>
                  </w14:solidFill>
                </w14:textFill>
              </w:rPr>
              <w:t xml:space="preserve">                  </w:t>
            </w:r>
          </w:p>
          <w:p>
            <w:pPr>
              <w:widowControl/>
              <w:jc w:val="left"/>
              <w:rPr>
                <w:rFonts w:ascii="宋体" w:hAnsi="宋体" w:cs="宋体"/>
                <w:color w:val="000000" w:themeColor="text1"/>
                <w:kern w:val="0"/>
                <w:szCs w:val="21"/>
                <w:u w:val="single"/>
                <w14:textFill>
                  <w14:solidFill>
                    <w14:schemeClr w14:val="tx1"/>
                  </w14:solidFill>
                </w14:textFill>
              </w:rPr>
            </w:pP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填报人（签名）： </w:t>
            </w:r>
            <w:r>
              <w:rPr>
                <w:rFonts w:hint="eastAsia" w:ascii="宋体" w:hAnsi="宋体" w:cs="宋体"/>
                <w:color w:val="000000" w:themeColor="text1"/>
                <w:kern w:val="0"/>
                <w:szCs w:val="21"/>
                <w:u w:val="single"/>
                <w14:textFill>
                  <w14:solidFill>
                    <w14:schemeClr w14:val="tx1"/>
                  </w14:solidFill>
                </w14:textFill>
              </w:rPr>
              <w:t xml:space="preserve">   入户调查人员          </w:t>
            </w:r>
            <w:r>
              <w:rPr>
                <w:rFonts w:hint="eastAsia" w:ascii="宋体" w:hAnsi="宋体" w:cs="宋体"/>
                <w:color w:val="000000" w:themeColor="text1"/>
                <w:kern w:val="0"/>
                <w:szCs w:val="21"/>
                <w14:textFill>
                  <w14:solidFill>
                    <w14:schemeClr w14:val="tx1"/>
                  </w14:solidFill>
                </w14:textFill>
              </w:rPr>
              <w:t xml:space="preserve"> </w:t>
            </w:r>
          </w:p>
          <w:p>
            <w:pPr>
              <w:widowControl/>
              <w:jc w:val="left"/>
              <w:rPr>
                <w:rFonts w:ascii="宋体" w:hAnsi="宋体" w:cs="宋体"/>
                <w:color w:val="000000" w:themeColor="text1"/>
                <w:kern w:val="0"/>
                <w:szCs w:val="21"/>
                <w14:textFill>
                  <w14:solidFill>
                    <w14:schemeClr w14:val="tx1"/>
                  </w14:solidFill>
                </w14:textFill>
              </w:rPr>
            </w:pP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审核人（签名）：</w:t>
            </w:r>
            <w:r>
              <w:rPr>
                <w:rFonts w:hint="eastAsia" w:ascii="宋体" w:hAnsi="宋体" w:cs="宋体"/>
                <w:color w:val="000000" w:themeColor="text1"/>
                <w:kern w:val="0"/>
                <w:szCs w:val="21"/>
                <w:u w:val="single"/>
                <w14:textFill>
                  <w14:solidFill>
                    <w14:schemeClr w14:val="tx1"/>
                  </w14:solidFill>
                </w14:textFill>
              </w:rPr>
              <w:t xml:space="preserve"> 村级               </w:t>
            </w:r>
            <w:r>
              <w:rPr>
                <w:rFonts w:hint="eastAsia" w:ascii="宋体" w:hAnsi="宋体" w:cs="宋体"/>
                <w:color w:val="000000" w:themeColor="text1"/>
                <w:kern w:val="0"/>
                <w:szCs w:val="21"/>
                <w14:textFill>
                  <w14:solidFill>
                    <w14:schemeClr w14:val="tx1"/>
                  </w14:solidFill>
                </w14:textFill>
              </w:rPr>
              <w:t xml:space="preserve">  </w:t>
            </w:r>
          </w:p>
          <w:p>
            <w:pPr>
              <w:widowControl/>
              <w:jc w:val="left"/>
              <w:rPr>
                <w:rFonts w:ascii="宋体" w:hAnsi="宋体" w:cs="宋体"/>
                <w:color w:val="000000" w:themeColor="text1"/>
                <w:kern w:val="0"/>
                <w:szCs w:val="21"/>
                <w14:textFill>
                  <w14:solidFill>
                    <w14:schemeClr w14:val="tx1"/>
                  </w14:solidFill>
                </w14:textFill>
              </w:rPr>
            </w:pP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复核人（签名）</w:t>
            </w:r>
            <w:r>
              <w:rPr>
                <w:rFonts w:hint="eastAsia" w:ascii="宋体" w:hAnsi="宋体" w:cs="宋体"/>
                <w:color w:val="000000" w:themeColor="text1"/>
                <w:kern w:val="0"/>
                <w:szCs w:val="21"/>
                <w:u w:val="single"/>
                <w14:textFill>
                  <w14:solidFill>
                    <w14:schemeClr w14:val="tx1"/>
                  </w14:solidFill>
                </w14:textFill>
              </w:rPr>
              <w:t xml:space="preserve">   乡镇级              </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widowControl/>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tbl>
      <w:tblPr>
        <w:tblStyle w:val="27"/>
        <w:tblW w:w="9756" w:type="dxa"/>
        <w:jc w:val="center"/>
        <w:tblLayout w:type="fixed"/>
        <w:tblCellMar>
          <w:top w:w="0" w:type="dxa"/>
          <w:left w:w="108" w:type="dxa"/>
          <w:bottom w:w="0" w:type="dxa"/>
          <w:right w:w="108" w:type="dxa"/>
        </w:tblCellMar>
      </w:tblPr>
      <w:tblGrid>
        <w:gridCol w:w="576"/>
        <w:gridCol w:w="1528"/>
        <w:gridCol w:w="793"/>
        <w:gridCol w:w="1380"/>
        <w:gridCol w:w="996"/>
        <w:gridCol w:w="379"/>
        <w:gridCol w:w="2667"/>
        <w:gridCol w:w="1437"/>
      </w:tblGrid>
      <w:tr>
        <w:tblPrEx>
          <w:tblCellMar>
            <w:top w:w="0" w:type="dxa"/>
            <w:left w:w="108" w:type="dxa"/>
            <w:bottom w:w="0" w:type="dxa"/>
            <w:right w:w="108" w:type="dxa"/>
          </w:tblCellMar>
        </w:tblPrEx>
        <w:trPr>
          <w:trHeight w:val="1212" w:hRule="atLeast"/>
          <w:jc w:val="center"/>
        </w:trPr>
        <w:tc>
          <w:tcPr>
            <w:tcW w:w="9756" w:type="dxa"/>
            <w:gridSpan w:val="8"/>
            <w:tcBorders>
              <w:top w:val="nil"/>
              <w:left w:val="nil"/>
              <w:bottom w:val="nil"/>
              <w:right w:val="nil"/>
            </w:tcBorders>
            <w:vAlign w:val="center"/>
          </w:tcPr>
          <w:p>
            <w:pPr>
              <w:widowControl/>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表3</w:t>
            </w:r>
          </w:p>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信息采集表</w:t>
            </w:r>
            <w:r>
              <w:rPr>
                <w:rFonts w:ascii="宋体" w:hAnsi="宋体"/>
                <w:b/>
                <w:bCs/>
                <w:color w:val="000000" w:themeColor="text1"/>
                <w:kern w:val="0"/>
                <w:szCs w:val="21"/>
                <w14:textFill>
                  <w14:solidFill>
                    <w14:schemeClr w14:val="tx1"/>
                  </w14:solidFill>
                </w14:textFill>
              </w:rPr>
              <w:t>（示例）</w:t>
            </w:r>
          </w:p>
        </w:tc>
      </w:tr>
      <w:tr>
        <w:tblPrEx>
          <w:tblCellMar>
            <w:top w:w="0" w:type="dxa"/>
            <w:left w:w="108" w:type="dxa"/>
            <w:bottom w:w="0" w:type="dxa"/>
            <w:right w:w="108" w:type="dxa"/>
          </w:tblCellMar>
        </w:tblPrEx>
        <w:trPr>
          <w:trHeight w:val="360" w:hRule="atLeast"/>
          <w:jc w:val="center"/>
        </w:trPr>
        <w:tc>
          <w:tcPr>
            <w:tcW w:w="9756" w:type="dxa"/>
            <w:gridSpan w:val="8"/>
            <w:tcBorders>
              <w:top w:val="nil"/>
              <w:left w:val="nil"/>
              <w:bottom w:val="nil"/>
              <w:right w:val="nil"/>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（产业类）</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图斑预编号：</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宗地编号：</w:t>
            </w:r>
            <w:r>
              <w:rPr>
                <w:rFonts w:hint="eastAsia" w:ascii="宋体" w:hAnsi="宋体" w:cs="宋体"/>
                <w:color w:val="000000" w:themeColor="text1"/>
                <w:kern w:val="0"/>
                <w:szCs w:val="21"/>
                <w:u w:val="single"/>
                <w14:textFill>
                  <w14:solidFill>
                    <w14:schemeClr w14:val="tx1"/>
                  </w14:solidFill>
                </w14:textFill>
              </w:rPr>
              <w:t xml:space="preserve">               </w:t>
            </w:r>
          </w:p>
        </w:tc>
      </w:tr>
      <w:tr>
        <w:tblPrEx>
          <w:tblCellMar>
            <w:top w:w="0" w:type="dxa"/>
            <w:left w:w="108" w:type="dxa"/>
            <w:bottom w:w="0" w:type="dxa"/>
            <w:right w:w="108" w:type="dxa"/>
          </w:tblCellMar>
        </w:tblPrEx>
        <w:trPr>
          <w:trHeight w:val="402" w:hRule="atLeast"/>
          <w:jc w:val="center"/>
        </w:trPr>
        <w:tc>
          <w:tcPr>
            <w:tcW w:w="9756" w:type="dxa"/>
            <w:gridSpan w:val="8"/>
            <w:tcBorders>
              <w:top w:val="nil"/>
              <w:left w:val="nil"/>
              <w:bottom w:val="single" w:color="auto" w:sz="4" w:space="0"/>
              <w:right w:val="nil"/>
            </w:tcBorders>
            <w:vAlign w:val="center"/>
          </w:tcPr>
          <w:p>
            <w:pPr>
              <w:widowControl/>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乡（镇、街道）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村（社区）</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组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（门牌号）</w:t>
            </w:r>
            <w:r>
              <w:rPr>
                <w:rFonts w:hint="eastAsia" w:ascii="宋体" w:hAnsi="宋体" w:cs="宋体"/>
                <w:color w:val="000000" w:themeColor="text1"/>
                <w:kern w:val="0"/>
                <w:szCs w:val="21"/>
                <w:u w:val="single"/>
                <w14:textFill>
                  <w14:solidFill>
                    <w14:schemeClr w14:val="tx1"/>
                  </w14:solidFill>
                </w14:textFill>
              </w:rPr>
              <w:t xml:space="preserve">        </w:t>
            </w:r>
          </w:p>
        </w:tc>
      </w:tr>
      <w:tr>
        <w:tblPrEx>
          <w:tblCellMar>
            <w:top w:w="0" w:type="dxa"/>
            <w:left w:w="108" w:type="dxa"/>
            <w:bottom w:w="0" w:type="dxa"/>
            <w:right w:w="108" w:type="dxa"/>
          </w:tblCellMar>
        </w:tblPrEx>
        <w:trPr>
          <w:trHeight w:val="702"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基</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本</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信</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息</w:t>
            </w: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7652"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78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房屋主要</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用途</w:t>
            </w:r>
          </w:p>
        </w:tc>
        <w:tc>
          <w:tcPr>
            <w:tcW w:w="7652" w:type="dxa"/>
            <w:gridSpan w:val="6"/>
            <w:tcBorders>
              <w:top w:val="single" w:color="auto" w:sz="4" w:space="0"/>
              <w:left w:val="nil"/>
              <w:bottom w:val="single" w:color="auto" w:sz="4" w:space="0"/>
              <w:right w:val="single" w:color="auto" w:sz="4" w:space="0"/>
            </w:tcBorders>
            <w:vAlign w:val="bottom"/>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农产品加工</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其他工业生产</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仓储物流</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旅游</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商业</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其他</w:t>
            </w:r>
          </w:p>
        </w:tc>
      </w:tr>
      <w:tr>
        <w:tblPrEx>
          <w:tblCellMar>
            <w:top w:w="0" w:type="dxa"/>
            <w:left w:w="108" w:type="dxa"/>
            <w:bottom w:w="0" w:type="dxa"/>
            <w:right w:w="108" w:type="dxa"/>
          </w:tblCellMar>
        </w:tblPrEx>
        <w:trPr>
          <w:trHeight w:val="96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建设主体</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名称</w:t>
            </w:r>
          </w:p>
        </w:tc>
        <w:tc>
          <w:tcPr>
            <w:tcW w:w="7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37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建设主体性质</w:t>
            </w:r>
          </w:p>
        </w:tc>
        <w:tc>
          <w:tcPr>
            <w:tcW w:w="448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集体经济组织</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国有企业</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私人企业</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个人</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其他</w:t>
            </w:r>
          </w:p>
        </w:tc>
      </w:tr>
      <w:tr>
        <w:tblPrEx>
          <w:tblCellMar>
            <w:top w:w="0" w:type="dxa"/>
            <w:left w:w="108" w:type="dxa"/>
            <w:bottom w:w="0" w:type="dxa"/>
            <w:right w:w="108" w:type="dxa"/>
          </w:tblCellMar>
        </w:tblPrEx>
        <w:trPr>
          <w:trHeight w:val="96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土地主要</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来源</w:t>
            </w:r>
          </w:p>
        </w:tc>
        <w:tc>
          <w:tcPr>
            <w:tcW w:w="7652"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集体自营土地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租赁</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购买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流转</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承包地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自留地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作价入股</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其他</w:t>
            </w:r>
          </w:p>
        </w:tc>
      </w:tr>
      <w:tr>
        <w:tblPrEx>
          <w:tblCellMar>
            <w:top w:w="0" w:type="dxa"/>
            <w:left w:w="108" w:type="dxa"/>
            <w:bottom w:w="0" w:type="dxa"/>
            <w:right w:w="108" w:type="dxa"/>
          </w:tblCellMar>
        </w:tblPrEx>
        <w:trPr>
          <w:trHeight w:val="96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是否扶贫</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项目</w:t>
            </w:r>
          </w:p>
        </w:tc>
        <w:tc>
          <w:tcPr>
            <w:tcW w:w="217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是</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否</w:t>
            </w:r>
          </w:p>
        </w:tc>
        <w:tc>
          <w:tcPr>
            <w:tcW w:w="13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是否上级部门有明确要求</w:t>
            </w:r>
          </w:p>
        </w:tc>
        <w:tc>
          <w:tcPr>
            <w:tcW w:w="41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是</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部门名称：</w:t>
            </w:r>
            <w:r>
              <w:rPr>
                <w:rFonts w:ascii="宋体" w:hAnsi="宋体" w:cs="宋体"/>
                <w:color w:val="000000" w:themeColor="text1"/>
                <w:kern w:val="0"/>
                <w:szCs w:val="21"/>
                <w:u w:val="single"/>
                <w14:textFill>
                  <w14:solidFill>
                    <w14:schemeClr w14:val="tx1"/>
                  </w14:solidFill>
                </w14:textFill>
              </w:rPr>
              <w:t></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否</w:t>
            </w:r>
          </w:p>
        </w:tc>
      </w:tr>
      <w:tr>
        <w:tblPrEx>
          <w:tblCellMar>
            <w:top w:w="0" w:type="dxa"/>
            <w:left w:w="108" w:type="dxa"/>
            <w:bottom w:w="0" w:type="dxa"/>
            <w:right w:w="108" w:type="dxa"/>
          </w:tblCellMar>
        </w:tblPrEx>
        <w:trPr>
          <w:trHeight w:val="78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5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开工时间</w:t>
            </w:r>
          </w:p>
        </w:tc>
        <w:tc>
          <w:tcPr>
            <w:tcW w:w="217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年</w:t>
            </w:r>
          </w:p>
        </w:tc>
        <w:tc>
          <w:tcPr>
            <w:tcW w:w="404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与本村农产品的生产、加工、销售等是否直接相关</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是</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否</w:t>
            </w:r>
          </w:p>
        </w:tc>
      </w:tr>
      <w:tr>
        <w:tblPrEx>
          <w:tblCellMar>
            <w:top w:w="0" w:type="dxa"/>
            <w:left w:w="108" w:type="dxa"/>
            <w:bottom w:w="0" w:type="dxa"/>
            <w:right w:w="108" w:type="dxa"/>
          </w:tblCellMar>
        </w:tblPrEx>
        <w:trPr>
          <w:trHeight w:val="840"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项目总占用</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土地地面积</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（平方米）</w:t>
            </w:r>
          </w:p>
        </w:tc>
        <w:tc>
          <w:tcPr>
            <w:tcW w:w="79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占用耕地面积（平方米）</w:t>
            </w:r>
          </w:p>
        </w:tc>
        <w:tc>
          <w:tcPr>
            <w:tcW w:w="137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6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占用永久基本农田面积（平方米）</w:t>
            </w:r>
          </w:p>
        </w:tc>
        <w:tc>
          <w:tcPr>
            <w:tcW w:w="143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210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占用耕地的</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主要类型</w:t>
            </w:r>
          </w:p>
        </w:tc>
        <w:tc>
          <w:tcPr>
            <w:tcW w:w="7652"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纯耕地</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休耕、撂荒的耕地</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应按照耕地管理的园地、林地、草地、坑塘等用地</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应按照耕地管理的设施农业用地</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应按照耕地管理的地面已硬化的乡村广场等用地</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自然资源管理部门认定为耕地，但林草管理部门认定为林地或草地的土地</w:t>
            </w:r>
          </w:p>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应按照耕地管理的可调整地类</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其他耕地</w:t>
            </w:r>
          </w:p>
        </w:tc>
      </w:tr>
      <w:tr>
        <w:tblPrEx>
          <w:tblCellMar>
            <w:top w:w="0" w:type="dxa"/>
            <w:left w:w="108" w:type="dxa"/>
            <w:bottom w:w="0" w:type="dxa"/>
            <w:right w:w="108" w:type="dxa"/>
          </w:tblCellMar>
        </w:tblPrEx>
        <w:trPr>
          <w:trHeight w:val="1302"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是否符合城乡（村庄）规划</w:t>
            </w:r>
          </w:p>
        </w:tc>
        <w:tc>
          <w:tcPr>
            <w:tcW w:w="217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未编制规划</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符合</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部分符合</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不符合</w:t>
            </w:r>
          </w:p>
        </w:tc>
        <w:tc>
          <w:tcPr>
            <w:tcW w:w="137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是否符合土地利用总体规划（国土空间规划）情况</w:t>
            </w:r>
          </w:p>
        </w:tc>
        <w:tc>
          <w:tcPr>
            <w:tcW w:w="41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符合</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 xml:space="preserve">部分符合 </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不符合</w:t>
            </w:r>
          </w:p>
        </w:tc>
      </w:tr>
      <w:tr>
        <w:tblPrEx>
          <w:tblCellMar>
            <w:top w:w="0" w:type="dxa"/>
            <w:left w:w="108" w:type="dxa"/>
            <w:bottom w:w="0" w:type="dxa"/>
            <w:right w:w="108" w:type="dxa"/>
          </w:tblCellMar>
        </w:tblPrEx>
        <w:trPr>
          <w:trHeight w:val="1302"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用地手续情况</w:t>
            </w:r>
          </w:p>
        </w:tc>
        <w:tc>
          <w:tcPr>
            <w:tcW w:w="217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无手续</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手续不全</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有手续但不合规</w:t>
            </w:r>
          </w:p>
        </w:tc>
        <w:tc>
          <w:tcPr>
            <w:tcW w:w="137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住建部门手续</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办理情况</w:t>
            </w:r>
          </w:p>
        </w:tc>
        <w:tc>
          <w:tcPr>
            <w:tcW w:w="41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无手续</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手续不全</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有手续但不合规</w:t>
            </w:r>
          </w:p>
        </w:tc>
      </w:tr>
      <w:tr>
        <w:tblPrEx>
          <w:tblCellMar>
            <w:top w:w="0" w:type="dxa"/>
            <w:left w:w="108" w:type="dxa"/>
            <w:bottom w:w="0" w:type="dxa"/>
            <w:right w:w="108" w:type="dxa"/>
          </w:tblCellMar>
        </w:tblPrEx>
        <w:trPr>
          <w:trHeight w:val="1302"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没有合法合规用地手续主要原因</w:t>
            </w:r>
          </w:p>
        </w:tc>
        <w:tc>
          <w:tcPr>
            <w:tcW w:w="217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未申请办理用地手续</w:t>
            </w:r>
            <w:r>
              <w:rPr>
                <w:rFonts w:ascii="宋体" w:hAnsi="宋体" w:cs="宋体"/>
                <w:color w:val="000000" w:themeColor="text1"/>
                <w:kern w:val="0"/>
                <w:szCs w:val="21"/>
                <w14:textFill>
                  <w14:solidFill>
                    <w14:schemeClr w14:val="tx1"/>
                  </w14:solidFill>
                </w14:textFill>
              </w:rPr>
              <w:sym w:font="Wingdings 2" w:char="0052"/>
            </w:r>
            <w:r>
              <w:rPr>
                <w:rFonts w:hint="eastAsia" w:ascii="宋体" w:hAnsi="宋体" w:cs="宋体"/>
                <w:color w:val="000000" w:themeColor="text1"/>
                <w:kern w:val="0"/>
                <w:szCs w:val="21"/>
                <w14:textFill>
                  <w14:solidFill>
                    <w14:schemeClr w14:val="tx1"/>
                  </w14:solidFill>
                </w14:textFill>
              </w:rPr>
              <w:t>不符合规划</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不符合申请条件</w:t>
            </w:r>
            <w:r>
              <w:rPr>
                <w:rFonts w:ascii="宋体" w:hAnsi="宋体" w:cs="宋体"/>
                <w:color w:val="000000" w:themeColor="text1"/>
                <w:kern w:val="0"/>
                <w:szCs w:val="21"/>
                <w14:textFill>
                  <w14:solidFill>
                    <w14:schemeClr w14:val="tx1"/>
                  </w14:solidFill>
                </w14:textFill>
              </w:rPr>
              <w:t></w:t>
            </w:r>
          </w:p>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未缴费</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无用地计划指标</w:t>
            </w:r>
            <w:r>
              <w:rPr>
                <w:rFonts w:ascii="宋体" w:hAnsi="宋体" w:cs="宋体"/>
                <w:color w:val="000000" w:themeColor="text1"/>
                <w:kern w:val="0"/>
                <w:szCs w:val="21"/>
                <w14:textFill>
                  <w14:solidFill>
                    <w14:schemeClr w14:val="tx1"/>
                  </w14:solidFill>
                </w14:textFill>
              </w:rPr>
              <w:t></w:t>
            </w:r>
          </w:p>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其他</w:t>
            </w:r>
          </w:p>
        </w:tc>
        <w:tc>
          <w:tcPr>
            <w:tcW w:w="137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没有合法合规住建部门手续主要原因</w:t>
            </w:r>
          </w:p>
        </w:tc>
        <w:tc>
          <w:tcPr>
            <w:tcW w:w="4104"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未申请办理住建手续</w:t>
            </w:r>
          </w:p>
          <w:p>
            <w:pPr>
              <w:widowControl/>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不符合规划</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不符合申请条件</w:t>
            </w:r>
            <w:r>
              <w:rPr>
                <w:rFonts w:ascii="宋体" w:hAnsi="宋体" w:cs="宋体"/>
                <w:color w:val="000000" w:themeColor="text1"/>
                <w:kern w:val="0"/>
                <w:szCs w:val="21"/>
                <w14:textFill>
                  <w14:solidFill>
                    <w14:schemeClr w14:val="tx1"/>
                  </w14:solidFill>
                </w14:textFill>
              </w:rPr>
              <w:t></w:t>
            </w:r>
          </w:p>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未缴费</w:t>
            </w:r>
          </w:p>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其他</w:t>
            </w:r>
          </w:p>
        </w:tc>
      </w:tr>
      <w:tr>
        <w:tblPrEx>
          <w:tblCellMar>
            <w:top w:w="0" w:type="dxa"/>
            <w:left w:w="108" w:type="dxa"/>
            <w:bottom w:w="0" w:type="dxa"/>
            <w:right w:w="108" w:type="dxa"/>
          </w:tblCellMar>
        </w:tblPrEx>
        <w:trPr>
          <w:trHeight w:val="1039"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是否作出行政处罚</w:t>
            </w:r>
          </w:p>
        </w:tc>
        <w:tc>
          <w:tcPr>
            <w:tcW w:w="5479"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是</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否</w:t>
            </w:r>
          </w:p>
        </w:tc>
      </w:tr>
      <w:tr>
        <w:tblPrEx>
          <w:tblCellMar>
            <w:top w:w="0" w:type="dxa"/>
            <w:left w:w="108" w:type="dxa"/>
            <w:bottom w:w="0" w:type="dxa"/>
            <w:right w:w="108" w:type="dxa"/>
          </w:tblCellMar>
        </w:tblPrEx>
        <w:trPr>
          <w:trHeight w:val="799"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是否申请法院强制执行</w:t>
            </w:r>
          </w:p>
        </w:tc>
        <w:tc>
          <w:tcPr>
            <w:tcW w:w="5479"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是</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否</w:t>
            </w:r>
          </w:p>
        </w:tc>
      </w:tr>
      <w:tr>
        <w:tblPrEx>
          <w:tblCellMar>
            <w:top w:w="0" w:type="dxa"/>
            <w:left w:w="108" w:type="dxa"/>
            <w:bottom w:w="0" w:type="dxa"/>
            <w:right w:w="108" w:type="dxa"/>
          </w:tblCellMar>
        </w:tblPrEx>
        <w:trPr>
          <w:trHeight w:val="60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3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法院是否受理</w:t>
            </w:r>
          </w:p>
        </w:tc>
        <w:tc>
          <w:tcPr>
            <w:tcW w:w="5479"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是</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否</w:t>
            </w:r>
          </w:p>
        </w:tc>
      </w:tr>
      <w:tr>
        <w:tblPrEx>
          <w:tblCellMar>
            <w:top w:w="0" w:type="dxa"/>
            <w:left w:w="108" w:type="dxa"/>
            <w:bottom w:w="0" w:type="dxa"/>
            <w:right w:w="108" w:type="dxa"/>
          </w:tblCellMar>
        </w:tblPrEx>
        <w:trPr>
          <w:trHeight w:val="52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备注（身份证号及其他补充信息）</w:t>
            </w:r>
          </w:p>
        </w:tc>
        <w:tc>
          <w:tcPr>
            <w:tcW w:w="9180"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679" w:hRule="atLeast"/>
          <w:jc w:val="center"/>
        </w:trPr>
        <w:tc>
          <w:tcPr>
            <w:tcW w:w="9756" w:type="dxa"/>
            <w:gridSpan w:val="8"/>
            <w:tcBorders>
              <w:top w:val="nil"/>
              <w:left w:val="nil"/>
              <w:bottom w:val="nil"/>
              <w:right w:val="nil"/>
            </w:tcBorders>
            <w:vAlign w:val="center"/>
          </w:tcPr>
          <w:p>
            <w:pPr>
              <w:widowControl/>
              <w:jc w:val="left"/>
              <w:rPr>
                <w:rFonts w:ascii="宋体" w:hAnsi="宋体" w:cs="宋体"/>
                <w:color w:val="000000" w:themeColor="text1"/>
                <w:kern w:val="0"/>
                <w:szCs w:val="21"/>
                <w14:textFill>
                  <w14:solidFill>
                    <w14:schemeClr w14:val="tx1"/>
                  </w14:solidFill>
                </w14:textFill>
              </w:rPr>
            </w:pPr>
          </w:p>
          <w:p>
            <w:pPr>
              <w:widowControl/>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户主（签名、盖指印）：</w:t>
            </w:r>
            <w:r>
              <w:rPr>
                <w:rFonts w:hint="eastAsia" w:ascii="宋体" w:hAnsi="宋体" w:cs="宋体"/>
                <w:color w:val="000000" w:themeColor="text1"/>
                <w:kern w:val="0"/>
                <w:szCs w:val="21"/>
                <w:u w:val="single"/>
                <w14:textFill>
                  <w14:solidFill>
                    <w14:schemeClr w14:val="tx1"/>
                  </w14:solidFill>
                </w14:textFill>
              </w:rPr>
              <w:t xml:space="preserve">                  </w:t>
            </w:r>
          </w:p>
          <w:p>
            <w:pPr>
              <w:widowControl/>
              <w:jc w:val="left"/>
              <w:rPr>
                <w:rFonts w:ascii="宋体" w:hAnsi="宋体" w:cs="宋体"/>
                <w:color w:val="000000" w:themeColor="text1"/>
                <w:kern w:val="0"/>
                <w:szCs w:val="21"/>
                <w:u w:val="single"/>
                <w14:textFill>
                  <w14:solidFill>
                    <w14:schemeClr w14:val="tx1"/>
                  </w14:solidFill>
                </w14:textFill>
              </w:rPr>
            </w:pP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填报人（签名）： </w:t>
            </w:r>
            <w:r>
              <w:rPr>
                <w:rFonts w:hint="eastAsia" w:ascii="宋体" w:hAnsi="宋体" w:cs="宋体"/>
                <w:color w:val="000000" w:themeColor="text1"/>
                <w:kern w:val="0"/>
                <w:szCs w:val="21"/>
                <w:u w:val="single"/>
                <w14:textFill>
                  <w14:solidFill>
                    <w14:schemeClr w14:val="tx1"/>
                  </w14:solidFill>
                </w14:textFill>
              </w:rPr>
              <w:t xml:space="preserve">   入户调查人员          </w:t>
            </w:r>
            <w:r>
              <w:rPr>
                <w:rFonts w:hint="eastAsia" w:ascii="宋体" w:hAnsi="宋体" w:cs="宋体"/>
                <w:color w:val="000000" w:themeColor="text1"/>
                <w:kern w:val="0"/>
                <w:szCs w:val="21"/>
                <w14:textFill>
                  <w14:solidFill>
                    <w14:schemeClr w14:val="tx1"/>
                  </w14:solidFill>
                </w14:textFill>
              </w:rPr>
              <w:t xml:space="preserve"> </w:t>
            </w:r>
          </w:p>
          <w:p>
            <w:pPr>
              <w:widowControl/>
              <w:jc w:val="left"/>
              <w:rPr>
                <w:rFonts w:ascii="宋体" w:hAnsi="宋体" w:cs="宋体"/>
                <w:color w:val="000000" w:themeColor="text1"/>
                <w:kern w:val="0"/>
                <w:szCs w:val="21"/>
                <w14:textFill>
                  <w14:solidFill>
                    <w14:schemeClr w14:val="tx1"/>
                  </w14:solidFill>
                </w14:textFill>
              </w:rPr>
            </w:pP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审核人（签名）：</w:t>
            </w:r>
            <w:r>
              <w:rPr>
                <w:rFonts w:hint="eastAsia" w:ascii="宋体" w:hAnsi="宋体" w:cs="宋体"/>
                <w:color w:val="000000" w:themeColor="text1"/>
                <w:kern w:val="0"/>
                <w:szCs w:val="21"/>
                <w:u w:val="single"/>
                <w14:textFill>
                  <w14:solidFill>
                    <w14:schemeClr w14:val="tx1"/>
                  </w14:solidFill>
                </w14:textFill>
              </w:rPr>
              <w:t xml:space="preserve"> 村级               </w:t>
            </w:r>
            <w:r>
              <w:rPr>
                <w:rFonts w:hint="eastAsia" w:ascii="宋体" w:hAnsi="宋体" w:cs="宋体"/>
                <w:color w:val="000000" w:themeColor="text1"/>
                <w:kern w:val="0"/>
                <w:szCs w:val="21"/>
                <w14:textFill>
                  <w14:solidFill>
                    <w14:schemeClr w14:val="tx1"/>
                  </w14:solidFill>
                </w14:textFill>
              </w:rPr>
              <w:t xml:space="preserve">  </w:t>
            </w:r>
          </w:p>
          <w:p>
            <w:pPr>
              <w:widowControl/>
              <w:jc w:val="left"/>
              <w:rPr>
                <w:rFonts w:ascii="宋体" w:hAnsi="宋体" w:cs="宋体"/>
                <w:color w:val="000000" w:themeColor="text1"/>
                <w:kern w:val="0"/>
                <w:szCs w:val="21"/>
                <w14:textFill>
                  <w14:solidFill>
                    <w14:schemeClr w14:val="tx1"/>
                  </w14:solidFill>
                </w14:textFill>
              </w:rPr>
            </w:pP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复核人（签名）</w:t>
            </w:r>
            <w:r>
              <w:rPr>
                <w:rFonts w:hint="eastAsia" w:ascii="宋体" w:hAnsi="宋体" w:cs="宋体"/>
                <w:color w:val="000000" w:themeColor="text1"/>
                <w:kern w:val="0"/>
                <w:szCs w:val="21"/>
                <w:u w:val="single"/>
                <w14:textFill>
                  <w14:solidFill>
                    <w14:schemeClr w14:val="tx1"/>
                  </w14:solidFill>
                </w14:textFill>
              </w:rPr>
              <w:t xml:space="preserve">   乡镇级              </w:t>
            </w:r>
          </w:p>
        </w:tc>
      </w:tr>
    </w:tbl>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w:t>
      </w:r>
      <w:r>
        <w:rPr>
          <w:rFonts w:hint="eastAsia" w:ascii="宋体" w:hAnsi="宋体" w:cs="宋体"/>
          <w:b/>
          <w:bCs/>
          <w:color w:val="000000" w:themeColor="text1"/>
          <w:kern w:val="0"/>
          <w:szCs w:val="21"/>
          <w14:textFill>
            <w14:solidFill>
              <w14:schemeClr w14:val="tx1"/>
            </w14:solidFill>
          </w14:textFill>
        </w:rPr>
        <w:t>图斑预编号：填广西壮族自治区下发的指引图斑编号。宗地编号：填写摸排完成后的最终编号，如未对下发的指引图斑进行分割和合并的，继承图斑预编号。编号的格式为：12位行政村代码+8位顺序号。在公共管理和公共服务类、产业类的信息采集表中，将宗地编号改为项目编号。</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42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pStyle w:val="4"/>
        <w:keepNext w:val="0"/>
        <w:keepLines w:val="0"/>
        <w:numPr>
          <w:ilvl w:val="0"/>
          <w:numId w:val="0"/>
        </w:numPr>
        <w:spacing w:line="500" w:lineRule="exact"/>
        <w:jc w:val="center"/>
        <w:rPr>
          <w:rFonts w:ascii="Times New Roman" w:hAnsi="Times New Roman"/>
          <w:color w:val="000000" w:themeColor="text1"/>
          <w:szCs w:val="24"/>
          <w14:textFill>
            <w14:solidFill>
              <w14:schemeClr w14:val="tx1"/>
            </w14:solidFill>
          </w14:textFill>
        </w:rPr>
      </w:pPr>
      <w:r>
        <w:rPr>
          <w:rFonts w:hint="eastAsia" w:ascii="宋体" w:hAnsi="宋体"/>
          <w:color w:val="000000" w:themeColor="text1"/>
          <w:szCs w:val="44"/>
          <w14:textFill>
            <w14:solidFill>
              <w14:schemeClr w14:val="tx1"/>
            </w14:solidFill>
          </w14:textFill>
        </w:rPr>
        <w:t>第四章  评审办法及评分标准</w:t>
      </w:r>
      <w:bookmarkEnd w:id="35"/>
    </w:p>
    <w:p>
      <w:pPr>
        <w:spacing w:line="46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一、评审原则</w:t>
      </w:r>
    </w:p>
    <w:p>
      <w:pPr>
        <w:pStyle w:val="18"/>
        <w:spacing w:line="440" w:lineRule="exact"/>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（一）评标依据：磋商小组将以竞争性磋商文件和响应文件为评定依据进行评审，对供应商的报价、技术、商务等内容按百分制打分。</w:t>
      </w:r>
    </w:p>
    <w:p>
      <w:pPr>
        <w:pStyle w:val="18"/>
        <w:spacing w:line="440" w:lineRule="exact"/>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（二）评标方法：综合评分法。</w:t>
      </w:r>
    </w:p>
    <w:p>
      <w:pPr>
        <w:spacing w:line="44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二、评分办法</w:t>
      </w:r>
      <w:r>
        <w:rPr>
          <w:rFonts w:hint="eastAsia" w:ascii="宋体" w:hAnsi="宋体"/>
          <w:bCs/>
          <w:color w:val="000000" w:themeColor="text1"/>
          <w:szCs w:val="21"/>
          <w14:textFill>
            <w14:solidFill>
              <w14:schemeClr w14:val="tx1"/>
            </w14:solidFill>
          </w14:textFill>
        </w:rPr>
        <w:t>（计分办法按四舍五入取至百分位）</w:t>
      </w:r>
    </w:p>
    <w:p>
      <w:pPr>
        <w:spacing w:line="44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1、报价分</w:t>
      </w: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1</w:t>
      </w:r>
      <w:r>
        <w:rPr>
          <w:rFonts w:hint="eastAsia" w:ascii="宋体" w:hAnsi="宋体"/>
          <w:b/>
          <w:color w:val="000000" w:themeColor="text1"/>
          <w:szCs w:val="21"/>
          <w14:textFill>
            <w14:solidFill>
              <w14:schemeClr w14:val="tx1"/>
            </w14:solidFill>
          </w14:textFill>
        </w:rPr>
        <w:t>0分</w:t>
      </w:r>
    </w:p>
    <w:p>
      <w:pPr>
        <w:pStyle w:val="18"/>
        <w:spacing w:line="440" w:lineRule="exact"/>
        <w:ind w:firstLine="420" w:firstLineChars="200"/>
        <w:rPr>
          <w:rFonts w:hAnsi="宋体"/>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（1）评标价为供应商的磋商报价进行政策性扣除后的价格，评标价只是作为评标时使用。最终成交供应商的成交价＝磋商报价。</w:t>
      </w:r>
    </w:p>
    <w:p>
      <w:pPr>
        <w:pStyle w:val="18"/>
        <w:spacing w:line="440" w:lineRule="exact"/>
        <w:ind w:firstLine="420" w:firstLineChars="200"/>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2）按照《政府采购促进中小企业发展暂行办法》（财库[2011]181号）的规定，磋商供应商认定为小型和微型企业的（以响应文件提供《中小企业声明函》为准），并提供本企业制造的货物、承担的工程或者服务，或者提供其他小型、微型企业制造的货物（不包括使用大型企业注册商标的货物），对磋商报价给予</w:t>
      </w:r>
      <w:r>
        <w:rPr>
          <w:rFonts w:hAnsi="宋体" w:cs="宋体"/>
          <w:bCs/>
          <w:color w:val="000000" w:themeColor="text1"/>
          <w:sz w:val="21"/>
          <w14:textFill>
            <w14:solidFill>
              <w14:schemeClr w14:val="tx1"/>
            </w14:solidFill>
          </w14:textFill>
        </w:rPr>
        <w:t>10</w:t>
      </w:r>
      <w:r>
        <w:rPr>
          <w:rFonts w:hint="eastAsia" w:hAnsi="宋体" w:cs="宋体"/>
          <w:bCs/>
          <w:color w:val="000000" w:themeColor="text1"/>
          <w:sz w:val="21"/>
          <w14:textFill>
            <w14:solidFill>
              <w14:schemeClr w14:val="tx1"/>
            </w14:solidFill>
          </w14:textFill>
        </w:rPr>
        <w:t>%的扣除，扣除后的价格为评标价，即评标价=磋商报价×（1-</w:t>
      </w:r>
      <w:r>
        <w:rPr>
          <w:rFonts w:hAnsi="宋体" w:cs="宋体"/>
          <w:bCs/>
          <w:color w:val="000000" w:themeColor="text1"/>
          <w:sz w:val="21"/>
          <w14:textFill>
            <w14:solidFill>
              <w14:schemeClr w14:val="tx1"/>
            </w14:solidFill>
          </w14:textFill>
        </w:rPr>
        <w:t>10</w:t>
      </w:r>
      <w:r>
        <w:rPr>
          <w:rFonts w:hint="eastAsia" w:hAnsi="宋体" w:cs="宋体"/>
          <w:bCs/>
          <w:color w:val="000000" w:themeColor="text1"/>
          <w:sz w:val="21"/>
          <w14:textFill>
            <w14:solidFill>
              <w14:schemeClr w14:val="tx1"/>
            </w14:solidFill>
          </w14:textFill>
        </w:rPr>
        <w:t>%）；除上述情况外，评标价=磋商报价。</w:t>
      </w:r>
    </w:p>
    <w:p>
      <w:pPr>
        <w:pStyle w:val="18"/>
        <w:spacing w:line="440" w:lineRule="exact"/>
        <w:ind w:firstLine="420" w:firstLineChars="200"/>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18"/>
        <w:spacing w:line="440" w:lineRule="exact"/>
        <w:ind w:firstLine="420" w:firstLineChars="200"/>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4）按照《关于促进残疾人就业政府采购政策的通知》（财库〔2018〕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8"/>
        <w:spacing w:line="440" w:lineRule="exact"/>
        <w:ind w:firstLine="420" w:firstLineChars="200"/>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（5）以进入综合评分环节的最低的评标价为基准价，基准价报价得分为</w:t>
      </w:r>
      <w:r>
        <w:rPr>
          <w:rFonts w:hAnsi="宋体" w:cs="宋体"/>
          <w:bCs/>
          <w:color w:val="000000" w:themeColor="text1"/>
          <w:sz w:val="21"/>
          <w14:textFill>
            <w14:solidFill>
              <w14:schemeClr w14:val="tx1"/>
            </w14:solidFill>
          </w14:textFill>
        </w:rPr>
        <w:t>1</w:t>
      </w:r>
      <w:r>
        <w:rPr>
          <w:rFonts w:hint="eastAsia" w:hAnsi="宋体" w:cs="宋体"/>
          <w:bCs/>
          <w:color w:val="000000" w:themeColor="text1"/>
          <w:sz w:val="21"/>
          <w14:textFill>
            <w14:solidFill>
              <w14:schemeClr w14:val="tx1"/>
            </w14:solidFill>
          </w14:textFill>
        </w:rPr>
        <w:t>0分。</w:t>
      </w:r>
    </w:p>
    <w:p>
      <w:pPr>
        <w:pStyle w:val="18"/>
        <w:spacing w:line="440" w:lineRule="exact"/>
        <w:ind w:firstLine="420" w:firstLineChars="200"/>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（6）价格分计算公式：</w:t>
      </w:r>
    </w:p>
    <w:p>
      <w:pPr>
        <w:pStyle w:val="18"/>
        <w:spacing w:line="440" w:lineRule="exact"/>
        <w:ind w:firstLine="420" w:firstLineChars="200"/>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某供应商价格分=基准价/某供应商评标价×</w:t>
      </w:r>
      <w:r>
        <w:rPr>
          <w:rFonts w:hAnsi="宋体" w:cs="宋体"/>
          <w:bCs/>
          <w:color w:val="000000" w:themeColor="text1"/>
          <w:sz w:val="21"/>
          <w14:textFill>
            <w14:solidFill>
              <w14:schemeClr w14:val="tx1"/>
            </w14:solidFill>
          </w14:textFill>
        </w:rPr>
        <w:t>1</w:t>
      </w:r>
      <w:r>
        <w:rPr>
          <w:rFonts w:hint="eastAsia" w:hAnsi="宋体" w:cs="宋体"/>
          <w:bCs/>
          <w:color w:val="000000" w:themeColor="text1"/>
          <w:sz w:val="21"/>
          <w14:textFill>
            <w14:solidFill>
              <w14:schemeClr w14:val="tx1"/>
            </w14:solidFill>
          </w14:textFill>
        </w:rPr>
        <w:t>0分</w:t>
      </w:r>
    </w:p>
    <w:p>
      <w:pPr>
        <w:pStyle w:val="18"/>
        <w:spacing w:line="440" w:lineRule="exact"/>
        <w:ind w:firstLine="420" w:firstLineChars="200"/>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注：</w:t>
      </w:r>
    </w:p>
    <w:p>
      <w:pPr>
        <w:pStyle w:val="18"/>
        <w:spacing w:line="440" w:lineRule="exact"/>
        <w:ind w:firstLine="420" w:firstLineChars="200"/>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（1）评标价为供应商的磋商报价进行政策性扣除后的价格，评标价只是作为评标时使用。最终成交价＝磋商报价。</w:t>
      </w:r>
    </w:p>
    <w:p>
      <w:pPr>
        <w:pStyle w:val="18"/>
        <w:spacing w:line="440" w:lineRule="exact"/>
        <w:ind w:firstLine="420" w:firstLineChars="200"/>
        <w:rPr>
          <w:rFonts w:hAnsi="宋体"/>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（2）供磋商小组认为某磋商供应商的有效磋商报价或者某些分项报价明显低于其他通过资格和符合性审查供应商的</w:t>
      </w:r>
      <w:r>
        <w:rPr>
          <w:rFonts w:hint="eastAsia" w:hAnsi="宋体"/>
          <w:color w:val="000000" w:themeColor="text1"/>
          <w:sz w:val="21"/>
          <w14:textFill>
            <w14:solidFill>
              <w14:schemeClr w14:val="tx1"/>
            </w14:solidFill>
          </w14:textFill>
        </w:rPr>
        <w:t>报价，有可能影响服务质量或不能诚信履约的，应当要求其在评标现场合理的时间内提供书面说明，必要时提交相关证明材料；供应商不能证明其磋商报价合理性的，供磋商小组应当将其作为无效竞标处理。（书面说明包含但不限于以下内容：各种原材料价格、人员工资、水电、燃料和管理等项费用成本，以及税金、利润、运费等等，应列表详细说明，并提供相关证明材料。不能按上述要求提供说明和证明材料的，视为低于成本报价，竞标无效）</w:t>
      </w:r>
    </w:p>
    <w:p>
      <w:pPr>
        <w:pStyle w:val="16"/>
        <w:spacing w:after="0" w:line="44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2、技术分………………………………………………………………………………………71分</w:t>
      </w:r>
    </w:p>
    <w:p>
      <w:pPr>
        <w:spacing w:line="440" w:lineRule="exact"/>
        <w:ind w:firstLine="420" w:firstLineChars="200"/>
        <w:rPr>
          <w:rFonts w:ascii="宋体" w:hAnsi="宋体" w:cs="华文仿宋"/>
          <w:color w:val="000000" w:themeColor="text1"/>
          <w:szCs w:val="21"/>
          <w14:textFill>
            <w14:solidFill>
              <w14:schemeClr w14:val="tx1"/>
            </w14:solidFill>
          </w14:textFill>
        </w:rPr>
      </w:pPr>
      <w:r>
        <w:rPr>
          <w:rFonts w:hint="eastAsia" w:ascii="宋体" w:hAnsi="宋体" w:cs="华文仿宋"/>
          <w:color w:val="000000" w:themeColor="text1"/>
          <w:szCs w:val="21"/>
          <w14:textFill>
            <w14:solidFill>
              <w14:schemeClr w14:val="tx1"/>
            </w14:solidFill>
          </w14:textFill>
        </w:rPr>
        <w:t>由磋商小组在各档次内独立打分，未提供的不得分。</w:t>
      </w:r>
    </w:p>
    <w:p>
      <w:pPr>
        <w:pStyle w:val="58"/>
        <w:spacing w:line="440" w:lineRule="exact"/>
        <w:ind w:firstLine="422" w:firstLineChars="200"/>
        <w:jc w:val="both"/>
        <w:rPr>
          <w:rFonts w:cs="Times New Roman"/>
          <w:b/>
          <w:color w:val="000000" w:themeColor="text1"/>
          <w:kern w:val="2"/>
          <w:sz w:val="21"/>
          <w:szCs w:val="21"/>
          <w14:textFill>
            <w14:solidFill>
              <w14:schemeClr w14:val="tx1"/>
            </w14:solidFill>
          </w14:textFill>
        </w:rPr>
      </w:pPr>
      <w:r>
        <w:rPr>
          <w:rFonts w:hint="eastAsia" w:cs="Times New Roman"/>
          <w:b/>
          <w:color w:val="000000" w:themeColor="text1"/>
          <w:kern w:val="2"/>
          <w:sz w:val="21"/>
          <w:szCs w:val="21"/>
          <w14:textFill>
            <w14:solidFill>
              <w14:schemeClr w14:val="tx1"/>
            </w14:solidFill>
          </w14:textFill>
        </w:rPr>
        <w:t>（1）对项目概况的总体认知（满分20分）</w:t>
      </w:r>
    </w:p>
    <w:p>
      <w:pPr>
        <w:pStyle w:val="58"/>
        <w:spacing w:line="440" w:lineRule="exact"/>
        <w:ind w:firstLine="420" w:firstLineChars="200"/>
        <w:jc w:val="both"/>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一档（5分）：对项目概况不够熟悉，对大部分村镇概况不了解，分析内容不清晰。</w:t>
      </w:r>
    </w:p>
    <w:p>
      <w:pPr>
        <w:pStyle w:val="58"/>
        <w:spacing w:line="440" w:lineRule="exact"/>
        <w:ind w:firstLine="420" w:firstLineChars="200"/>
        <w:jc w:val="both"/>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二档（10分）：对项目概况熟悉度一般，能结合部分村镇概况进行分析，内容不够完整，深度不够。</w:t>
      </w:r>
    </w:p>
    <w:p>
      <w:pPr>
        <w:pStyle w:val="58"/>
        <w:spacing w:line="440" w:lineRule="exact"/>
        <w:ind w:firstLine="420" w:firstLineChars="200"/>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三档（15分）：对项目概况相对熟悉，能结合大部分村镇概况进行分析，内容相对完整。</w:t>
      </w:r>
    </w:p>
    <w:p>
      <w:pPr>
        <w:pStyle w:val="58"/>
        <w:spacing w:line="440" w:lineRule="exact"/>
        <w:ind w:firstLine="420" w:firstLineChars="200"/>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四</w:t>
      </w:r>
      <w:r>
        <w:rPr>
          <w:rFonts w:hint="eastAsia" w:cs="Times New Roman"/>
          <w:color w:val="000000" w:themeColor="text1"/>
          <w:kern w:val="2"/>
          <w:sz w:val="21"/>
          <w:szCs w:val="21"/>
          <w:lang w:eastAsia="zh-CN"/>
          <w14:textFill>
            <w14:solidFill>
              <w14:schemeClr w14:val="tx1"/>
            </w14:solidFill>
          </w14:textFill>
        </w:rPr>
        <w:t>档</w:t>
      </w:r>
      <w:r>
        <w:rPr>
          <w:rFonts w:hint="eastAsia" w:cs="Times New Roman"/>
          <w:color w:val="000000" w:themeColor="text1"/>
          <w:kern w:val="2"/>
          <w:sz w:val="21"/>
          <w:szCs w:val="21"/>
          <w14:textFill>
            <w14:solidFill>
              <w14:schemeClr w14:val="tx1"/>
            </w14:solidFill>
          </w14:textFill>
        </w:rPr>
        <w:t>（20分）：熟悉项目相关国家政策，对项目概况比较熟悉，并能针对各村镇的概况深入分析，概况包括对交通情况、民风情况、图斑现状等进行了系统分析。</w:t>
      </w:r>
    </w:p>
    <w:p>
      <w:pPr>
        <w:pStyle w:val="58"/>
        <w:spacing w:line="440" w:lineRule="exact"/>
        <w:ind w:firstLine="422" w:firstLineChars="200"/>
        <w:jc w:val="both"/>
        <w:rPr>
          <w:rFonts w:cs="Times New Roman"/>
          <w:b/>
          <w:color w:val="000000" w:themeColor="text1"/>
          <w:kern w:val="2"/>
          <w:sz w:val="21"/>
          <w:szCs w:val="21"/>
          <w14:textFill>
            <w14:solidFill>
              <w14:schemeClr w14:val="tx1"/>
            </w14:solidFill>
          </w14:textFill>
        </w:rPr>
      </w:pPr>
      <w:r>
        <w:rPr>
          <w:rFonts w:hint="eastAsia" w:cs="Times New Roman"/>
          <w:b/>
          <w:color w:val="000000" w:themeColor="text1"/>
          <w:kern w:val="2"/>
          <w:sz w:val="21"/>
          <w:szCs w:val="21"/>
          <w14:textFill>
            <w14:solidFill>
              <w14:schemeClr w14:val="tx1"/>
            </w14:solidFill>
          </w14:textFill>
        </w:rPr>
        <w:t>（2）项目组织实施方案（满分30分）</w:t>
      </w:r>
    </w:p>
    <w:p>
      <w:pPr>
        <w:pStyle w:val="58"/>
        <w:spacing w:line="440" w:lineRule="exact"/>
        <w:ind w:firstLine="420" w:firstLineChars="200"/>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一档（7分）：对项目概况不够熟悉，对大部分村镇概况不了解，工作计划等不具体，项目整体组织实施方案不完整。</w:t>
      </w:r>
    </w:p>
    <w:p>
      <w:pPr>
        <w:pStyle w:val="58"/>
        <w:spacing w:line="440" w:lineRule="exact"/>
        <w:ind w:firstLine="420" w:firstLineChars="200"/>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二档（14分）：对项目概况熟悉度一般，能结合部分村镇概况特点进行分析，整体组织实施方案深度不够。</w:t>
      </w:r>
    </w:p>
    <w:p>
      <w:pPr>
        <w:pStyle w:val="58"/>
        <w:spacing w:line="440" w:lineRule="exact"/>
        <w:ind w:firstLine="420" w:firstLineChars="200"/>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三档（22分）：对项目概况相对熟悉，能结合大部分村镇概况特点进行分析，工作计划等相对完善，项目整体组织实施方案相对完整。</w:t>
      </w:r>
    </w:p>
    <w:p>
      <w:pPr>
        <w:pStyle w:val="58"/>
        <w:spacing w:line="440" w:lineRule="exact"/>
        <w:ind w:firstLine="420" w:firstLineChars="200"/>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四</w:t>
      </w:r>
      <w:r>
        <w:rPr>
          <w:rFonts w:hint="eastAsia" w:cs="Times New Roman"/>
          <w:color w:val="000000" w:themeColor="text1"/>
          <w:kern w:val="2"/>
          <w:sz w:val="21"/>
          <w:szCs w:val="21"/>
          <w:lang w:eastAsia="zh-CN"/>
          <w14:textFill>
            <w14:solidFill>
              <w14:schemeClr w14:val="tx1"/>
            </w14:solidFill>
          </w14:textFill>
        </w:rPr>
        <w:t>档</w:t>
      </w:r>
      <w:bookmarkStart w:id="38" w:name="_GoBack"/>
      <w:bookmarkEnd w:id="38"/>
      <w:r>
        <w:rPr>
          <w:rFonts w:hint="eastAsia" w:cs="Times New Roman"/>
          <w:color w:val="000000" w:themeColor="text1"/>
          <w:kern w:val="2"/>
          <w:sz w:val="21"/>
          <w:szCs w:val="21"/>
          <w14:textFill>
            <w14:solidFill>
              <w14:schemeClr w14:val="tx1"/>
            </w14:solidFill>
          </w14:textFill>
        </w:rPr>
        <w:t>（30分）：在熟悉项目概况的基础上，针对各村镇的概况特点制定了完善的工作计划，拟投入调查人员计划、交通工具安排计划、工期计划、人员培训计划等具体可行，拟投入本项目管理机构主要管理人员职责清晰，项目整体组织实施方案内容具体详细，思路清晰，针对性及可操作性强，对项目实施的重点难点进行了深入分析并提出了有效的应对措施。</w:t>
      </w:r>
    </w:p>
    <w:p>
      <w:pPr>
        <w:pStyle w:val="58"/>
        <w:spacing w:line="440" w:lineRule="exact"/>
        <w:ind w:firstLine="422" w:firstLineChars="200"/>
        <w:jc w:val="both"/>
        <w:rPr>
          <w:rFonts w:cs="Times New Roman"/>
          <w:b/>
          <w:color w:val="000000" w:themeColor="text1"/>
          <w:kern w:val="2"/>
          <w:sz w:val="21"/>
          <w:szCs w:val="21"/>
          <w14:textFill>
            <w14:solidFill>
              <w14:schemeClr w14:val="tx1"/>
            </w14:solidFill>
          </w14:textFill>
        </w:rPr>
      </w:pPr>
      <w:r>
        <w:rPr>
          <w:rFonts w:hint="eastAsia" w:cs="Times New Roman"/>
          <w:b/>
          <w:color w:val="000000" w:themeColor="text1"/>
          <w:kern w:val="2"/>
          <w:sz w:val="21"/>
          <w:szCs w:val="21"/>
          <w14:textFill>
            <w14:solidFill>
              <w14:schemeClr w14:val="tx1"/>
            </w14:solidFill>
          </w14:textFill>
        </w:rPr>
        <w:t>（3）拟投入的项目实施人员分（满分21分）</w:t>
      </w:r>
    </w:p>
    <w:p>
      <w:pPr>
        <w:pStyle w:val="58"/>
        <w:spacing w:line="440" w:lineRule="exact"/>
        <w:ind w:firstLine="420" w:firstLineChars="200"/>
        <w:jc w:val="both"/>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1）供应商拟投入项目实施人员中，每投入1名具备高级职称的技术人员得2分，每投入1名具备中级职称的技术人员得1分，本项满分18分。</w:t>
      </w:r>
    </w:p>
    <w:p>
      <w:pPr>
        <w:pStyle w:val="58"/>
        <w:spacing w:line="440" w:lineRule="exact"/>
        <w:ind w:firstLine="420" w:firstLineChars="200"/>
        <w:jc w:val="both"/>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2）供应商拟投入本项目的项目负责人、项目质量负责人、项目技术负责人同时具备高级职称及注册测绘师资格的，每人得1分，满分3分。</w:t>
      </w:r>
    </w:p>
    <w:p>
      <w:pPr>
        <w:pStyle w:val="58"/>
        <w:spacing w:line="440" w:lineRule="exact"/>
        <w:ind w:firstLine="422" w:firstLineChars="200"/>
        <w:jc w:val="both"/>
        <w:rPr>
          <w:rFonts w:cs="Times New Roman"/>
          <w:b/>
          <w:bCs/>
          <w:color w:val="000000" w:themeColor="text1"/>
          <w:kern w:val="2"/>
          <w:sz w:val="21"/>
          <w:szCs w:val="21"/>
          <w14:textFill>
            <w14:solidFill>
              <w14:schemeClr w14:val="tx1"/>
            </w14:solidFill>
          </w14:textFill>
        </w:rPr>
      </w:pPr>
      <w:r>
        <w:rPr>
          <w:rFonts w:hint="eastAsia" w:cs="Times New Roman"/>
          <w:b/>
          <w:bCs/>
          <w:color w:val="000000" w:themeColor="text1"/>
          <w:kern w:val="2"/>
          <w:sz w:val="21"/>
          <w:szCs w:val="21"/>
          <w14:textFill>
            <w14:solidFill>
              <w14:schemeClr w14:val="tx1"/>
            </w14:solidFill>
          </w14:textFill>
        </w:rPr>
        <w:t>注:</w:t>
      </w:r>
      <w:r>
        <w:rPr>
          <w:rFonts w:hint="eastAsia"/>
          <w:color w:val="000000" w:themeColor="text1"/>
          <w14:textFill>
            <w14:solidFill>
              <w14:schemeClr w14:val="tx1"/>
            </w14:solidFill>
          </w14:textFill>
        </w:rPr>
        <w:t xml:space="preserve"> </w:t>
      </w:r>
      <w:r>
        <w:rPr>
          <w:rFonts w:hint="eastAsia" w:cs="Times New Roman"/>
          <w:b/>
          <w:bCs/>
          <w:color w:val="000000" w:themeColor="text1"/>
          <w:kern w:val="2"/>
          <w:sz w:val="21"/>
          <w:szCs w:val="21"/>
          <w14:textFill>
            <w14:solidFill>
              <w14:schemeClr w14:val="tx1"/>
            </w14:solidFill>
          </w14:textFill>
        </w:rPr>
        <w:t>上述拟投入实施人员须为供应商在岗在职的人员，须具备测绘类或土地管理类专业，以其职称证书上载明专业为准。在响应文件中提供实施人员职称证复印件、身份证、响应文件递交截止前半年内连续三个月社保缴纳证明复印件。</w:t>
      </w:r>
    </w:p>
    <w:p>
      <w:pPr>
        <w:pStyle w:val="16"/>
        <w:spacing w:after="0" w:line="44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3、商务分………………………………………………………………………………………19分</w:t>
      </w:r>
    </w:p>
    <w:p>
      <w:pPr>
        <w:pStyle w:val="58"/>
        <w:spacing w:line="440" w:lineRule="exact"/>
        <w:ind w:firstLine="420" w:firstLineChars="200"/>
        <w:jc w:val="both"/>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（1）磋商供应商通过ISO9001质量管理体系认证的得1分，满分1分。（提供有效认证证书</w:t>
      </w:r>
      <w:r>
        <w:rPr>
          <w:rFonts w:cs="Times New Roman"/>
          <w:color w:val="000000" w:themeColor="text1"/>
          <w:kern w:val="2"/>
          <w:sz w:val="21"/>
          <w:szCs w:val="21"/>
          <w14:textFill>
            <w14:solidFill>
              <w14:schemeClr w14:val="tx1"/>
            </w14:solidFill>
          </w14:textFill>
        </w:rPr>
        <w:t>复印件</w:t>
      </w:r>
      <w:r>
        <w:rPr>
          <w:rFonts w:hint="eastAsia" w:cs="Times New Roman"/>
          <w:color w:val="000000" w:themeColor="text1"/>
          <w:kern w:val="2"/>
          <w:sz w:val="21"/>
          <w:szCs w:val="21"/>
          <w14:textFill>
            <w14:solidFill>
              <w14:schemeClr w14:val="tx1"/>
            </w14:solidFill>
          </w14:textFill>
        </w:rPr>
        <w:t>并加盖公章，否则不予计分。）</w:t>
      </w:r>
    </w:p>
    <w:p>
      <w:pPr>
        <w:pStyle w:val="58"/>
        <w:spacing w:line="440" w:lineRule="exact"/>
        <w:ind w:firstLine="420" w:firstLineChars="200"/>
        <w:jc w:val="both"/>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（2）磋商供应商2017年以来获得省级（含省级）以上行业行政主管部门颁发的有关奖项，每项得</w:t>
      </w:r>
      <w:r>
        <w:rPr>
          <w:rFonts w:cs="Times New Roman"/>
          <w:color w:val="000000" w:themeColor="text1"/>
          <w:kern w:val="2"/>
          <w:sz w:val="21"/>
          <w:szCs w:val="21"/>
          <w14:textFill>
            <w14:solidFill>
              <w14:schemeClr w14:val="tx1"/>
            </w14:solidFill>
          </w14:textFill>
        </w:rPr>
        <w:t>3</w:t>
      </w:r>
      <w:r>
        <w:rPr>
          <w:rFonts w:hint="eastAsia" w:cs="Times New Roman"/>
          <w:color w:val="000000" w:themeColor="text1"/>
          <w:kern w:val="2"/>
          <w:sz w:val="21"/>
          <w:szCs w:val="21"/>
          <w14:textFill>
            <w14:solidFill>
              <w14:schemeClr w14:val="tx1"/>
            </w14:solidFill>
          </w14:textFill>
        </w:rPr>
        <w:t>分，满分</w:t>
      </w:r>
      <w:r>
        <w:rPr>
          <w:rFonts w:cs="Times New Roman"/>
          <w:color w:val="000000" w:themeColor="text1"/>
          <w:kern w:val="2"/>
          <w:sz w:val="21"/>
          <w:szCs w:val="21"/>
          <w14:textFill>
            <w14:solidFill>
              <w14:schemeClr w14:val="tx1"/>
            </w14:solidFill>
          </w14:textFill>
        </w:rPr>
        <w:t>3</w:t>
      </w:r>
      <w:r>
        <w:rPr>
          <w:rFonts w:hint="eastAsia" w:cs="Times New Roman"/>
          <w:color w:val="000000" w:themeColor="text1"/>
          <w:kern w:val="2"/>
          <w:sz w:val="21"/>
          <w:szCs w:val="21"/>
          <w14:textFill>
            <w14:solidFill>
              <w14:schemeClr w14:val="tx1"/>
            </w14:solidFill>
          </w14:textFill>
        </w:rPr>
        <w:t>分；投标人2017年以来获得市级（含市级）以上行业行政主管部门颁发的有关奖项，每项得</w:t>
      </w:r>
      <w:r>
        <w:rPr>
          <w:rFonts w:cs="Times New Roman"/>
          <w:color w:val="000000" w:themeColor="text1"/>
          <w:kern w:val="2"/>
          <w:sz w:val="21"/>
          <w:szCs w:val="21"/>
          <w14:textFill>
            <w14:solidFill>
              <w14:schemeClr w14:val="tx1"/>
            </w14:solidFill>
          </w14:textFill>
        </w:rPr>
        <w:t>1</w:t>
      </w:r>
      <w:r>
        <w:rPr>
          <w:rFonts w:hint="eastAsia" w:cs="Times New Roman"/>
          <w:color w:val="000000" w:themeColor="text1"/>
          <w:kern w:val="2"/>
          <w:sz w:val="21"/>
          <w:szCs w:val="21"/>
          <w14:textFill>
            <w14:solidFill>
              <w14:schemeClr w14:val="tx1"/>
            </w14:solidFill>
          </w14:textFill>
        </w:rPr>
        <w:t>分，满分</w:t>
      </w:r>
      <w:r>
        <w:rPr>
          <w:rFonts w:cs="Times New Roman"/>
          <w:color w:val="000000" w:themeColor="text1"/>
          <w:kern w:val="2"/>
          <w:sz w:val="21"/>
          <w:szCs w:val="21"/>
          <w14:textFill>
            <w14:solidFill>
              <w14:schemeClr w14:val="tx1"/>
            </w14:solidFill>
          </w14:textFill>
        </w:rPr>
        <w:t>3</w:t>
      </w:r>
      <w:r>
        <w:rPr>
          <w:rFonts w:hint="eastAsia" w:cs="Times New Roman"/>
          <w:color w:val="000000" w:themeColor="text1"/>
          <w:kern w:val="2"/>
          <w:sz w:val="21"/>
          <w:szCs w:val="21"/>
          <w14:textFill>
            <w14:solidFill>
              <w14:schemeClr w14:val="tx1"/>
            </w14:solidFill>
          </w14:textFill>
        </w:rPr>
        <w:t>分；本项满分6分。（提供证书复印件）</w:t>
      </w:r>
    </w:p>
    <w:p>
      <w:pPr>
        <w:pStyle w:val="58"/>
        <w:spacing w:line="440" w:lineRule="exact"/>
        <w:ind w:firstLine="420" w:firstLineChars="200"/>
        <w:jc w:val="both"/>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（3）磋商供应商2017年以来承担过类项目的业绩，每个业绩得2分，满10分。（提供中标通知书或合同复印件）</w:t>
      </w:r>
    </w:p>
    <w:p>
      <w:pPr>
        <w:pStyle w:val="58"/>
        <w:spacing w:line="440" w:lineRule="exact"/>
        <w:ind w:firstLine="420" w:firstLineChars="200"/>
        <w:jc w:val="both"/>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w:t>
      </w:r>
      <w:r>
        <w:rPr>
          <w:rFonts w:cs="Times New Roman"/>
          <w:color w:val="000000" w:themeColor="text1"/>
          <w:kern w:val="2"/>
          <w:sz w:val="21"/>
          <w:szCs w:val="21"/>
          <w14:textFill>
            <w14:solidFill>
              <w14:schemeClr w14:val="tx1"/>
            </w14:solidFill>
          </w14:textFill>
        </w:rPr>
        <w:t>4</w:t>
      </w:r>
      <w:r>
        <w:rPr>
          <w:rFonts w:hint="eastAsia" w:cs="Times New Roman"/>
          <w:color w:val="000000" w:themeColor="text1"/>
          <w:kern w:val="2"/>
          <w:sz w:val="21"/>
          <w:szCs w:val="21"/>
          <w14:textFill>
            <w14:solidFill>
              <w14:schemeClr w14:val="tx1"/>
            </w14:solidFill>
          </w14:textFill>
        </w:rPr>
        <w:t>）磋商供应商具有测绘甲级资质的，得2分，满分2分。</w:t>
      </w:r>
    </w:p>
    <w:p>
      <w:pPr>
        <w:pStyle w:val="18"/>
        <w:spacing w:line="440" w:lineRule="exact"/>
        <w:ind w:firstLine="422" w:firstLineChars="200"/>
        <w:rPr>
          <w:rFonts w:hAnsi="宋体" w:cs="宋体"/>
          <w:b/>
          <w:color w:val="000000" w:themeColor="text1"/>
          <w:kern w:val="2"/>
          <w:sz w:val="21"/>
          <w14:textFill>
            <w14:solidFill>
              <w14:schemeClr w14:val="tx1"/>
            </w14:solidFill>
          </w14:textFill>
        </w:rPr>
      </w:pPr>
      <w:r>
        <w:rPr>
          <w:rFonts w:hint="eastAsia" w:hAnsi="宋体" w:cs="宋体"/>
          <w:b/>
          <w:color w:val="000000" w:themeColor="text1"/>
          <w:kern w:val="2"/>
          <w:sz w:val="21"/>
          <w14:textFill>
            <w14:solidFill>
              <w14:schemeClr w14:val="tx1"/>
            </w14:solidFill>
          </w14:textFill>
        </w:rPr>
        <w:t>4</w:t>
      </w:r>
      <w:r>
        <w:rPr>
          <w:rFonts w:hAnsi="宋体" w:cs="宋体"/>
          <w:b/>
          <w:color w:val="000000" w:themeColor="text1"/>
          <w:kern w:val="2"/>
          <w:sz w:val="21"/>
          <w14:textFill>
            <w14:solidFill>
              <w14:schemeClr w14:val="tx1"/>
            </w14:solidFill>
          </w14:textFill>
        </w:rPr>
        <w:t>、总得分 =1+2+3</w:t>
      </w:r>
    </w:p>
    <w:p>
      <w:pPr>
        <w:pStyle w:val="18"/>
        <w:spacing w:line="440" w:lineRule="exact"/>
        <w:ind w:firstLine="422" w:firstLineChars="200"/>
        <w:rPr>
          <w:rFonts w:hAnsi="宋体"/>
          <w:b/>
          <w:color w:val="000000" w:themeColor="text1"/>
          <w:sz w:val="21"/>
          <w14:textFill>
            <w14:solidFill>
              <w14:schemeClr w14:val="tx1"/>
            </w14:solidFill>
          </w14:textFill>
        </w:rPr>
      </w:pPr>
    </w:p>
    <w:p>
      <w:pPr>
        <w:pStyle w:val="18"/>
        <w:spacing w:line="440" w:lineRule="exact"/>
        <w:ind w:firstLine="422" w:firstLineChars="200"/>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三、成交候选人推荐原则</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磋商小组应当根据</w:t>
      </w:r>
      <w:r>
        <w:rPr>
          <w:rFonts w:hint="eastAsia" w:ascii="宋体" w:hAnsi="宋体"/>
          <w:bCs/>
          <w:color w:val="000000" w:themeColor="text1"/>
          <w:szCs w:val="21"/>
          <w14:textFill>
            <w14:solidFill>
              <w14:schemeClr w14:val="tx1"/>
            </w14:solidFill>
          </w14:textFill>
        </w:rPr>
        <w:t>综合</w:t>
      </w:r>
      <w:r>
        <w:rPr>
          <w:rFonts w:hint="eastAsia" w:ascii="宋体" w:hAnsi="宋体"/>
          <w:color w:val="000000" w:themeColor="text1"/>
          <w:szCs w:val="21"/>
          <w14:textFill>
            <w14:solidFill>
              <w14:schemeClr w14:val="tx1"/>
            </w14:solidFill>
          </w14:textFill>
        </w:rPr>
        <w:t>评分情况，按照评审总得分由高到低顺序推荐3名以上成交候选供应商，并编写评审报告。符合财库﹝2014﹞214号《政府采购竞争性磋商采购方式管理暂行办法》第二十一条第三款情形的，可以推荐2家成交候选供应商。评审得分相同的，按照最后报价由低到高的顺序推荐。评审得分且最后报价相同的，</w:t>
      </w:r>
      <w:r>
        <w:rPr>
          <w:rFonts w:hint="eastAsia" w:ascii="宋体" w:hAnsi="宋体"/>
          <w:bCs/>
          <w:color w:val="000000" w:themeColor="text1"/>
          <w:szCs w:val="21"/>
          <w14:textFill>
            <w14:solidFill>
              <w14:schemeClr w14:val="tx1"/>
            </w14:solidFill>
          </w14:textFill>
        </w:rPr>
        <w:t>依次按技术、商务得分高优先的顺序排列）并推荐成交候选供应商</w:t>
      </w:r>
      <w:r>
        <w:rPr>
          <w:rFonts w:hint="eastAsia" w:ascii="宋体" w:hAnsi="宋体"/>
          <w:color w:val="000000" w:themeColor="text1"/>
          <w:szCs w:val="21"/>
          <w14:textFill>
            <w14:solidFill>
              <w14:schemeClr w14:val="tx1"/>
            </w14:solidFill>
          </w14:textFill>
        </w:rPr>
        <w:t>。</w:t>
      </w:r>
    </w:p>
    <w:p>
      <w:pPr>
        <w:pStyle w:val="2"/>
        <w:rPr>
          <w:color w:val="000000" w:themeColor="text1"/>
          <w14:textFill>
            <w14:solidFill>
              <w14:schemeClr w14:val="tx1"/>
            </w14:solidFill>
          </w14:textFill>
        </w:rPr>
      </w:pPr>
    </w:p>
    <w:p>
      <w:pPr>
        <w:pStyle w:val="4"/>
        <w:keepNext w:val="0"/>
        <w:keepLines w:val="0"/>
        <w:numPr>
          <w:ilvl w:val="0"/>
          <w:numId w:val="0"/>
        </w:numPr>
        <w:spacing w:line="500" w:lineRule="exact"/>
        <w:jc w:val="center"/>
        <w:rPr>
          <w:rFonts w:ascii="宋体" w:hAnsi="宋体"/>
          <w:color w:val="000000" w:themeColor="text1"/>
          <w:szCs w:val="44"/>
          <w14:textFill>
            <w14:solidFill>
              <w14:schemeClr w14:val="tx1"/>
            </w14:solidFill>
          </w14:textFill>
        </w:rPr>
      </w:pPr>
      <w:bookmarkStart w:id="36" w:name="_Toc504988680"/>
      <w:r>
        <w:rPr>
          <w:rFonts w:ascii="宋体" w:hAnsi="宋体"/>
          <w:color w:val="000000" w:themeColor="text1"/>
          <w:szCs w:val="44"/>
          <w14:textFill>
            <w14:solidFill>
              <w14:schemeClr w14:val="tx1"/>
            </w14:solidFill>
          </w14:textFill>
        </w:rPr>
        <w:br w:type="page"/>
      </w:r>
      <w:r>
        <w:rPr>
          <w:rFonts w:hint="eastAsia" w:ascii="宋体" w:hAnsi="宋体"/>
          <w:color w:val="000000" w:themeColor="text1"/>
          <w:szCs w:val="44"/>
          <w14:textFill>
            <w14:solidFill>
              <w14:schemeClr w14:val="tx1"/>
            </w14:solidFill>
          </w14:textFill>
        </w:rPr>
        <w:t>第五章   合同主要条款</w:t>
      </w:r>
      <w:bookmarkEnd w:id="36"/>
    </w:p>
    <w:p>
      <w:pPr>
        <w:spacing w:before="156" w:beforeLines="50" w:after="156" w:afterLines="50" w:line="700" w:lineRule="exact"/>
        <w:jc w:val="center"/>
        <w:rPr>
          <w:rFonts w:ascii="宋体" w:hAnsi="宋体"/>
          <w:b/>
          <w:bCs/>
          <w:color w:val="000000" w:themeColor="text1"/>
          <w:sz w:val="32"/>
          <w:szCs w:val="21"/>
          <w14:textFill>
            <w14:solidFill>
              <w14:schemeClr w14:val="tx1"/>
            </w14:solidFill>
          </w14:textFill>
        </w:rPr>
      </w:pPr>
      <w:r>
        <w:rPr>
          <w:rFonts w:hint="eastAsia" w:ascii="宋体" w:hAnsi="宋体"/>
          <w:b/>
          <w:bCs/>
          <w:color w:val="000000" w:themeColor="text1"/>
          <w:sz w:val="32"/>
          <w:szCs w:val="21"/>
          <w14:textFill>
            <w14:solidFill>
              <w14:schemeClr w14:val="tx1"/>
            </w14:solidFill>
          </w14:textFill>
        </w:rPr>
        <w:t>合同书</w:t>
      </w:r>
    </w:p>
    <w:p>
      <w:pPr>
        <w:tabs>
          <w:tab w:val="left" w:pos="840"/>
        </w:tabs>
        <w:spacing w:line="46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委托方（以下简称甲方）：</w:t>
      </w:r>
      <w:r>
        <w:rPr>
          <w:rFonts w:hint="eastAsia" w:ascii="宋体" w:hAnsi="宋体" w:cs="宋体"/>
          <w:color w:val="000000" w:themeColor="text1"/>
          <w:szCs w:val="21"/>
          <w:u w:val="single"/>
          <w14:textFill>
            <w14:solidFill>
              <w14:schemeClr w14:val="tx1"/>
            </w14:solidFill>
          </w14:textFill>
        </w:rPr>
        <w:t xml:space="preserve">    钟山县自然资源局    </w:t>
      </w:r>
    </w:p>
    <w:p>
      <w:pPr>
        <w:tabs>
          <w:tab w:val="left" w:pos="840"/>
        </w:tabs>
        <w:spacing w:line="46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受托方（以下简称乙方）：</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p>
    <w:p>
      <w:pPr>
        <w:snapToGrid w:val="0"/>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根据《中华人民共和国政府采购法》、《中华人民共和国合同法》等法律、法规规定，按照采购文件规定条款和成交服务商承诺，甲乙双方签订本合同。</w:t>
      </w:r>
    </w:p>
    <w:p>
      <w:pPr>
        <w:snapToGrid w:val="0"/>
        <w:spacing w:line="42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第一条  合同标的</w:t>
      </w:r>
    </w:p>
    <w:p>
      <w:pPr>
        <w:snapToGrid w:val="0"/>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1.本合同所涉及的乙方应提供的服务内容详见采购文件“项目采购需求”所列内容。</w:t>
      </w:r>
    </w:p>
    <w:p>
      <w:pPr>
        <w:snapToGrid w:val="0"/>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2.合同合计金额包括采购活动期间包含的全部费用，如采购文件对其另有规定的，从其规定。</w:t>
      </w:r>
    </w:p>
    <w:p>
      <w:pPr>
        <w:snapToGrid w:val="0"/>
        <w:spacing w:line="42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第二条  合同金额及付款方式</w:t>
      </w:r>
    </w:p>
    <w:p>
      <w:pPr>
        <w:snapToGrid w:val="0"/>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1.本合同总金额按乙方最终报价执行。</w:t>
      </w:r>
    </w:p>
    <w:p>
      <w:pPr>
        <w:pStyle w:val="18"/>
        <w:snapToGrid w:val="0"/>
        <w:spacing w:line="42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合同总金额：（大写）人民币</w:t>
      </w:r>
      <w:r>
        <w:rPr>
          <w:rFonts w:hint="eastAsia" w:hAnsi="宋体" w:cs="宋体"/>
          <w:color w:val="000000" w:themeColor="text1"/>
          <w:sz w:val="21"/>
          <w:u w:val="single"/>
          <w14:textFill>
            <w14:solidFill>
              <w14:schemeClr w14:val="tx1"/>
            </w14:solidFill>
          </w14:textFill>
        </w:rPr>
        <w:t xml:space="preserve">            （¥        元）</w:t>
      </w:r>
    </w:p>
    <w:p>
      <w:pPr>
        <w:snapToGrid w:val="0"/>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2.上述金额包括执行本项目服务所需的人工、设备、管理、交通、维护、必要的各类保险费用、利润、各项税费、政策性文件规定及合同包含的所有风险、责任等各项所有费用，甲方不再另行支付其他任何费用。</w:t>
      </w:r>
    </w:p>
    <w:p>
      <w:pPr>
        <w:snapToGrid w:val="0"/>
        <w:spacing w:line="42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3.付款方式：</w:t>
      </w:r>
      <w:r>
        <w:rPr>
          <w:rFonts w:hint="eastAsia" w:ascii="宋体" w:hAnsi="宋体" w:cs="宋体"/>
          <w:color w:val="000000" w:themeColor="text1"/>
          <w:szCs w:val="21"/>
          <w:u w:val="single"/>
          <w14:textFill>
            <w14:solidFill>
              <w14:schemeClr w14:val="tx1"/>
            </w14:solidFill>
          </w14:textFill>
        </w:rPr>
        <w:t>签订采购合同后7个工作日内甲方向乙方支付合同总价的20%；提交摸排成果后甲方向乙方支付合同总价的50%；摸排成果经甲方、市级、自治区及国家审核合格后7个工作日内一次性付清剩余合同价款。乙方每次收到款项之日起7个工作日内开具同等金额的正式发票给甲方。</w:t>
      </w:r>
    </w:p>
    <w:p>
      <w:pPr>
        <w:pStyle w:val="18"/>
        <w:snapToGrid w:val="0"/>
        <w:spacing w:line="420" w:lineRule="exact"/>
        <w:ind w:firstLine="422" w:firstLineChars="200"/>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第三条  项目需求</w:t>
      </w:r>
    </w:p>
    <w:p>
      <w:pPr>
        <w:pStyle w:val="18"/>
        <w:snapToGrid w:val="0"/>
        <w:spacing w:line="420" w:lineRule="exact"/>
        <w:ind w:firstLine="420" w:firstLineChars="200"/>
        <w:rPr>
          <w:rFonts w:hAnsi="宋体" w:cs="宋体"/>
          <w:color w:val="000000" w:themeColor="text1"/>
          <w:sz w:val="21"/>
          <w:u w:val="single"/>
          <w14:textFill>
            <w14:solidFill>
              <w14:schemeClr w14:val="tx1"/>
            </w14:solidFill>
          </w14:textFill>
        </w:rPr>
      </w:pPr>
      <w:r>
        <w:rPr>
          <w:rFonts w:hint="eastAsia" w:hAnsi="宋体" w:cs="宋体"/>
          <w:color w:val="000000" w:themeColor="text1"/>
          <w:sz w:val="21"/>
          <w14:textFill>
            <w14:solidFill>
              <w14:schemeClr w14:val="tx1"/>
            </w14:solidFill>
          </w14:textFill>
        </w:rPr>
        <w:t>（</w:t>
      </w:r>
      <w:r>
        <w:rPr>
          <w:rFonts w:hint="eastAsia" w:hAnsi="宋体" w:cs="宋体"/>
          <w:color w:val="000000" w:themeColor="text1"/>
          <w:sz w:val="21"/>
          <w:u w:val="single"/>
          <w14:textFill>
            <w14:solidFill>
              <w14:schemeClr w14:val="tx1"/>
            </w14:solidFill>
          </w14:textFill>
        </w:rPr>
        <w:t>详见本项目“项目采购需求”</w:t>
      </w:r>
      <w:r>
        <w:rPr>
          <w:rFonts w:hint="eastAsia" w:hAnsi="宋体" w:cs="宋体"/>
          <w:color w:val="000000" w:themeColor="text1"/>
          <w:sz w:val="21"/>
          <w14:textFill>
            <w14:solidFill>
              <w14:schemeClr w14:val="tx1"/>
            </w14:solidFill>
          </w14:textFill>
        </w:rPr>
        <w:t>）</w:t>
      </w:r>
    </w:p>
    <w:p>
      <w:pPr>
        <w:pStyle w:val="18"/>
        <w:snapToGrid w:val="0"/>
        <w:spacing w:line="420" w:lineRule="exact"/>
        <w:ind w:firstLine="422" w:firstLineChars="200"/>
        <w:rPr>
          <w:rFonts w:hAnsi="宋体" w:cs="宋体"/>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第四条  服务时间</w:t>
      </w:r>
    </w:p>
    <w:p>
      <w:pPr>
        <w:pStyle w:val="18"/>
        <w:snapToGrid w:val="0"/>
        <w:spacing w:line="420" w:lineRule="exact"/>
        <w:ind w:firstLine="422" w:firstLineChars="200"/>
        <w:rPr>
          <w:rFonts w:hAnsi="宋体" w:cs="宋体"/>
          <w:color w:val="000000" w:themeColor="text1"/>
          <w:sz w:val="21"/>
          <w:u w:val="single"/>
          <w14:textFill>
            <w14:solidFill>
              <w14:schemeClr w14:val="tx1"/>
            </w14:solidFill>
          </w14:textFill>
        </w:rPr>
      </w:pPr>
      <w:r>
        <w:rPr>
          <w:rFonts w:hint="eastAsia" w:hAnsi="宋体" w:cs="宋体"/>
          <w:b/>
          <w:color w:val="000000" w:themeColor="text1"/>
          <w:sz w:val="21"/>
          <w14:textFill>
            <w14:solidFill>
              <w14:schemeClr w14:val="tx1"/>
            </w14:solidFill>
          </w14:textFill>
        </w:rPr>
        <w:t>服务时间：</w:t>
      </w:r>
      <w:r>
        <w:rPr>
          <w:rFonts w:hint="eastAsia" w:hAnsi="宋体" w:cs="宋体"/>
          <w:bCs/>
          <w:color w:val="000000" w:themeColor="text1"/>
          <w:sz w:val="21"/>
          <w:u w:val="single"/>
          <w14:textFill>
            <w14:solidFill>
              <w14:schemeClr w14:val="tx1"/>
            </w14:solidFill>
          </w14:textFill>
        </w:rPr>
        <w:t xml:space="preserve">                             </w:t>
      </w:r>
      <w:r>
        <w:rPr>
          <w:rFonts w:hint="eastAsia" w:hAnsi="宋体" w:cs="宋体"/>
          <w:bCs/>
          <w:color w:val="000000" w:themeColor="text1"/>
          <w:sz w:val="21"/>
          <w14:textFill>
            <w14:solidFill>
              <w14:schemeClr w14:val="tx1"/>
            </w14:solidFill>
          </w14:textFill>
        </w:rPr>
        <w:t>。</w:t>
      </w:r>
    </w:p>
    <w:p>
      <w:pPr>
        <w:pStyle w:val="18"/>
        <w:snapToGrid w:val="0"/>
        <w:spacing w:line="420" w:lineRule="exact"/>
        <w:ind w:firstLine="422" w:firstLineChars="200"/>
        <w:rPr>
          <w:rFonts w:hAnsi="宋体" w:cs="宋体"/>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第五条  服务内容及要求</w:t>
      </w:r>
    </w:p>
    <w:p>
      <w:pPr>
        <w:snapToGrid w:val="0"/>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详见本项目“项目采购需求”</w:t>
      </w:r>
      <w:r>
        <w:rPr>
          <w:rFonts w:hint="eastAsia" w:ascii="宋体" w:hAnsi="宋体" w:cs="宋体"/>
          <w:color w:val="000000" w:themeColor="text1"/>
          <w:szCs w:val="21"/>
          <w14:textFill>
            <w14:solidFill>
              <w14:schemeClr w14:val="tx1"/>
            </w14:solidFill>
          </w14:textFill>
        </w:rPr>
        <w:t>）</w:t>
      </w:r>
    </w:p>
    <w:p>
      <w:pPr>
        <w:snapToGrid w:val="0"/>
        <w:spacing w:line="42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第六条  税费</w:t>
      </w:r>
    </w:p>
    <w:p>
      <w:pPr>
        <w:snapToGrid w:val="0"/>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本合同执行中相关的一切税费均由乙方负担。</w:t>
      </w:r>
    </w:p>
    <w:p>
      <w:pPr>
        <w:numPr>
          <w:ilvl w:val="0"/>
          <w:numId w:val="2"/>
        </w:numPr>
        <w:snapToGrid w:val="0"/>
        <w:spacing w:line="42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服务费调整</w:t>
      </w:r>
    </w:p>
    <w:p>
      <w:pPr>
        <w:snapToGrid w:val="0"/>
        <w:spacing w:line="42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本合同的服务费根据现时的法规和物价指数等因素确定，如因政策或物价指数等发生较大变化，甲乙双方可以根据情况进行协商。</w:t>
      </w:r>
    </w:p>
    <w:p>
      <w:pPr>
        <w:snapToGrid w:val="0"/>
        <w:spacing w:line="42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第八条  保密条款</w:t>
      </w:r>
    </w:p>
    <w:p>
      <w:pPr>
        <w:snapToGrid w:val="0"/>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1.未经甲方书面许可，乙方不得向第三方提供或披露与甲方业务有关的或与本合同有关的资料和信息,因此造成的损失由乙方赔偿，甲方有权终止其合同，并且乙方须承担总制作费用50%的违约金。</w:t>
      </w:r>
    </w:p>
    <w:p>
      <w:pPr>
        <w:snapToGrid w:val="0"/>
        <w:spacing w:line="42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在本合同有效期和终止后两年内，甲乙双方负有对合作中了解到的有关对方各种商业秘密及技术信息的保密责任，未经双方书面同意，不得外泄、使用或提供给任何第三方使用，否则泄密方应该赔偿对方因此所受到的一切损失。</w:t>
      </w:r>
    </w:p>
    <w:p>
      <w:pPr>
        <w:pStyle w:val="56"/>
        <w:spacing w:line="420" w:lineRule="exact"/>
        <w:ind w:firstLine="422"/>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第九条 </w:t>
      </w:r>
      <w:r>
        <w:rPr>
          <w:rFonts w:hint="eastAsia" w:ascii="宋体" w:hAnsi="宋体" w:cs="宋体"/>
          <w:b/>
          <w:bCs/>
          <w:color w:val="000000" w:themeColor="text1"/>
          <w:szCs w:val="21"/>
          <w14:textFill>
            <w14:solidFill>
              <w14:schemeClr w14:val="tx1"/>
            </w14:solidFill>
          </w14:textFill>
        </w:rPr>
        <w:t>验收</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1、甲方依照采购文件上的要求及有关标准进行验收，服务达到要求的，给予签收，验收不合格的不予签收。</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2、甲方应在验收完毕后按规定填制验收单。非不可抗力因素而拒绝验收或无故刁难、超过规定期限的，视同验收，损失自负。</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3、甲方对验收有异议的，在验收后五个工作日内以书面形式向乙方提出，乙方应自收到甲方书面异议后</w:t>
      </w:r>
      <w:r>
        <w:rPr>
          <w:rFonts w:hint="eastAsia"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日内及时予以解决。</w:t>
      </w:r>
    </w:p>
    <w:p>
      <w:pPr>
        <w:pStyle w:val="56"/>
        <w:spacing w:line="420" w:lineRule="exact"/>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第十条  违约责任</w:t>
      </w:r>
    </w:p>
    <w:p>
      <w:pPr>
        <w:pStyle w:val="18"/>
        <w:spacing w:line="42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（一）甲方违约，造成乙方损失的，甲方应按《合同法》有关规定向乙方赔偿损失。</w:t>
      </w:r>
    </w:p>
    <w:p>
      <w:pPr>
        <w:pStyle w:val="18"/>
        <w:spacing w:line="42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（二）乙方违约，甲方视乙方违约情况，乙方应按《合同法》有关规定向甲方赔偿损失，若乙方无法按时完成项目任务的，甲方有权要求终止合同。</w:t>
      </w:r>
    </w:p>
    <w:p>
      <w:pPr>
        <w:pStyle w:val="56"/>
        <w:spacing w:line="420" w:lineRule="exact"/>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第十一条  合同终止或解除的条件</w:t>
      </w:r>
    </w:p>
    <w:p>
      <w:pPr>
        <w:pStyle w:val="57"/>
        <w:spacing w:line="4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1.任何一方需提前终止合同，应提前30天书面通知另一方即可终止合同，否则，违约方应向守约方支付一个月服务费作为违约金。</w:t>
      </w:r>
    </w:p>
    <w:p>
      <w:pPr>
        <w:pStyle w:val="57"/>
        <w:spacing w:line="4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2.如遇自然灾害、国家行政指令规定等不可抗拒因素，致本合同无法继续履行，本合同即行终止。</w:t>
      </w:r>
    </w:p>
    <w:p>
      <w:pPr>
        <w:snapToGrid w:val="0"/>
        <w:spacing w:line="42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第十二条  不可抗力事件处理</w:t>
      </w:r>
    </w:p>
    <w:p>
      <w:pPr>
        <w:pStyle w:val="57"/>
        <w:spacing w:line="4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1.在合同有效期内，任何一方因不可抗力事件导致不能履行合同，则合同履行期可延长，其延长期与不可抗力影响期相同。</w:t>
      </w:r>
    </w:p>
    <w:p>
      <w:pPr>
        <w:pStyle w:val="57"/>
        <w:spacing w:line="4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2.不可抗力事件发生后，应立即通知对方，并寄送有关权威机构出具的证明。</w:t>
      </w:r>
    </w:p>
    <w:p>
      <w:pPr>
        <w:pStyle w:val="57"/>
        <w:spacing w:line="4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3.不可抗力事件延续一百二十天以上，双方应通过友好协商，确定是否继续履行合同。</w:t>
      </w:r>
    </w:p>
    <w:p>
      <w:pPr>
        <w:pStyle w:val="18"/>
        <w:snapToGrid w:val="0"/>
        <w:spacing w:line="420" w:lineRule="exact"/>
        <w:ind w:firstLine="422" w:firstLineChars="200"/>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第十三条  合同争议解决</w:t>
      </w:r>
    </w:p>
    <w:p>
      <w:pPr>
        <w:pStyle w:val="18"/>
        <w:snapToGrid w:val="0"/>
        <w:spacing w:line="42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1.因履行本合同引起的或与本合同有关的争议，甲乙双方应首先通过友好协商解决，如果协商不能解决，可向仲裁委员会申请仲裁或向人民法院提起诉讼。</w:t>
      </w:r>
    </w:p>
    <w:p>
      <w:pPr>
        <w:pStyle w:val="18"/>
        <w:snapToGrid w:val="0"/>
        <w:spacing w:line="42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2.诉讼期间，本合同继续履行。</w:t>
      </w:r>
    </w:p>
    <w:p>
      <w:pPr>
        <w:pStyle w:val="18"/>
        <w:snapToGrid w:val="0"/>
        <w:spacing w:line="420" w:lineRule="exact"/>
        <w:ind w:firstLine="422" w:firstLineChars="200"/>
        <w:rPr>
          <w:rFonts w:hAnsi="宋体" w:cs="宋体"/>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第十四条  合同生效及其它</w:t>
      </w:r>
    </w:p>
    <w:p>
      <w:pPr>
        <w:pStyle w:val="18"/>
        <w:snapToGrid w:val="0"/>
        <w:spacing w:line="42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1.合同经双方法定代表人或授权代表签字并加盖单位公章后生效。</w:t>
      </w:r>
    </w:p>
    <w:p>
      <w:pPr>
        <w:pStyle w:val="18"/>
        <w:snapToGrid w:val="0"/>
        <w:spacing w:line="42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2.合同执行中涉及采购资金和采购内容修改或补充的，须经财政部门审批，并签书面补充协议报财政部门备案，方可作为主合同不可分割的一部分。</w:t>
      </w:r>
    </w:p>
    <w:p>
      <w:pPr>
        <w:pStyle w:val="18"/>
        <w:snapToGrid w:val="0"/>
        <w:spacing w:line="42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3.本合同未尽事宜，遵照《合同法》有关条文执行。</w:t>
      </w:r>
    </w:p>
    <w:p>
      <w:pPr>
        <w:snapToGrid w:val="0"/>
        <w:spacing w:line="42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第十五条  合同的变更、终止与转让</w:t>
      </w:r>
    </w:p>
    <w:p>
      <w:pPr>
        <w:snapToGrid w:val="0"/>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1.除《中华人民共和国政府采购法》第五十条规定的情形外，本合同一经签订，甲乙双方不得擅自变更、中止或终止。</w:t>
      </w:r>
    </w:p>
    <w:p>
      <w:pPr>
        <w:snapToGrid w:val="0"/>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2.乙方不得擅自转让其应履行的合同义务。</w:t>
      </w:r>
    </w:p>
    <w:p>
      <w:pPr>
        <w:snapToGrid w:val="0"/>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3.合同经双方法定代表人或授权代表签字并加盖单位公章后生效。</w:t>
      </w:r>
    </w:p>
    <w:p>
      <w:pPr>
        <w:pStyle w:val="18"/>
        <w:snapToGrid w:val="0"/>
        <w:spacing w:line="420" w:lineRule="exact"/>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4.合同执行中涉及采购资金和采购内容修改或补充的，须经财政部门审批，并签书面补充协议报财政部门备案，方可作为主合同不可分割的一部分。</w:t>
      </w:r>
    </w:p>
    <w:p>
      <w:pPr>
        <w:snapToGrid w:val="0"/>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5.本合同未尽事宜，遵照《合同法》有关条文执行。</w:t>
      </w:r>
    </w:p>
    <w:p>
      <w:pPr>
        <w:snapToGrid w:val="0"/>
        <w:spacing w:line="42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第十六条  签订本合同依据</w:t>
      </w:r>
    </w:p>
    <w:p>
      <w:pPr>
        <w:snapToGrid w:val="0"/>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1.采购文件；</w:t>
      </w:r>
    </w:p>
    <w:p>
      <w:pPr>
        <w:snapToGrid w:val="0"/>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2.乙方提供的竞标文件；</w:t>
      </w:r>
    </w:p>
    <w:p>
      <w:pPr>
        <w:snapToGrid w:val="0"/>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3.承诺书；</w:t>
      </w:r>
    </w:p>
    <w:p>
      <w:pPr>
        <w:snapToGrid w:val="0"/>
        <w:spacing w:line="42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4.成交通知书。</w:t>
      </w:r>
    </w:p>
    <w:p>
      <w:pPr>
        <w:snapToGrid w:val="0"/>
        <w:spacing w:line="42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第十七条  </w:t>
      </w:r>
      <w:r>
        <w:rPr>
          <w:rFonts w:hint="eastAsia" w:ascii="宋体" w:hAnsi="宋体" w:cs="宋体"/>
          <w:color w:val="000000" w:themeColor="text1"/>
          <w:szCs w:val="21"/>
          <w14:textFill>
            <w14:solidFill>
              <w14:schemeClr w14:val="tx1"/>
            </w14:solidFill>
          </w14:textFill>
        </w:rPr>
        <w:t>本合同一式四份，具有同等法律效力，甲乙双方各一份，财政部门（政府采购监管部门）二份（可根据需要另增加）。</w:t>
      </w:r>
    </w:p>
    <w:p>
      <w:pPr>
        <w:snapToGrid w:val="0"/>
        <w:spacing w:line="360" w:lineRule="exact"/>
        <w:rPr>
          <w:rFonts w:ascii="宋体" w:hAnsi="宋体" w:cs="宋体"/>
          <w:color w:val="000000" w:themeColor="text1"/>
          <w:szCs w:val="21"/>
          <w14:textFill>
            <w14:solidFill>
              <w14:schemeClr w14:val="tx1"/>
            </w14:solidFill>
          </w14:textFill>
        </w:rPr>
      </w:pPr>
    </w:p>
    <w:tbl>
      <w:tblPr>
        <w:tblStyle w:val="27"/>
        <w:tblW w:w="9040" w:type="dxa"/>
        <w:jc w:val="center"/>
        <w:tblLayout w:type="fixed"/>
        <w:tblCellMar>
          <w:top w:w="0" w:type="dxa"/>
          <w:left w:w="108" w:type="dxa"/>
          <w:bottom w:w="0" w:type="dxa"/>
          <w:right w:w="108" w:type="dxa"/>
        </w:tblCellMar>
      </w:tblPr>
      <w:tblGrid>
        <w:gridCol w:w="4321"/>
        <w:gridCol w:w="4719"/>
      </w:tblGrid>
      <w:tr>
        <w:tblPrEx>
          <w:tblCellMar>
            <w:top w:w="0" w:type="dxa"/>
            <w:left w:w="108" w:type="dxa"/>
            <w:bottom w:w="0" w:type="dxa"/>
            <w:right w:w="108" w:type="dxa"/>
          </w:tblCellMar>
        </w:tblPrEx>
        <w:trPr>
          <w:trHeight w:val="4660" w:hRule="atLeast"/>
          <w:jc w:val="center"/>
        </w:trPr>
        <w:tc>
          <w:tcPr>
            <w:tcW w:w="4321" w:type="dxa"/>
          </w:tcPr>
          <w:p>
            <w:pPr>
              <w:autoSpaceDE w:val="0"/>
              <w:autoSpaceDN w:val="0"/>
              <w:adjustRightInd w:val="0"/>
              <w:spacing w:line="4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甲方：（盖章）</w:t>
            </w:r>
          </w:p>
          <w:p>
            <w:pPr>
              <w:autoSpaceDE w:val="0"/>
              <w:autoSpaceDN w:val="0"/>
              <w:adjustRightInd w:val="0"/>
              <w:spacing w:line="4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autoSpaceDE w:val="0"/>
              <w:autoSpaceDN w:val="0"/>
              <w:adjustRightInd w:val="0"/>
              <w:spacing w:line="4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法定代表人（签字）：       </w:t>
            </w:r>
          </w:p>
          <w:p>
            <w:pPr>
              <w:autoSpaceDE w:val="0"/>
              <w:autoSpaceDN w:val="0"/>
              <w:adjustRightInd w:val="0"/>
              <w:spacing w:line="4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委托代理人（签字）：        </w:t>
            </w:r>
          </w:p>
          <w:p>
            <w:pPr>
              <w:autoSpaceDE w:val="0"/>
              <w:autoSpaceDN w:val="0"/>
              <w:adjustRightInd w:val="0"/>
              <w:spacing w:line="4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地    址： </w:t>
            </w:r>
          </w:p>
          <w:p>
            <w:pPr>
              <w:autoSpaceDE w:val="0"/>
              <w:autoSpaceDN w:val="0"/>
              <w:adjustRightInd w:val="0"/>
              <w:spacing w:line="4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p>
            <w:pPr>
              <w:autoSpaceDE w:val="0"/>
              <w:autoSpaceDN w:val="0"/>
              <w:adjustRightInd w:val="0"/>
              <w:spacing w:line="4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银行账号：  </w:t>
            </w:r>
          </w:p>
          <w:p>
            <w:pPr>
              <w:autoSpaceDE w:val="0"/>
              <w:autoSpaceDN w:val="0"/>
              <w:adjustRightInd w:val="0"/>
              <w:spacing w:line="4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联系人及电话：</w:t>
            </w:r>
          </w:p>
          <w:p>
            <w:pPr>
              <w:autoSpaceDE w:val="0"/>
              <w:autoSpaceDN w:val="0"/>
              <w:adjustRightInd w:val="0"/>
              <w:spacing w:line="4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p>
            <w:pPr>
              <w:autoSpaceDE w:val="0"/>
              <w:autoSpaceDN w:val="0"/>
              <w:adjustRightInd w:val="0"/>
              <w:spacing w:line="4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日</w:t>
            </w:r>
          </w:p>
        </w:tc>
        <w:tc>
          <w:tcPr>
            <w:tcW w:w="4719" w:type="dxa"/>
          </w:tcPr>
          <w:p>
            <w:pPr>
              <w:autoSpaceDE w:val="0"/>
              <w:autoSpaceDN w:val="0"/>
              <w:adjustRightInd w:val="0"/>
              <w:spacing w:line="4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乙方：（盖章）</w:t>
            </w:r>
          </w:p>
          <w:p>
            <w:pPr>
              <w:autoSpaceDE w:val="0"/>
              <w:autoSpaceDN w:val="0"/>
              <w:adjustRightInd w:val="0"/>
              <w:spacing w:line="4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autoSpaceDE w:val="0"/>
              <w:autoSpaceDN w:val="0"/>
              <w:adjustRightInd w:val="0"/>
              <w:spacing w:line="4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法定代表人（签字）：          </w:t>
            </w:r>
          </w:p>
          <w:p>
            <w:pPr>
              <w:autoSpaceDE w:val="0"/>
              <w:autoSpaceDN w:val="0"/>
              <w:adjustRightInd w:val="0"/>
              <w:spacing w:line="4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委托代理人（签字）：          </w:t>
            </w:r>
          </w:p>
          <w:p>
            <w:pPr>
              <w:autoSpaceDE w:val="0"/>
              <w:autoSpaceDN w:val="0"/>
              <w:adjustRightInd w:val="0"/>
              <w:spacing w:line="4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地    址： </w:t>
            </w:r>
          </w:p>
          <w:p>
            <w:pPr>
              <w:autoSpaceDE w:val="0"/>
              <w:autoSpaceDN w:val="0"/>
              <w:adjustRightInd w:val="0"/>
              <w:spacing w:line="4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开户银行： </w:t>
            </w:r>
          </w:p>
          <w:p>
            <w:pPr>
              <w:autoSpaceDE w:val="0"/>
              <w:autoSpaceDN w:val="0"/>
              <w:adjustRightInd w:val="0"/>
              <w:spacing w:line="4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银行账号： </w:t>
            </w:r>
          </w:p>
          <w:p>
            <w:pPr>
              <w:autoSpaceDE w:val="0"/>
              <w:autoSpaceDN w:val="0"/>
              <w:adjustRightInd w:val="0"/>
              <w:spacing w:line="4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　　话：</w:t>
            </w:r>
          </w:p>
          <w:p>
            <w:pPr>
              <w:autoSpaceDE w:val="0"/>
              <w:autoSpaceDN w:val="0"/>
              <w:adjustRightInd w:val="0"/>
              <w:spacing w:line="4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p>
            <w:pPr>
              <w:autoSpaceDE w:val="0"/>
              <w:autoSpaceDN w:val="0"/>
              <w:adjustRightInd w:val="0"/>
              <w:spacing w:line="4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日</w:t>
            </w:r>
          </w:p>
        </w:tc>
      </w:tr>
    </w:tbl>
    <w:p>
      <w:pPr>
        <w:pStyle w:val="18"/>
        <w:jc w:val="center"/>
        <w:rPr>
          <w:rFonts w:hAnsi="宋体" w:cs="宋体"/>
          <w:b/>
          <w:color w:val="000000" w:themeColor="text1"/>
          <w:sz w:val="21"/>
          <w14:textFill>
            <w14:solidFill>
              <w14:schemeClr w14:val="tx1"/>
            </w14:solidFill>
          </w14:textFill>
        </w:rPr>
      </w:pPr>
    </w:p>
    <w:p>
      <w:pPr>
        <w:pStyle w:val="18"/>
        <w:jc w:val="center"/>
        <w:rPr>
          <w:rFonts w:hAnsi="宋体" w:cs="宋体"/>
          <w:b/>
          <w:color w:val="000000" w:themeColor="text1"/>
          <w:sz w:val="36"/>
          <w:szCs w:val="36"/>
          <w14:textFill>
            <w14:solidFill>
              <w14:schemeClr w14:val="tx1"/>
            </w14:solidFill>
          </w14:textFill>
        </w:rPr>
      </w:pPr>
    </w:p>
    <w:p>
      <w:pPr>
        <w:pStyle w:val="4"/>
        <w:keepNext w:val="0"/>
        <w:keepLines w:val="0"/>
        <w:numPr>
          <w:ilvl w:val="0"/>
          <w:numId w:val="0"/>
        </w:numPr>
        <w:spacing w:line="5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br w:type="page"/>
      </w:r>
      <w:bookmarkStart w:id="37" w:name="_Toc504988681"/>
    </w:p>
    <w:p>
      <w:pPr>
        <w:pStyle w:val="4"/>
        <w:keepNext w:val="0"/>
        <w:keepLines w:val="0"/>
        <w:numPr>
          <w:ilvl w:val="0"/>
          <w:numId w:val="0"/>
        </w:numPr>
        <w:spacing w:line="500" w:lineRule="exact"/>
        <w:jc w:val="center"/>
        <w:rPr>
          <w:color w:val="000000" w:themeColor="text1"/>
          <w:sz w:val="21"/>
          <w:szCs w:val="2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4"/>
        <w:keepNext w:val="0"/>
        <w:keepLines w:val="0"/>
        <w:numPr>
          <w:ilvl w:val="0"/>
          <w:numId w:val="0"/>
        </w:numPr>
        <w:spacing w:line="500" w:lineRule="exact"/>
        <w:jc w:val="center"/>
        <w:rPr>
          <w:color w:val="000000" w:themeColor="text1"/>
          <w:sz w:val="21"/>
          <w:szCs w:val="21"/>
          <w14:textFill>
            <w14:solidFill>
              <w14:schemeClr w14:val="tx1"/>
            </w14:solidFill>
          </w14:textFill>
        </w:rPr>
      </w:pPr>
    </w:p>
    <w:p>
      <w:pPr>
        <w:pStyle w:val="4"/>
        <w:keepNext w:val="0"/>
        <w:keepLines w:val="0"/>
        <w:numPr>
          <w:ilvl w:val="0"/>
          <w:numId w:val="0"/>
        </w:numPr>
        <w:spacing w:line="500" w:lineRule="exact"/>
        <w:jc w:val="center"/>
        <w:rPr>
          <w:rFonts w:ascii="宋体" w:hAnsi="宋体"/>
          <w:color w:val="000000" w:themeColor="text1"/>
          <w:sz w:val="40"/>
          <w:szCs w:val="44"/>
          <w14:textFill>
            <w14:solidFill>
              <w14:schemeClr w14:val="tx1"/>
            </w14:solidFill>
          </w14:textFill>
        </w:rPr>
      </w:pPr>
      <w:r>
        <w:rPr>
          <w:rFonts w:hint="eastAsia" w:ascii="宋体" w:hAnsi="宋体"/>
          <w:color w:val="000000" w:themeColor="text1"/>
          <w:sz w:val="36"/>
          <w:szCs w:val="44"/>
          <w14:textFill>
            <w14:solidFill>
              <w14:schemeClr w14:val="tx1"/>
            </w14:solidFill>
          </w14:textFill>
        </w:rPr>
        <w:t>第六章 响应文件格式</w:t>
      </w:r>
      <w:bookmarkEnd w:id="37"/>
    </w:p>
    <w:p>
      <w:pPr>
        <w:widowControl/>
        <w:jc w:val="left"/>
        <w:rPr>
          <w:color w:val="000000" w:themeColor="text1"/>
          <w14:textFill>
            <w14:solidFill>
              <w14:schemeClr w14:val="tx1"/>
            </w14:solidFill>
          </w14:textFill>
        </w:rPr>
      </w:pPr>
    </w:p>
    <w:p>
      <w:pPr>
        <w:widowControl/>
        <w:jc w:val="left"/>
        <w:rPr>
          <w:rFonts w:ascii="宋体" w:hAnsi="宋体"/>
          <w:color w:val="000000" w:themeColor="text1"/>
          <w:kern w:val="0"/>
          <w:sz w:val="40"/>
          <w:szCs w:val="36"/>
          <w14:textFill>
            <w14:solidFill>
              <w14:schemeClr w14:val="tx1"/>
            </w14:solidFill>
          </w14:textFill>
        </w:rPr>
      </w:pPr>
      <w:r>
        <w:rPr>
          <w:rFonts w:hAnsi="宋体"/>
          <w:color w:val="000000" w:themeColor="text1"/>
          <w:sz w:val="40"/>
          <w:szCs w:val="36"/>
          <w14:textFill>
            <w14:solidFill>
              <w14:schemeClr w14:val="tx1"/>
            </w14:solidFill>
          </w14:textFill>
        </w:rPr>
        <w:br w:type="page"/>
      </w:r>
    </w:p>
    <w:p>
      <w:pPr>
        <w:pStyle w:val="18"/>
        <w:tabs>
          <w:tab w:val="left" w:pos="7560"/>
          <w:tab w:val="left" w:pos="7920"/>
        </w:tabs>
        <w:spacing w:before="468" w:beforeLines="150" w:after="156" w:afterLines="50" w:line="360" w:lineRule="auto"/>
        <w:jc w:val="center"/>
        <w:rPr>
          <w:rFonts w:hAnsi="宋体"/>
          <w:color w:val="000000" w:themeColor="text1"/>
          <w:sz w:val="28"/>
          <w:szCs w:val="36"/>
          <w14:textFill>
            <w14:solidFill>
              <w14:schemeClr w14:val="tx1"/>
            </w14:solidFill>
          </w14:textFill>
        </w:rPr>
      </w:pPr>
    </w:p>
    <w:p>
      <w:pPr>
        <w:pStyle w:val="18"/>
        <w:tabs>
          <w:tab w:val="left" w:pos="7560"/>
          <w:tab w:val="left" w:pos="7920"/>
        </w:tabs>
        <w:spacing w:before="468" w:beforeLines="150" w:after="156" w:afterLines="50" w:line="360" w:lineRule="auto"/>
        <w:jc w:val="center"/>
        <w:rPr>
          <w:rFonts w:hAnsi="宋体"/>
          <w:b/>
          <w:color w:val="000000" w:themeColor="text1"/>
          <w:sz w:val="24"/>
          <w:szCs w:val="36"/>
          <w14:textFill>
            <w14:solidFill>
              <w14:schemeClr w14:val="tx1"/>
            </w14:solidFill>
          </w14:textFill>
        </w:rPr>
      </w:pPr>
      <w:r>
        <w:rPr>
          <w:rFonts w:hint="eastAsia" w:hAnsi="宋体"/>
          <w:b/>
          <w:color w:val="000000" w:themeColor="text1"/>
          <w:sz w:val="28"/>
          <w:szCs w:val="36"/>
          <w14:textFill>
            <w14:solidFill>
              <w14:schemeClr w14:val="tx1"/>
            </w14:solidFill>
          </w14:textFill>
        </w:rPr>
        <w:t>竞争性磋商响应文件目录</w:t>
      </w:r>
    </w:p>
    <w:p>
      <w:pPr>
        <w:spacing w:line="760" w:lineRule="exact"/>
        <w:rPr>
          <w:rFonts w:ascii="宋体" w:hAnsi="宋体"/>
          <w:b/>
          <w:color w:val="000000" w:themeColor="text1"/>
          <w:sz w:val="24"/>
          <w:szCs w:val="21"/>
          <w14:textFill>
            <w14:solidFill>
              <w14:schemeClr w14:val="tx1"/>
            </w14:solidFill>
          </w14:textFill>
        </w:rPr>
      </w:pPr>
    </w:p>
    <w:p>
      <w:pPr>
        <w:spacing w:line="700" w:lineRule="exact"/>
        <w:ind w:firstLine="283" w:firstLineChars="118"/>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一、磋商函及磋商声明函</w:t>
      </w:r>
    </w:p>
    <w:p>
      <w:pPr>
        <w:spacing w:line="700" w:lineRule="exact"/>
        <w:ind w:firstLine="283" w:firstLineChars="118"/>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二、磋商报价表</w:t>
      </w:r>
    </w:p>
    <w:p>
      <w:pPr>
        <w:spacing w:line="700" w:lineRule="exact"/>
        <w:ind w:firstLine="283" w:firstLineChars="118"/>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三、项目服务方案</w:t>
      </w:r>
    </w:p>
    <w:p>
      <w:pPr>
        <w:spacing w:line="700" w:lineRule="exact"/>
        <w:ind w:firstLine="283" w:firstLineChars="118"/>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四、商务条款偏离表</w:t>
      </w:r>
    </w:p>
    <w:p>
      <w:pPr>
        <w:spacing w:line="700" w:lineRule="exact"/>
        <w:ind w:firstLine="283" w:firstLineChars="118"/>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五、竞争性磋商供应商资格、资信证明文件</w:t>
      </w:r>
    </w:p>
    <w:p>
      <w:pPr>
        <w:spacing w:line="700" w:lineRule="exact"/>
        <w:ind w:firstLine="283" w:firstLineChars="118"/>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六、</w:t>
      </w:r>
      <w:r>
        <w:rPr>
          <w:rFonts w:ascii="宋体" w:hAnsi="宋体"/>
          <w:color w:val="000000" w:themeColor="text1"/>
          <w:sz w:val="24"/>
          <w:szCs w:val="21"/>
          <w14:textFill>
            <w14:solidFill>
              <w14:schemeClr w14:val="tx1"/>
            </w14:solidFill>
          </w14:textFill>
        </w:rPr>
        <w:t>竞争性磋商供应商认为有必要提供的其它资料</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jc w:val="center"/>
        <w:rPr>
          <w:color w:val="000000" w:themeColor="text1"/>
          <w14:textFill>
            <w14:solidFill>
              <w14:schemeClr w14:val="tx1"/>
            </w14:solidFill>
          </w14:textFill>
        </w:rPr>
      </w:pPr>
    </w:p>
    <w:p>
      <w:pPr>
        <w:widowControl/>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 w:val="28"/>
          <w:szCs w:val="21"/>
          <w14:textFill>
            <w14:solidFill>
              <w14:schemeClr w14:val="tx1"/>
            </w14:solidFill>
          </w14:textFill>
        </w:rPr>
        <w:t>一、磋商函及磋商声明函</w:t>
      </w:r>
    </w:p>
    <w:p>
      <w:pPr>
        <w:spacing w:before="156" w:beforeLines="50" w:after="312" w:afterLines="100" w:line="560" w:lineRule="exact"/>
        <w:jc w:val="center"/>
        <w:rPr>
          <w:rFonts w:ascii="宋体" w:hAnsi="宋体"/>
          <w:b/>
          <w:color w:val="000000" w:themeColor="text1"/>
          <w:sz w:val="28"/>
          <w:szCs w:val="32"/>
          <w14:textFill>
            <w14:solidFill>
              <w14:schemeClr w14:val="tx1"/>
            </w14:solidFill>
          </w14:textFill>
        </w:rPr>
      </w:pPr>
      <w:r>
        <w:rPr>
          <w:rFonts w:hint="eastAsia" w:ascii="宋体" w:hAnsi="宋体"/>
          <w:b/>
          <w:color w:val="000000" w:themeColor="text1"/>
          <w:sz w:val="28"/>
          <w:szCs w:val="32"/>
          <w14:textFill>
            <w14:solidFill>
              <w14:schemeClr w14:val="tx1"/>
            </w14:solidFill>
          </w14:textFill>
        </w:rPr>
        <w:t>磋商函</w:t>
      </w:r>
    </w:p>
    <w:p>
      <w:pPr>
        <w:spacing w:after="156" w:afterLines="50" w:line="500" w:lineRule="exact"/>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u w:val="single"/>
          <w14:textFill>
            <w14:solidFill>
              <w14:schemeClr w14:val="tx1"/>
            </w14:solidFill>
          </w14:textFill>
        </w:rPr>
        <w:t>（采购人名称）</w:t>
      </w:r>
      <w:r>
        <w:rPr>
          <w:rFonts w:hint="eastAsia" w:ascii="宋体" w:hAnsi="宋体" w:cs="Courier New"/>
          <w:color w:val="000000" w:themeColor="text1"/>
          <w:kern w:val="0"/>
          <w:szCs w:val="21"/>
          <w14:textFill>
            <w14:solidFill>
              <w14:schemeClr w14:val="tx1"/>
            </w14:solidFill>
          </w14:textFill>
        </w:rPr>
        <w:t>：</w:t>
      </w:r>
    </w:p>
    <w:p>
      <w:pPr>
        <w:spacing w:line="44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依据贵方</w:t>
      </w:r>
      <w:r>
        <w:rPr>
          <w:rFonts w:hint="eastAsia" w:ascii="宋体" w:hAnsi="宋体" w:cs="Courier New"/>
          <w:color w:val="000000" w:themeColor="text1"/>
          <w:kern w:val="0"/>
          <w:szCs w:val="21"/>
          <w:u w:val="single"/>
          <w14:textFill>
            <w14:solidFill>
              <w14:schemeClr w14:val="tx1"/>
            </w14:solidFill>
          </w14:textFill>
        </w:rPr>
        <w:t xml:space="preserve">   （项目名称/项目编号）   </w:t>
      </w:r>
      <w:r>
        <w:rPr>
          <w:rFonts w:hint="eastAsia" w:ascii="宋体" w:hAnsi="宋体" w:cs="Courier New"/>
          <w:color w:val="000000" w:themeColor="text1"/>
          <w:kern w:val="0"/>
          <w:szCs w:val="21"/>
          <w14:textFill>
            <w14:solidFill>
              <w14:schemeClr w14:val="tx1"/>
            </w14:solidFill>
          </w14:textFill>
        </w:rPr>
        <w:t>项目采购的磋商邀请，我方</w:t>
      </w:r>
      <w:r>
        <w:rPr>
          <w:rFonts w:hint="eastAsia" w:ascii="宋体" w:hAnsi="宋体" w:cs="Courier New"/>
          <w:color w:val="000000" w:themeColor="text1"/>
          <w:kern w:val="0"/>
          <w:szCs w:val="21"/>
          <w:u w:val="single"/>
          <w14:textFill>
            <w14:solidFill>
              <w14:schemeClr w14:val="tx1"/>
            </w14:solidFill>
          </w14:textFill>
        </w:rPr>
        <w:t xml:space="preserve">  （姓名和职务）   </w:t>
      </w:r>
      <w:r>
        <w:rPr>
          <w:rFonts w:hint="eastAsia" w:ascii="宋体" w:hAnsi="宋体" w:cs="Courier New"/>
          <w:color w:val="000000" w:themeColor="text1"/>
          <w:kern w:val="0"/>
          <w:szCs w:val="21"/>
          <w14:textFill>
            <w14:solidFill>
              <w14:schemeClr w14:val="tx1"/>
            </w14:solidFill>
          </w14:textFill>
        </w:rPr>
        <w:t>经正式授权并代表供应商</w:t>
      </w:r>
      <w:r>
        <w:rPr>
          <w:rFonts w:hint="eastAsia" w:ascii="宋体" w:hAnsi="宋体" w:cs="Courier New"/>
          <w:color w:val="000000" w:themeColor="text1"/>
          <w:kern w:val="0"/>
          <w:szCs w:val="21"/>
          <w:u w:val="single"/>
          <w14:textFill>
            <w14:solidFill>
              <w14:schemeClr w14:val="tx1"/>
            </w14:solidFill>
          </w14:textFill>
        </w:rPr>
        <w:t xml:space="preserve">    （供应商名称、地址）    </w:t>
      </w:r>
      <w:r>
        <w:rPr>
          <w:rFonts w:hint="eastAsia" w:ascii="宋体" w:hAnsi="宋体" w:cs="Courier New"/>
          <w:color w:val="000000" w:themeColor="text1"/>
          <w:kern w:val="0"/>
          <w:szCs w:val="21"/>
          <w14:textFill>
            <w14:solidFill>
              <w14:schemeClr w14:val="tx1"/>
            </w14:solidFill>
          </w14:textFill>
        </w:rPr>
        <w:t>提交响应文件正本一份，副本</w:t>
      </w:r>
      <w:r>
        <w:rPr>
          <w:rFonts w:hint="eastAsia" w:ascii="宋体" w:hAnsi="宋体" w:cs="Courier New"/>
          <w:color w:val="000000" w:themeColor="text1"/>
          <w:kern w:val="0"/>
          <w:szCs w:val="21"/>
          <w:u w:val="single"/>
          <w14:textFill>
            <w14:solidFill>
              <w14:schemeClr w14:val="tx1"/>
            </w14:solidFill>
          </w14:textFill>
        </w:rPr>
        <w:t xml:space="preserve">    </w:t>
      </w:r>
      <w:r>
        <w:rPr>
          <w:rFonts w:hint="eastAsia" w:ascii="宋体" w:hAnsi="宋体" w:cs="Courier New"/>
          <w:color w:val="000000" w:themeColor="text1"/>
          <w:kern w:val="0"/>
          <w:szCs w:val="21"/>
          <w14:textFill>
            <w14:solidFill>
              <w14:schemeClr w14:val="tx1"/>
            </w14:solidFill>
          </w14:textFill>
        </w:rPr>
        <w:t>份。</w:t>
      </w:r>
    </w:p>
    <w:p>
      <w:pPr>
        <w:spacing w:line="44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在此，授权代表宣布同意如下：</w:t>
      </w:r>
    </w:p>
    <w:p>
      <w:pPr>
        <w:spacing w:line="44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1. 将按竞争性磋商文件的约定履行合同责任和义务；</w:t>
      </w:r>
    </w:p>
    <w:p>
      <w:pPr>
        <w:spacing w:line="44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2. 已详细审查全部竞争性磋商文件，包括</w:t>
      </w:r>
      <w:r>
        <w:rPr>
          <w:rFonts w:hint="eastAsia" w:ascii="宋体" w:hAnsi="宋体" w:cs="Courier New"/>
          <w:color w:val="000000" w:themeColor="text1"/>
          <w:kern w:val="0"/>
          <w:szCs w:val="21"/>
          <w:u w:val="single"/>
          <w14:textFill>
            <w14:solidFill>
              <w14:schemeClr w14:val="tx1"/>
            </w14:solidFill>
          </w14:textFill>
        </w:rPr>
        <w:t>（补遗文件）（如果有的话）</w:t>
      </w:r>
      <w:r>
        <w:rPr>
          <w:rFonts w:hint="eastAsia" w:ascii="宋体" w:hAnsi="宋体" w:cs="Courier New"/>
          <w:color w:val="000000" w:themeColor="text1"/>
          <w:kern w:val="0"/>
          <w:szCs w:val="21"/>
          <w14:textFill>
            <w14:solidFill>
              <w14:schemeClr w14:val="tx1"/>
            </w14:solidFill>
          </w14:textFill>
        </w:rPr>
        <w:t>；我们完全理解并同意放弃对这方面有不明及误解的权力；</w:t>
      </w:r>
    </w:p>
    <w:p>
      <w:pPr>
        <w:spacing w:line="44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3. 同意提供按照贵方可能要求的与其磋商有关的一切数据或资料；</w:t>
      </w:r>
    </w:p>
    <w:p>
      <w:pPr>
        <w:spacing w:line="44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4. 与本磋商有关的一切正式往来信函请寄：</w:t>
      </w:r>
    </w:p>
    <w:p>
      <w:pPr>
        <w:spacing w:line="440" w:lineRule="exact"/>
        <w:ind w:firstLine="420" w:firstLineChars="200"/>
        <w:rPr>
          <w:rFonts w:ascii="宋体" w:hAnsi="宋体" w:cs="Courier New"/>
          <w:color w:val="000000" w:themeColor="text1"/>
          <w:kern w:val="0"/>
          <w:szCs w:val="21"/>
          <w:u w:val="single"/>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地址：</w:t>
      </w:r>
      <w:r>
        <w:rPr>
          <w:rFonts w:hint="eastAsia" w:ascii="宋体" w:hAnsi="宋体" w:cs="Courier New"/>
          <w:color w:val="000000" w:themeColor="text1"/>
          <w:kern w:val="0"/>
          <w:szCs w:val="21"/>
          <w:u w:val="single"/>
          <w14:textFill>
            <w14:solidFill>
              <w14:schemeClr w14:val="tx1"/>
            </w14:solidFill>
          </w14:textFill>
        </w:rPr>
        <w:t xml:space="preserve">                           </w:t>
      </w:r>
      <w:r>
        <w:rPr>
          <w:rFonts w:hint="eastAsia" w:ascii="宋体" w:hAnsi="宋体" w:cs="Courier New"/>
          <w:color w:val="000000" w:themeColor="text1"/>
          <w:kern w:val="0"/>
          <w:szCs w:val="21"/>
          <w14:textFill>
            <w14:solidFill>
              <w14:schemeClr w14:val="tx1"/>
            </w14:solidFill>
          </w14:textFill>
        </w:rPr>
        <w:t xml:space="preserve">   邮政编号：</w:t>
      </w:r>
      <w:r>
        <w:rPr>
          <w:rFonts w:hint="eastAsia" w:ascii="宋体" w:hAnsi="宋体" w:cs="Courier New"/>
          <w:color w:val="000000" w:themeColor="text1"/>
          <w:kern w:val="0"/>
          <w:szCs w:val="21"/>
          <w:u w:val="single"/>
          <w14:textFill>
            <w14:solidFill>
              <w14:schemeClr w14:val="tx1"/>
            </w14:solidFill>
          </w14:textFill>
        </w:rPr>
        <w:t xml:space="preserve">                </w:t>
      </w:r>
    </w:p>
    <w:p>
      <w:pPr>
        <w:spacing w:line="44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电话/传真：</w:t>
      </w:r>
      <w:r>
        <w:rPr>
          <w:rFonts w:hint="eastAsia" w:ascii="宋体" w:hAnsi="宋体" w:cs="Courier New"/>
          <w:color w:val="000000" w:themeColor="text1"/>
          <w:kern w:val="0"/>
          <w:szCs w:val="21"/>
          <w:u w:val="single"/>
          <w14:textFill>
            <w14:solidFill>
              <w14:schemeClr w14:val="tx1"/>
            </w14:solidFill>
          </w14:textFill>
        </w:rPr>
        <w:t xml:space="preserve">                      </w:t>
      </w:r>
      <w:r>
        <w:rPr>
          <w:rFonts w:hint="eastAsia" w:ascii="宋体" w:hAnsi="宋体" w:cs="Courier New"/>
          <w:color w:val="000000" w:themeColor="text1"/>
          <w:kern w:val="0"/>
          <w:szCs w:val="21"/>
          <w14:textFill>
            <w14:solidFill>
              <w14:schemeClr w14:val="tx1"/>
            </w14:solidFill>
          </w14:textFill>
        </w:rPr>
        <w:t xml:space="preserve">   电子函件：</w:t>
      </w:r>
      <w:r>
        <w:rPr>
          <w:rFonts w:hint="eastAsia" w:ascii="宋体" w:hAnsi="宋体" w:cs="Courier New"/>
          <w:color w:val="000000" w:themeColor="text1"/>
          <w:kern w:val="0"/>
          <w:szCs w:val="21"/>
          <w:u w:val="single"/>
          <w14:textFill>
            <w14:solidFill>
              <w14:schemeClr w14:val="tx1"/>
            </w14:solidFill>
          </w14:textFill>
        </w:rPr>
        <w:t xml:space="preserve">                </w:t>
      </w:r>
    </w:p>
    <w:p>
      <w:pPr>
        <w:pStyle w:val="18"/>
        <w:spacing w:line="440" w:lineRule="exact"/>
        <w:ind w:firstLine="420" w:firstLineChars="200"/>
        <w:rPr>
          <w:rFonts w:hAnsi="宋体"/>
          <w:color w:val="000000" w:themeColor="text1"/>
          <w:sz w:val="21"/>
          <w:u w:val="single"/>
          <w14:textFill>
            <w14:solidFill>
              <w14:schemeClr w14:val="tx1"/>
            </w14:solidFill>
          </w14:textFill>
        </w:rPr>
      </w:pPr>
      <w:r>
        <w:rPr>
          <w:rFonts w:hint="eastAsia" w:hAnsi="宋体"/>
          <w:color w:val="000000" w:themeColor="text1"/>
          <w:sz w:val="21"/>
          <w14:textFill>
            <w14:solidFill>
              <w14:schemeClr w14:val="tx1"/>
            </w14:solidFill>
          </w14:textFill>
        </w:rPr>
        <w:t>开户名称：</w:t>
      </w:r>
      <w:r>
        <w:rPr>
          <w:rFonts w:hint="eastAsia" w:hAnsi="宋体"/>
          <w:color w:val="000000" w:themeColor="text1"/>
          <w:sz w:val="21"/>
          <w:u w:val="single"/>
          <w14:textFill>
            <w14:solidFill>
              <w14:schemeClr w14:val="tx1"/>
            </w14:solidFill>
          </w14:textFill>
        </w:rPr>
        <w:t xml:space="preserve">                                                    </w:t>
      </w:r>
    </w:p>
    <w:p>
      <w:pPr>
        <w:pStyle w:val="18"/>
        <w:spacing w:line="440" w:lineRule="exact"/>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开户银行：</w:t>
      </w:r>
      <w:r>
        <w:rPr>
          <w:rFonts w:hint="eastAsia" w:hAnsi="宋体"/>
          <w:color w:val="000000" w:themeColor="text1"/>
          <w:sz w:val="21"/>
          <w:u w:val="single"/>
          <w14:textFill>
            <w14:solidFill>
              <w14:schemeClr w14:val="tx1"/>
            </w14:solidFill>
          </w14:textFill>
        </w:rPr>
        <w:t xml:space="preserve">                               　                   </w:t>
      </w:r>
    </w:p>
    <w:p>
      <w:pPr>
        <w:pStyle w:val="18"/>
        <w:spacing w:line="440" w:lineRule="exact"/>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账号：</w:t>
      </w:r>
      <w:r>
        <w:rPr>
          <w:rFonts w:hint="eastAsia" w:hAnsi="宋体"/>
          <w:color w:val="000000" w:themeColor="text1"/>
          <w:sz w:val="21"/>
          <w:u w:val="single"/>
          <w14:textFill>
            <w14:solidFill>
              <w14:schemeClr w14:val="tx1"/>
            </w14:solidFill>
          </w14:textFill>
        </w:rPr>
        <w:t xml:space="preserve">                                   　　　               </w:t>
      </w:r>
    </w:p>
    <w:p>
      <w:pPr>
        <w:spacing w:line="440" w:lineRule="exact"/>
        <w:ind w:firstLine="420" w:firstLineChars="200"/>
        <w:rPr>
          <w:rFonts w:ascii="宋体" w:hAnsi="宋体" w:cs="Courier New"/>
          <w:color w:val="000000" w:themeColor="text1"/>
          <w:kern w:val="0"/>
          <w:szCs w:val="21"/>
          <w:u w:val="single"/>
          <w14:textFill>
            <w14:solidFill>
              <w14:schemeClr w14:val="tx1"/>
            </w14:solidFill>
          </w14:textFill>
        </w:rPr>
      </w:pPr>
      <w:r>
        <w:rPr>
          <w:color w:val="000000" w:themeColor="text1"/>
          <w14:textFill>
            <w14:solidFill>
              <w14:schemeClr w14:val="tx1"/>
            </w14:solidFill>
          </w14:textFill>
        </w:rPr>
        <w:t>法定代表人或委托代理人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签字</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盖章）：</w:t>
      </w:r>
    </w:p>
    <w:p>
      <w:pPr>
        <w:spacing w:line="44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供应商名称（</w:t>
      </w:r>
      <w:r>
        <w:rPr>
          <w:color w:val="000000" w:themeColor="text1"/>
          <w:szCs w:val="21"/>
          <w14:textFill>
            <w14:solidFill>
              <w14:schemeClr w14:val="tx1"/>
            </w14:solidFill>
          </w14:textFill>
        </w:rPr>
        <w:t>公章</w:t>
      </w:r>
      <w:r>
        <w:rPr>
          <w:rFonts w:hint="eastAsia" w:ascii="宋体" w:hAnsi="宋体" w:cs="Courier New"/>
          <w:color w:val="000000" w:themeColor="text1"/>
          <w:kern w:val="0"/>
          <w:szCs w:val="21"/>
          <w14:textFill>
            <w14:solidFill>
              <w14:schemeClr w14:val="tx1"/>
            </w14:solidFill>
          </w14:textFill>
        </w:rPr>
        <w:t>）：</w:t>
      </w:r>
    </w:p>
    <w:p>
      <w:pPr>
        <w:spacing w:line="44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日期：   年   月   日</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18"/>
        <w:spacing w:line="400" w:lineRule="exact"/>
        <w:rPr>
          <w:rFonts w:hAnsi="宋体"/>
          <w:color w:val="000000" w:themeColor="text1"/>
          <w:sz w:val="21"/>
          <w:szCs w:val="24"/>
          <w14:textFill>
            <w14:solidFill>
              <w14:schemeClr w14:val="tx1"/>
            </w14:solidFill>
          </w14:textFill>
        </w:rPr>
      </w:pPr>
    </w:p>
    <w:p>
      <w:pPr>
        <w:pStyle w:val="18"/>
        <w:spacing w:line="400" w:lineRule="exact"/>
        <w:rPr>
          <w:rFonts w:hAnsi="宋体" w:cs="Courier New"/>
          <w:color w:val="000000" w:themeColor="text1"/>
          <w:sz w:val="18"/>
          <w14:textFill>
            <w14:solidFill>
              <w14:schemeClr w14:val="tx1"/>
            </w14:solidFill>
          </w14:textFill>
        </w:rPr>
      </w:pPr>
      <w:r>
        <w:rPr>
          <w:rFonts w:hint="eastAsia" w:hAnsi="宋体"/>
          <w:color w:val="000000" w:themeColor="text1"/>
          <w:sz w:val="21"/>
          <w:szCs w:val="24"/>
          <w14:textFill>
            <w14:solidFill>
              <w14:schemeClr w14:val="tx1"/>
            </w14:solidFill>
          </w14:textFill>
        </w:rPr>
        <w:t>注：未按照本磋商函（格式）要求填报的磋商函将被视为非实质性响应采购文件要求，其响应文件无效。</w:t>
      </w:r>
    </w:p>
    <w:p>
      <w:pPr>
        <w:pStyle w:val="2"/>
        <w:rPr>
          <w:color w:val="000000" w:themeColor="text1"/>
          <w14:textFill>
            <w14:solidFill>
              <w14:schemeClr w14:val="tx1"/>
            </w14:solidFill>
          </w14:textFill>
        </w:rPr>
      </w:pPr>
    </w:p>
    <w:p>
      <w:pPr>
        <w:spacing w:line="500" w:lineRule="exact"/>
        <w:ind w:firstLine="840"/>
        <w:rPr>
          <w:rFonts w:ascii="宋体" w:hAnsi="宋体" w:cs="Courier New"/>
          <w:color w:val="000000" w:themeColor="text1"/>
          <w:kern w:val="0"/>
          <w:szCs w:val="21"/>
          <w14:textFill>
            <w14:solidFill>
              <w14:schemeClr w14:val="tx1"/>
            </w14:solidFill>
          </w14:textFill>
        </w:rPr>
      </w:pPr>
    </w:p>
    <w:p>
      <w:pPr>
        <w:spacing w:before="156" w:beforeLines="50" w:after="312" w:afterLines="100" w:line="560" w:lineRule="exact"/>
        <w:jc w:val="center"/>
        <w:rPr>
          <w:rFonts w:ascii="宋体" w:hAnsi="宋体"/>
          <w:b/>
          <w:color w:val="000000" w:themeColor="text1"/>
          <w:sz w:val="28"/>
          <w:szCs w:val="21"/>
          <w14:textFill>
            <w14:solidFill>
              <w14:schemeClr w14:val="tx1"/>
            </w14:solidFill>
          </w14:textFill>
        </w:rPr>
      </w:pPr>
      <w:r>
        <w:rPr>
          <w:rFonts w:hAnsi="宋体"/>
          <w:color w:val="000000" w:themeColor="text1"/>
          <w14:textFill>
            <w14:solidFill>
              <w14:schemeClr w14:val="tx1"/>
            </w14:solidFill>
          </w14:textFill>
        </w:rPr>
        <w:br w:type="page"/>
      </w:r>
      <w:r>
        <w:rPr>
          <w:rFonts w:hint="eastAsia" w:ascii="宋体" w:hAnsi="宋体"/>
          <w:b/>
          <w:color w:val="000000" w:themeColor="text1"/>
          <w:sz w:val="28"/>
          <w:szCs w:val="32"/>
          <w14:textFill>
            <w14:solidFill>
              <w14:schemeClr w14:val="tx1"/>
            </w14:solidFill>
          </w14:textFill>
        </w:rPr>
        <w:t>磋商声明函</w:t>
      </w:r>
    </w:p>
    <w:p>
      <w:pPr>
        <w:snapToGrid w:val="0"/>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Courier New"/>
          <w:color w:val="000000" w:themeColor="text1"/>
          <w:kern w:val="0"/>
          <w:szCs w:val="21"/>
          <w:u w:val="single"/>
          <w14:textFill>
            <w14:solidFill>
              <w14:schemeClr w14:val="tx1"/>
            </w14:solidFill>
          </w14:textFill>
        </w:rPr>
        <w:t>采购人名称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（供应商名称）  </w:t>
      </w:r>
      <w:r>
        <w:rPr>
          <w:rFonts w:hint="eastAsia" w:ascii="宋体" w:hAnsi="宋体"/>
          <w:color w:val="000000" w:themeColor="text1"/>
          <w:szCs w:val="21"/>
          <w14:textFill>
            <w14:solidFill>
              <w14:schemeClr w14:val="tx1"/>
            </w14:solidFill>
          </w14:textFill>
        </w:rPr>
        <w:t>系中华人民共和国合法企业，经营地址</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w:t>
      </w:r>
      <w:r>
        <w:rPr>
          <w:rFonts w:hint="eastAsia" w:ascii="宋体" w:hAnsi="宋体"/>
          <w:color w:val="000000" w:themeColor="text1"/>
          <w:szCs w:val="21"/>
          <w:u w:val="single"/>
          <w14:textFill>
            <w14:solidFill>
              <w14:schemeClr w14:val="tx1"/>
            </w14:solidFill>
          </w14:textFill>
        </w:rPr>
        <w:t xml:space="preserve">  （姓名）  </w:t>
      </w:r>
      <w:r>
        <w:rPr>
          <w:rFonts w:hint="eastAsia" w:ascii="宋体" w:hAnsi="宋体"/>
          <w:color w:val="000000" w:themeColor="text1"/>
          <w:szCs w:val="21"/>
          <w14:textFill>
            <w14:solidFill>
              <w14:schemeClr w14:val="tx1"/>
            </w14:solidFill>
          </w14:textFill>
        </w:rPr>
        <w:t>系</w:t>
      </w:r>
      <w:r>
        <w:rPr>
          <w:rFonts w:hint="eastAsia" w:ascii="宋体" w:hAnsi="宋体"/>
          <w:color w:val="000000" w:themeColor="text1"/>
          <w:szCs w:val="21"/>
          <w:u w:val="single"/>
          <w14:textFill>
            <w14:solidFill>
              <w14:schemeClr w14:val="tx1"/>
            </w14:solidFill>
          </w14:textFill>
        </w:rPr>
        <w:t xml:space="preserve">  （供应商名称）  </w:t>
      </w:r>
      <w:r>
        <w:rPr>
          <w:rFonts w:hint="eastAsia" w:ascii="宋体" w:hAnsi="宋体"/>
          <w:color w:val="000000" w:themeColor="text1"/>
          <w:szCs w:val="21"/>
          <w14:textFill>
            <w14:solidFill>
              <w14:schemeClr w14:val="tx1"/>
            </w14:solidFill>
          </w14:textFill>
        </w:rPr>
        <w:t>的</w:t>
      </w:r>
      <w:r>
        <w:rPr>
          <w:rFonts w:hint="eastAsia" w:hAnsi="宋体"/>
          <w:color w:val="000000" w:themeColor="text1"/>
          <w14:textFill>
            <w14:solidFill>
              <w14:schemeClr w14:val="tx1"/>
            </w14:solidFill>
          </w14:textFill>
        </w:rPr>
        <w:t>法定代表人</w:t>
      </w:r>
      <w:r>
        <w:rPr>
          <w:rFonts w:hint="eastAsia" w:ascii="宋体" w:hAnsi="宋体"/>
          <w:color w:val="000000" w:themeColor="text1"/>
          <w:szCs w:val="21"/>
          <w14:textFill>
            <w14:solidFill>
              <w14:schemeClr w14:val="tx1"/>
            </w14:solidFill>
          </w14:textFill>
        </w:rPr>
        <w:t>，我方愿意参加贵方组织的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Courier New"/>
          <w:color w:val="000000" w:themeColor="text1"/>
          <w:kern w:val="0"/>
          <w:szCs w:val="21"/>
          <w:u w:val="single"/>
          <w14:textFill>
            <w14:solidFill>
              <w14:schemeClr w14:val="tx1"/>
            </w14:solidFill>
          </w14:textFill>
        </w:rPr>
        <w:t>（项目名称/项目编号）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项目的竞标，为便于贵方公正、择优地确定成交供应商及其竞标产品和服务，我方就本次竞标有关事项郑重声明如下：</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1.我方向贵方提交的所有响应文件、资料都是准确的和真实的。</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2.我方不是采购人的附属机构；在获知本项目采购信息后，与采购人聘请的为此项目提供咨询服务的公司及其附属机构没有任何联系。</w:t>
      </w:r>
    </w:p>
    <w:p>
      <w:pPr>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.根据</w:t>
      </w:r>
      <w:r>
        <w:rPr>
          <w:rFonts w:ascii="宋体" w:hAnsi="宋体"/>
          <w:color w:val="000000" w:themeColor="text1"/>
          <w:szCs w:val="21"/>
          <w14:textFill>
            <w14:solidFill>
              <w14:schemeClr w14:val="tx1"/>
            </w14:solidFill>
          </w14:textFill>
        </w:rPr>
        <w:t>《中华人民共和国政府采购法实施条例》第五十条要求对政府采购合同进行公告</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但政府采购合同中涉及国家秘密、商业秘密的内容除外。</w:t>
      </w:r>
      <w:r>
        <w:rPr>
          <w:rFonts w:hint="eastAsia" w:ascii="宋体" w:hAnsi="宋体"/>
          <w:color w:val="000000" w:themeColor="text1"/>
          <w:szCs w:val="21"/>
          <w14:textFill>
            <w14:solidFill>
              <w14:schemeClr w14:val="tx1"/>
            </w14:solidFill>
          </w14:textFill>
        </w:rPr>
        <w:t>我方就对本次响应文件进行注明如下：（两项内容中必须选择一项）</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□我方本次响应文件</w:t>
      </w:r>
      <w:r>
        <w:rPr>
          <w:rFonts w:ascii="宋体" w:hAnsi="宋体" w:cs="宋体"/>
          <w:color w:val="000000" w:themeColor="text1"/>
          <w:kern w:val="0"/>
          <w:szCs w:val="21"/>
          <w14:textFill>
            <w14:solidFill>
              <w14:schemeClr w14:val="tx1"/>
            </w14:solidFill>
          </w14:textFill>
        </w:rPr>
        <w:t>内容中</w:t>
      </w:r>
      <w:r>
        <w:rPr>
          <w:rFonts w:hint="eastAsia" w:ascii="宋体" w:hAnsi="宋体"/>
          <w:color w:val="000000" w:themeColor="text1"/>
          <w:szCs w:val="21"/>
          <w14:textFill>
            <w14:solidFill>
              <w14:schemeClr w14:val="tx1"/>
            </w14:solidFill>
          </w14:textFill>
        </w:rPr>
        <w:t>未</w:t>
      </w:r>
      <w:r>
        <w:rPr>
          <w:rFonts w:ascii="宋体" w:hAnsi="宋体" w:cs="宋体"/>
          <w:color w:val="000000" w:themeColor="text1"/>
          <w:kern w:val="0"/>
          <w:szCs w:val="21"/>
          <w14:textFill>
            <w14:solidFill>
              <w14:schemeClr w14:val="tx1"/>
            </w14:solidFill>
          </w14:textFill>
        </w:rPr>
        <w:t>涉及商业秘密</w:t>
      </w:r>
      <w:r>
        <w:rPr>
          <w:rFonts w:hint="eastAsia" w:ascii="宋体" w:hAnsi="宋体" w:cs="宋体"/>
          <w:color w:val="000000" w:themeColor="text1"/>
          <w:kern w:val="0"/>
          <w:szCs w:val="21"/>
          <w14:textFill>
            <w14:solidFill>
              <w14:schemeClr w14:val="tx1"/>
            </w14:solidFill>
          </w14:textFill>
        </w:rPr>
        <w:t>；</w:t>
      </w:r>
    </w:p>
    <w:p>
      <w:pPr>
        <w:spacing w:line="440" w:lineRule="exact"/>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□我方本次响应文件</w:t>
      </w:r>
      <w:r>
        <w:rPr>
          <w:rFonts w:ascii="宋体" w:hAnsi="宋体" w:cs="宋体"/>
          <w:color w:val="000000" w:themeColor="text1"/>
          <w:kern w:val="0"/>
          <w:szCs w:val="21"/>
          <w14:textFill>
            <w14:solidFill>
              <w14:schemeClr w14:val="tx1"/>
            </w14:solidFill>
          </w14:textFill>
        </w:rPr>
        <w:t>涉及商业秘密</w:t>
      </w:r>
      <w:r>
        <w:rPr>
          <w:rFonts w:hint="eastAsia" w:ascii="宋体" w:hAnsi="宋体" w:cs="宋体"/>
          <w:color w:val="000000" w:themeColor="text1"/>
          <w:kern w:val="0"/>
          <w:szCs w:val="21"/>
          <w14:textFill>
            <w14:solidFill>
              <w14:schemeClr w14:val="tx1"/>
            </w14:solidFill>
          </w14:textFill>
        </w:rPr>
        <w:t>的</w:t>
      </w:r>
      <w:r>
        <w:rPr>
          <w:rFonts w:ascii="宋体" w:hAnsi="宋体" w:cs="宋体"/>
          <w:color w:val="000000" w:themeColor="text1"/>
          <w:kern w:val="0"/>
          <w:szCs w:val="21"/>
          <w14:textFill>
            <w14:solidFill>
              <w14:schemeClr w14:val="tx1"/>
            </w14:solidFill>
          </w14:textFill>
        </w:rPr>
        <w:t>内容</w:t>
      </w:r>
      <w:r>
        <w:rPr>
          <w:rFonts w:hint="eastAsia" w:ascii="宋体" w:hAnsi="宋体" w:cs="宋体"/>
          <w:color w:val="000000" w:themeColor="text1"/>
          <w:kern w:val="0"/>
          <w:szCs w:val="21"/>
          <w14:textFill>
            <w14:solidFill>
              <w14:schemeClr w14:val="tx1"/>
            </w14:solidFill>
          </w14:textFill>
        </w:rPr>
        <w:t>有：</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p>
    <w:p>
      <w:pPr>
        <w:snapToGrid w:val="0"/>
        <w:spacing w:line="440" w:lineRule="exact"/>
        <w:ind w:firstLine="420" w:firstLineChars="200"/>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.以上事项如有虚假或隐瞒，我方愿意承担一切后果，并不再寻求任何旨在减轻或免除法律责任的辩解。</w:t>
      </w:r>
    </w:p>
    <w:p>
      <w:pPr>
        <w:pStyle w:val="17"/>
        <w:tabs>
          <w:tab w:val="left" w:pos="939"/>
        </w:tabs>
        <w:snapToGrid w:val="0"/>
        <w:spacing w:line="440" w:lineRule="exact"/>
        <w:ind w:left="0" w:leftChars="0" w:firstLine="420" w:firstLineChars="200"/>
        <w:rPr>
          <w:rFonts w:ascii="宋体" w:hAnsi="宋体"/>
          <w:color w:val="000000" w:themeColor="text1"/>
          <w:szCs w:val="21"/>
          <w14:textFill>
            <w14:solidFill>
              <w14:schemeClr w14:val="tx1"/>
            </w14:solidFill>
          </w14:textFill>
        </w:rPr>
      </w:pPr>
    </w:p>
    <w:p>
      <w:pPr>
        <w:pStyle w:val="40"/>
        <w:snapToGrid w:val="0"/>
        <w:spacing w:line="440" w:lineRule="exact"/>
        <w:rPr>
          <w:rFonts w:ascii="宋体" w:hAnsi="宋体"/>
          <w:color w:val="000000" w:themeColor="text1"/>
          <w:sz w:val="21"/>
          <w:szCs w:val="21"/>
          <w14:textFill>
            <w14:solidFill>
              <w14:schemeClr w14:val="tx1"/>
            </w14:solidFill>
          </w14:textFill>
        </w:rPr>
      </w:pPr>
    </w:p>
    <w:p>
      <w:pPr>
        <w:spacing w:line="440" w:lineRule="exact"/>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供应商（公章）：</w:t>
      </w:r>
    </w:p>
    <w:p>
      <w:pPr>
        <w:spacing w:line="440" w:lineRule="exact"/>
        <w:rPr>
          <w:rFonts w:ascii="宋体" w:hAnsi="宋体" w:cs="Courier New"/>
          <w:color w:val="000000" w:themeColor="text1"/>
          <w:kern w:val="0"/>
          <w:szCs w:val="21"/>
          <w:u w:val="single"/>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法定代表人或委托代理人（签字或盖章）：</w:t>
      </w:r>
    </w:p>
    <w:p>
      <w:pPr>
        <w:spacing w:line="440" w:lineRule="exact"/>
        <w:rPr>
          <w:rFonts w:ascii="宋体" w:hAnsi="宋体" w:cs="Courier New"/>
          <w:color w:val="000000" w:themeColor="text1"/>
          <w:kern w:val="0"/>
          <w:szCs w:val="21"/>
          <w:u w:val="single"/>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日期：      年   月   日</w:t>
      </w:r>
    </w:p>
    <w:p>
      <w:pPr>
        <w:spacing w:line="440" w:lineRule="exact"/>
        <w:rPr>
          <w:rFonts w:ascii="宋体" w:hAnsi="宋体"/>
          <w:color w:val="000000" w:themeColor="text1"/>
          <w:szCs w:val="2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440" w:lineRule="exact"/>
        <w:rPr>
          <w:rFonts w:ascii="宋体" w:hAnsi="宋体"/>
          <w:color w:val="000000" w:themeColor="text1"/>
          <w:szCs w:val="21"/>
          <w14:textFill>
            <w14:solidFill>
              <w14:schemeClr w14:val="tx1"/>
            </w14:solidFill>
          </w14:textFill>
        </w:rPr>
      </w:pPr>
    </w:p>
    <w:p>
      <w:pPr>
        <w:pStyle w:val="18"/>
        <w:spacing w:line="400" w:lineRule="exact"/>
        <w:rPr>
          <w:rFonts w:hAnsi="宋体" w:cs="Courier New"/>
          <w:color w:val="000000" w:themeColor="text1"/>
          <w:sz w:val="18"/>
          <w14:textFill>
            <w14:solidFill>
              <w14:schemeClr w14:val="tx1"/>
            </w14:solidFill>
          </w14:textFill>
        </w:rPr>
      </w:pPr>
      <w:r>
        <w:rPr>
          <w:rFonts w:hint="eastAsia" w:hAnsi="宋体"/>
          <w:color w:val="000000" w:themeColor="text1"/>
          <w:sz w:val="21"/>
          <w:szCs w:val="24"/>
          <w14:textFill>
            <w14:solidFill>
              <w14:schemeClr w14:val="tx1"/>
            </w14:solidFill>
          </w14:textFill>
        </w:rPr>
        <w:t>注：未按照本磋商声明函（格式）要求填报的磋商声明函将被视为非实质性响应采购文件要求，其响应文件无效。</w:t>
      </w:r>
    </w:p>
    <w:p>
      <w:pPr>
        <w:pStyle w:val="2"/>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156" w:beforeLines="50" w:after="156" w:afterLines="50" w:line="70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 w:val="28"/>
          <w:szCs w:val="21"/>
          <w14:textFill>
            <w14:solidFill>
              <w14:schemeClr w14:val="tx1"/>
            </w14:solidFill>
          </w14:textFill>
        </w:rPr>
        <w:t>二、磋商报价表</w:t>
      </w:r>
    </w:p>
    <w:p>
      <w:pPr>
        <w:spacing w:line="300" w:lineRule="auto"/>
        <w:ind w:firstLine="210" w:firstLineChars="100"/>
        <w:rPr>
          <w:rFonts w:ascii="宋体" w:hAnsi="宋体"/>
          <w:color w:val="000000" w:themeColor="text1"/>
          <w:szCs w:val="21"/>
          <w14:textFill>
            <w14:solidFill>
              <w14:schemeClr w14:val="tx1"/>
            </w14:solidFill>
          </w14:textFill>
        </w:rPr>
      </w:pPr>
    </w:p>
    <w:p>
      <w:pPr>
        <w:spacing w:line="300" w:lineRule="auto"/>
        <w:ind w:firstLine="210" w:firstLineChars="1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p>
    <w:p>
      <w:pPr>
        <w:spacing w:line="30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bl>
      <w:tblPr>
        <w:tblStyle w:val="2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5812"/>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021" w:type="dxa"/>
            <w:vAlign w:val="center"/>
          </w:tcPr>
          <w:p>
            <w:pPr>
              <w:spacing w:line="360" w:lineRule="exact"/>
              <w:jc w:val="center"/>
              <w:rPr>
                <w:rFonts w:asciiTheme="minorEastAsia" w:hAnsiTheme="minorEastAsia" w:eastAsiaTheme="minorEastAsia"/>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序号</w:t>
            </w:r>
          </w:p>
        </w:tc>
        <w:tc>
          <w:tcPr>
            <w:tcW w:w="5812" w:type="dxa"/>
            <w:vAlign w:val="center"/>
          </w:tcPr>
          <w:p>
            <w:pPr>
              <w:spacing w:line="360" w:lineRule="exact"/>
              <w:jc w:val="center"/>
              <w:rPr>
                <w:rFonts w:ascii="宋体"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服务名称</w:t>
            </w:r>
          </w:p>
        </w:tc>
        <w:tc>
          <w:tcPr>
            <w:tcW w:w="2352" w:type="dxa"/>
            <w:vAlign w:val="center"/>
          </w:tcPr>
          <w:p>
            <w:pPr>
              <w:spacing w:line="360" w:lineRule="exact"/>
              <w:jc w:val="center"/>
              <w:rPr>
                <w:rFonts w:ascii="宋体"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1021" w:type="dxa"/>
            <w:vAlign w:val="center"/>
          </w:tcPr>
          <w:p>
            <w:pPr>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5812" w:type="dxa"/>
            <w:vAlign w:val="center"/>
          </w:tcPr>
          <w:p>
            <w:pPr>
              <w:spacing w:line="360" w:lineRule="exact"/>
              <w:jc w:val="center"/>
              <w:rPr>
                <w:rFonts w:ascii="宋体" w:hAnsi="宋体" w:cs="宋体"/>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钟山县同古镇农村乱占耕地建房问题摸排服务</w:t>
            </w:r>
          </w:p>
        </w:tc>
        <w:tc>
          <w:tcPr>
            <w:tcW w:w="2352" w:type="dxa"/>
            <w:vAlign w:val="center"/>
          </w:tcPr>
          <w:p>
            <w:pPr>
              <w:spacing w:line="360" w:lineRule="exact"/>
              <w:jc w:val="center"/>
              <w:rPr>
                <w:rFonts w:ascii="宋体" w:hAnsi="宋体" w:cs="宋体"/>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9185" w:type="dxa"/>
            <w:gridSpan w:val="3"/>
            <w:vAlign w:val="center"/>
          </w:tcPr>
          <w:p>
            <w:pPr>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磋商报价：大写</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（小写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9185" w:type="dxa"/>
            <w:gridSpan w:val="3"/>
            <w:vAlign w:val="center"/>
          </w:tcPr>
          <w:p>
            <w:pPr>
              <w:tabs>
                <w:tab w:val="center" w:pos="4153"/>
                <w:tab w:val="right" w:pos="8306"/>
              </w:tabs>
              <w:snapToGrid w:val="0"/>
              <w:spacing w:line="44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服务时间：</w:t>
            </w:r>
            <w:r>
              <w:rPr>
                <w:rFonts w:asciiTheme="minorEastAsia" w:hAnsiTheme="minorEastAsia" w:eastAsiaTheme="minorEastAsia"/>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9185" w:type="dxa"/>
            <w:gridSpan w:val="3"/>
            <w:vAlign w:val="center"/>
          </w:tcPr>
          <w:p>
            <w:pPr>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备注：磋商报价包含执行本项目服务所需的人工、设备、管理、交通、维护、必要的各类保险费用、利润、各项税费、政策性文件规定及合同包含的所有风险、责任等各项所有费用。</w:t>
            </w:r>
          </w:p>
        </w:tc>
      </w:tr>
    </w:tbl>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注：所有价格均用人民币表示，单位为元，精确到小数点后两位数。</w:t>
      </w:r>
    </w:p>
    <w:p>
      <w:pPr>
        <w:pStyle w:val="18"/>
        <w:spacing w:line="360" w:lineRule="exact"/>
        <w:rPr>
          <w:rFonts w:hAnsi="宋体"/>
          <w:color w:val="000000" w:themeColor="text1"/>
          <w14:textFill>
            <w14:solidFill>
              <w14:schemeClr w14:val="tx1"/>
            </w14:solidFill>
          </w14:textFill>
        </w:rPr>
      </w:pPr>
    </w:p>
    <w:p>
      <w:pPr>
        <w:pStyle w:val="18"/>
        <w:spacing w:line="360" w:lineRule="exact"/>
        <w:ind w:left="560" w:hanging="560"/>
        <w:rPr>
          <w:rFonts w:hAnsi="宋体"/>
          <w:color w:val="000000" w:themeColor="text1"/>
          <w14:textFill>
            <w14:solidFill>
              <w14:schemeClr w14:val="tx1"/>
            </w14:solidFill>
          </w14:textFill>
        </w:rPr>
      </w:pPr>
    </w:p>
    <w:p>
      <w:pPr>
        <w:spacing w:line="440" w:lineRule="exact"/>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供应商（公章）：</w:t>
      </w:r>
    </w:p>
    <w:p>
      <w:pPr>
        <w:spacing w:line="440" w:lineRule="exact"/>
        <w:rPr>
          <w:rFonts w:ascii="宋体" w:hAnsi="宋体" w:cs="Courier New"/>
          <w:color w:val="000000" w:themeColor="text1"/>
          <w:kern w:val="0"/>
          <w:szCs w:val="21"/>
          <w:u w:val="single"/>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法定代表人或委托代理人（签字或盖章）：</w:t>
      </w:r>
    </w:p>
    <w:p>
      <w:pPr>
        <w:spacing w:line="440" w:lineRule="exact"/>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日期：      年   月   日</w:t>
      </w:r>
    </w:p>
    <w:p>
      <w:pPr>
        <w:spacing w:line="440" w:lineRule="exact"/>
        <w:rPr>
          <w:rFonts w:ascii="宋体" w:hAnsi="宋体"/>
          <w:b/>
          <w:color w:val="000000" w:themeColor="text1"/>
          <w:sz w:val="28"/>
          <w:szCs w:val="21"/>
          <w14:textFill>
            <w14:solidFill>
              <w14:schemeClr w14:val="tx1"/>
            </w14:solidFill>
          </w14:textFill>
        </w:rPr>
      </w:pPr>
      <w:r>
        <w:rPr>
          <w:rFonts w:ascii="宋体" w:hAnsi="宋体"/>
          <w:b/>
          <w:color w:val="000000" w:themeColor="text1"/>
          <w:sz w:val="28"/>
          <w:szCs w:val="21"/>
          <w14:textFill>
            <w14:solidFill>
              <w14:schemeClr w14:val="tx1"/>
            </w14:solidFill>
          </w14:textFill>
        </w:rPr>
        <w:br w:type="page"/>
      </w:r>
    </w:p>
    <w:p>
      <w:pPr>
        <w:spacing w:line="420" w:lineRule="exact"/>
        <w:jc w:val="center"/>
        <w:rPr>
          <w:rFonts w:ascii="宋体" w:hAnsi="宋体"/>
          <w:b/>
          <w:color w:val="000000" w:themeColor="text1"/>
          <w:sz w:val="28"/>
          <w:szCs w:val="21"/>
          <w14:textFill>
            <w14:solidFill>
              <w14:schemeClr w14:val="tx1"/>
            </w14:solidFill>
          </w14:textFill>
        </w:rPr>
      </w:pPr>
    </w:p>
    <w:p>
      <w:pPr>
        <w:spacing w:line="420" w:lineRule="exact"/>
        <w:jc w:val="center"/>
        <w:rPr>
          <w:rFonts w:ascii="宋体" w:hAnsi="宋体"/>
          <w:b/>
          <w:color w:val="000000" w:themeColor="text1"/>
          <w:sz w:val="28"/>
          <w:szCs w:val="21"/>
          <w14:textFill>
            <w14:solidFill>
              <w14:schemeClr w14:val="tx1"/>
            </w14:solidFill>
          </w14:textFill>
        </w:rPr>
      </w:pPr>
    </w:p>
    <w:p>
      <w:pPr>
        <w:spacing w:line="420" w:lineRule="exact"/>
        <w:jc w:val="center"/>
        <w:rPr>
          <w:rFonts w:ascii="宋体" w:hAnsi="宋体"/>
          <w:b/>
          <w:color w:val="000000" w:themeColor="text1"/>
          <w:sz w:val="28"/>
          <w:szCs w:val="21"/>
          <w14:textFill>
            <w14:solidFill>
              <w14:schemeClr w14:val="tx1"/>
            </w14:solidFill>
          </w14:textFill>
        </w:rPr>
      </w:pPr>
      <w:r>
        <w:rPr>
          <w:rFonts w:hint="eastAsia" w:ascii="宋体" w:hAnsi="宋体"/>
          <w:b/>
          <w:color w:val="000000" w:themeColor="text1"/>
          <w:sz w:val="28"/>
          <w:szCs w:val="21"/>
          <w14:textFill>
            <w14:solidFill>
              <w14:schemeClr w14:val="tx1"/>
            </w14:solidFill>
          </w14:textFill>
        </w:rPr>
        <w:t>三、项目服务方案</w:t>
      </w:r>
    </w:p>
    <w:p>
      <w:pPr>
        <w:spacing w:line="420" w:lineRule="exact"/>
        <w:jc w:val="center"/>
        <w:rPr>
          <w:rFonts w:ascii="宋体" w:hAnsi="宋体"/>
          <w:b/>
          <w:color w:val="000000" w:themeColor="text1"/>
          <w:sz w:val="28"/>
          <w:szCs w:val="21"/>
          <w14:textFill>
            <w14:solidFill>
              <w14:schemeClr w14:val="tx1"/>
            </w14:solidFill>
          </w14:textFill>
        </w:rPr>
      </w:pPr>
    </w:p>
    <w:p>
      <w:pPr>
        <w:spacing w:line="420" w:lineRule="exact"/>
        <w:jc w:val="center"/>
        <w:rPr>
          <w:rFonts w:ascii="宋体" w:hAnsi="宋体"/>
          <w:b/>
          <w:color w:val="000000" w:themeColor="text1"/>
          <w:sz w:val="28"/>
          <w:szCs w:val="21"/>
          <w14:textFill>
            <w14:solidFill>
              <w14:schemeClr w14:val="tx1"/>
            </w14:solidFill>
          </w14:textFill>
        </w:rPr>
      </w:pPr>
    </w:p>
    <w:p>
      <w:pPr>
        <w:spacing w:line="420" w:lineRule="exact"/>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（格式自拟）</w:t>
      </w:r>
    </w:p>
    <w:p>
      <w:pPr>
        <w:spacing w:line="420" w:lineRule="exact"/>
        <w:jc w:val="center"/>
        <w:rPr>
          <w:rFonts w:ascii="宋体" w:hAnsi="宋体"/>
          <w:color w:val="000000" w:themeColor="text1"/>
          <w:szCs w:val="21"/>
          <w14:textFill>
            <w14:solidFill>
              <w14:schemeClr w14:val="tx1"/>
            </w14:solidFill>
          </w14:textFill>
        </w:rPr>
      </w:pPr>
    </w:p>
    <w:p>
      <w:pPr>
        <w:spacing w:line="420" w:lineRule="exact"/>
        <w:jc w:val="center"/>
        <w:rPr>
          <w:rFonts w:ascii="宋体" w:hAnsi="宋体"/>
          <w:b/>
          <w:color w:val="000000" w:themeColor="text1"/>
          <w:sz w:val="28"/>
          <w:szCs w:val="21"/>
          <w14:textFill>
            <w14:solidFill>
              <w14:schemeClr w14:val="tx1"/>
            </w14:solidFill>
          </w14:textFill>
        </w:rPr>
      </w:pPr>
    </w:p>
    <w:p>
      <w:pPr>
        <w:spacing w:line="420" w:lineRule="exact"/>
        <w:jc w:val="center"/>
        <w:rPr>
          <w:rFonts w:ascii="宋体" w:hAnsi="宋体"/>
          <w:b/>
          <w:color w:val="000000" w:themeColor="text1"/>
          <w:sz w:val="28"/>
          <w:szCs w:val="21"/>
          <w14:textFill>
            <w14:solidFill>
              <w14:schemeClr w14:val="tx1"/>
            </w14:solidFill>
          </w14:textFill>
        </w:rPr>
      </w:pPr>
    </w:p>
    <w:p>
      <w:pPr>
        <w:spacing w:line="420" w:lineRule="exact"/>
        <w:jc w:val="center"/>
        <w:rPr>
          <w:rFonts w:ascii="宋体" w:hAnsi="宋体"/>
          <w:b/>
          <w:color w:val="000000" w:themeColor="text1"/>
          <w:sz w:val="28"/>
          <w:szCs w:val="21"/>
          <w14:textFill>
            <w14:solidFill>
              <w14:schemeClr w14:val="tx1"/>
            </w14:solidFill>
          </w14:textFill>
        </w:rPr>
      </w:pPr>
    </w:p>
    <w:p>
      <w:pPr>
        <w:spacing w:line="420" w:lineRule="exact"/>
        <w:jc w:val="center"/>
        <w:rPr>
          <w:rFonts w:ascii="宋体" w:hAnsi="宋体"/>
          <w:b/>
          <w:color w:val="000000" w:themeColor="text1"/>
          <w:sz w:val="28"/>
          <w:szCs w:val="21"/>
          <w14:textFill>
            <w14:solidFill>
              <w14:schemeClr w14:val="tx1"/>
            </w14:solidFill>
          </w14:textFill>
        </w:rPr>
      </w:pPr>
    </w:p>
    <w:p>
      <w:pPr>
        <w:spacing w:line="420" w:lineRule="exact"/>
        <w:jc w:val="center"/>
        <w:rPr>
          <w:rFonts w:ascii="宋体" w:hAnsi="宋体"/>
          <w:b/>
          <w:color w:val="000000" w:themeColor="text1"/>
          <w:sz w:val="28"/>
          <w:szCs w:val="21"/>
          <w14:textFill>
            <w14:solidFill>
              <w14:schemeClr w14:val="tx1"/>
            </w14:solidFill>
          </w14:textFill>
        </w:rPr>
      </w:pPr>
    </w:p>
    <w:p>
      <w:pPr>
        <w:spacing w:line="420" w:lineRule="exact"/>
        <w:jc w:val="center"/>
        <w:rPr>
          <w:rFonts w:ascii="宋体" w:hAnsi="宋体"/>
          <w:b/>
          <w:color w:val="000000" w:themeColor="text1"/>
          <w:sz w:val="28"/>
          <w:szCs w:val="21"/>
          <w14:textFill>
            <w14:solidFill>
              <w14:schemeClr w14:val="tx1"/>
            </w14:solidFill>
          </w14:textFill>
        </w:rPr>
      </w:pPr>
    </w:p>
    <w:p>
      <w:pPr>
        <w:spacing w:line="420" w:lineRule="exact"/>
        <w:jc w:val="center"/>
        <w:rPr>
          <w:rFonts w:ascii="宋体" w:hAnsi="宋体"/>
          <w:b/>
          <w:color w:val="000000" w:themeColor="text1"/>
          <w:sz w:val="28"/>
          <w:szCs w:val="21"/>
          <w14:textFill>
            <w14:solidFill>
              <w14:schemeClr w14:val="tx1"/>
            </w14:solidFill>
          </w14:textFill>
        </w:rPr>
      </w:pPr>
    </w:p>
    <w:p>
      <w:pPr>
        <w:spacing w:line="420" w:lineRule="exact"/>
        <w:jc w:val="center"/>
        <w:rPr>
          <w:rFonts w:ascii="宋体" w:hAnsi="宋体"/>
          <w:b/>
          <w:color w:val="000000" w:themeColor="text1"/>
          <w:sz w:val="28"/>
          <w:szCs w:val="21"/>
          <w14:textFill>
            <w14:solidFill>
              <w14:schemeClr w14:val="tx1"/>
            </w14:solidFill>
          </w14:textFill>
        </w:rPr>
      </w:pPr>
    </w:p>
    <w:p>
      <w:pPr>
        <w:spacing w:line="420" w:lineRule="exact"/>
        <w:jc w:val="center"/>
        <w:rPr>
          <w:rFonts w:ascii="宋体" w:hAnsi="宋体"/>
          <w:b/>
          <w:color w:val="000000" w:themeColor="text1"/>
          <w:sz w:val="28"/>
          <w:szCs w:val="21"/>
          <w14:textFill>
            <w14:solidFill>
              <w14:schemeClr w14:val="tx1"/>
            </w14:solidFill>
          </w14:textFill>
        </w:rPr>
      </w:pPr>
    </w:p>
    <w:p>
      <w:pPr>
        <w:spacing w:line="420" w:lineRule="exact"/>
        <w:jc w:val="center"/>
        <w:rPr>
          <w:rFonts w:ascii="宋体" w:hAnsi="宋体"/>
          <w:b/>
          <w:color w:val="000000" w:themeColor="text1"/>
          <w:sz w:val="28"/>
          <w:szCs w:val="21"/>
          <w14:textFill>
            <w14:solidFill>
              <w14:schemeClr w14:val="tx1"/>
            </w14:solidFill>
          </w14:textFill>
        </w:rPr>
      </w:pPr>
    </w:p>
    <w:p>
      <w:pPr>
        <w:spacing w:line="420" w:lineRule="exact"/>
        <w:jc w:val="center"/>
        <w:rPr>
          <w:rFonts w:ascii="宋体" w:hAnsi="宋体"/>
          <w:b/>
          <w:color w:val="000000" w:themeColor="text1"/>
          <w:szCs w:val="21"/>
          <w14:textFill>
            <w14:solidFill>
              <w14:schemeClr w14:val="tx1"/>
            </w14:solidFill>
          </w14:textFill>
        </w:rPr>
      </w:pPr>
    </w:p>
    <w:p>
      <w:pPr>
        <w:pStyle w:val="18"/>
        <w:spacing w:line="360" w:lineRule="exact"/>
        <w:ind w:left="560" w:hanging="560"/>
        <w:rPr>
          <w:rFonts w:hAnsi="宋体"/>
          <w:color w:val="000000" w:themeColor="text1"/>
          <w:sz w:val="21"/>
          <w14:textFill>
            <w14:solidFill>
              <w14:schemeClr w14:val="tx1"/>
            </w14:solidFill>
          </w14:textFill>
        </w:rPr>
      </w:pPr>
    </w:p>
    <w:p>
      <w:pPr>
        <w:pStyle w:val="18"/>
        <w:spacing w:line="560" w:lineRule="exact"/>
        <w:rPr>
          <w:rFonts w:hAnsi="宋体" w:cs="宋体;SimSun"/>
          <w:color w:val="000000" w:themeColor="text1"/>
          <w:sz w:val="21"/>
          <w14:textFill>
            <w14:solidFill>
              <w14:schemeClr w14:val="tx1"/>
            </w14:solidFill>
          </w14:textFill>
        </w:rPr>
      </w:pPr>
    </w:p>
    <w:p>
      <w:pPr>
        <w:pStyle w:val="18"/>
        <w:spacing w:line="560" w:lineRule="exact"/>
        <w:ind w:left="840" w:hanging="420"/>
        <w:rPr>
          <w:rFonts w:hAnsi="宋体" w:cs="宋体;SimSun"/>
          <w:color w:val="000000" w:themeColor="text1"/>
          <w:sz w:val="21"/>
          <w14:textFill>
            <w14:solidFill>
              <w14:schemeClr w14:val="tx1"/>
            </w14:solidFill>
          </w14:textFill>
        </w:rPr>
      </w:pPr>
    </w:p>
    <w:p>
      <w:pPr>
        <w:spacing w:line="440" w:lineRule="exact"/>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供应商（公章）：</w:t>
      </w:r>
    </w:p>
    <w:p>
      <w:pPr>
        <w:spacing w:line="440" w:lineRule="exact"/>
        <w:rPr>
          <w:rFonts w:ascii="宋体" w:hAnsi="宋体" w:cs="Courier New"/>
          <w:color w:val="000000" w:themeColor="text1"/>
          <w:kern w:val="0"/>
          <w:szCs w:val="21"/>
          <w:u w:val="single"/>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法定代表人或委托代理人（签字或盖章）：</w:t>
      </w:r>
    </w:p>
    <w:p>
      <w:pPr>
        <w:spacing w:line="440" w:lineRule="exact"/>
        <w:rPr>
          <w:rFonts w:ascii="宋体" w:hAnsi="宋体" w:cs="Courier New"/>
          <w:color w:val="000000" w:themeColor="text1"/>
          <w:kern w:val="0"/>
          <w:szCs w:val="21"/>
          <w:u w:val="single"/>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日期：      年   月   日</w:t>
      </w:r>
    </w:p>
    <w:p>
      <w:pPr>
        <w:spacing w:line="420" w:lineRule="exact"/>
        <w:jc w:val="center"/>
        <w:rPr>
          <w:rFonts w:ascii="宋体" w:hAnsi="宋体"/>
          <w:b/>
          <w:color w:val="000000" w:themeColor="text1"/>
          <w:sz w:val="28"/>
          <w:szCs w:val="21"/>
          <w14:textFill>
            <w14:solidFill>
              <w14:schemeClr w14:val="tx1"/>
            </w14:solidFill>
          </w14:textFill>
        </w:rPr>
      </w:pPr>
    </w:p>
    <w:p>
      <w:pPr>
        <w:spacing w:line="420" w:lineRule="exact"/>
        <w:jc w:val="center"/>
        <w:rPr>
          <w:rFonts w:ascii="宋体" w:hAnsi="宋体"/>
          <w:b/>
          <w:color w:val="000000" w:themeColor="text1"/>
          <w:sz w:val="28"/>
          <w:szCs w:val="21"/>
          <w14:textFill>
            <w14:solidFill>
              <w14:schemeClr w14:val="tx1"/>
            </w14:solidFill>
          </w14:textFill>
        </w:rPr>
      </w:pP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widowControl/>
        <w:jc w:val="left"/>
        <w:rPr>
          <w:rFonts w:ascii="宋体" w:hAnsi="宋体"/>
          <w:b/>
          <w:color w:val="000000" w:themeColor="text1"/>
          <w:sz w:val="28"/>
          <w:szCs w:val="21"/>
          <w14:textFill>
            <w14:solidFill>
              <w14:schemeClr w14:val="tx1"/>
            </w14:solidFill>
          </w14:textFill>
        </w:rPr>
      </w:pPr>
      <w:r>
        <w:rPr>
          <w:rFonts w:ascii="宋体" w:hAnsi="宋体"/>
          <w:b/>
          <w:color w:val="000000" w:themeColor="text1"/>
          <w:sz w:val="28"/>
          <w:szCs w:val="21"/>
          <w14:textFill>
            <w14:solidFill>
              <w14:schemeClr w14:val="tx1"/>
            </w14:solidFill>
          </w14:textFill>
        </w:rPr>
        <w:br w:type="page"/>
      </w:r>
    </w:p>
    <w:p>
      <w:pPr>
        <w:spacing w:before="156" w:beforeLines="50" w:after="156" w:afterLines="50" w:line="700" w:lineRule="exact"/>
        <w:jc w:val="center"/>
        <w:rPr>
          <w:rFonts w:ascii="宋体" w:hAnsi="宋体"/>
          <w:b/>
          <w:color w:val="000000" w:themeColor="text1"/>
          <w:sz w:val="28"/>
          <w:szCs w:val="21"/>
          <w14:textFill>
            <w14:solidFill>
              <w14:schemeClr w14:val="tx1"/>
            </w14:solidFill>
          </w14:textFill>
        </w:rPr>
      </w:pPr>
      <w:r>
        <w:rPr>
          <w:rFonts w:hint="eastAsia" w:ascii="宋体" w:hAnsi="宋体"/>
          <w:b/>
          <w:color w:val="000000" w:themeColor="text1"/>
          <w:sz w:val="28"/>
          <w:szCs w:val="21"/>
          <w14:textFill>
            <w14:solidFill>
              <w14:schemeClr w14:val="tx1"/>
            </w14:solidFill>
          </w14:textFill>
        </w:rPr>
        <w:t>四、商务条款偏离表</w:t>
      </w:r>
    </w:p>
    <w:p>
      <w:pPr>
        <w:pStyle w:val="18"/>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请</w:t>
      </w:r>
      <w:r>
        <w:rPr>
          <w:rFonts w:hint="eastAsia" w:hAnsi="宋体"/>
          <w:b/>
          <w:color w:val="000000" w:themeColor="text1"/>
          <w:sz w:val="21"/>
          <w14:textFill>
            <w14:solidFill>
              <w14:schemeClr w14:val="tx1"/>
            </w14:solidFill>
          </w14:textFill>
        </w:rPr>
        <w:t>逐条对应</w:t>
      </w:r>
      <w:r>
        <w:rPr>
          <w:rFonts w:hint="eastAsia" w:hAnsi="宋体"/>
          <w:color w:val="000000" w:themeColor="text1"/>
          <w:sz w:val="21"/>
          <w14:textFill>
            <w14:solidFill>
              <w14:schemeClr w14:val="tx1"/>
            </w14:solidFill>
          </w14:textFill>
        </w:rPr>
        <w:t>本项目竞争性磋商文件第三章</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项目采购需求</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中</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商务条款</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的要求，</w:t>
      </w:r>
      <w:r>
        <w:rPr>
          <w:rFonts w:hint="eastAsia" w:hAnsi="宋体"/>
          <w:b/>
          <w:color w:val="000000" w:themeColor="text1"/>
          <w:sz w:val="21"/>
          <w14:textFill>
            <w14:solidFill>
              <w14:schemeClr w14:val="tx1"/>
            </w14:solidFill>
          </w14:textFill>
        </w:rPr>
        <w:t>详细填写相应的具体内容</w:t>
      </w:r>
      <w:r>
        <w:rPr>
          <w:rFonts w:hint="eastAsia" w:hAnsi="宋体"/>
          <w:color w:val="000000" w:themeColor="text1"/>
          <w:sz w:val="21"/>
          <w14:textFill>
            <w14:solidFill>
              <w14:schemeClr w14:val="tx1"/>
            </w14:solidFill>
          </w14:textFill>
        </w:rPr>
        <w:t>。</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偏离说明</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一栏应当选择</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正偏离</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负偏离</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或</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无偏离</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进行填写</w:t>
      </w:r>
      <w:r>
        <w:rPr>
          <w:rFonts w:hint="eastAsia" w:hAnsi="宋体"/>
          <w:b/>
          <w:color w:val="000000" w:themeColor="text1"/>
          <w:sz w:val="21"/>
          <w14:textFill>
            <w14:solidFill>
              <w14:schemeClr w14:val="tx1"/>
            </w14:solidFill>
          </w14:textFill>
        </w:rPr>
        <w:t>。</w:t>
      </w:r>
    </w:p>
    <w:p>
      <w:pPr>
        <w:pStyle w:val="18"/>
        <w:spacing w:line="360" w:lineRule="auto"/>
        <w:rPr>
          <w:rFonts w:hAnsi="宋体"/>
          <w:color w:val="000000" w:themeColor="text1"/>
          <w:sz w:val="21"/>
          <w:u w:val="single"/>
          <w14:textFill>
            <w14:solidFill>
              <w14:schemeClr w14:val="tx1"/>
            </w14:solidFill>
          </w14:textFill>
        </w:rPr>
      </w:pPr>
    </w:p>
    <w:tbl>
      <w:tblPr>
        <w:tblStyle w:val="2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1"/>
        <w:gridCol w:w="396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color w:val="000000" w:themeColor="text1"/>
                <w:kern w:val="2"/>
                <w:sz w:val="21"/>
                <w:lang w:eastAsia="en-US"/>
                <w14:textFill>
                  <w14:solidFill>
                    <w14:schemeClr w14:val="tx1"/>
                  </w14:solidFill>
                </w14:textFill>
              </w:rPr>
            </w:pPr>
            <w:r>
              <w:rPr>
                <w:rFonts w:hint="eastAsia" w:hAnsi="宋体"/>
                <w:color w:val="000000" w:themeColor="text1"/>
                <w:kern w:val="2"/>
                <w:sz w:val="21"/>
                <w14:textFill>
                  <w14:solidFill>
                    <w14:schemeClr w14:val="tx1"/>
                  </w14:solidFill>
                </w14:textFill>
              </w:rPr>
              <w:t>序号</w:t>
            </w:r>
          </w:p>
        </w:tc>
        <w:tc>
          <w:tcPr>
            <w:tcW w:w="2951"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竞争性磋商文件的商务需求</w:t>
            </w:r>
          </w:p>
        </w:tc>
        <w:tc>
          <w:tcPr>
            <w:tcW w:w="3969"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响应文件承诺的商务条款</w:t>
            </w:r>
          </w:p>
        </w:tc>
        <w:tc>
          <w:tcPr>
            <w:tcW w:w="1984"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color w:val="000000" w:themeColor="text1"/>
                <w:kern w:val="2"/>
                <w:sz w:val="21"/>
                <w:lang w:eastAsia="en-US"/>
                <w14:textFill>
                  <w14:solidFill>
                    <w14:schemeClr w14:val="tx1"/>
                  </w14:solidFill>
                </w14:textFill>
              </w:rPr>
            </w:pPr>
            <w:r>
              <w:rPr>
                <w:rFonts w:hint="eastAsia" w:hAnsi="宋体"/>
                <w:color w:val="000000" w:themeColor="text1"/>
                <w:kern w:val="2"/>
                <w:sz w:val="21"/>
                <w:lang w:eastAsia="en-US"/>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color w:val="000000" w:themeColor="text1"/>
                <w:spacing w:val="-20"/>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1</w:t>
            </w:r>
          </w:p>
        </w:tc>
        <w:tc>
          <w:tcPr>
            <w:tcW w:w="2951"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color w:val="000000" w:themeColor="text1"/>
                <w:kern w:val="2"/>
                <w:sz w:val="21"/>
                <w:lang w:eastAsia="en-US"/>
                <w14:textFill>
                  <w14:solidFill>
                    <w14:schemeClr w14:val="tx1"/>
                  </w14:solidFill>
                </w14:textFill>
              </w:rPr>
            </w:pPr>
            <w:r>
              <w:rPr>
                <w:rFonts w:hint="eastAsia" w:hAnsi="宋体"/>
                <w:color w:val="000000" w:themeColor="text1"/>
                <w:kern w:val="2"/>
                <w:sz w:val="21"/>
                <w:lang w:eastAsia="en-US"/>
                <w14:textFill>
                  <w14:solidFill>
                    <w14:schemeClr w14:val="tx1"/>
                  </w14:solidFill>
                </w14:textFill>
              </w:rPr>
              <w:t>……</w:t>
            </w:r>
          </w:p>
        </w:tc>
        <w:tc>
          <w:tcPr>
            <w:tcW w:w="3969"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color w:val="000000" w:themeColor="text1"/>
                <w:kern w:val="2"/>
                <w:sz w:val="21"/>
                <w:lang w:eastAsia="en-US"/>
                <w14:textFill>
                  <w14:solidFill>
                    <w14:schemeClr w14:val="tx1"/>
                  </w14:solidFill>
                </w14:textFill>
              </w:rPr>
            </w:pPr>
            <w:r>
              <w:rPr>
                <w:rFonts w:hint="eastAsia" w:hAnsi="宋体"/>
                <w:color w:val="000000" w:themeColor="text1"/>
                <w:kern w:val="2"/>
                <w:sz w:val="21"/>
                <w:lang w:eastAsia="en-US"/>
                <w14:textFill>
                  <w14:solidFill>
                    <w14:schemeClr w14:val="tx1"/>
                  </w14:solidFill>
                </w14:textFill>
              </w:rPr>
              <w:t>……</w:t>
            </w:r>
          </w:p>
        </w:tc>
        <w:tc>
          <w:tcPr>
            <w:tcW w:w="1984"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color w:val="000000" w:themeColor="text1"/>
                <w:spacing w:val="-20"/>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2</w:t>
            </w:r>
          </w:p>
        </w:tc>
        <w:tc>
          <w:tcPr>
            <w:tcW w:w="2951"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color w:val="000000" w:themeColor="text1"/>
                <w:kern w:val="2"/>
                <w:sz w:val="21"/>
                <w:lang w:eastAsia="en-US"/>
                <w14:textFill>
                  <w14:solidFill>
                    <w14:schemeClr w14:val="tx1"/>
                  </w14:solidFill>
                </w14:textFill>
              </w:rPr>
            </w:pPr>
            <w:r>
              <w:rPr>
                <w:rFonts w:hint="eastAsia" w:hAnsi="宋体"/>
                <w:color w:val="000000" w:themeColor="text1"/>
                <w:kern w:val="2"/>
                <w:sz w:val="21"/>
                <w:lang w:eastAsia="en-US"/>
                <w14:textFill>
                  <w14:solidFill>
                    <w14:schemeClr w14:val="tx1"/>
                  </w14:solidFill>
                </w14:textFill>
              </w:rPr>
              <w:t>……</w:t>
            </w:r>
          </w:p>
        </w:tc>
        <w:tc>
          <w:tcPr>
            <w:tcW w:w="3969"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color w:val="000000" w:themeColor="text1"/>
                <w:kern w:val="2"/>
                <w:sz w:val="21"/>
                <w:lang w:eastAsia="en-US"/>
                <w14:textFill>
                  <w14:solidFill>
                    <w14:schemeClr w14:val="tx1"/>
                  </w14:solidFill>
                </w14:textFill>
              </w:rPr>
            </w:pPr>
            <w:r>
              <w:rPr>
                <w:rFonts w:hint="eastAsia" w:hAnsi="宋体"/>
                <w:color w:val="000000" w:themeColor="text1"/>
                <w:kern w:val="2"/>
                <w:sz w:val="21"/>
                <w:lang w:eastAsia="en-US"/>
                <w14:textFill>
                  <w14:solidFill>
                    <w14:schemeClr w14:val="tx1"/>
                  </w14:solidFill>
                </w14:textFill>
              </w:rPr>
              <w:t>……</w:t>
            </w:r>
          </w:p>
        </w:tc>
        <w:tc>
          <w:tcPr>
            <w:tcW w:w="1984"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35" w:type="dxa"/>
            <w:tcBorders>
              <w:top w:val="single" w:color="auto" w:sz="4" w:space="0"/>
              <w:left w:val="single" w:color="auto" w:sz="4" w:space="0"/>
              <w:bottom w:val="single" w:color="auto" w:sz="4" w:space="0"/>
              <w:right w:val="single" w:color="auto" w:sz="4" w:space="0"/>
            </w:tcBorders>
          </w:tcPr>
          <w:p>
            <w:pPr>
              <w:pStyle w:val="18"/>
              <w:spacing w:line="360" w:lineRule="auto"/>
              <w:jc w:val="center"/>
              <w:rPr>
                <w:rFonts w:hAnsi="宋体"/>
                <w:color w:val="000000" w:themeColor="text1"/>
                <w:kern w:val="2"/>
                <w:sz w:val="21"/>
                <w:lang w:eastAsia="en-US"/>
                <w14:textFill>
                  <w14:solidFill>
                    <w14:schemeClr w14:val="tx1"/>
                  </w14:solidFill>
                </w14:textFill>
              </w:rPr>
            </w:pPr>
            <w:r>
              <w:rPr>
                <w:rFonts w:hint="eastAsia" w:hAnsi="宋体"/>
                <w:color w:val="000000" w:themeColor="text1"/>
                <w:kern w:val="2"/>
                <w:sz w:val="21"/>
                <w:lang w:eastAsia="en-US"/>
                <w14:textFill>
                  <w14:solidFill>
                    <w14:schemeClr w14:val="tx1"/>
                  </w14:solidFill>
                </w14:textFill>
              </w:rPr>
              <w:t>……</w:t>
            </w:r>
          </w:p>
        </w:tc>
        <w:tc>
          <w:tcPr>
            <w:tcW w:w="2951" w:type="dxa"/>
            <w:tcBorders>
              <w:top w:val="single" w:color="auto" w:sz="4" w:space="0"/>
              <w:left w:val="single" w:color="auto" w:sz="4" w:space="0"/>
              <w:bottom w:val="single" w:color="auto" w:sz="4" w:space="0"/>
              <w:right w:val="single" w:color="auto" w:sz="4" w:space="0"/>
            </w:tcBorders>
          </w:tcPr>
          <w:p>
            <w:pPr>
              <w:pStyle w:val="18"/>
              <w:spacing w:line="360" w:lineRule="auto"/>
              <w:jc w:val="center"/>
              <w:rPr>
                <w:rFonts w:hAnsi="宋体"/>
                <w:color w:val="000000" w:themeColor="text1"/>
                <w:kern w:val="2"/>
                <w:sz w:val="21"/>
                <w:lang w:eastAsia="en-US"/>
                <w14:textFill>
                  <w14:solidFill>
                    <w14:schemeClr w14:val="tx1"/>
                  </w14:solidFill>
                </w14:textFill>
              </w:rPr>
            </w:pPr>
            <w:r>
              <w:rPr>
                <w:rFonts w:hint="eastAsia" w:hAnsi="宋体"/>
                <w:color w:val="000000" w:themeColor="text1"/>
                <w:kern w:val="2"/>
                <w:sz w:val="21"/>
                <w:lang w:eastAsia="en-US"/>
                <w14:textFill>
                  <w14:solidFill>
                    <w14:schemeClr w14:val="tx1"/>
                  </w14:solidFill>
                </w14:textFill>
              </w:rPr>
              <w:t>……</w:t>
            </w:r>
          </w:p>
        </w:tc>
        <w:tc>
          <w:tcPr>
            <w:tcW w:w="3969" w:type="dxa"/>
            <w:tcBorders>
              <w:top w:val="single" w:color="auto" w:sz="4" w:space="0"/>
              <w:left w:val="single" w:color="auto" w:sz="4" w:space="0"/>
              <w:bottom w:val="single" w:color="auto" w:sz="4" w:space="0"/>
              <w:right w:val="single" w:color="auto" w:sz="4" w:space="0"/>
            </w:tcBorders>
          </w:tcPr>
          <w:p>
            <w:pPr>
              <w:pStyle w:val="18"/>
              <w:spacing w:line="360" w:lineRule="auto"/>
              <w:jc w:val="center"/>
              <w:rPr>
                <w:rFonts w:hAnsi="宋体"/>
                <w:color w:val="000000" w:themeColor="text1"/>
                <w:kern w:val="2"/>
                <w:sz w:val="21"/>
                <w:lang w:eastAsia="en-US"/>
                <w14:textFill>
                  <w14:solidFill>
                    <w14:schemeClr w14:val="tx1"/>
                  </w14:solidFill>
                </w14:textFill>
              </w:rPr>
            </w:pPr>
            <w:r>
              <w:rPr>
                <w:rFonts w:hint="eastAsia" w:hAnsi="宋体"/>
                <w:color w:val="000000" w:themeColor="text1"/>
                <w:kern w:val="2"/>
                <w:sz w:val="21"/>
                <w:lang w:eastAsia="en-US"/>
                <w14:textFill>
                  <w14:solidFill>
                    <w14:schemeClr w14:val="tx1"/>
                  </w14:solidFill>
                </w14:textFill>
              </w:rPr>
              <w:t>……</w:t>
            </w:r>
          </w:p>
        </w:tc>
        <w:tc>
          <w:tcPr>
            <w:tcW w:w="1984"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color w:val="000000" w:themeColor="text1"/>
                <w:kern w:val="2"/>
                <w:sz w:val="21"/>
                <w14:textFill>
                  <w14:solidFill>
                    <w14:schemeClr w14:val="tx1"/>
                  </w14:solidFill>
                </w14:textFill>
              </w:rPr>
            </w:pPr>
            <w:r>
              <w:rPr>
                <w:rFonts w:hint="eastAsia" w:hAnsi="宋体"/>
                <w:color w:val="000000" w:themeColor="text1"/>
                <w:kern w:val="2"/>
                <w:sz w:val="21"/>
                <w:lang w:eastAsia="en-US"/>
                <w14:textFill>
                  <w14:solidFill>
                    <w14:schemeClr w14:val="tx1"/>
                  </w14:solidFill>
                </w14:textFill>
              </w:rPr>
              <w:t>……</w:t>
            </w:r>
          </w:p>
        </w:tc>
      </w:tr>
    </w:tbl>
    <w:p>
      <w:pPr>
        <w:pStyle w:val="18"/>
        <w:spacing w:line="360" w:lineRule="auto"/>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注：</w:t>
      </w:r>
    </w:p>
    <w:p>
      <w:pPr>
        <w:pStyle w:val="18"/>
        <w:spacing w:line="360" w:lineRule="auto"/>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w:t>
      </w:r>
      <w:r>
        <w:rPr>
          <w:rFonts w:hAnsi="宋体"/>
          <w:color w:val="000000" w:themeColor="text1"/>
          <w:sz w:val="21"/>
          <w14:textFill>
            <w14:solidFill>
              <w14:schemeClr w14:val="tx1"/>
            </w14:solidFill>
          </w14:textFill>
        </w:rPr>
        <w:t>表格内容均需按要求填写并盖章，不得留空，</w:t>
      </w:r>
      <w:r>
        <w:rPr>
          <w:rFonts w:hAnsi="宋体"/>
          <w:bCs/>
          <w:color w:val="000000" w:themeColor="text1"/>
          <w:sz w:val="21"/>
          <w14:textFill>
            <w14:solidFill>
              <w14:schemeClr w14:val="tx1"/>
            </w14:solidFill>
          </w14:textFill>
        </w:rPr>
        <w:t>否则按</w:t>
      </w:r>
      <w:r>
        <w:rPr>
          <w:rFonts w:hint="eastAsia" w:hAnsi="宋体"/>
          <w:bCs/>
          <w:color w:val="000000" w:themeColor="text1"/>
          <w:sz w:val="21"/>
          <w14:textFill>
            <w14:solidFill>
              <w14:schemeClr w14:val="tx1"/>
            </w14:solidFill>
          </w14:textFill>
        </w:rPr>
        <w:t>竞标无效</w:t>
      </w:r>
      <w:r>
        <w:rPr>
          <w:rFonts w:hAnsi="宋体"/>
          <w:bCs/>
          <w:color w:val="000000" w:themeColor="text1"/>
          <w:sz w:val="21"/>
          <w14:textFill>
            <w14:solidFill>
              <w14:schemeClr w14:val="tx1"/>
            </w14:solidFill>
          </w14:textFill>
        </w:rPr>
        <w:t>处理</w:t>
      </w:r>
      <w:r>
        <w:rPr>
          <w:rFonts w:hAnsi="宋体"/>
          <w:color w:val="000000" w:themeColor="text1"/>
          <w:sz w:val="21"/>
          <w14:textFill>
            <w14:solidFill>
              <w14:schemeClr w14:val="tx1"/>
            </w14:solidFill>
          </w14:textFill>
        </w:rPr>
        <w:t>。</w:t>
      </w:r>
    </w:p>
    <w:p>
      <w:pPr>
        <w:pStyle w:val="18"/>
        <w:spacing w:line="360" w:lineRule="auto"/>
        <w:rPr>
          <w:rFonts w:hAnsi="宋体"/>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（2）</w:t>
      </w:r>
      <w:r>
        <w:rPr>
          <w:rFonts w:hAnsi="宋体"/>
          <w:bCs/>
          <w:color w:val="000000" w:themeColor="text1"/>
          <w:sz w:val="21"/>
          <w14:textFill>
            <w14:solidFill>
              <w14:schemeClr w14:val="tx1"/>
            </w14:solidFill>
          </w14:textFill>
        </w:rPr>
        <w:t>当</w:t>
      </w:r>
      <w:r>
        <w:rPr>
          <w:rFonts w:hint="eastAsia" w:hAnsi="宋体"/>
          <w:bCs/>
          <w:color w:val="000000" w:themeColor="text1"/>
          <w:sz w:val="21"/>
          <w14:textFill>
            <w14:solidFill>
              <w14:schemeClr w14:val="tx1"/>
            </w14:solidFill>
          </w14:textFill>
        </w:rPr>
        <w:t>响应</w:t>
      </w:r>
      <w:r>
        <w:rPr>
          <w:rFonts w:hAnsi="宋体"/>
          <w:bCs/>
          <w:color w:val="000000" w:themeColor="text1"/>
          <w:sz w:val="21"/>
          <w14:textFill>
            <w14:solidFill>
              <w14:schemeClr w14:val="tx1"/>
            </w14:solidFill>
          </w14:textFill>
        </w:rPr>
        <w:t>文件的</w:t>
      </w:r>
      <w:r>
        <w:rPr>
          <w:rFonts w:hint="eastAsia" w:hAnsi="宋体"/>
          <w:bCs/>
          <w:color w:val="000000" w:themeColor="text1"/>
          <w:sz w:val="21"/>
          <w14:textFill>
            <w14:solidFill>
              <w14:schemeClr w14:val="tx1"/>
            </w14:solidFill>
          </w14:textFill>
        </w:rPr>
        <w:t>技术</w:t>
      </w:r>
      <w:r>
        <w:rPr>
          <w:rFonts w:hAnsi="宋体"/>
          <w:bCs/>
          <w:color w:val="000000" w:themeColor="text1"/>
          <w:sz w:val="21"/>
          <w14:textFill>
            <w14:solidFill>
              <w14:schemeClr w14:val="tx1"/>
            </w14:solidFill>
          </w14:textFill>
        </w:rPr>
        <w:t>参数或</w:t>
      </w:r>
      <w:r>
        <w:rPr>
          <w:rFonts w:hint="eastAsia" w:hAnsi="宋体"/>
          <w:bCs/>
          <w:color w:val="000000" w:themeColor="text1"/>
          <w:sz w:val="21"/>
          <w14:textFill>
            <w14:solidFill>
              <w14:schemeClr w14:val="tx1"/>
            </w14:solidFill>
          </w14:textFill>
        </w:rPr>
        <w:t>商务</w:t>
      </w:r>
      <w:r>
        <w:rPr>
          <w:rFonts w:hAnsi="宋体"/>
          <w:bCs/>
          <w:color w:val="000000" w:themeColor="text1"/>
          <w:sz w:val="21"/>
          <w14:textFill>
            <w14:solidFill>
              <w14:schemeClr w14:val="tx1"/>
            </w14:solidFill>
          </w14:textFill>
        </w:rPr>
        <w:t>内容低于</w:t>
      </w:r>
      <w:r>
        <w:rPr>
          <w:rFonts w:hint="eastAsia" w:hAnsi="宋体"/>
          <w:bCs/>
          <w:color w:val="000000" w:themeColor="text1"/>
          <w:sz w:val="21"/>
          <w14:textFill>
            <w14:solidFill>
              <w14:schemeClr w14:val="tx1"/>
            </w14:solidFill>
          </w14:textFill>
        </w:rPr>
        <w:t>竞争性磋商文件</w:t>
      </w:r>
      <w:r>
        <w:rPr>
          <w:rFonts w:hAnsi="宋体"/>
          <w:bCs/>
          <w:color w:val="000000" w:themeColor="text1"/>
          <w:sz w:val="21"/>
          <w14:textFill>
            <w14:solidFill>
              <w14:schemeClr w14:val="tx1"/>
            </w14:solidFill>
          </w14:textFill>
        </w:rPr>
        <w:t>要求时，</w:t>
      </w:r>
      <w:r>
        <w:rPr>
          <w:rFonts w:hint="eastAsia" w:hAnsi="宋体"/>
          <w:bCs/>
          <w:color w:val="000000" w:themeColor="text1"/>
          <w:sz w:val="21"/>
          <w14:textFill>
            <w14:solidFill>
              <w14:schemeClr w14:val="tx1"/>
            </w14:solidFill>
          </w14:textFill>
        </w:rPr>
        <w:t>竞标</w:t>
      </w:r>
      <w:r>
        <w:rPr>
          <w:rFonts w:hAnsi="宋体"/>
          <w:bCs/>
          <w:color w:val="000000" w:themeColor="text1"/>
          <w:sz w:val="21"/>
          <w14:textFill>
            <w14:solidFill>
              <w14:schemeClr w14:val="tx1"/>
            </w14:solidFill>
          </w14:textFill>
        </w:rPr>
        <w:t>人应当如实写明“负偏离”，否则视为虚假应标。</w:t>
      </w:r>
    </w:p>
    <w:p>
      <w:pPr>
        <w:spacing w:line="440" w:lineRule="exact"/>
        <w:rPr>
          <w:rFonts w:ascii="宋体" w:hAnsi="宋体" w:cs="Courier New"/>
          <w:color w:val="000000" w:themeColor="text1"/>
          <w:kern w:val="0"/>
          <w:szCs w:val="21"/>
          <w14:textFill>
            <w14:solidFill>
              <w14:schemeClr w14:val="tx1"/>
            </w14:solidFill>
          </w14:textFill>
        </w:rPr>
      </w:pPr>
    </w:p>
    <w:p>
      <w:pPr>
        <w:spacing w:line="440" w:lineRule="exact"/>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供应商（公章）：</w:t>
      </w:r>
    </w:p>
    <w:p>
      <w:pPr>
        <w:spacing w:line="440" w:lineRule="exact"/>
        <w:rPr>
          <w:rFonts w:ascii="宋体" w:hAnsi="宋体" w:cs="Courier New"/>
          <w:color w:val="000000" w:themeColor="text1"/>
          <w:kern w:val="0"/>
          <w:szCs w:val="21"/>
          <w:u w:val="single"/>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法定代表人或委托代理人（签字或盖章）：</w:t>
      </w:r>
    </w:p>
    <w:p>
      <w:pPr>
        <w:spacing w:line="440" w:lineRule="exact"/>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日期：      年   月   日</w:t>
      </w:r>
    </w:p>
    <w:p>
      <w:pPr>
        <w:pStyle w:val="18"/>
        <w:spacing w:line="360" w:lineRule="auto"/>
        <w:rPr>
          <w:rFonts w:hAnsi="宋体"/>
          <w:color w:val="000000" w:themeColor="text1"/>
          <w:sz w:val="21"/>
          <w14:textFill>
            <w14:solidFill>
              <w14:schemeClr w14:val="tx1"/>
            </w14:solidFill>
          </w14:textFill>
        </w:rPr>
      </w:pPr>
    </w:p>
    <w:p>
      <w:pPr>
        <w:pStyle w:val="18"/>
        <w:spacing w:line="360" w:lineRule="auto"/>
        <w:rPr>
          <w:rFonts w:hAnsi="宋体"/>
          <w:color w:val="000000" w:themeColor="text1"/>
          <w14:textFill>
            <w14:solidFill>
              <w14:schemeClr w14:val="tx1"/>
            </w14:solidFill>
          </w14:textFill>
        </w:rPr>
      </w:pPr>
    </w:p>
    <w:p>
      <w:pPr>
        <w:spacing w:before="156" w:beforeLines="50" w:after="156" w:afterLines="50" w:line="700" w:lineRule="exact"/>
        <w:jc w:val="center"/>
        <w:rPr>
          <w:rFonts w:ascii="宋体" w:hAnsi="宋体"/>
          <w:b/>
          <w:color w:val="000000" w:themeColor="text1"/>
          <w:sz w:val="28"/>
          <w:szCs w:val="21"/>
          <w14:textFill>
            <w14:solidFill>
              <w14:schemeClr w14:val="tx1"/>
            </w14:solidFill>
          </w14:textFill>
        </w:rPr>
      </w:pPr>
    </w:p>
    <w:p>
      <w:pPr>
        <w:widowControl/>
        <w:jc w:val="left"/>
        <w:rPr>
          <w:rFonts w:ascii="宋体" w:hAnsi="宋体"/>
          <w:b/>
          <w:color w:val="000000" w:themeColor="text1"/>
          <w:sz w:val="28"/>
          <w:szCs w:val="21"/>
          <w14:textFill>
            <w14:solidFill>
              <w14:schemeClr w14:val="tx1"/>
            </w14:solidFill>
          </w14:textFill>
        </w:rPr>
      </w:pPr>
    </w:p>
    <w:p>
      <w:pPr>
        <w:pStyle w:val="2"/>
        <w:rPr>
          <w:rFonts w:ascii="宋体" w:hAnsi="宋体"/>
          <w:b/>
          <w:color w:val="000000" w:themeColor="text1"/>
          <w:sz w:val="28"/>
          <w:szCs w:val="21"/>
          <w14:textFill>
            <w14:solidFill>
              <w14:schemeClr w14:val="tx1"/>
            </w14:solidFill>
          </w14:textFill>
        </w:rPr>
      </w:pPr>
    </w:p>
    <w:p>
      <w:pPr>
        <w:pStyle w:val="2"/>
        <w:rPr>
          <w:rFonts w:ascii="宋体" w:hAnsi="宋体"/>
          <w:b/>
          <w:color w:val="000000" w:themeColor="text1"/>
          <w:sz w:val="28"/>
          <w:szCs w:val="21"/>
          <w14:textFill>
            <w14:solidFill>
              <w14:schemeClr w14:val="tx1"/>
            </w14:solidFill>
          </w14:textFill>
        </w:rPr>
      </w:pPr>
    </w:p>
    <w:p>
      <w:pPr>
        <w:pStyle w:val="2"/>
        <w:rPr>
          <w:rFonts w:ascii="宋体" w:hAnsi="宋体"/>
          <w:b/>
          <w:color w:val="000000" w:themeColor="text1"/>
          <w:sz w:val="28"/>
          <w:szCs w:val="21"/>
          <w14:textFill>
            <w14:solidFill>
              <w14:schemeClr w14:val="tx1"/>
            </w14:solidFill>
          </w14:textFill>
        </w:rPr>
      </w:pPr>
    </w:p>
    <w:p>
      <w:pPr>
        <w:pStyle w:val="2"/>
        <w:rPr>
          <w:rFonts w:ascii="宋体" w:hAnsi="宋体"/>
          <w:b/>
          <w:color w:val="000000" w:themeColor="text1"/>
          <w:sz w:val="28"/>
          <w:szCs w:val="21"/>
          <w14:textFill>
            <w14:solidFill>
              <w14:schemeClr w14:val="tx1"/>
            </w14:solidFill>
          </w14:textFill>
        </w:rPr>
      </w:pPr>
    </w:p>
    <w:p>
      <w:pPr>
        <w:pStyle w:val="2"/>
        <w:rPr>
          <w:rFonts w:ascii="宋体" w:hAnsi="宋体"/>
          <w:b/>
          <w:color w:val="000000" w:themeColor="text1"/>
          <w:sz w:val="28"/>
          <w:szCs w:val="21"/>
          <w14:textFill>
            <w14:solidFill>
              <w14:schemeClr w14:val="tx1"/>
            </w14:solidFill>
          </w14:textFill>
        </w:rPr>
      </w:pPr>
    </w:p>
    <w:p>
      <w:pPr>
        <w:spacing w:before="156" w:beforeLines="50" w:after="156" w:afterLines="50" w:line="70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 w:val="28"/>
          <w:szCs w:val="21"/>
          <w14:textFill>
            <w14:solidFill>
              <w14:schemeClr w14:val="tx1"/>
            </w14:solidFill>
          </w14:textFill>
        </w:rPr>
        <w:t>五、竞争性磋商供应商资格、资信证明文件</w:t>
      </w:r>
    </w:p>
    <w:p>
      <w:pPr>
        <w:spacing w:line="600" w:lineRule="exact"/>
        <w:rPr>
          <w:rFonts w:ascii="宋体" w:hAnsi="宋体"/>
          <w:b/>
          <w:color w:val="000000" w:themeColor="text1"/>
          <w:sz w:val="24"/>
          <w:szCs w:val="21"/>
          <w14:textFill>
            <w14:solidFill>
              <w14:schemeClr w14:val="tx1"/>
            </w14:solidFill>
          </w14:textFill>
        </w:rPr>
      </w:pPr>
    </w:p>
    <w:p>
      <w:pPr>
        <w:spacing w:line="600" w:lineRule="exact"/>
        <w:rPr>
          <w:rFonts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1、磋商保证金缴纳证明复印件（附基本账户开户许可证或银行开具的《基本存款账户信息》凭证复印件）</w:t>
      </w:r>
    </w:p>
    <w:p>
      <w:pPr>
        <w:spacing w:before="156" w:beforeLines="50" w:after="312" w:afterLines="100" w:line="500" w:lineRule="exac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备注：采用银行转账、电汇方式形式提交磋商保证金的，须附上采购代理机构财务处开具磋商保证金资金到户收据复印件。</w:t>
      </w:r>
    </w:p>
    <w:p>
      <w:pPr>
        <w:rPr>
          <w:rFonts w:ascii="宋体" w:hAnsi="宋体"/>
          <w:b/>
          <w:color w:val="000000" w:themeColor="text1"/>
          <w:sz w:val="24"/>
          <w:szCs w:val="21"/>
          <w14:textFill>
            <w14:solidFill>
              <w14:schemeClr w14:val="tx1"/>
            </w14:solidFill>
          </w14:textFill>
        </w:rPr>
      </w:pPr>
    </w:p>
    <w:p>
      <w:pPr>
        <w:spacing w:line="600" w:lineRule="exact"/>
        <w:rPr>
          <w:rFonts w:ascii="宋体" w:hAnsi="宋体"/>
          <w:b/>
          <w:color w:val="000000" w:themeColor="text1"/>
          <w:sz w:val="24"/>
          <w:szCs w:val="21"/>
          <w14:textFill>
            <w14:solidFill>
              <w14:schemeClr w14:val="tx1"/>
            </w14:solidFill>
          </w14:textFill>
        </w:rPr>
      </w:pPr>
    </w:p>
    <w:p>
      <w:pPr>
        <w:spacing w:line="600" w:lineRule="exact"/>
        <w:rPr>
          <w:rFonts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2、有效的营业执照副本复印件</w:t>
      </w:r>
    </w:p>
    <w:p>
      <w:pPr>
        <w:spacing w:line="460" w:lineRule="exact"/>
        <w:rPr>
          <w:rFonts w:ascii="宋体" w:hAnsi="宋体"/>
          <w:b/>
          <w:color w:val="000000" w:themeColor="text1"/>
          <w:sz w:val="24"/>
          <w:szCs w:val="2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460" w:lineRule="exact"/>
        <w:rPr>
          <w:rFonts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3、法定代表人身份证复印件</w:t>
      </w:r>
    </w:p>
    <w:p>
      <w:pPr>
        <w:spacing w:line="460" w:lineRule="exact"/>
        <w:rPr>
          <w:rFonts w:ascii="宋体" w:hAnsi="宋体"/>
          <w:b/>
          <w:color w:val="000000" w:themeColor="text1"/>
          <w:sz w:val="24"/>
          <w:szCs w:val="21"/>
          <w14:textFill>
            <w14:solidFill>
              <w14:schemeClr w14:val="tx1"/>
            </w14:solidFill>
          </w14:textFill>
        </w:rPr>
      </w:pPr>
    </w:p>
    <w:p>
      <w:pPr>
        <w:spacing w:line="460" w:lineRule="exact"/>
        <w:rPr>
          <w:rFonts w:ascii="宋体" w:hAnsi="宋体"/>
          <w:b/>
          <w:color w:val="000000" w:themeColor="text1"/>
          <w:sz w:val="24"/>
          <w:szCs w:val="21"/>
          <w14:textFill>
            <w14:solidFill>
              <w14:schemeClr w14:val="tx1"/>
            </w14:solidFill>
          </w14:textFill>
        </w:rPr>
      </w:pPr>
    </w:p>
    <w:p>
      <w:pPr>
        <w:pStyle w:val="2"/>
        <w:rPr>
          <w:color w:val="000000" w:themeColor="text1"/>
          <w14:textFill>
            <w14:solidFill>
              <w14:schemeClr w14:val="tx1"/>
            </w14:solidFill>
          </w14:textFill>
        </w:rPr>
      </w:pPr>
    </w:p>
    <w:p>
      <w:pPr>
        <w:spacing w:line="460" w:lineRule="exact"/>
        <w:rPr>
          <w:rFonts w:ascii="宋体" w:hAnsi="宋体"/>
          <w:b/>
          <w:color w:val="000000" w:themeColor="text1"/>
          <w:sz w:val="24"/>
          <w:szCs w:val="21"/>
          <w14:textFill>
            <w14:solidFill>
              <w14:schemeClr w14:val="tx1"/>
            </w14:solidFill>
          </w14:textFill>
        </w:rPr>
      </w:pPr>
      <w:r>
        <w:rPr>
          <w:rFonts w:ascii="宋体" w:hAnsi="宋体"/>
          <w:b/>
          <w:color w:val="000000" w:themeColor="text1"/>
          <w:sz w:val="24"/>
          <w:szCs w:val="21"/>
          <w14:textFill>
            <w14:solidFill>
              <w14:schemeClr w14:val="tx1"/>
            </w14:solidFill>
          </w14:textFill>
        </w:rPr>
        <w:t>4</w:t>
      </w:r>
      <w:r>
        <w:rPr>
          <w:rFonts w:hint="eastAsia" w:ascii="宋体" w:hAnsi="宋体"/>
          <w:b/>
          <w:color w:val="000000" w:themeColor="text1"/>
          <w:sz w:val="24"/>
          <w:szCs w:val="21"/>
          <w14:textFill>
            <w14:solidFill>
              <w14:schemeClr w14:val="tx1"/>
            </w14:solidFill>
          </w14:textFill>
        </w:rPr>
        <w:t>、资质证书复印件</w:t>
      </w:r>
    </w:p>
    <w:p>
      <w:pPr>
        <w:spacing w:line="460" w:lineRule="exact"/>
        <w:rPr>
          <w:rFonts w:ascii="宋体" w:hAnsi="宋体"/>
          <w:b/>
          <w:color w:val="000000" w:themeColor="text1"/>
          <w:sz w:val="24"/>
          <w:szCs w:val="21"/>
          <w14:textFill>
            <w14:solidFill>
              <w14:schemeClr w14:val="tx1"/>
            </w14:solidFill>
          </w14:textFill>
        </w:rPr>
      </w:pPr>
    </w:p>
    <w:p>
      <w:pPr>
        <w:pStyle w:val="2"/>
        <w:rPr>
          <w:color w:val="000000" w:themeColor="text1"/>
          <w14:textFill>
            <w14:solidFill>
              <w14:schemeClr w14:val="tx1"/>
            </w14:solidFill>
          </w14:textFill>
        </w:rPr>
      </w:pPr>
    </w:p>
    <w:p>
      <w:pPr>
        <w:widowControl/>
        <w:jc w:val="left"/>
        <w:rPr>
          <w:rFonts w:ascii="宋体" w:hAnsi="宋体"/>
          <w:b/>
          <w:color w:val="000000" w:themeColor="text1"/>
          <w:sz w:val="24"/>
          <w:szCs w:val="21"/>
          <w14:textFill>
            <w14:solidFill>
              <w14:schemeClr w14:val="tx1"/>
            </w14:solidFill>
          </w14:textFill>
        </w:rPr>
      </w:pPr>
      <w:r>
        <w:rPr>
          <w:rFonts w:ascii="宋体" w:hAnsi="宋体"/>
          <w:b/>
          <w:color w:val="000000" w:themeColor="text1"/>
          <w:sz w:val="24"/>
          <w:szCs w:val="21"/>
          <w14:textFill>
            <w14:solidFill>
              <w14:schemeClr w14:val="tx1"/>
            </w14:solidFill>
          </w14:textFill>
        </w:rPr>
        <w:br w:type="page"/>
      </w:r>
    </w:p>
    <w:p>
      <w:pPr>
        <w:spacing w:line="600" w:lineRule="exact"/>
        <w:rPr>
          <w:rFonts w:ascii="宋体" w:hAnsi="宋体"/>
          <w:color w:val="000000" w:themeColor="text1"/>
          <w:szCs w:val="21"/>
          <w14:textFill>
            <w14:solidFill>
              <w14:schemeClr w14:val="tx1"/>
            </w14:solidFill>
          </w14:textFill>
        </w:rPr>
      </w:pPr>
      <w:r>
        <w:rPr>
          <w:rFonts w:ascii="宋体" w:hAnsi="宋体"/>
          <w:b/>
          <w:color w:val="000000" w:themeColor="text1"/>
          <w:sz w:val="24"/>
          <w:szCs w:val="21"/>
          <w14:textFill>
            <w14:solidFill>
              <w14:schemeClr w14:val="tx1"/>
            </w14:solidFill>
          </w14:textFill>
        </w:rPr>
        <w:t>5</w:t>
      </w:r>
      <w:r>
        <w:rPr>
          <w:rFonts w:hint="eastAsia" w:ascii="宋体" w:hAnsi="宋体"/>
          <w:b/>
          <w:color w:val="000000" w:themeColor="text1"/>
          <w:sz w:val="24"/>
          <w:szCs w:val="21"/>
          <w14:textFill>
            <w14:solidFill>
              <w14:schemeClr w14:val="tx1"/>
            </w14:solidFill>
          </w14:textFill>
        </w:rPr>
        <w:t>、法定代表人授权委托书和委托代理人身份证复印件（委托代理时必须提供）</w:t>
      </w:r>
    </w:p>
    <w:p>
      <w:pPr>
        <w:spacing w:before="156" w:beforeLines="50" w:after="312" w:afterLines="100" w:line="560" w:lineRule="exact"/>
        <w:jc w:val="center"/>
        <w:rPr>
          <w:rFonts w:ascii="宋体" w:hAnsi="宋体"/>
          <w:b/>
          <w:color w:val="000000" w:themeColor="text1"/>
          <w:sz w:val="24"/>
          <w:szCs w:val="32"/>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法定代表人授权委托书（格式）</w:t>
      </w:r>
    </w:p>
    <w:p>
      <w:pPr>
        <w:snapToGrid w:val="0"/>
        <w:spacing w:line="460" w:lineRule="exact"/>
        <w:rPr>
          <w:rFonts w:ascii="宋体" w:hAnsi="宋体"/>
          <w:b/>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 xml:space="preserve">（采购人名称）  </w:t>
      </w:r>
    </w:p>
    <w:p>
      <w:pPr>
        <w:snapToGrid w:val="0"/>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我 </w:t>
      </w:r>
      <w:r>
        <w:rPr>
          <w:rFonts w:hint="eastAsia" w:ascii="宋体" w:hAnsi="宋体"/>
          <w:color w:val="000000" w:themeColor="text1"/>
          <w:szCs w:val="21"/>
          <w:u w:val="single"/>
          <w14:textFill>
            <w14:solidFill>
              <w14:schemeClr w14:val="tx1"/>
            </w14:solidFill>
          </w14:textFill>
        </w:rPr>
        <w:t xml:space="preserve"> （姓名）  </w:t>
      </w:r>
      <w:r>
        <w:rPr>
          <w:rFonts w:hint="eastAsia" w:ascii="宋体" w:hAnsi="宋体"/>
          <w:color w:val="000000" w:themeColor="text1"/>
          <w:szCs w:val="21"/>
          <w14:textFill>
            <w14:solidFill>
              <w14:schemeClr w14:val="tx1"/>
            </w14:solidFill>
          </w14:textFill>
        </w:rPr>
        <w:t>系</w:t>
      </w:r>
      <w:r>
        <w:rPr>
          <w:rFonts w:hint="eastAsia" w:ascii="宋体" w:hAnsi="宋体"/>
          <w:color w:val="000000" w:themeColor="text1"/>
          <w:szCs w:val="21"/>
          <w:u w:val="single"/>
          <w14:textFill>
            <w14:solidFill>
              <w14:schemeClr w14:val="tx1"/>
            </w14:solidFill>
          </w14:textFill>
        </w:rPr>
        <w:t xml:space="preserve">   （供应商名称） </w:t>
      </w:r>
      <w:r>
        <w:rPr>
          <w:rFonts w:hint="eastAsia" w:ascii="宋体" w:hAnsi="宋体"/>
          <w:color w:val="000000" w:themeColor="text1"/>
          <w:szCs w:val="21"/>
          <w14:textFill>
            <w14:solidFill>
              <w14:schemeClr w14:val="tx1"/>
            </w14:solidFill>
          </w14:textFill>
        </w:rPr>
        <w:t xml:space="preserve"> 的法定代表人，现授权委托</w:t>
      </w:r>
      <w:r>
        <w:rPr>
          <w:rFonts w:hint="eastAsia" w:ascii="宋体" w:hAnsi="宋体"/>
          <w:color w:val="000000" w:themeColor="text1"/>
          <w:szCs w:val="21"/>
          <w:u w:val="single"/>
          <w14:textFill>
            <w14:solidFill>
              <w14:schemeClr w14:val="tx1"/>
            </w14:solidFill>
          </w14:textFill>
        </w:rPr>
        <w:t xml:space="preserve">  （姓名、职务）  </w:t>
      </w:r>
      <w:r>
        <w:rPr>
          <w:rFonts w:hint="eastAsia" w:ascii="宋体" w:hAnsi="宋体"/>
          <w:color w:val="000000" w:themeColor="text1"/>
          <w:szCs w:val="21"/>
          <w14:textFill>
            <w14:solidFill>
              <w14:schemeClr w14:val="tx1"/>
            </w14:solidFill>
          </w14:textFill>
        </w:rPr>
        <w:t>以我方的名义参加</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Courier New"/>
          <w:color w:val="000000" w:themeColor="text1"/>
          <w:kern w:val="0"/>
          <w:szCs w:val="21"/>
          <w:u w:val="single"/>
          <w14:textFill>
            <w14:solidFill>
              <w14:schemeClr w14:val="tx1"/>
            </w14:solidFill>
          </w14:textFill>
        </w:rPr>
        <w:t>（项目名称/项目编号）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项目的投标活动，并代表我方全权办理针对上述项目的投标、开标、评标、签约等具体事务和签署相关文件。</w:t>
      </w:r>
    </w:p>
    <w:p>
      <w:pPr>
        <w:snapToGrid w:val="0"/>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我方对被授权人的签字事项负全部责任。</w:t>
      </w:r>
    </w:p>
    <w:p>
      <w:pPr>
        <w:pStyle w:val="18"/>
        <w:spacing w:line="420" w:lineRule="exact"/>
        <w:ind w:firstLine="400" w:firstLineChars="200"/>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授权委托代理期限：从</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月 </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日起至</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月 </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日止。</w:t>
      </w:r>
    </w:p>
    <w:p>
      <w:pPr>
        <w:snapToGrid w:val="0"/>
        <w:spacing w:line="460" w:lineRule="exact"/>
        <w:ind w:firstLine="420" w:firstLineChars="200"/>
        <w:rPr>
          <w:rFonts w:ascii="宋体" w:hAnsi="宋体"/>
          <w:color w:val="000000" w:themeColor="text1"/>
          <w:szCs w:val="21"/>
          <w14:textFill>
            <w14:solidFill>
              <w14:schemeClr w14:val="tx1"/>
            </w14:solidFill>
          </w14:textFill>
        </w:rPr>
      </w:pPr>
    </w:p>
    <w:p>
      <w:pPr>
        <w:snapToGrid w:val="0"/>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被授权人无转委托权，特此委托。</w:t>
      </w:r>
    </w:p>
    <w:p>
      <w:pPr>
        <w:snapToGrid w:val="0"/>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附：委托代理人身份证正反面复印件</w:t>
      </w:r>
    </w:p>
    <w:p>
      <w:pPr>
        <w:snapToGrid w:val="0"/>
        <w:spacing w:line="460" w:lineRule="exact"/>
        <w:ind w:firstLine="420" w:firstLineChars="200"/>
        <w:rPr>
          <w:rFonts w:ascii="宋体" w:hAnsi="宋体"/>
          <w:color w:val="000000" w:themeColor="text1"/>
          <w:szCs w:val="21"/>
          <w14:textFill>
            <w14:solidFill>
              <w14:schemeClr w14:val="tx1"/>
            </w14:solidFill>
          </w14:textFill>
        </w:rPr>
      </w:pPr>
    </w:p>
    <w:p>
      <w:pPr>
        <w:pStyle w:val="2"/>
        <w:rPr>
          <w:color w:val="000000" w:themeColor="text1"/>
          <w14:textFill>
            <w14:solidFill>
              <w14:schemeClr w14:val="tx1"/>
            </w14:solidFill>
          </w14:textFill>
        </w:rPr>
      </w:pPr>
    </w:p>
    <w:p>
      <w:pPr>
        <w:snapToGrid w:val="0"/>
        <w:spacing w:line="46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被授权人签字：                      法定代表人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签字</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盖章）</w:t>
      </w:r>
      <w:r>
        <w:rPr>
          <w:rFonts w:hint="eastAsia" w:ascii="宋体" w:hAnsi="宋体"/>
          <w:color w:val="000000" w:themeColor="text1"/>
          <w:szCs w:val="21"/>
          <w14:textFill>
            <w14:solidFill>
              <w14:schemeClr w14:val="tx1"/>
            </w14:solidFill>
          </w14:textFill>
        </w:rPr>
        <w:t>：</w:t>
      </w:r>
    </w:p>
    <w:p>
      <w:pPr>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所在部门职务：                      职务：</w:t>
      </w:r>
    </w:p>
    <w:p>
      <w:pPr>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被授权人身份证号码：</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napToGrid w:val="0"/>
        <w:spacing w:line="4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供应商名称（盖单位公章）：</w:t>
      </w:r>
    </w:p>
    <w:p>
      <w:pPr>
        <w:snapToGrid w:val="0"/>
        <w:spacing w:line="4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年    月    日</w:t>
      </w:r>
    </w:p>
    <w:p>
      <w:pPr>
        <w:widowControl/>
        <w:jc w:val="left"/>
        <w:rPr>
          <w:rFonts w:ascii="宋体" w:hAnsi="宋体"/>
          <w:b/>
          <w:color w:val="000000" w:themeColor="text1"/>
          <w:sz w:val="24"/>
          <w:szCs w:val="21"/>
          <w14:textFill>
            <w14:solidFill>
              <w14:schemeClr w14:val="tx1"/>
            </w14:solidFill>
          </w14:textFill>
        </w:rPr>
      </w:pPr>
    </w:p>
    <w:p>
      <w:pPr>
        <w:widowControl/>
        <w:jc w:val="left"/>
        <w:rPr>
          <w:rFonts w:ascii="宋体" w:hAnsi="宋体"/>
          <w:b/>
          <w:color w:val="000000" w:themeColor="text1"/>
          <w:sz w:val="24"/>
          <w:szCs w:val="21"/>
          <w14:textFill>
            <w14:solidFill>
              <w14:schemeClr w14:val="tx1"/>
            </w14:solidFill>
          </w14:textFill>
        </w:rPr>
      </w:pPr>
      <w:r>
        <w:rPr>
          <w:rFonts w:ascii="宋体" w:hAnsi="宋体"/>
          <w:b/>
          <w:color w:val="000000" w:themeColor="text1"/>
          <w:sz w:val="24"/>
          <w:szCs w:val="21"/>
          <w14:textFill>
            <w14:solidFill>
              <w14:schemeClr w14:val="tx1"/>
            </w14:solidFill>
          </w14:textFill>
        </w:rPr>
        <w:br w:type="page"/>
      </w:r>
    </w:p>
    <w:p>
      <w:pPr>
        <w:spacing w:line="460" w:lineRule="exact"/>
        <w:rPr>
          <w:rFonts w:ascii="宋体" w:hAnsi="宋体"/>
          <w:b/>
          <w:color w:val="000000" w:themeColor="text1"/>
          <w:sz w:val="24"/>
          <w:szCs w:val="21"/>
          <w14:textFill>
            <w14:solidFill>
              <w14:schemeClr w14:val="tx1"/>
            </w14:solidFill>
          </w14:textFill>
        </w:rPr>
      </w:pPr>
      <w:r>
        <w:rPr>
          <w:rFonts w:ascii="宋体" w:hAnsi="宋体"/>
          <w:b/>
          <w:color w:val="000000" w:themeColor="text1"/>
          <w:sz w:val="24"/>
          <w:szCs w:val="21"/>
          <w14:textFill>
            <w14:solidFill>
              <w14:schemeClr w14:val="tx1"/>
            </w14:solidFill>
          </w14:textFill>
        </w:rPr>
        <w:t>6</w:t>
      </w:r>
      <w:r>
        <w:rPr>
          <w:rFonts w:hint="eastAsia" w:ascii="宋体" w:hAnsi="宋体"/>
          <w:b/>
          <w:color w:val="000000" w:themeColor="text1"/>
          <w:sz w:val="24"/>
          <w:szCs w:val="21"/>
          <w14:textFill>
            <w14:solidFill>
              <w14:schemeClr w14:val="tx1"/>
            </w14:solidFill>
          </w14:textFill>
        </w:rPr>
        <w:t>、磋商供应商关于政府采购活动中信用信息记录的书面声明</w:t>
      </w:r>
    </w:p>
    <w:p>
      <w:pPr>
        <w:pStyle w:val="18"/>
        <w:spacing w:before="156" w:beforeLines="50" w:after="156" w:afterLines="50" w:line="640" w:lineRule="exact"/>
        <w:ind w:left="420"/>
        <w:jc w:val="center"/>
        <w:rPr>
          <w:rFonts w:hAnsi="宋体"/>
          <w:b/>
          <w:color w:val="000000" w:themeColor="text1"/>
          <w:sz w:val="28"/>
          <w14:textFill>
            <w14:solidFill>
              <w14:schemeClr w14:val="tx1"/>
            </w14:solidFill>
          </w14:textFill>
        </w:rPr>
      </w:pPr>
      <w:r>
        <w:rPr>
          <w:rFonts w:hint="eastAsia" w:hAnsi="宋体"/>
          <w:b/>
          <w:color w:val="000000" w:themeColor="text1"/>
          <w:sz w:val="28"/>
          <w14:textFill>
            <w14:solidFill>
              <w14:schemeClr w14:val="tx1"/>
            </w14:solidFill>
          </w14:textFill>
        </w:rPr>
        <w:t>声  明</w:t>
      </w:r>
    </w:p>
    <w:p>
      <w:pPr>
        <w:snapToGrid w:val="0"/>
        <w:spacing w:line="560" w:lineRule="exact"/>
        <w:outlineLvl w:val="4"/>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（采购人名称）</w:t>
      </w:r>
    </w:p>
    <w:p>
      <w:pPr>
        <w:pStyle w:val="18"/>
        <w:spacing w:line="500" w:lineRule="exact"/>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我公司郑重声明，在参加政府采购活动中没有被列入失信被执行人、重大税收违法案件当事人名单、政府采购严重违法失信行为记录名单。</w:t>
      </w:r>
    </w:p>
    <w:p>
      <w:pPr>
        <w:pStyle w:val="18"/>
        <w:spacing w:line="500" w:lineRule="exact"/>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特此声明！</w:t>
      </w:r>
      <w:r>
        <w:rPr>
          <w:rFonts w:hAnsi="宋体"/>
          <w:color w:val="000000" w:themeColor="text1"/>
          <w:sz w:val="21"/>
          <w14:textFill>
            <w14:solidFill>
              <w14:schemeClr w14:val="tx1"/>
            </w14:solidFill>
          </w14:textFill>
        </w:rPr>
        <w:tab/>
      </w:r>
    </w:p>
    <w:p>
      <w:pPr>
        <w:pStyle w:val="18"/>
        <w:spacing w:line="500" w:lineRule="exact"/>
        <w:ind w:firstLine="420" w:firstLineChars="200"/>
        <w:rPr>
          <w:rFonts w:hAnsi="宋体"/>
          <w:color w:val="000000" w:themeColor="text1"/>
          <w:sz w:val="21"/>
          <w14:textFill>
            <w14:solidFill>
              <w14:schemeClr w14:val="tx1"/>
            </w14:solidFill>
          </w14:textFill>
        </w:rPr>
      </w:pPr>
    </w:p>
    <w:p>
      <w:pPr>
        <w:snapToGrid w:val="0"/>
        <w:spacing w:line="400" w:lineRule="exact"/>
        <w:ind w:firstLine="420"/>
        <w:outlineLvl w:val="4"/>
        <w:rPr>
          <w:rFonts w:ascii="宋体" w:hAnsi="宋体"/>
          <w:color w:val="000000" w:themeColor="text1"/>
          <w:szCs w:val="21"/>
          <w14:textFill>
            <w14:solidFill>
              <w14:schemeClr w14:val="tx1"/>
            </w14:solidFill>
          </w14:textFill>
        </w:rPr>
      </w:pPr>
    </w:p>
    <w:p>
      <w:pPr>
        <w:spacing w:line="440" w:lineRule="exact"/>
        <w:ind w:firstLine="3675" w:firstLineChars="175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供应商（公章）：</w:t>
      </w:r>
    </w:p>
    <w:p>
      <w:pPr>
        <w:spacing w:line="440" w:lineRule="exact"/>
        <w:ind w:firstLine="3675" w:firstLineChars="1750"/>
        <w:rPr>
          <w:rFonts w:ascii="宋体" w:hAnsi="宋体" w:cs="Courier New"/>
          <w:color w:val="000000" w:themeColor="text1"/>
          <w:kern w:val="0"/>
          <w:szCs w:val="21"/>
          <w:u w:val="single"/>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法定代表人或委托代理人（签字或盖章）：</w:t>
      </w:r>
    </w:p>
    <w:p>
      <w:pPr>
        <w:spacing w:line="440" w:lineRule="exact"/>
        <w:ind w:firstLine="3675" w:firstLineChars="1750"/>
        <w:rPr>
          <w:rFonts w:ascii="宋体" w:hAnsi="宋体" w:cs="Courier New"/>
          <w:color w:val="000000" w:themeColor="text1"/>
          <w:kern w:val="0"/>
          <w:szCs w:val="21"/>
          <w:u w:val="single"/>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日期：      年   月   日</w:t>
      </w:r>
    </w:p>
    <w:p>
      <w:pPr>
        <w:spacing w:line="460" w:lineRule="exact"/>
        <w:rPr>
          <w:rFonts w:ascii="宋体" w:hAnsi="宋体"/>
          <w:b/>
          <w:color w:val="000000" w:themeColor="text1"/>
          <w:sz w:val="24"/>
          <w:szCs w:val="21"/>
          <w14:textFill>
            <w14:solidFill>
              <w14:schemeClr w14:val="tx1"/>
            </w14:solidFill>
          </w14:textFill>
        </w:rPr>
      </w:pPr>
    </w:p>
    <w:p>
      <w:pPr>
        <w:spacing w:line="460" w:lineRule="exact"/>
        <w:rPr>
          <w:rFonts w:ascii="宋体" w:hAnsi="宋体"/>
          <w:b/>
          <w:color w:val="000000" w:themeColor="text1"/>
          <w:sz w:val="24"/>
          <w:szCs w:val="21"/>
          <w14:textFill>
            <w14:solidFill>
              <w14:schemeClr w14:val="tx1"/>
            </w14:solidFill>
          </w14:textFill>
        </w:rPr>
      </w:pPr>
    </w:p>
    <w:p>
      <w:pPr>
        <w:spacing w:line="460" w:lineRule="exact"/>
        <w:rPr>
          <w:rFonts w:ascii="宋体" w:hAnsi="宋体"/>
          <w:b/>
          <w:color w:val="000000" w:themeColor="text1"/>
          <w:sz w:val="24"/>
          <w:szCs w:val="21"/>
          <w14:textFill>
            <w14:solidFill>
              <w14:schemeClr w14:val="tx1"/>
            </w14:solidFill>
          </w14:textFill>
        </w:rPr>
      </w:pPr>
      <w:r>
        <w:rPr>
          <w:rFonts w:ascii="宋体" w:hAnsi="宋体"/>
          <w:b/>
          <w:color w:val="000000" w:themeColor="text1"/>
          <w:sz w:val="24"/>
          <w:szCs w:val="21"/>
          <w14:textFill>
            <w14:solidFill>
              <w14:schemeClr w14:val="tx1"/>
            </w14:solidFill>
          </w14:textFill>
        </w:rPr>
        <w:t>7</w:t>
      </w:r>
      <w:r>
        <w:rPr>
          <w:rFonts w:hint="eastAsia" w:ascii="宋体" w:hAnsi="宋体"/>
          <w:b/>
          <w:color w:val="000000" w:themeColor="text1"/>
          <w:sz w:val="24"/>
          <w:szCs w:val="21"/>
          <w14:textFill>
            <w14:solidFill>
              <w14:schemeClr w14:val="tx1"/>
            </w14:solidFill>
          </w14:textFill>
        </w:rPr>
        <w:t>、供应商竞标截止时间前半年内连续三个月依法缴纳税收的凭证复印件【如税务机关开具的完税证、银行缴税付款凭证或缴款回单等；无纳税记录的，应提供磋商供应商所在地的税务部门出具的《依法纳税或依法免税证明》复印件】</w:t>
      </w:r>
    </w:p>
    <w:p>
      <w:pPr>
        <w:spacing w:line="460" w:lineRule="exact"/>
        <w:rPr>
          <w:rFonts w:ascii="宋体" w:hAnsi="宋体"/>
          <w:color w:val="000000" w:themeColor="text1"/>
          <w:sz w:val="24"/>
          <w:szCs w:val="2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460" w:lineRule="exact"/>
        <w:rPr>
          <w:rFonts w:ascii="宋体" w:hAnsi="宋体"/>
          <w:b/>
          <w:color w:val="000000" w:themeColor="text1"/>
          <w:sz w:val="24"/>
          <w:szCs w:val="21"/>
          <w14:textFill>
            <w14:solidFill>
              <w14:schemeClr w14:val="tx1"/>
            </w14:solidFill>
          </w14:textFill>
        </w:rPr>
      </w:pPr>
      <w:r>
        <w:rPr>
          <w:rFonts w:ascii="宋体" w:hAnsi="宋体"/>
          <w:b/>
          <w:color w:val="000000" w:themeColor="text1"/>
          <w:sz w:val="24"/>
          <w:szCs w:val="21"/>
          <w14:textFill>
            <w14:solidFill>
              <w14:schemeClr w14:val="tx1"/>
            </w14:solidFill>
          </w14:textFill>
        </w:rPr>
        <w:t>8</w:t>
      </w:r>
      <w:r>
        <w:rPr>
          <w:rFonts w:hint="eastAsia" w:ascii="宋体" w:hAnsi="宋体"/>
          <w:b/>
          <w:color w:val="000000" w:themeColor="text1"/>
          <w:sz w:val="24"/>
          <w:szCs w:val="21"/>
          <w14:textFill>
            <w14:solidFill>
              <w14:schemeClr w14:val="tx1"/>
            </w14:solidFill>
          </w14:textFill>
        </w:rPr>
        <w:t>、磋商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600" w:lineRule="exact"/>
        <w:rPr>
          <w:rFonts w:ascii="宋体" w:hAnsi="宋体"/>
          <w:b/>
          <w:color w:val="000000" w:themeColor="text1"/>
          <w:sz w:val="24"/>
          <w:szCs w:val="21"/>
          <w14:textFill>
            <w14:solidFill>
              <w14:schemeClr w14:val="tx1"/>
            </w14:solidFill>
          </w14:textFill>
        </w:rPr>
      </w:pPr>
      <w:r>
        <w:rPr>
          <w:rFonts w:ascii="宋体" w:hAnsi="宋体"/>
          <w:b/>
          <w:color w:val="000000" w:themeColor="text1"/>
          <w:sz w:val="24"/>
          <w:szCs w:val="21"/>
          <w14:textFill>
            <w14:solidFill>
              <w14:schemeClr w14:val="tx1"/>
            </w14:solidFill>
          </w14:textFill>
        </w:rPr>
        <w:t>9</w:t>
      </w:r>
      <w:r>
        <w:rPr>
          <w:rFonts w:hint="eastAsia" w:ascii="宋体" w:hAnsi="宋体"/>
          <w:b/>
          <w:color w:val="000000" w:themeColor="text1"/>
          <w:sz w:val="24"/>
          <w:szCs w:val="21"/>
          <w14:textFill>
            <w14:solidFill>
              <w14:schemeClr w14:val="tx1"/>
            </w14:solidFill>
          </w14:textFill>
        </w:rPr>
        <w:t>、投标人2019年财务状况（提供经会计师事务所或审计机构审计的财务会计报表复印件，如为新建企业按实际发生年限提供）</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600" w:lineRule="exact"/>
        <w:rPr>
          <w:rFonts w:ascii="宋体" w:hAnsi="宋体"/>
          <w:b/>
          <w:color w:val="000000" w:themeColor="text1"/>
          <w:sz w:val="24"/>
          <w:szCs w:val="21"/>
          <w14:textFill>
            <w14:solidFill>
              <w14:schemeClr w14:val="tx1"/>
            </w14:solidFill>
          </w14:textFill>
        </w:rPr>
      </w:pPr>
      <w:r>
        <w:rPr>
          <w:rFonts w:ascii="宋体" w:hAnsi="宋体"/>
          <w:b/>
          <w:color w:val="000000" w:themeColor="text1"/>
          <w:sz w:val="24"/>
          <w:szCs w:val="21"/>
          <w14:textFill>
            <w14:solidFill>
              <w14:schemeClr w14:val="tx1"/>
            </w14:solidFill>
          </w14:textFill>
        </w:rPr>
        <w:t>10</w:t>
      </w:r>
      <w:r>
        <w:rPr>
          <w:rFonts w:hint="eastAsia" w:ascii="宋体" w:hAnsi="宋体"/>
          <w:b/>
          <w:color w:val="000000" w:themeColor="text1"/>
          <w:sz w:val="24"/>
          <w:szCs w:val="21"/>
          <w14:textFill>
            <w14:solidFill>
              <w14:schemeClr w14:val="tx1"/>
            </w14:solidFill>
          </w14:textFill>
        </w:rPr>
        <w:t>、供应商认为必要提供的声明及文件资料</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before="156" w:beforeLines="50" w:after="156" w:afterLines="50" w:line="700" w:lineRule="exact"/>
        <w:jc w:val="center"/>
        <w:rPr>
          <w:rFonts w:ascii="宋体" w:hAnsi="宋体"/>
          <w:b/>
          <w:color w:val="000000" w:themeColor="text1"/>
          <w:sz w:val="28"/>
          <w:szCs w:val="21"/>
          <w14:textFill>
            <w14:solidFill>
              <w14:schemeClr w14:val="tx1"/>
            </w14:solidFill>
          </w14:textFill>
        </w:rPr>
      </w:pPr>
    </w:p>
    <w:p>
      <w:pPr>
        <w:spacing w:before="156" w:beforeLines="50" w:after="156" w:afterLines="50" w:line="700" w:lineRule="exact"/>
        <w:jc w:val="center"/>
        <w:rPr>
          <w:rFonts w:ascii="宋体" w:hAnsi="宋体"/>
          <w:b/>
          <w:color w:val="000000" w:themeColor="text1"/>
          <w:sz w:val="28"/>
          <w:szCs w:val="21"/>
          <w14:textFill>
            <w14:solidFill>
              <w14:schemeClr w14:val="tx1"/>
            </w14:solidFill>
          </w14:textFill>
        </w:rPr>
      </w:pPr>
      <w:r>
        <w:rPr>
          <w:rFonts w:hint="eastAsia" w:ascii="宋体" w:hAnsi="宋体"/>
          <w:b/>
          <w:color w:val="000000" w:themeColor="text1"/>
          <w:sz w:val="28"/>
          <w:szCs w:val="21"/>
          <w14:textFill>
            <w14:solidFill>
              <w14:schemeClr w14:val="tx1"/>
            </w14:solidFill>
          </w14:textFill>
        </w:rPr>
        <w:t>六、</w:t>
      </w:r>
      <w:r>
        <w:rPr>
          <w:rFonts w:ascii="宋体" w:hAnsi="宋体"/>
          <w:b/>
          <w:color w:val="000000" w:themeColor="text1"/>
          <w:sz w:val="28"/>
          <w:szCs w:val="21"/>
          <w14:textFill>
            <w14:solidFill>
              <w14:schemeClr w14:val="tx1"/>
            </w14:solidFill>
          </w14:textFill>
        </w:rPr>
        <w:t>竞争性磋商供应商认为有必要提供的其它资料</w:t>
      </w: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widowControl/>
        <w:jc w:val="left"/>
        <w:rPr>
          <w:rFonts w:ascii="宋体" w:hAnsi="宋体"/>
          <w:b/>
          <w:color w:val="000000" w:themeColor="text1"/>
          <w:sz w:val="24"/>
          <w:szCs w:val="21"/>
          <w14:textFill>
            <w14:solidFill>
              <w14:schemeClr w14:val="tx1"/>
            </w14:solidFill>
          </w14:textFill>
        </w:rPr>
      </w:pPr>
      <w:r>
        <w:rPr>
          <w:rFonts w:ascii="宋体" w:hAnsi="宋体"/>
          <w:b/>
          <w:color w:val="000000" w:themeColor="text1"/>
          <w:sz w:val="24"/>
          <w:szCs w:val="21"/>
          <w14:textFill>
            <w14:solidFill>
              <w14:schemeClr w14:val="tx1"/>
            </w14:solidFill>
          </w14:textFill>
        </w:rPr>
        <w:br w:type="page"/>
      </w:r>
    </w:p>
    <w:p>
      <w:pPr>
        <w:tabs>
          <w:tab w:val="left" w:pos="1305"/>
        </w:tabs>
        <w:spacing w:before="156" w:beforeLines="50" w:after="156" w:afterLines="50" w:line="500" w:lineRule="exact"/>
        <w:rPr>
          <w:rFonts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附件1：</w:t>
      </w:r>
    </w:p>
    <w:p>
      <w:pPr>
        <w:pStyle w:val="23"/>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中小企业声明函</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本公司郑重声明，根据《政府采购促进中小企业发展暂行办法》（财库</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2011</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181号）的规定，本公司为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（请填写：中型、小型、微型）企业。即，本公司同时满足以下条件：</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1.根据《工业和信息化部、国家统计局、国家发展和改革委员会、财政部关于印发中小企业划型标准规定的通知》（工信部联企业〔2011〕300号）规定的划分标准，本公司为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（请填写：中型、小型、微型）企业。</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2.本公司参加</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单位的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项目采购活动提供本企业制造的货物，由本企业承担工程、提供服务，或者提供其他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（请填写：中型、小型、微型）企业制造的货物。本条所称货物不包括使用大型企业注册商标的货物。</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本公司对上述声明的真实性负责。如有虚假，将依法承担相应责任。 </w:t>
      </w:r>
    </w:p>
    <w:p>
      <w:pPr>
        <w:spacing w:line="460" w:lineRule="exact"/>
        <w:ind w:firstLine="420" w:firstLineChars="200"/>
        <w:rPr>
          <w:rFonts w:ascii="宋体" w:hAnsi="宋体"/>
          <w:color w:val="000000" w:themeColor="text1"/>
          <w:szCs w:val="21"/>
          <w14:textFill>
            <w14:solidFill>
              <w14:schemeClr w14:val="tx1"/>
            </w14:solidFill>
          </w14:textFill>
        </w:rPr>
      </w:pPr>
    </w:p>
    <w:p>
      <w:pPr>
        <w:spacing w:line="460" w:lineRule="exact"/>
        <w:ind w:firstLine="420" w:firstLineChars="200"/>
        <w:rPr>
          <w:rFonts w:ascii="宋体" w:hAnsi="宋体"/>
          <w:color w:val="000000" w:themeColor="text1"/>
          <w:szCs w:val="21"/>
          <w14:textFill>
            <w14:solidFill>
              <w14:schemeClr w14:val="tx1"/>
            </w14:solidFill>
          </w14:textFill>
        </w:rPr>
      </w:pPr>
    </w:p>
    <w:p>
      <w:pPr>
        <w:spacing w:line="460" w:lineRule="exact"/>
        <w:ind w:firstLine="6405" w:firstLineChars="30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企业名称：（盖章）</w:t>
      </w:r>
    </w:p>
    <w:p>
      <w:pPr>
        <w:spacing w:line="460" w:lineRule="exact"/>
        <w:ind w:firstLine="6405" w:firstLineChars="30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w:t>
      </w:r>
    </w:p>
    <w:p>
      <w:pPr>
        <w:spacing w:line="460" w:lineRule="exact"/>
        <w:ind w:firstLine="420" w:firstLineChars="200"/>
        <w:rPr>
          <w:rFonts w:ascii="宋体" w:hAnsi="宋体"/>
          <w:color w:val="000000" w:themeColor="text1"/>
          <w:szCs w:val="21"/>
          <w14:textFill>
            <w14:solidFill>
              <w14:schemeClr w14:val="tx1"/>
            </w14:solidFill>
          </w14:textFill>
        </w:rPr>
      </w:pPr>
    </w:p>
    <w:p>
      <w:pPr>
        <w:spacing w:line="460" w:lineRule="exact"/>
        <w:rPr>
          <w:rFonts w:ascii="宋体" w:hAnsi="宋体"/>
          <w:color w:val="000000" w:themeColor="text1"/>
          <w:spacing w:val="6"/>
          <w:szCs w:val="21"/>
          <w14:textFill>
            <w14:solidFill>
              <w14:schemeClr w14:val="tx1"/>
            </w14:solidFill>
          </w14:textFill>
        </w:rPr>
      </w:pPr>
    </w:p>
    <w:p>
      <w:pPr>
        <w:pStyle w:val="2"/>
        <w:rPr>
          <w:color w:val="000000" w:themeColor="text1"/>
          <w14:textFill>
            <w14:solidFill>
              <w14:schemeClr w14:val="tx1"/>
            </w14:solidFill>
          </w14:textFill>
        </w:rPr>
      </w:pPr>
    </w:p>
    <w:p>
      <w:pPr>
        <w:spacing w:line="460" w:lineRule="exact"/>
        <w:rPr>
          <w:rFonts w:ascii="宋体" w:hAnsi="宋体"/>
          <w:b/>
          <w:color w:val="000000" w:themeColor="text1"/>
          <w:spacing w:val="6"/>
          <w:sz w:val="28"/>
          <w:szCs w:val="21"/>
          <w14:textFill>
            <w14:solidFill>
              <w14:schemeClr w14:val="tx1"/>
            </w14:solidFill>
          </w14:textFill>
        </w:rPr>
      </w:pPr>
      <w:r>
        <w:rPr>
          <w:rFonts w:hint="eastAsia" w:ascii="宋体" w:hAnsi="宋体"/>
          <w:b/>
          <w:color w:val="000000" w:themeColor="text1"/>
          <w:spacing w:val="6"/>
          <w:sz w:val="28"/>
          <w:szCs w:val="21"/>
          <w14:textFill>
            <w14:solidFill>
              <w14:schemeClr w14:val="tx1"/>
            </w14:solidFill>
          </w14:textFill>
        </w:rPr>
        <w:t>注：中小企业在政府采购活动过程中，请根据自己的真实情况出具本声明函。</w:t>
      </w:r>
      <w:r>
        <w:rPr>
          <w:rFonts w:hint="eastAsia" w:ascii="宋体" w:hAnsi="宋体"/>
          <w:b/>
          <w:color w:val="000000" w:themeColor="text1"/>
          <w:spacing w:val="6"/>
          <w:sz w:val="28"/>
          <w:szCs w:val="21"/>
          <w:u w:val="single"/>
          <w14:textFill>
            <w14:solidFill>
              <w14:schemeClr w14:val="tx1"/>
            </w14:solidFill>
          </w14:textFill>
        </w:rPr>
        <w:t>依法享受中小企业优惠政策的，采购人或采购代理机构在公告成交结果时，同时公告其《中小企业声明函》，接受社会监督。</w:t>
      </w:r>
    </w:p>
    <w:p>
      <w:pPr>
        <w:spacing w:line="360" w:lineRule="auto"/>
        <w:ind w:left="630" w:leftChars="300"/>
        <w:rPr>
          <w:rFonts w:ascii="宋体" w:hAnsi="宋体"/>
          <w:color w:val="000000" w:themeColor="text1"/>
          <w:szCs w:val="21"/>
          <w14:textFill>
            <w14:solidFill>
              <w14:schemeClr w14:val="tx1"/>
            </w14:solidFill>
          </w14:textFill>
        </w:rPr>
      </w:pPr>
    </w:p>
    <w:p>
      <w:pPr>
        <w:spacing w:before="156" w:beforeLines="50" w:after="156" w:afterLines="50" w:line="500" w:lineRule="exact"/>
        <w:rPr>
          <w:rFonts w:ascii="宋体" w:hAnsi="宋体"/>
          <w:b/>
          <w:color w:val="000000" w:themeColor="text1"/>
          <w:spacing w:val="6"/>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宋体" w:hAnsi="宋体"/>
          <w:b/>
          <w:color w:val="000000" w:themeColor="text1"/>
          <w:sz w:val="24"/>
          <w:szCs w:val="21"/>
          <w14:textFill>
            <w14:solidFill>
              <w14:schemeClr w14:val="tx1"/>
            </w14:solidFill>
          </w14:textFill>
        </w:rPr>
        <w:t>附件2：</w:t>
      </w:r>
    </w:p>
    <w:p>
      <w:pPr>
        <w:pStyle w:val="23"/>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残疾人福利性单位声明函</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单位的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本单位对上述声明的真实性负责。如有虚假，将依法承担相应责任。</w:t>
      </w: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460" w:lineRule="exact"/>
        <w:ind w:firstLine="6195" w:firstLineChars="29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单位名称（盖章）：</w:t>
      </w:r>
    </w:p>
    <w:p>
      <w:pPr>
        <w:spacing w:line="460" w:lineRule="exact"/>
        <w:ind w:firstLine="6195" w:firstLineChars="295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w:t>
      </w:r>
    </w:p>
    <w:p>
      <w:pPr>
        <w:pStyle w:val="18"/>
        <w:spacing w:line="440" w:lineRule="exact"/>
        <w:rPr>
          <w:rFonts w:hAnsi="宋体" w:cs="宋体"/>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sectPr>
      <w:footerReference r:id="rId3" w:type="default"/>
      <w:pgSz w:w="11906" w:h="16838"/>
      <w:pgMar w:top="1247" w:right="1247" w:bottom="1247" w:left="1247" w:header="907" w:footer="90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宋体;SimSun">
    <w:altName w:val="宋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72F28"/>
    <w:multiLevelType w:val="singleLevel"/>
    <w:tmpl w:val="58772F28"/>
    <w:lvl w:ilvl="0" w:tentative="0">
      <w:start w:val="7"/>
      <w:numFmt w:val="chineseCounting"/>
      <w:suff w:val="space"/>
      <w:lvlText w:val="第%1条"/>
      <w:lvlJc w:val="left"/>
    </w:lvl>
  </w:abstractNum>
  <w:abstractNum w:abstractNumId="1">
    <w:nsid w:val="5AAB4A24"/>
    <w:multiLevelType w:val="multilevel"/>
    <w:tmpl w:val="5AAB4A24"/>
    <w:lvl w:ilvl="0" w:tentative="0">
      <w:start w:val="1"/>
      <w:numFmt w:val="decimal"/>
      <w:pStyle w:val="4"/>
      <w:lvlText w:val="%1."/>
      <w:lvlJc w:val="left"/>
      <w:pPr>
        <w:tabs>
          <w:tab w:val="left" w:pos="432"/>
        </w:tabs>
        <w:ind w:left="432" w:hanging="432"/>
      </w:pPr>
      <w:rPr>
        <w:rFonts w:hint="default"/>
      </w:rPr>
    </w:lvl>
    <w:lvl w:ilvl="1" w:tentative="0">
      <w:start w:val="1"/>
      <w:numFmt w:val="decimal"/>
      <w:lvlText w:val="%1.%2."/>
      <w:lvlJc w:val="left"/>
      <w:pPr>
        <w:tabs>
          <w:tab w:val="left" w:pos="575"/>
        </w:tabs>
        <w:ind w:left="575" w:hanging="575"/>
      </w:pPr>
      <w:rPr>
        <w:rFonts w:hint="default"/>
      </w:rPr>
    </w:lvl>
    <w:lvl w:ilvl="2" w:tentative="0">
      <w:start w:val="1"/>
      <w:numFmt w:val="decimal"/>
      <w:pStyle w:val="5"/>
      <w:lvlText w:val="%1.%2.%3."/>
      <w:lvlJc w:val="left"/>
      <w:pPr>
        <w:tabs>
          <w:tab w:val="left" w:pos="720"/>
        </w:tabs>
        <w:ind w:left="720" w:hanging="720"/>
      </w:pPr>
      <w:rPr>
        <w:rFonts w:hint="default"/>
      </w:rPr>
    </w:lvl>
    <w:lvl w:ilvl="3" w:tentative="0">
      <w:start w:val="1"/>
      <w:numFmt w:val="decimal"/>
      <w:pStyle w:val="6"/>
      <w:lvlText w:val="%1.%2.%3.%4."/>
      <w:lvlJc w:val="left"/>
      <w:pPr>
        <w:tabs>
          <w:tab w:val="left" w:pos="864"/>
        </w:tabs>
        <w:ind w:left="864" w:hanging="864"/>
      </w:pPr>
      <w:rPr>
        <w:rFonts w:hint="default"/>
      </w:rPr>
    </w:lvl>
    <w:lvl w:ilvl="4" w:tentative="0">
      <w:start w:val="1"/>
      <w:numFmt w:val="decimal"/>
      <w:pStyle w:val="7"/>
      <w:lvlText w:val="%1.%2.%3.%4.%5."/>
      <w:lvlJc w:val="left"/>
      <w:pPr>
        <w:tabs>
          <w:tab w:val="left" w:pos="1008"/>
        </w:tabs>
        <w:ind w:left="1008" w:hanging="1008"/>
      </w:pPr>
      <w:rPr>
        <w:rFonts w:hint="default"/>
      </w:rPr>
    </w:lvl>
    <w:lvl w:ilvl="5" w:tentative="0">
      <w:start w:val="1"/>
      <w:numFmt w:val="decimal"/>
      <w:pStyle w:val="8"/>
      <w:lvlText w:val="%1.%2.%3.%4.%5.%6."/>
      <w:lvlJc w:val="left"/>
      <w:pPr>
        <w:tabs>
          <w:tab w:val="left" w:pos="1151"/>
        </w:tabs>
        <w:ind w:left="1151" w:hanging="1151"/>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3"/>
        </w:tabs>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1B"/>
    <w:rsid w:val="0000155E"/>
    <w:rsid w:val="0000222D"/>
    <w:rsid w:val="00011DD5"/>
    <w:rsid w:val="00014745"/>
    <w:rsid w:val="00015364"/>
    <w:rsid w:val="00021FBB"/>
    <w:rsid w:val="00042CFF"/>
    <w:rsid w:val="000434BB"/>
    <w:rsid w:val="00045120"/>
    <w:rsid w:val="000471CA"/>
    <w:rsid w:val="00050A49"/>
    <w:rsid w:val="00057C6B"/>
    <w:rsid w:val="00064C32"/>
    <w:rsid w:val="00082227"/>
    <w:rsid w:val="00085279"/>
    <w:rsid w:val="00093FC4"/>
    <w:rsid w:val="0009558F"/>
    <w:rsid w:val="00096842"/>
    <w:rsid w:val="000A411E"/>
    <w:rsid w:val="000A4E01"/>
    <w:rsid w:val="000C68ED"/>
    <w:rsid w:val="000D19A3"/>
    <w:rsid w:val="000D2360"/>
    <w:rsid w:val="000D3FFC"/>
    <w:rsid w:val="000D44D4"/>
    <w:rsid w:val="000E3BF5"/>
    <w:rsid w:val="000E6ACB"/>
    <w:rsid w:val="000F77B8"/>
    <w:rsid w:val="001038C8"/>
    <w:rsid w:val="001132FF"/>
    <w:rsid w:val="001222B7"/>
    <w:rsid w:val="00123EFA"/>
    <w:rsid w:val="001256FF"/>
    <w:rsid w:val="00131432"/>
    <w:rsid w:val="00142DF8"/>
    <w:rsid w:val="00147630"/>
    <w:rsid w:val="0015630C"/>
    <w:rsid w:val="00156FF3"/>
    <w:rsid w:val="0016798D"/>
    <w:rsid w:val="00172683"/>
    <w:rsid w:val="0019127C"/>
    <w:rsid w:val="001A2EF7"/>
    <w:rsid w:val="001A642A"/>
    <w:rsid w:val="001A6FB0"/>
    <w:rsid w:val="001B1C51"/>
    <w:rsid w:val="001C2FC2"/>
    <w:rsid w:val="001C4A1B"/>
    <w:rsid w:val="001D0678"/>
    <w:rsid w:val="001D3A31"/>
    <w:rsid w:val="001D5132"/>
    <w:rsid w:val="001E07EA"/>
    <w:rsid w:val="001E28D6"/>
    <w:rsid w:val="001E6122"/>
    <w:rsid w:val="001F2336"/>
    <w:rsid w:val="001F31A1"/>
    <w:rsid w:val="0020774A"/>
    <w:rsid w:val="00207A68"/>
    <w:rsid w:val="00207E63"/>
    <w:rsid w:val="002217C7"/>
    <w:rsid w:val="00222251"/>
    <w:rsid w:val="00232423"/>
    <w:rsid w:val="00240919"/>
    <w:rsid w:val="00250519"/>
    <w:rsid w:val="00251F01"/>
    <w:rsid w:val="00256272"/>
    <w:rsid w:val="00260274"/>
    <w:rsid w:val="00261E14"/>
    <w:rsid w:val="00266AED"/>
    <w:rsid w:val="00270D51"/>
    <w:rsid w:val="002721A9"/>
    <w:rsid w:val="00290141"/>
    <w:rsid w:val="00293823"/>
    <w:rsid w:val="00294A56"/>
    <w:rsid w:val="002A34F1"/>
    <w:rsid w:val="002A5649"/>
    <w:rsid w:val="002A7574"/>
    <w:rsid w:val="002B219E"/>
    <w:rsid w:val="002B4ACA"/>
    <w:rsid w:val="002B572E"/>
    <w:rsid w:val="002C5ED3"/>
    <w:rsid w:val="002D3835"/>
    <w:rsid w:val="002D494D"/>
    <w:rsid w:val="002E016D"/>
    <w:rsid w:val="002E0A88"/>
    <w:rsid w:val="002E3A1A"/>
    <w:rsid w:val="002F66F9"/>
    <w:rsid w:val="00310654"/>
    <w:rsid w:val="003113BA"/>
    <w:rsid w:val="003123AE"/>
    <w:rsid w:val="00315E3E"/>
    <w:rsid w:val="003212C0"/>
    <w:rsid w:val="00322E7B"/>
    <w:rsid w:val="00323B57"/>
    <w:rsid w:val="00326993"/>
    <w:rsid w:val="00326B40"/>
    <w:rsid w:val="00327EA5"/>
    <w:rsid w:val="00335381"/>
    <w:rsid w:val="00337F65"/>
    <w:rsid w:val="00346534"/>
    <w:rsid w:val="0035074A"/>
    <w:rsid w:val="003556F1"/>
    <w:rsid w:val="00365A0C"/>
    <w:rsid w:val="0036741F"/>
    <w:rsid w:val="00371406"/>
    <w:rsid w:val="003716CC"/>
    <w:rsid w:val="00377361"/>
    <w:rsid w:val="003776A3"/>
    <w:rsid w:val="00391A71"/>
    <w:rsid w:val="003924C3"/>
    <w:rsid w:val="00395530"/>
    <w:rsid w:val="003A6C15"/>
    <w:rsid w:val="003B051D"/>
    <w:rsid w:val="003B2D92"/>
    <w:rsid w:val="003D32A8"/>
    <w:rsid w:val="003D3D19"/>
    <w:rsid w:val="003D6E25"/>
    <w:rsid w:val="003E230B"/>
    <w:rsid w:val="003F21B7"/>
    <w:rsid w:val="003F347C"/>
    <w:rsid w:val="003F4132"/>
    <w:rsid w:val="003F4CE9"/>
    <w:rsid w:val="0040400C"/>
    <w:rsid w:val="00410D90"/>
    <w:rsid w:val="00422017"/>
    <w:rsid w:val="004327CC"/>
    <w:rsid w:val="00434B1A"/>
    <w:rsid w:val="00445E83"/>
    <w:rsid w:val="0044645D"/>
    <w:rsid w:val="00471EEB"/>
    <w:rsid w:val="00483052"/>
    <w:rsid w:val="004870F6"/>
    <w:rsid w:val="004916D1"/>
    <w:rsid w:val="00493CB2"/>
    <w:rsid w:val="004A3D48"/>
    <w:rsid w:val="004A66AA"/>
    <w:rsid w:val="004A7712"/>
    <w:rsid w:val="004B5577"/>
    <w:rsid w:val="004C4474"/>
    <w:rsid w:val="004D0BEA"/>
    <w:rsid w:val="004E2003"/>
    <w:rsid w:val="004E38C1"/>
    <w:rsid w:val="004E7CF3"/>
    <w:rsid w:val="004F0B13"/>
    <w:rsid w:val="00500110"/>
    <w:rsid w:val="005053D9"/>
    <w:rsid w:val="00510E39"/>
    <w:rsid w:val="00530D95"/>
    <w:rsid w:val="0054173D"/>
    <w:rsid w:val="00541F45"/>
    <w:rsid w:val="005425F8"/>
    <w:rsid w:val="00554398"/>
    <w:rsid w:val="00557AA0"/>
    <w:rsid w:val="005606FC"/>
    <w:rsid w:val="0057151C"/>
    <w:rsid w:val="0057255A"/>
    <w:rsid w:val="005777C9"/>
    <w:rsid w:val="00584EB7"/>
    <w:rsid w:val="00597D2B"/>
    <w:rsid w:val="005A0D76"/>
    <w:rsid w:val="005A3DE2"/>
    <w:rsid w:val="005A4507"/>
    <w:rsid w:val="005B0BA6"/>
    <w:rsid w:val="005B25BB"/>
    <w:rsid w:val="005B5B9F"/>
    <w:rsid w:val="005C2D04"/>
    <w:rsid w:val="005C3A66"/>
    <w:rsid w:val="005C3C28"/>
    <w:rsid w:val="005C5CDF"/>
    <w:rsid w:val="005D11F5"/>
    <w:rsid w:val="005D2BE3"/>
    <w:rsid w:val="005D2E32"/>
    <w:rsid w:val="005E4A36"/>
    <w:rsid w:val="005E7808"/>
    <w:rsid w:val="005F377C"/>
    <w:rsid w:val="005F3D8D"/>
    <w:rsid w:val="005F419B"/>
    <w:rsid w:val="005F695D"/>
    <w:rsid w:val="00601402"/>
    <w:rsid w:val="00601E89"/>
    <w:rsid w:val="00607567"/>
    <w:rsid w:val="00616489"/>
    <w:rsid w:val="00621144"/>
    <w:rsid w:val="00621C1C"/>
    <w:rsid w:val="006409A6"/>
    <w:rsid w:val="00653A30"/>
    <w:rsid w:val="00661EBD"/>
    <w:rsid w:val="00663282"/>
    <w:rsid w:val="0066564D"/>
    <w:rsid w:val="006978BA"/>
    <w:rsid w:val="006A267F"/>
    <w:rsid w:val="006A3BA1"/>
    <w:rsid w:val="006A796F"/>
    <w:rsid w:val="006B252D"/>
    <w:rsid w:val="006B346C"/>
    <w:rsid w:val="006B7222"/>
    <w:rsid w:val="006C4616"/>
    <w:rsid w:val="006C6B7A"/>
    <w:rsid w:val="006C7B5F"/>
    <w:rsid w:val="006D7BA2"/>
    <w:rsid w:val="006E2002"/>
    <w:rsid w:val="006E6CA7"/>
    <w:rsid w:val="006F23EA"/>
    <w:rsid w:val="006F46AB"/>
    <w:rsid w:val="00700978"/>
    <w:rsid w:val="007023C6"/>
    <w:rsid w:val="0070589B"/>
    <w:rsid w:val="00711C3B"/>
    <w:rsid w:val="0071518B"/>
    <w:rsid w:val="00717EE1"/>
    <w:rsid w:val="0073140F"/>
    <w:rsid w:val="007376B1"/>
    <w:rsid w:val="00741666"/>
    <w:rsid w:val="007474E6"/>
    <w:rsid w:val="00752076"/>
    <w:rsid w:val="00756B81"/>
    <w:rsid w:val="007618AA"/>
    <w:rsid w:val="00763267"/>
    <w:rsid w:val="007772AB"/>
    <w:rsid w:val="007844FD"/>
    <w:rsid w:val="007865EB"/>
    <w:rsid w:val="007A7616"/>
    <w:rsid w:val="007C01E9"/>
    <w:rsid w:val="007C1F86"/>
    <w:rsid w:val="007D04EA"/>
    <w:rsid w:val="007D1822"/>
    <w:rsid w:val="007D205D"/>
    <w:rsid w:val="007D5715"/>
    <w:rsid w:val="007E03DD"/>
    <w:rsid w:val="007E4E63"/>
    <w:rsid w:val="007E55EA"/>
    <w:rsid w:val="007E7990"/>
    <w:rsid w:val="00801DAA"/>
    <w:rsid w:val="00812CC4"/>
    <w:rsid w:val="00817E48"/>
    <w:rsid w:val="00820A25"/>
    <w:rsid w:val="00821DAD"/>
    <w:rsid w:val="00822DC8"/>
    <w:rsid w:val="00826E58"/>
    <w:rsid w:val="00833188"/>
    <w:rsid w:val="00836737"/>
    <w:rsid w:val="008377B9"/>
    <w:rsid w:val="00840BC6"/>
    <w:rsid w:val="00850574"/>
    <w:rsid w:val="00854F80"/>
    <w:rsid w:val="00861F68"/>
    <w:rsid w:val="008656CA"/>
    <w:rsid w:val="0087234B"/>
    <w:rsid w:val="00873046"/>
    <w:rsid w:val="00880F5B"/>
    <w:rsid w:val="008827DE"/>
    <w:rsid w:val="00886E9D"/>
    <w:rsid w:val="0089502A"/>
    <w:rsid w:val="008A2006"/>
    <w:rsid w:val="008A2B17"/>
    <w:rsid w:val="008A38C4"/>
    <w:rsid w:val="008B2D4C"/>
    <w:rsid w:val="008B6485"/>
    <w:rsid w:val="008B6D07"/>
    <w:rsid w:val="008C0B0F"/>
    <w:rsid w:val="008D1584"/>
    <w:rsid w:val="008D1C86"/>
    <w:rsid w:val="008D4898"/>
    <w:rsid w:val="008E0EA1"/>
    <w:rsid w:val="008E33AA"/>
    <w:rsid w:val="008E44DD"/>
    <w:rsid w:val="008E5A5C"/>
    <w:rsid w:val="0090325C"/>
    <w:rsid w:val="0090563E"/>
    <w:rsid w:val="00926D55"/>
    <w:rsid w:val="00927004"/>
    <w:rsid w:val="00932D08"/>
    <w:rsid w:val="009419E6"/>
    <w:rsid w:val="0094505C"/>
    <w:rsid w:val="009541D5"/>
    <w:rsid w:val="0096561A"/>
    <w:rsid w:val="00967956"/>
    <w:rsid w:val="00970472"/>
    <w:rsid w:val="00970B36"/>
    <w:rsid w:val="00970D8C"/>
    <w:rsid w:val="00971A70"/>
    <w:rsid w:val="00986293"/>
    <w:rsid w:val="00987C93"/>
    <w:rsid w:val="009A077F"/>
    <w:rsid w:val="009A5DD7"/>
    <w:rsid w:val="009A6AFA"/>
    <w:rsid w:val="009B41EC"/>
    <w:rsid w:val="009B4C92"/>
    <w:rsid w:val="009C0B61"/>
    <w:rsid w:val="009E66BA"/>
    <w:rsid w:val="00A01BF5"/>
    <w:rsid w:val="00A027A6"/>
    <w:rsid w:val="00A23248"/>
    <w:rsid w:val="00A238ED"/>
    <w:rsid w:val="00A25468"/>
    <w:rsid w:val="00A31B92"/>
    <w:rsid w:val="00A33160"/>
    <w:rsid w:val="00A4180E"/>
    <w:rsid w:val="00A43FED"/>
    <w:rsid w:val="00A52608"/>
    <w:rsid w:val="00A52C10"/>
    <w:rsid w:val="00A52D3D"/>
    <w:rsid w:val="00A57A9F"/>
    <w:rsid w:val="00A60A32"/>
    <w:rsid w:val="00A62DF9"/>
    <w:rsid w:val="00A64066"/>
    <w:rsid w:val="00A660C9"/>
    <w:rsid w:val="00A76647"/>
    <w:rsid w:val="00A9131B"/>
    <w:rsid w:val="00AA3394"/>
    <w:rsid w:val="00AA4E16"/>
    <w:rsid w:val="00AA5144"/>
    <w:rsid w:val="00AA7F07"/>
    <w:rsid w:val="00AB1CE2"/>
    <w:rsid w:val="00AB3B6F"/>
    <w:rsid w:val="00AC2779"/>
    <w:rsid w:val="00AC4F72"/>
    <w:rsid w:val="00AD4FB3"/>
    <w:rsid w:val="00AE0669"/>
    <w:rsid w:val="00AE2C68"/>
    <w:rsid w:val="00AE4265"/>
    <w:rsid w:val="00AE4FA9"/>
    <w:rsid w:val="00B0172B"/>
    <w:rsid w:val="00B04974"/>
    <w:rsid w:val="00B05F23"/>
    <w:rsid w:val="00B31B53"/>
    <w:rsid w:val="00B37DE1"/>
    <w:rsid w:val="00B427D0"/>
    <w:rsid w:val="00B4294D"/>
    <w:rsid w:val="00B459B5"/>
    <w:rsid w:val="00B51184"/>
    <w:rsid w:val="00B51733"/>
    <w:rsid w:val="00B51C10"/>
    <w:rsid w:val="00B53FB5"/>
    <w:rsid w:val="00B54AB7"/>
    <w:rsid w:val="00B561CA"/>
    <w:rsid w:val="00B765FE"/>
    <w:rsid w:val="00B803E4"/>
    <w:rsid w:val="00B85151"/>
    <w:rsid w:val="00B87459"/>
    <w:rsid w:val="00B919F8"/>
    <w:rsid w:val="00B928D9"/>
    <w:rsid w:val="00B95B87"/>
    <w:rsid w:val="00BA1341"/>
    <w:rsid w:val="00BA46DC"/>
    <w:rsid w:val="00BB56B5"/>
    <w:rsid w:val="00BC060A"/>
    <w:rsid w:val="00BC35F3"/>
    <w:rsid w:val="00BD5446"/>
    <w:rsid w:val="00BD72E5"/>
    <w:rsid w:val="00BE3556"/>
    <w:rsid w:val="00BE4C09"/>
    <w:rsid w:val="00BF16FB"/>
    <w:rsid w:val="00BF455E"/>
    <w:rsid w:val="00C033AB"/>
    <w:rsid w:val="00C174AA"/>
    <w:rsid w:val="00C2040D"/>
    <w:rsid w:val="00C24708"/>
    <w:rsid w:val="00C27F44"/>
    <w:rsid w:val="00C379E4"/>
    <w:rsid w:val="00C40419"/>
    <w:rsid w:val="00C43058"/>
    <w:rsid w:val="00C46C17"/>
    <w:rsid w:val="00C54986"/>
    <w:rsid w:val="00C57E0B"/>
    <w:rsid w:val="00C60122"/>
    <w:rsid w:val="00C655B1"/>
    <w:rsid w:val="00C72AF2"/>
    <w:rsid w:val="00C74401"/>
    <w:rsid w:val="00C76524"/>
    <w:rsid w:val="00C77878"/>
    <w:rsid w:val="00C85174"/>
    <w:rsid w:val="00C97968"/>
    <w:rsid w:val="00CA103E"/>
    <w:rsid w:val="00CA1B9C"/>
    <w:rsid w:val="00CB3F50"/>
    <w:rsid w:val="00CB7706"/>
    <w:rsid w:val="00CB7960"/>
    <w:rsid w:val="00CD42B3"/>
    <w:rsid w:val="00CD74BA"/>
    <w:rsid w:val="00CD771F"/>
    <w:rsid w:val="00CE5094"/>
    <w:rsid w:val="00CE6228"/>
    <w:rsid w:val="00D016FD"/>
    <w:rsid w:val="00D30368"/>
    <w:rsid w:val="00D31D69"/>
    <w:rsid w:val="00D32B60"/>
    <w:rsid w:val="00D430D1"/>
    <w:rsid w:val="00D5057C"/>
    <w:rsid w:val="00D52BE4"/>
    <w:rsid w:val="00D53F0F"/>
    <w:rsid w:val="00D62362"/>
    <w:rsid w:val="00D72634"/>
    <w:rsid w:val="00D73497"/>
    <w:rsid w:val="00D7722D"/>
    <w:rsid w:val="00D91D4E"/>
    <w:rsid w:val="00D933AF"/>
    <w:rsid w:val="00D95B20"/>
    <w:rsid w:val="00DA1844"/>
    <w:rsid w:val="00DA4C45"/>
    <w:rsid w:val="00DA7E53"/>
    <w:rsid w:val="00DB1F32"/>
    <w:rsid w:val="00DB44F7"/>
    <w:rsid w:val="00DC0677"/>
    <w:rsid w:val="00DC30C8"/>
    <w:rsid w:val="00DC3667"/>
    <w:rsid w:val="00DC64B8"/>
    <w:rsid w:val="00DD4F4A"/>
    <w:rsid w:val="00DD6208"/>
    <w:rsid w:val="00DE7BD6"/>
    <w:rsid w:val="00E05064"/>
    <w:rsid w:val="00E05D54"/>
    <w:rsid w:val="00E1648D"/>
    <w:rsid w:val="00E21E59"/>
    <w:rsid w:val="00E33A95"/>
    <w:rsid w:val="00E3485E"/>
    <w:rsid w:val="00E36C17"/>
    <w:rsid w:val="00E37A38"/>
    <w:rsid w:val="00E41562"/>
    <w:rsid w:val="00E4195B"/>
    <w:rsid w:val="00E47114"/>
    <w:rsid w:val="00E47CEC"/>
    <w:rsid w:val="00E50046"/>
    <w:rsid w:val="00E52019"/>
    <w:rsid w:val="00E55CD3"/>
    <w:rsid w:val="00E57428"/>
    <w:rsid w:val="00E574A7"/>
    <w:rsid w:val="00E66179"/>
    <w:rsid w:val="00E823F8"/>
    <w:rsid w:val="00E96C41"/>
    <w:rsid w:val="00EA1988"/>
    <w:rsid w:val="00EA19BA"/>
    <w:rsid w:val="00EB018B"/>
    <w:rsid w:val="00EC1F3A"/>
    <w:rsid w:val="00EC4DF1"/>
    <w:rsid w:val="00ED41D3"/>
    <w:rsid w:val="00ED4EA5"/>
    <w:rsid w:val="00ED6229"/>
    <w:rsid w:val="00ED658E"/>
    <w:rsid w:val="00ED6749"/>
    <w:rsid w:val="00ED6844"/>
    <w:rsid w:val="00EE56D9"/>
    <w:rsid w:val="00EF100D"/>
    <w:rsid w:val="00EF20A3"/>
    <w:rsid w:val="00EF5637"/>
    <w:rsid w:val="00EF690F"/>
    <w:rsid w:val="00EF6A11"/>
    <w:rsid w:val="00F12F79"/>
    <w:rsid w:val="00F147A7"/>
    <w:rsid w:val="00F15000"/>
    <w:rsid w:val="00F16FC0"/>
    <w:rsid w:val="00F22A12"/>
    <w:rsid w:val="00F54AD6"/>
    <w:rsid w:val="00F606FD"/>
    <w:rsid w:val="00F62045"/>
    <w:rsid w:val="00F646D5"/>
    <w:rsid w:val="00F665D1"/>
    <w:rsid w:val="00F7081D"/>
    <w:rsid w:val="00F759D3"/>
    <w:rsid w:val="00F77FBE"/>
    <w:rsid w:val="00F94599"/>
    <w:rsid w:val="00FA08BA"/>
    <w:rsid w:val="00FA29DE"/>
    <w:rsid w:val="00FA2AD3"/>
    <w:rsid w:val="00FA4965"/>
    <w:rsid w:val="00FA77A0"/>
    <w:rsid w:val="00FB5E5F"/>
    <w:rsid w:val="00FD155B"/>
    <w:rsid w:val="00FD2A13"/>
    <w:rsid w:val="00FD4086"/>
    <w:rsid w:val="00FD7A8E"/>
    <w:rsid w:val="00FE21B2"/>
    <w:rsid w:val="00FE240F"/>
    <w:rsid w:val="00FE3E5E"/>
    <w:rsid w:val="00FF06C1"/>
    <w:rsid w:val="0BBB29E0"/>
    <w:rsid w:val="0CBF1706"/>
    <w:rsid w:val="32770DC3"/>
    <w:rsid w:val="36D91CDE"/>
    <w:rsid w:val="3B2A2CE6"/>
    <w:rsid w:val="3C457B4B"/>
    <w:rsid w:val="46BE63D2"/>
    <w:rsid w:val="515A5433"/>
    <w:rsid w:val="60397C11"/>
    <w:rsid w:val="605C4B2E"/>
    <w:rsid w:val="61EF14F7"/>
    <w:rsid w:val="7F0A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iPriority="99"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5"/>
    <w:qFormat/>
    <w:uiPriority w:val="0"/>
    <w:pPr>
      <w:keepNext/>
      <w:keepLines/>
      <w:numPr>
        <w:ilvl w:val="0"/>
        <w:numId w:val="1"/>
      </w:numPr>
      <w:spacing w:before="260" w:after="260" w:line="415" w:lineRule="auto"/>
      <w:outlineLvl w:val="1"/>
    </w:pPr>
    <w:rPr>
      <w:rFonts w:ascii="Cambria" w:hAnsi="Cambria"/>
      <w:b/>
      <w:bCs/>
      <w:sz w:val="30"/>
      <w:szCs w:val="32"/>
    </w:rPr>
  </w:style>
  <w:style w:type="paragraph" w:styleId="5">
    <w:name w:val="heading 3"/>
    <w:basedOn w:val="1"/>
    <w:next w:val="1"/>
    <w:semiHidden/>
    <w:unhideWhenUsed/>
    <w:qFormat/>
    <w:uiPriority w:val="9"/>
    <w:pPr>
      <w:keepNext/>
      <w:keepLines/>
      <w:numPr>
        <w:ilvl w:val="2"/>
        <w:numId w:val="1"/>
      </w:numPr>
      <w:spacing w:before="260" w:after="260" w:line="413" w:lineRule="auto"/>
      <w:outlineLvl w:val="2"/>
    </w:pPr>
    <w:rPr>
      <w:b/>
      <w:sz w:val="32"/>
    </w:rPr>
  </w:style>
  <w:style w:type="paragraph" w:styleId="6">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8"/>
    <w:unhideWhenUsed/>
    <w:qFormat/>
    <w:uiPriority w:val="99"/>
    <w:pPr>
      <w:tabs>
        <w:tab w:val="center" w:pos="4153"/>
        <w:tab w:val="right" w:pos="8306"/>
      </w:tabs>
      <w:snapToGrid w:val="0"/>
      <w:jc w:val="left"/>
    </w:pPr>
    <w:rPr>
      <w:sz w:val="18"/>
      <w:szCs w:val="18"/>
    </w:r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Normal Indent"/>
    <w:basedOn w:val="1"/>
    <w:link w:val="67"/>
    <w:unhideWhenUsed/>
    <w:qFormat/>
    <w:uiPriority w:val="0"/>
    <w:pPr>
      <w:ind w:firstLine="420" w:firstLineChars="200"/>
    </w:pPr>
  </w:style>
  <w:style w:type="paragraph" w:styleId="14">
    <w:name w:val="Document Map"/>
    <w:basedOn w:val="1"/>
    <w:link w:val="61"/>
    <w:semiHidden/>
    <w:unhideWhenUsed/>
    <w:qFormat/>
    <w:uiPriority w:val="0"/>
    <w:rPr>
      <w:rFonts w:ascii="宋体"/>
      <w:sz w:val="18"/>
      <w:szCs w:val="18"/>
    </w:rPr>
  </w:style>
  <w:style w:type="paragraph" w:styleId="15">
    <w:name w:val="annotation text"/>
    <w:basedOn w:val="1"/>
    <w:link w:val="49"/>
    <w:unhideWhenUsed/>
    <w:qFormat/>
    <w:uiPriority w:val="99"/>
    <w:pPr>
      <w:jc w:val="left"/>
    </w:pPr>
  </w:style>
  <w:style w:type="paragraph" w:styleId="16">
    <w:name w:val="Body Text"/>
    <w:basedOn w:val="1"/>
    <w:link w:val="53"/>
    <w:qFormat/>
    <w:uiPriority w:val="0"/>
    <w:pPr>
      <w:spacing w:after="120"/>
    </w:pPr>
    <w:rPr>
      <w:szCs w:val="20"/>
    </w:rPr>
  </w:style>
  <w:style w:type="paragraph" w:styleId="17">
    <w:name w:val="List 2"/>
    <w:basedOn w:val="1"/>
    <w:semiHidden/>
    <w:unhideWhenUsed/>
    <w:qFormat/>
    <w:uiPriority w:val="99"/>
    <w:pPr>
      <w:ind w:left="100" w:leftChars="200" w:hanging="200" w:hangingChars="200"/>
      <w:contextualSpacing/>
    </w:pPr>
  </w:style>
  <w:style w:type="paragraph" w:styleId="18">
    <w:name w:val="Plain Text"/>
    <w:basedOn w:val="1"/>
    <w:link w:val="41"/>
    <w:qFormat/>
    <w:uiPriority w:val="0"/>
    <w:rPr>
      <w:rFonts w:ascii="宋体"/>
      <w:kern w:val="0"/>
      <w:sz w:val="20"/>
      <w:szCs w:val="21"/>
    </w:rPr>
  </w:style>
  <w:style w:type="paragraph" w:styleId="19">
    <w:name w:val="Balloon Text"/>
    <w:basedOn w:val="1"/>
    <w:link w:val="43"/>
    <w:semiHidden/>
    <w:unhideWhenUsed/>
    <w:qFormat/>
    <w:uiPriority w:val="99"/>
    <w:rPr>
      <w:sz w:val="18"/>
      <w:szCs w:val="18"/>
    </w:rPr>
  </w:style>
  <w:style w:type="paragraph" w:styleId="20">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2"/>
    <w:basedOn w:val="1"/>
    <w:next w:val="1"/>
    <w:qFormat/>
    <w:uiPriority w:val="0"/>
    <w:pPr>
      <w:ind w:left="200" w:leftChars="200"/>
    </w:pPr>
  </w:style>
  <w:style w:type="paragraph" w:styleId="22">
    <w:name w:val="HTML Preformatted"/>
    <w:basedOn w:val="1"/>
    <w:link w:val="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3">
    <w:name w:val="Normal (Web)"/>
    <w:basedOn w:val="1"/>
    <w:qFormat/>
    <w:uiPriority w:val="99"/>
    <w:pPr>
      <w:widowControl/>
      <w:spacing w:before="100" w:beforeAutospacing="1" w:after="100" w:afterAutospacing="1"/>
      <w:jc w:val="left"/>
    </w:pPr>
    <w:rPr>
      <w:rFonts w:ascii="宋体"/>
      <w:kern w:val="0"/>
      <w:sz w:val="24"/>
    </w:rPr>
  </w:style>
  <w:style w:type="paragraph" w:styleId="24">
    <w:name w:val="Title"/>
    <w:basedOn w:val="1"/>
    <w:next w:val="1"/>
    <w:link w:val="46"/>
    <w:qFormat/>
    <w:uiPriority w:val="0"/>
    <w:pPr>
      <w:spacing w:before="240" w:after="60"/>
      <w:jc w:val="center"/>
      <w:outlineLvl w:val="0"/>
    </w:pPr>
    <w:rPr>
      <w:rFonts w:ascii="Cambria" w:hAnsi="Cambria"/>
      <w:b/>
      <w:bCs/>
      <w:sz w:val="32"/>
      <w:szCs w:val="32"/>
    </w:rPr>
  </w:style>
  <w:style w:type="paragraph" w:styleId="25">
    <w:name w:val="annotation subject"/>
    <w:basedOn w:val="15"/>
    <w:next w:val="15"/>
    <w:link w:val="50"/>
    <w:semiHidden/>
    <w:unhideWhenUsed/>
    <w:qFormat/>
    <w:uiPriority w:val="0"/>
    <w:rPr>
      <w:b/>
      <w:bCs/>
    </w:rPr>
  </w:style>
  <w:style w:type="paragraph" w:styleId="26">
    <w:name w:val="Body Text First Indent"/>
    <w:basedOn w:val="16"/>
    <w:link w:val="66"/>
    <w:semiHidden/>
    <w:unhideWhenUsed/>
    <w:qFormat/>
    <w:uiPriority w:val="0"/>
    <w:pPr>
      <w:ind w:firstLine="420" w:firstLineChars="100"/>
    </w:pPr>
    <w:rPr>
      <w:szCs w:val="24"/>
    </w:rPr>
  </w:style>
  <w:style w:type="character" w:styleId="29">
    <w:name w:val="page number"/>
    <w:semiHidden/>
    <w:unhideWhenUsed/>
    <w:qFormat/>
    <w:uiPriority w:val="0"/>
    <w:rPr>
      <w:rFonts w:ascii="Times New Roman" w:hAnsi="Times New Roman" w:eastAsia="宋体" w:cs="Times New Roman"/>
    </w:rPr>
  </w:style>
  <w:style w:type="character" w:styleId="30">
    <w:name w:val="FollowedHyperlink"/>
    <w:basedOn w:val="28"/>
    <w:semiHidden/>
    <w:unhideWhenUsed/>
    <w:qFormat/>
    <w:uiPriority w:val="0"/>
    <w:rPr>
      <w:color w:val="333333"/>
      <w:u w:val="none"/>
    </w:rPr>
  </w:style>
  <w:style w:type="character" w:styleId="31">
    <w:name w:val="Emphasis"/>
    <w:basedOn w:val="28"/>
    <w:qFormat/>
    <w:uiPriority w:val="20"/>
  </w:style>
  <w:style w:type="character" w:styleId="32">
    <w:name w:val="HTML Definition"/>
    <w:basedOn w:val="28"/>
    <w:semiHidden/>
    <w:unhideWhenUsed/>
    <w:qFormat/>
    <w:uiPriority w:val="0"/>
  </w:style>
  <w:style w:type="character" w:styleId="33">
    <w:name w:val="HTML Acronym"/>
    <w:basedOn w:val="28"/>
    <w:semiHidden/>
    <w:unhideWhenUsed/>
    <w:qFormat/>
    <w:uiPriority w:val="0"/>
  </w:style>
  <w:style w:type="character" w:styleId="34">
    <w:name w:val="HTML Variable"/>
    <w:basedOn w:val="28"/>
    <w:semiHidden/>
    <w:unhideWhenUsed/>
    <w:qFormat/>
    <w:uiPriority w:val="0"/>
  </w:style>
  <w:style w:type="character" w:styleId="35">
    <w:name w:val="Hyperlink"/>
    <w:basedOn w:val="28"/>
    <w:qFormat/>
    <w:uiPriority w:val="99"/>
    <w:rPr>
      <w:color w:val="333333"/>
      <w:u w:val="none"/>
    </w:rPr>
  </w:style>
  <w:style w:type="character" w:styleId="36">
    <w:name w:val="HTML Code"/>
    <w:basedOn w:val="28"/>
    <w:semiHidden/>
    <w:unhideWhenUsed/>
    <w:qFormat/>
    <w:uiPriority w:val="0"/>
    <w:rPr>
      <w:rFonts w:ascii="Courier New" w:hAnsi="Courier New"/>
      <w:color w:val="505050"/>
      <w:sz w:val="24"/>
      <w:szCs w:val="24"/>
    </w:rPr>
  </w:style>
  <w:style w:type="character" w:styleId="37">
    <w:name w:val="annotation reference"/>
    <w:unhideWhenUsed/>
    <w:qFormat/>
    <w:uiPriority w:val="99"/>
    <w:rPr>
      <w:sz w:val="21"/>
      <w:szCs w:val="21"/>
    </w:rPr>
  </w:style>
  <w:style w:type="character" w:styleId="38">
    <w:name w:val="HTML Cite"/>
    <w:basedOn w:val="28"/>
    <w:semiHidden/>
    <w:unhideWhenUsed/>
    <w:qFormat/>
    <w:uiPriority w:val="0"/>
  </w:style>
  <w:style w:type="paragraph" w:customStyle="1" w:styleId="39">
    <w:name w:val="正文段"/>
    <w:basedOn w:val="1"/>
    <w:qFormat/>
    <w:uiPriority w:val="0"/>
    <w:pPr>
      <w:widowControl/>
      <w:snapToGrid w:val="0"/>
      <w:spacing w:afterLines="50"/>
      <w:ind w:firstLine="200" w:firstLineChars="200"/>
    </w:pPr>
    <w:rPr>
      <w:kern w:val="0"/>
      <w:sz w:val="24"/>
      <w:szCs w:val="20"/>
    </w:rPr>
  </w:style>
  <w:style w:type="paragraph" w:customStyle="1" w:styleId="40">
    <w:name w:val="默认段落字体 Para Char Char Char Char Char Char Char Char Char1 Char Char Char Char"/>
    <w:basedOn w:val="1"/>
    <w:qFormat/>
    <w:uiPriority w:val="0"/>
    <w:rPr>
      <w:rFonts w:ascii="Tahoma" w:hAnsi="Tahoma"/>
      <w:sz w:val="24"/>
      <w:szCs w:val="20"/>
    </w:rPr>
  </w:style>
  <w:style w:type="character" w:customStyle="1" w:styleId="41">
    <w:name w:val="纯文本 Char3"/>
    <w:link w:val="18"/>
    <w:qFormat/>
    <w:uiPriority w:val="0"/>
    <w:rPr>
      <w:rFonts w:ascii="宋体" w:eastAsia="宋体" w:cs="Courier New"/>
      <w:szCs w:val="21"/>
    </w:rPr>
  </w:style>
  <w:style w:type="character" w:customStyle="1" w:styleId="42">
    <w:name w:val="纯文本 Char1"/>
    <w:qFormat/>
    <w:uiPriority w:val="0"/>
    <w:rPr>
      <w:rFonts w:ascii="宋体" w:hAnsi="Courier New" w:eastAsia="宋体" w:cs="Courier New"/>
      <w:szCs w:val="21"/>
    </w:rPr>
  </w:style>
  <w:style w:type="character" w:customStyle="1" w:styleId="43">
    <w:name w:val="批注框文本 Char"/>
    <w:link w:val="19"/>
    <w:semiHidden/>
    <w:qFormat/>
    <w:uiPriority w:val="99"/>
    <w:rPr>
      <w:rFonts w:ascii="Times New Roman" w:hAnsi="Times New Roman" w:eastAsia="宋体" w:cs="Times New Roman"/>
      <w:sz w:val="18"/>
      <w:szCs w:val="18"/>
    </w:rPr>
  </w:style>
  <w:style w:type="character" w:customStyle="1" w:styleId="44">
    <w:name w:val="标题 2 Char"/>
    <w:semiHidden/>
    <w:qFormat/>
    <w:uiPriority w:val="9"/>
    <w:rPr>
      <w:rFonts w:ascii="Cambria" w:hAnsi="Cambria" w:eastAsia="宋体" w:cs="黑体"/>
      <w:b/>
      <w:bCs/>
      <w:sz w:val="32"/>
      <w:szCs w:val="32"/>
    </w:rPr>
  </w:style>
  <w:style w:type="character" w:customStyle="1" w:styleId="45">
    <w:name w:val="标题 2 Char1"/>
    <w:link w:val="4"/>
    <w:qFormat/>
    <w:uiPriority w:val="0"/>
    <w:rPr>
      <w:rFonts w:ascii="Cambria" w:hAnsi="Cambria"/>
      <w:b/>
      <w:bCs/>
      <w:kern w:val="2"/>
      <w:sz w:val="30"/>
      <w:szCs w:val="32"/>
    </w:rPr>
  </w:style>
  <w:style w:type="character" w:customStyle="1" w:styleId="46">
    <w:name w:val="标题 Char"/>
    <w:link w:val="24"/>
    <w:qFormat/>
    <w:uiPriority w:val="0"/>
    <w:rPr>
      <w:rFonts w:ascii="Cambria" w:hAnsi="Cambria" w:eastAsia="宋体" w:cs="Times New Roman"/>
      <w:b/>
      <w:bCs/>
      <w:sz w:val="32"/>
      <w:szCs w:val="32"/>
    </w:rPr>
  </w:style>
  <w:style w:type="character" w:customStyle="1" w:styleId="47">
    <w:name w:val="页眉 Char"/>
    <w:link w:val="20"/>
    <w:qFormat/>
    <w:uiPriority w:val="99"/>
    <w:rPr>
      <w:rFonts w:ascii="Times New Roman" w:hAnsi="Times New Roman" w:eastAsia="宋体" w:cs="Times New Roman"/>
      <w:sz w:val="18"/>
      <w:szCs w:val="18"/>
    </w:rPr>
  </w:style>
  <w:style w:type="character" w:customStyle="1" w:styleId="48">
    <w:name w:val="页脚 Char"/>
    <w:link w:val="2"/>
    <w:qFormat/>
    <w:uiPriority w:val="99"/>
    <w:rPr>
      <w:rFonts w:ascii="Times New Roman" w:hAnsi="Times New Roman" w:eastAsia="宋体" w:cs="Times New Roman"/>
      <w:sz w:val="18"/>
      <w:szCs w:val="18"/>
    </w:rPr>
  </w:style>
  <w:style w:type="character" w:customStyle="1" w:styleId="49">
    <w:name w:val="批注文字 Char"/>
    <w:link w:val="15"/>
    <w:qFormat/>
    <w:uiPriority w:val="99"/>
    <w:rPr>
      <w:kern w:val="2"/>
      <w:sz w:val="21"/>
      <w:szCs w:val="24"/>
    </w:rPr>
  </w:style>
  <w:style w:type="character" w:customStyle="1" w:styleId="50">
    <w:name w:val="批注主题 Char"/>
    <w:link w:val="25"/>
    <w:semiHidden/>
    <w:qFormat/>
    <w:uiPriority w:val="0"/>
    <w:rPr>
      <w:b/>
      <w:bCs/>
      <w:kern w:val="2"/>
      <w:sz w:val="21"/>
      <w:szCs w:val="24"/>
    </w:rPr>
  </w:style>
  <w:style w:type="character" w:customStyle="1" w:styleId="51">
    <w:name w:val="HTML 预设格式 Char"/>
    <w:link w:val="22"/>
    <w:qFormat/>
    <w:uiPriority w:val="0"/>
    <w:rPr>
      <w:rFonts w:ascii="黑体" w:hAnsi="Courier New" w:eastAsia="黑体" w:cs="Courier New"/>
    </w:rPr>
  </w:style>
  <w:style w:type="character" w:customStyle="1" w:styleId="52">
    <w:name w:val="纯文本 Char2"/>
    <w:qFormat/>
    <w:uiPriority w:val="0"/>
    <w:rPr>
      <w:rFonts w:ascii="宋体" w:hAnsi="Courier New" w:eastAsia="宋体"/>
      <w:kern w:val="2"/>
      <w:sz w:val="21"/>
    </w:rPr>
  </w:style>
  <w:style w:type="character" w:customStyle="1" w:styleId="53">
    <w:name w:val="正文文本 Char"/>
    <w:link w:val="16"/>
    <w:qFormat/>
    <w:uiPriority w:val="0"/>
    <w:rPr>
      <w:kern w:val="2"/>
      <w:sz w:val="21"/>
    </w:rPr>
  </w:style>
  <w:style w:type="character" w:customStyle="1" w:styleId="54">
    <w:name w:val="正文文本 Char1"/>
    <w:basedOn w:val="28"/>
    <w:semiHidden/>
    <w:qFormat/>
    <w:uiPriority w:val="0"/>
    <w:rPr>
      <w:kern w:val="2"/>
      <w:sz w:val="21"/>
      <w:szCs w:val="24"/>
    </w:rPr>
  </w:style>
  <w:style w:type="paragraph" w:styleId="55">
    <w:name w:val="List Paragraph"/>
    <w:basedOn w:val="1"/>
    <w:qFormat/>
    <w:uiPriority w:val="34"/>
    <w:pPr>
      <w:spacing w:before="5"/>
      <w:ind w:left="220" w:firstLine="480"/>
    </w:pPr>
    <w:rPr>
      <w:rFonts w:ascii="宋体" w:hAnsi="宋体" w:cs="宋体"/>
      <w:lang w:val="zh-CN" w:bidi="zh-CN"/>
    </w:rPr>
  </w:style>
  <w:style w:type="paragraph" w:customStyle="1" w:styleId="56">
    <w:name w:val="_Style 3"/>
    <w:basedOn w:val="1"/>
    <w:qFormat/>
    <w:uiPriority w:val="0"/>
    <w:pPr>
      <w:ind w:firstLine="420" w:firstLineChars="200"/>
    </w:pPr>
  </w:style>
  <w:style w:type="paragraph" w:customStyle="1" w:styleId="57">
    <w:name w:val="_Style 1"/>
    <w:basedOn w:val="1"/>
    <w:qFormat/>
    <w:uiPriority w:val="0"/>
    <w:pPr>
      <w:ind w:firstLine="420" w:firstLineChars="200"/>
    </w:pPr>
  </w:style>
  <w:style w:type="paragraph" w:customStyle="1" w:styleId="5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9">
    <w:name w:val="标题 1 Char"/>
    <w:basedOn w:val="28"/>
    <w:link w:val="3"/>
    <w:qFormat/>
    <w:uiPriority w:val="9"/>
    <w:rPr>
      <w:b/>
      <w:bCs/>
      <w:kern w:val="44"/>
      <w:sz w:val="44"/>
      <w:szCs w:val="44"/>
    </w:rPr>
  </w:style>
  <w:style w:type="paragraph" w:customStyle="1" w:styleId="60">
    <w:name w:val="Char"/>
    <w:basedOn w:val="14"/>
    <w:qFormat/>
    <w:uiPriority w:val="0"/>
    <w:pPr>
      <w:widowControl/>
      <w:shd w:val="clear" w:color="auto" w:fill="000080"/>
      <w:ind w:firstLine="454"/>
      <w:jc w:val="left"/>
    </w:pPr>
    <w:rPr>
      <w:rFonts w:ascii="Tahoma" w:hAnsi="Tahoma" w:cs="宋体"/>
      <w:kern w:val="0"/>
      <w:sz w:val="24"/>
      <w:szCs w:val="20"/>
      <w:shd w:val="clear" w:color="auto" w:fill="000080"/>
    </w:rPr>
  </w:style>
  <w:style w:type="character" w:customStyle="1" w:styleId="61">
    <w:name w:val="文档结构图 Char"/>
    <w:basedOn w:val="28"/>
    <w:link w:val="14"/>
    <w:semiHidden/>
    <w:qFormat/>
    <w:uiPriority w:val="0"/>
    <w:rPr>
      <w:rFonts w:ascii="宋体"/>
      <w:kern w:val="2"/>
      <w:sz w:val="18"/>
      <w:szCs w:val="18"/>
    </w:rPr>
  </w:style>
  <w:style w:type="paragraph" w:customStyle="1" w:styleId="62">
    <w:name w:val="Char1"/>
    <w:basedOn w:val="14"/>
    <w:uiPriority w:val="0"/>
    <w:pPr>
      <w:widowControl/>
      <w:shd w:val="clear" w:color="auto" w:fill="000080"/>
      <w:ind w:firstLine="454"/>
      <w:jc w:val="left"/>
    </w:pPr>
    <w:rPr>
      <w:rFonts w:ascii="Tahoma" w:hAnsi="Tahoma" w:cs="宋体"/>
      <w:kern w:val="0"/>
      <w:sz w:val="24"/>
      <w:szCs w:val="20"/>
      <w:shd w:val="clear" w:color="auto" w:fill="000080"/>
    </w:rPr>
  </w:style>
  <w:style w:type="character" w:customStyle="1" w:styleId="63">
    <w:name w:val="纯文本 Char"/>
    <w:qFormat/>
    <w:uiPriority w:val="0"/>
    <w:rPr>
      <w:rFonts w:hAnsi="Cambria"/>
    </w:rPr>
  </w:style>
  <w:style w:type="paragraph" w:customStyle="1" w:styleId="64">
    <w:name w:val="_Style 62"/>
    <w:basedOn w:val="16"/>
    <w:next w:val="26"/>
    <w:qFormat/>
    <w:uiPriority w:val="0"/>
    <w:pPr>
      <w:ind w:firstLine="420" w:firstLineChars="100"/>
      <w:jc w:val="left"/>
    </w:pPr>
    <w:rPr>
      <w:rFonts w:ascii="Calibri" w:hAnsi="Calibri"/>
      <w:kern w:val="0"/>
      <w:sz w:val="24"/>
      <w:szCs w:val="22"/>
      <w:lang w:eastAsia="en-US"/>
    </w:rPr>
  </w:style>
  <w:style w:type="paragraph" w:customStyle="1" w:styleId="65">
    <w:name w:val="Table Paragraph"/>
    <w:basedOn w:val="1"/>
    <w:qFormat/>
    <w:uiPriority w:val="1"/>
    <w:pPr>
      <w:jc w:val="left"/>
    </w:pPr>
    <w:rPr>
      <w:rFonts w:ascii="Calibri" w:hAnsi="Calibri"/>
      <w:kern w:val="0"/>
      <w:sz w:val="24"/>
      <w:szCs w:val="22"/>
      <w:lang w:eastAsia="en-US"/>
    </w:rPr>
  </w:style>
  <w:style w:type="character" w:customStyle="1" w:styleId="66">
    <w:name w:val="正文首行缩进 Char"/>
    <w:basedOn w:val="53"/>
    <w:link w:val="26"/>
    <w:semiHidden/>
    <w:uiPriority w:val="0"/>
    <w:rPr>
      <w:kern w:val="2"/>
      <w:sz w:val="21"/>
      <w:szCs w:val="24"/>
    </w:rPr>
  </w:style>
  <w:style w:type="character" w:customStyle="1" w:styleId="67">
    <w:name w:val="正文缩进 Char"/>
    <w:link w:val="13"/>
    <w:qFormat/>
    <w:locked/>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4728</Words>
  <Characters>26955</Characters>
  <Lines>224</Lines>
  <Paragraphs>63</Paragraphs>
  <TotalTime>26</TotalTime>
  <ScaleCrop>false</ScaleCrop>
  <LinksUpToDate>false</LinksUpToDate>
  <CharactersWithSpaces>31620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2019-12-16T07:40:00Z</dcterms:created>
  <dc:creator>zb</dc:creator>
  <cp:lastModifiedBy>七末尾</cp:lastModifiedBy>
  <cp:lastPrinted>2019-09-25T08:23:00Z</cp:lastPrinted>
  <dcterms:modified xsi:type="dcterms:W3CDTF">2020-12-07T10:45:20Z</dcterms:modified>
  <dc:title>_x0001_</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