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120" w:after="120"/>
        <w:jc w:val="center"/>
        <w:outlineLvl w:val="0"/>
        <w:rPr>
          <w:rFonts w:hAnsi="宋体" w:cs="仿宋"/>
          <w:b/>
          <w:kern w:val="0"/>
          <w:sz w:val="48"/>
          <w:szCs w:val="48"/>
        </w:rPr>
      </w:pPr>
      <w:bookmarkStart w:id="0" w:name="_Toc303700142"/>
      <w:bookmarkStart w:id="1" w:name="_Toc448225897"/>
      <w:bookmarkStart w:id="2" w:name="_Toc447805269"/>
      <w:bookmarkStart w:id="3" w:name="_Toc3258"/>
    </w:p>
    <w:p>
      <w:pPr>
        <w:pStyle w:val="8"/>
        <w:snapToGrid w:val="0"/>
        <w:spacing w:before="120" w:after="120"/>
        <w:outlineLvl w:val="0"/>
        <w:rPr>
          <w:rFonts w:hAnsi="宋体" w:cs="仿宋"/>
          <w:b/>
          <w:kern w:val="0"/>
          <w:sz w:val="48"/>
          <w:szCs w:val="48"/>
        </w:rPr>
      </w:pPr>
    </w:p>
    <w:p>
      <w:pPr>
        <w:pStyle w:val="8"/>
        <w:snapToGrid w:val="0"/>
        <w:spacing w:before="120" w:after="120"/>
        <w:outlineLvl w:val="0"/>
        <w:rPr>
          <w:rFonts w:hAnsi="宋体" w:cs="仿宋"/>
          <w:b/>
          <w:kern w:val="0"/>
          <w:sz w:val="48"/>
          <w:szCs w:val="48"/>
        </w:rPr>
      </w:pPr>
      <w:r>
        <w:rPr>
          <w:rFonts w:hint="eastAsia" w:hAnsi="宋体" w:cs="仿宋"/>
          <w:b/>
          <w:kern w:val="0"/>
          <w:sz w:val="48"/>
          <w:szCs w:val="48"/>
        </w:rPr>
        <w:t xml:space="preserve">   </w:t>
      </w:r>
      <w:r>
        <w:rPr>
          <w:rFonts w:hint="eastAsia" w:hAnsi="宋体" w:cs="仿宋"/>
          <w:b/>
          <w:kern w:val="0"/>
          <w:sz w:val="72"/>
          <w:szCs w:val="72"/>
        </w:rPr>
        <w:t xml:space="preserve"> </w:t>
      </w:r>
      <w:bookmarkStart w:id="4" w:name="_Toc491248218"/>
      <w:r>
        <w:rPr>
          <w:rFonts w:hint="eastAsia" w:hAnsi="宋体" w:cs="仿宋"/>
          <w:b/>
          <w:kern w:val="0"/>
          <w:sz w:val="72"/>
          <w:szCs w:val="72"/>
        </w:rPr>
        <w:t>竞争性谈判采购文件</w:t>
      </w:r>
      <w:bookmarkEnd w:id="0"/>
      <w:bookmarkEnd w:id="1"/>
      <w:bookmarkEnd w:id="2"/>
      <w:bookmarkEnd w:id="3"/>
      <w:bookmarkEnd w:id="4"/>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643" w:firstLineChars="200"/>
        <w:outlineLvl w:val="0"/>
        <w:rPr>
          <w:rFonts w:hAnsi="宋体"/>
          <w:b/>
          <w:sz w:val="32"/>
          <w:szCs w:val="32"/>
        </w:rPr>
      </w:pPr>
      <w:bookmarkStart w:id="5" w:name="_Toc448225898"/>
      <w:bookmarkStart w:id="6" w:name="_Toc447805270"/>
      <w:r>
        <w:rPr>
          <w:rFonts w:hint="eastAsia" w:hAnsi="宋体"/>
          <w:b/>
          <w:sz w:val="32"/>
          <w:szCs w:val="32"/>
        </w:rPr>
        <w:t>项目名称：广西民族师范学院数模电路试验室设备采购</w:t>
      </w:r>
    </w:p>
    <w:p>
      <w:pPr>
        <w:pStyle w:val="8"/>
        <w:snapToGrid w:val="0"/>
        <w:spacing w:before="120" w:after="120"/>
        <w:ind w:firstLine="643" w:firstLineChars="200"/>
        <w:outlineLvl w:val="0"/>
        <w:rPr>
          <w:rFonts w:hAnsi="宋体"/>
          <w:b/>
          <w:sz w:val="40"/>
          <w:szCs w:val="40"/>
        </w:rPr>
      </w:pPr>
      <w:bookmarkStart w:id="7" w:name="_Toc22791"/>
      <w:bookmarkStart w:id="8" w:name="_Toc491248219"/>
      <w:r>
        <w:rPr>
          <w:rFonts w:hint="eastAsia" w:hAnsi="宋体"/>
          <w:b/>
          <w:sz w:val="32"/>
          <w:szCs w:val="32"/>
        </w:rPr>
        <w:t>项目编号：</w:t>
      </w:r>
      <w:bookmarkEnd w:id="5"/>
      <w:bookmarkEnd w:id="6"/>
      <w:bookmarkEnd w:id="7"/>
      <w:bookmarkEnd w:id="8"/>
      <w:r>
        <w:rPr>
          <w:rFonts w:hint="eastAsia" w:hAnsi="宋体"/>
          <w:b/>
          <w:sz w:val="32"/>
          <w:szCs w:val="32"/>
        </w:rPr>
        <w:t xml:space="preserve">CZZC2021-J1-01849-GXKZ   </w:t>
      </w:r>
      <w:r>
        <w:rPr>
          <w:rFonts w:hint="eastAsia" w:hAnsi="宋体"/>
          <w:b/>
          <w:sz w:val="28"/>
          <w:szCs w:val="28"/>
        </w:rPr>
        <w:t xml:space="preserve">  </w:t>
      </w:r>
      <w:r>
        <w:rPr>
          <w:rFonts w:hint="eastAsia" w:hAnsi="宋体"/>
          <w:b/>
          <w:sz w:val="40"/>
          <w:szCs w:val="40"/>
        </w:rPr>
        <w:t xml:space="preserve">  </w:t>
      </w: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ind w:firstLine="1072" w:firstLineChars="445"/>
        <w:outlineLvl w:val="0"/>
        <w:rPr>
          <w:rFonts w:hAnsi="宋体" w:cs="仿宋"/>
          <w:b/>
          <w:kern w:val="0"/>
          <w:sz w:val="24"/>
          <w:szCs w:val="24"/>
        </w:rPr>
      </w:pPr>
    </w:p>
    <w:p>
      <w:pPr>
        <w:pStyle w:val="8"/>
        <w:snapToGrid w:val="0"/>
        <w:spacing w:before="120" w:after="120"/>
        <w:outlineLvl w:val="0"/>
        <w:rPr>
          <w:rFonts w:hAnsi="宋体" w:cs="仿宋"/>
          <w:b/>
          <w:kern w:val="0"/>
          <w:sz w:val="44"/>
          <w:szCs w:val="44"/>
        </w:rPr>
      </w:pPr>
    </w:p>
    <w:p>
      <w:pPr>
        <w:spacing w:line="480" w:lineRule="auto"/>
        <w:rPr>
          <w:rFonts w:ascii="宋体" w:hAnsi="宋体"/>
          <w:b/>
          <w:sz w:val="36"/>
          <w:szCs w:val="36"/>
        </w:rPr>
      </w:pPr>
      <w:bookmarkStart w:id="9" w:name="_Toc447805271"/>
      <w:bookmarkStart w:id="10" w:name="_Toc448225899"/>
      <w:r>
        <w:rPr>
          <w:rFonts w:hint="eastAsia" w:ascii="宋体" w:hAnsi="宋体"/>
          <w:b/>
          <w:sz w:val="40"/>
          <w:szCs w:val="40"/>
        </w:rPr>
        <w:t xml:space="preserve">    </w:t>
      </w:r>
      <w:r>
        <w:rPr>
          <w:rFonts w:hint="eastAsia" w:ascii="宋体" w:hAnsi="宋体"/>
          <w:b/>
          <w:sz w:val="32"/>
          <w:szCs w:val="32"/>
        </w:rPr>
        <w:t>采  购  人</w:t>
      </w:r>
      <w:r>
        <w:rPr>
          <w:rFonts w:hint="eastAsia" w:ascii="宋体" w:hAnsi="宋体"/>
          <w:b/>
          <w:sz w:val="36"/>
          <w:szCs w:val="36"/>
        </w:rPr>
        <w:t>：</w:t>
      </w:r>
      <w:bookmarkEnd w:id="9"/>
      <w:bookmarkEnd w:id="10"/>
      <w:r>
        <w:rPr>
          <w:rFonts w:hint="eastAsia" w:ascii="宋体" w:hAnsi="宋体"/>
          <w:b/>
          <w:sz w:val="32"/>
          <w:szCs w:val="32"/>
        </w:rPr>
        <w:t>广西民族师范学院</w:t>
      </w:r>
    </w:p>
    <w:p>
      <w:pPr>
        <w:spacing w:line="480" w:lineRule="auto"/>
        <w:ind w:firstLine="643" w:firstLineChars="200"/>
        <w:rPr>
          <w:rFonts w:ascii="宋体" w:hAnsi="宋体"/>
          <w:b/>
          <w:sz w:val="32"/>
          <w:szCs w:val="32"/>
        </w:rPr>
      </w:pPr>
      <w:bookmarkStart w:id="11" w:name="_Toc303700145"/>
      <w:bookmarkStart w:id="12" w:name="_Toc448225900"/>
      <w:bookmarkStart w:id="13" w:name="_Toc447805272"/>
      <w:r>
        <w:rPr>
          <w:rFonts w:hint="eastAsia" w:ascii="宋体" w:hAnsi="宋体"/>
          <w:b/>
          <w:sz w:val="32"/>
          <w:szCs w:val="32"/>
        </w:rPr>
        <w:t>采购代理机构：</w:t>
      </w:r>
      <w:bookmarkEnd w:id="11"/>
      <w:bookmarkEnd w:id="12"/>
      <w:bookmarkEnd w:id="13"/>
      <w:r>
        <w:rPr>
          <w:rFonts w:hint="eastAsia" w:ascii="宋体" w:hAnsi="宋体"/>
          <w:b/>
          <w:sz w:val="32"/>
          <w:szCs w:val="32"/>
        </w:rPr>
        <w:t>广西坤珍建设项目管理咨询有限公司</w:t>
      </w:r>
    </w:p>
    <w:p>
      <w:pPr>
        <w:spacing w:line="480" w:lineRule="auto"/>
        <w:jc w:val="center"/>
        <w:rPr>
          <w:rFonts w:ascii="宋体" w:hAnsi="宋体"/>
          <w:b/>
          <w:sz w:val="36"/>
          <w:szCs w:val="36"/>
        </w:rPr>
        <w:sectPr>
          <w:headerReference r:id="rId3" w:type="default"/>
          <w:pgSz w:w="11906" w:h="16838"/>
          <w:pgMar w:top="1440" w:right="1800" w:bottom="1440" w:left="1800" w:header="851" w:footer="992" w:gutter="0"/>
          <w:cols w:space="425" w:num="1"/>
          <w:docGrid w:type="lines" w:linePitch="312" w:charSpace="0"/>
        </w:sectPr>
      </w:pPr>
      <w:bookmarkStart w:id="14" w:name="_Toc448225901"/>
      <w:bookmarkStart w:id="15" w:name="_Toc447805273"/>
      <w:bookmarkStart w:id="16" w:name="_Toc303700146"/>
      <w:r>
        <w:rPr>
          <w:rFonts w:hint="eastAsia" w:ascii="宋体" w:hAnsi="宋体"/>
          <w:b/>
          <w:sz w:val="36"/>
          <w:szCs w:val="36"/>
        </w:rPr>
        <w:t>2021年</w:t>
      </w:r>
      <w:bookmarkEnd w:id="14"/>
      <w:bookmarkEnd w:id="15"/>
      <w:bookmarkEnd w:id="16"/>
      <w:r>
        <w:rPr>
          <w:rFonts w:hint="eastAsia" w:ascii="宋体" w:hAnsi="宋体"/>
          <w:b/>
          <w:sz w:val="36"/>
          <w:szCs w:val="36"/>
        </w:rPr>
        <w:t>10月</w:t>
      </w:r>
    </w:p>
    <w:p>
      <w:pPr>
        <w:spacing w:line="480" w:lineRule="auto"/>
        <w:rPr>
          <w:rFonts w:ascii="宋体" w:hAnsi="宋体" w:cs="宋体"/>
          <w:b/>
          <w:sz w:val="44"/>
          <w:szCs w:val="44"/>
        </w:rPr>
      </w:pPr>
    </w:p>
    <w:p>
      <w:pPr>
        <w:spacing w:line="480" w:lineRule="auto"/>
        <w:jc w:val="center"/>
        <w:rPr>
          <w:rFonts w:ascii="宋体" w:hAnsi="宋体" w:cs="宋体"/>
          <w:b/>
          <w:sz w:val="44"/>
          <w:szCs w:val="44"/>
        </w:rPr>
        <w:sectPr>
          <w:footerReference r:id="rId4" w:type="default"/>
          <w:pgSz w:w="11906" w:h="16838"/>
          <w:pgMar w:top="1440" w:right="1800" w:bottom="1440" w:left="1800" w:header="851" w:footer="992" w:gutter="0"/>
          <w:cols w:space="425" w:num="1"/>
          <w:docGrid w:type="lines" w:linePitch="312" w:charSpace="0"/>
        </w:sectPr>
      </w:pPr>
    </w:p>
    <w:p>
      <w:pPr>
        <w:spacing w:line="480" w:lineRule="auto"/>
        <w:jc w:val="center"/>
        <w:rPr>
          <w:rFonts w:ascii="宋体" w:hAnsi="宋体" w:cs="宋体"/>
          <w:b/>
          <w:sz w:val="44"/>
          <w:szCs w:val="44"/>
        </w:rPr>
        <w:sectPr>
          <w:pgSz w:w="11906" w:h="16838"/>
          <w:pgMar w:top="1440" w:right="1800" w:bottom="1440" w:left="1800" w:header="851" w:footer="992" w:gutter="0"/>
          <w:cols w:space="425" w:num="1"/>
          <w:docGrid w:type="lines" w:linePitch="312" w:charSpace="0"/>
        </w:sectPr>
      </w:pPr>
    </w:p>
    <w:p>
      <w:pPr>
        <w:spacing w:line="480" w:lineRule="auto"/>
        <w:jc w:val="center"/>
        <w:rPr>
          <w:rFonts w:ascii="宋体" w:hAnsi="宋体" w:cs="宋体"/>
          <w:b/>
          <w:sz w:val="32"/>
          <w:szCs w:val="32"/>
        </w:rPr>
      </w:pPr>
      <w:r>
        <w:rPr>
          <w:rFonts w:hint="eastAsia" w:ascii="宋体" w:hAnsi="宋体" w:cs="宋体"/>
          <w:b/>
          <w:sz w:val="44"/>
          <w:szCs w:val="44"/>
        </w:rPr>
        <w:t>目   录</w:t>
      </w:r>
    </w:p>
    <w:p>
      <w:pPr>
        <w:pStyle w:val="12"/>
        <w:tabs>
          <w:tab w:val="right" w:leader="dot" w:pos="8296"/>
        </w:tabs>
        <w:rPr>
          <w:rFonts w:asciiTheme="minorEastAsia" w:hAnsiTheme="minorEastAsia"/>
          <w:sz w:val="28"/>
          <w:szCs w:val="28"/>
        </w:rPr>
      </w:pPr>
      <w:r>
        <w:rPr>
          <w:rFonts w:hint="eastAsia" w:asciiTheme="minorEastAsia" w:hAnsiTheme="minorEastAsia"/>
          <w:b/>
          <w:sz w:val="28"/>
          <w:szCs w:val="28"/>
        </w:rPr>
        <w:fldChar w:fldCharType="begin"/>
      </w:r>
      <w:r>
        <w:rPr>
          <w:rFonts w:hint="eastAsia" w:asciiTheme="minorEastAsia" w:hAnsiTheme="minorEastAsia"/>
          <w:b/>
          <w:sz w:val="28"/>
          <w:szCs w:val="28"/>
        </w:rPr>
        <w:instrText xml:space="preserve"> TOC \o "1-3" \h \z \u </w:instrText>
      </w:r>
      <w:r>
        <w:rPr>
          <w:rFonts w:hint="eastAsia" w:asciiTheme="minorEastAsia" w:hAnsiTheme="minorEastAsia"/>
          <w:b/>
          <w:sz w:val="28"/>
          <w:szCs w:val="28"/>
        </w:rPr>
        <w:fldChar w:fldCharType="separate"/>
      </w:r>
    </w:p>
    <w:p>
      <w:pPr>
        <w:pStyle w:val="12"/>
        <w:tabs>
          <w:tab w:val="left" w:pos="1050"/>
          <w:tab w:val="right" w:leader="dot" w:pos="8296"/>
        </w:tabs>
        <w:rPr>
          <w:rFonts w:asciiTheme="minorEastAsia" w:hAnsiTheme="minorEastAsia"/>
          <w:sz w:val="28"/>
          <w:szCs w:val="28"/>
        </w:rPr>
      </w:pPr>
      <w:r>
        <w:fldChar w:fldCharType="begin"/>
      </w:r>
      <w:r>
        <w:instrText xml:space="preserve"> HYPERLINK \l "_Toc491248220" </w:instrText>
      </w:r>
      <w:r>
        <w:fldChar w:fldCharType="separate"/>
      </w:r>
      <w:r>
        <w:rPr>
          <w:rStyle w:val="19"/>
          <w:rFonts w:hint="eastAsia" w:asciiTheme="minorEastAsia" w:hAnsiTheme="minorEastAsia"/>
          <w:sz w:val="28"/>
          <w:szCs w:val="28"/>
        </w:rPr>
        <w:t>第一章</w:t>
      </w:r>
      <w:r>
        <w:rPr>
          <w:rFonts w:asciiTheme="minorEastAsia" w:hAnsiTheme="minorEastAsia"/>
          <w:sz w:val="28"/>
          <w:szCs w:val="28"/>
        </w:rPr>
        <w:tab/>
      </w:r>
      <w:r>
        <w:rPr>
          <w:rStyle w:val="19"/>
          <w:rFonts w:hint="eastAsia" w:asciiTheme="minorEastAsia" w:hAnsiTheme="minorEastAsia"/>
          <w:sz w:val="28"/>
          <w:szCs w:val="28"/>
        </w:rPr>
        <w:t>竞争性谈判采购公告</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_Toc491248220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12"/>
        <w:tabs>
          <w:tab w:val="right" w:leader="dot" w:pos="8296"/>
        </w:tabs>
        <w:rPr>
          <w:rFonts w:asciiTheme="minorEastAsia" w:hAnsiTheme="minorEastAsia"/>
          <w:sz w:val="28"/>
          <w:szCs w:val="28"/>
        </w:rPr>
      </w:pPr>
      <w:r>
        <w:fldChar w:fldCharType="begin"/>
      </w:r>
      <w:r>
        <w:instrText xml:space="preserve"> HYPERLINK \l "_Toc491248222" </w:instrText>
      </w:r>
      <w:r>
        <w:fldChar w:fldCharType="separate"/>
      </w:r>
      <w:r>
        <w:rPr>
          <w:rStyle w:val="19"/>
          <w:rFonts w:hint="eastAsia" w:asciiTheme="minorEastAsia" w:hAnsiTheme="minorEastAsia"/>
          <w:sz w:val="28"/>
          <w:szCs w:val="28"/>
        </w:rPr>
        <w:t>第二章</w:t>
      </w:r>
      <w:r>
        <w:rPr>
          <w:rStyle w:val="19"/>
          <w:rFonts w:asciiTheme="minorEastAsia" w:hAnsiTheme="minorEastAsia"/>
          <w:sz w:val="28"/>
          <w:szCs w:val="28"/>
        </w:rPr>
        <w:t xml:space="preserve">  </w:t>
      </w:r>
      <w:r>
        <w:rPr>
          <w:rStyle w:val="19"/>
          <w:rFonts w:hint="eastAsia" w:asciiTheme="minorEastAsia" w:hAnsiTheme="minorEastAsia"/>
          <w:sz w:val="28"/>
          <w:szCs w:val="28"/>
        </w:rPr>
        <w:t>采购项目需求</w:t>
      </w:r>
      <w:r>
        <w:rPr>
          <w:rFonts w:asciiTheme="minorEastAsia" w:hAnsiTheme="minorEastAsia"/>
          <w:sz w:val="28"/>
          <w:szCs w:val="28"/>
        </w:rPr>
        <w:tab/>
      </w:r>
      <w:r>
        <w:rPr>
          <w:rFonts w:hint="eastAsia" w:asciiTheme="minorEastAsia" w:hAnsiTheme="minorEastAsia"/>
          <w:sz w:val="28"/>
          <w:szCs w:val="28"/>
          <w:lang w:val="en-US" w:eastAsia="zh-CN"/>
        </w:rPr>
        <w:t>4</w:t>
      </w:r>
      <w:r>
        <w:rPr>
          <w:rFonts w:hint="eastAsia" w:asciiTheme="minorEastAsia" w:hAnsiTheme="minorEastAsia"/>
          <w:sz w:val="28"/>
          <w:szCs w:val="28"/>
        </w:rPr>
        <w:fldChar w:fldCharType="end"/>
      </w:r>
    </w:p>
    <w:p>
      <w:pPr>
        <w:pStyle w:val="12"/>
        <w:tabs>
          <w:tab w:val="right" w:leader="dot" w:pos="8296"/>
        </w:tabs>
        <w:rPr>
          <w:rFonts w:hint="eastAsia" w:asciiTheme="minorEastAsia" w:hAnsiTheme="minorEastAsia" w:eastAsiaTheme="minorEastAsia"/>
          <w:sz w:val="28"/>
          <w:szCs w:val="28"/>
          <w:lang w:val="en-US" w:eastAsia="zh-CN"/>
        </w:rPr>
      </w:pPr>
      <w:r>
        <w:fldChar w:fldCharType="begin"/>
      </w:r>
      <w:r>
        <w:instrText xml:space="preserve"> HYPERLINK \l "_Toc491248223" </w:instrText>
      </w:r>
      <w:r>
        <w:fldChar w:fldCharType="separate"/>
      </w:r>
      <w:r>
        <w:rPr>
          <w:rStyle w:val="19"/>
          <w:rFonts w:hint="eastAsia" w:asciiTheme="minorEastAsia" w:hAnsiTheme="minorEastAsia"/>
          <w:sz w:val="28"/>
          <w:szCs w:val="28"/>
        </w:rPr>
        <w:t>第三章</w:t>
      </w:r>
      <w:r>
        <w:rPr>
          <w:rStyle w:val="19"/>
          <w:rFonts w:asciiTheme="minorEastAsia" w:hAnsiTheme="minorEastAsia"/>
          <w:sz w:val="28"/>
          <w:szCs w:val="28"/>
        </w:rPr>
        <w:t xml:space="preserve">  </w:t>
      </w:r>
      <w:r>
        <w:rPr>
          <w:rStyle w:val="19"/>
          <w:rFonts w:hint="eastAsia" w:asciiTheme="minorEastAsia" w:hAnsiTheme="minorEastAsia"/>
          <w:sz w:val="28"/>
          <w:szCs w:val="28"/>
        </w:rPr>
        <w:t>竞标人须知</w:t>
      </w:r>
      <w:r>
        <w:rPr>
          <w:rFonts w:asciiTheme="minorEastAsia" w:hAnsiTheme="minorEastAsia"/>
          <w:sz w:val="28"/>
          <w:szCs w:val="28"/>
        </w:rPr>
        <w:tab/>
      </w:r>
      <w:r>
        <w:rPr>
          <w:rFonts w:hint="eastAsia" w:asciiTheme="minorEastAsia" w:hAnsiTheme="minorEastAsia"/>
          <w:sz w:val="28"/>
          <w:szCs w:val="28"/>
        </w:rPr>
        <w:t>1</w:t>
      </w:r>
      <w:r>
        <w:rPr>
          <w:rFonts w:hint="eastAsia" w:asciiTheme="minorEastAsia" w:hAnsiTheme="minorEastAsia"/>
          <w:sz w:val="28"/>
          <w:szCs w:val="28"/>
        </w:rPr>
        <w:fldChar w:fldCharType="end"/>
      </w:r>
      <w:r>
        <w:rPr>
          <w:rFonts w:hint="eastAsia" w:asciiTheme="minorEastAsia" w:hAnsiTheme="minorEastAsia"/>
          <w:sz w:val="28"/>
          <w:szCs w:val="28"/>
          <w:lang w:val="en-US" w:eastAsia="zh-CN"/>
        </w:rPr>
        <w:t>9</w:t>
      </w:r>
    </w:p>
    <w:p>
      <w:pPr>
        <w:pStyle w:val="12"/>
        <w:tabs>
          <w:tab w:val="right" w:leader="dot" w:pos="8296"/>
        </w:tabs>
        <w:rPr>
          <w:rFonts w:hint="eastAsia" w:asciiTheme="minorEastAsia" w:hAnsiTheme="minorEastAsia" w:eastAsiaTheme="minorEastAsia"/>
          <w:sz w:val="28"/>
          <w:szCs w:val="28"/>
          <w:lang w:val="en-US" w:eastAsia="zh-CN"/>
        </w:rPr>
      </w:pPr>
      <w:r>
        <w:fldChar w:fldCharType="begin"/>
      </w:r>
      <w:r>
        <w:instrText xml:space="preserve"> HYPERLINK \l "_Toc491248226" </w:instrText>
      </w:r>
      <w:r>
        <w:fldChar w:fldCharType="separate"/>
      </w:r>
      <w:r>
        <w:rPr>
          <w:rStyle w:val="19"/>
          <w:rFonts w:hint="eastAsia" w:asciiTheme="minorEastAsia" w:hAnsiTheme="minorEastAsia"/>
          <w:sz w:val="28"/>
          <w:szCs w:val="28"/>
        </w:rPr>
        <w:t>第四章</w:t>
      </w:r>
      <w:r>
        <w:rPr>
          <w:rStyle w:val="19"/>
          <w:rFonts w:asciiTheme="minorEastAsia" w:hAnsiTheme="minorEastAsia"/>
          <w:sz w:val="28"/>
          <w:szCs w:val="28"/>
        </w:rPr>
        <w:t xml:space="preserve">  </w:t>
      </w:r>
      <w:r>
        <w:rPr>
          <w:rStyle w:val="19"/>
          <w:rFonts w:hint="eastAsia" w:asciiTheme="minorEastAsia" w:hAnsiTheme="minorEastAsia"/>
          <w:sz w:val="28"/>
          <w:szCs w:val="28"/>
        </w:rPr>
        <w:t>评定标准</w:t>
      </w:r>
      <w:r>
        <w:rPr>
          <w:rFonts w:asciiTheme="minorEastAsia" w:hAnsiTheme="minorEastAsia"/>
          <w:sz w:val="28"/>
          <w:szCs w:val="28"/>
        </w:rPr>
        <w:tab/>
      </w:r>
      <w:r>
        <w:rPr>
          <w:rFonts w:hint="eastAsia" w:asciiTheme="minorEastAsia" w:hAnsiTheme="minorEastAsia"/>
          <w:sz w:val="28"/>
          <w:szCs w:val="28"/>
        </w:rPr>
        <w:t>3</w:t>
      </w:r>
      <w:r>
        <w:rPr>
          <w:rFonts w:hint="eastAsia" w:asciiTheme="minorEastAsia" w:hAnsiTheme="minorEastAsia"/>
          <w:sz w:val="28"/>
          <w:szCs w:val="28"/>
        </w:rPr>
        <w:fldChar w:fldCharType="end"/>
      </w:r>
      <w:r>
        <w:rPr>
          <w:rFonts w:hint="eastAsia" w:asciiTheme="minorEastAsia" w:hAnsiTheme="minorEastAsia"/>
          <w:sz w:val="28"/>
          <w:szCs w:val="28"/>
          <w:lang w:val="en-US" w:eastAsia="zh-CN"/>
        </w:rPr>
        <w:t>1</w:t>
      </w:r>
    </w:p>
    <w:p>
      <w:pPr>
        <w:pStyle w:val="12"/>
        <w:tabs>
          <w:tab w:val="right" w:leader="dot" w:pos="8296"/>
        </w:tabs>
        <w:rPr>
          <w:rFonts w:hint="eastAsia" w:asciiTheme="minorEastAsia" w:hAnsiTheme="minorEastAsia" w:eastAsiaTheme="minorEastAsia"/>
          <w:sz w:val="28"/>
          <w:szCs w:val="28"/>
          <w:lang w:val="en-US" w:eastAsia="zh-CN"/>
        </w:rPr>
      </w:pPr>
      <w:r>
        <w:fldChar w:fldCharType="begin"/>
      </w:r>
      <w:r>
        <w:instrText xml:space="preserve"> HYPERLINK \l "_Toc491248227" </w:instrText>
      </w:r>
      <w:r>
        <w:fldChar w:fldCharType="separate"/>
      </w:r>
      <w:r>
        <w:rPr>
          <w:rStyle w:val="19"/>
          <w:rFonts w:hint="eastAsia" w:asciiTheme="minorEastAsia" w:hAnsiTheme="minorEastAsia"/>
          <w:sz w:val="28"/>
          <w:szCs w:val="28"/>
        </w:rPr>
        <w:t>第五章</w:t>
      </w:r>
      <w:r>
        <w:rPr>
          <w:rStyle w:val="19"/>
          <w:rFonts w:asciiTheme="minorEastAsia" w:hAnsiTheme="minorEastAsia"/>
          <w:sz w:val="28"/>
          <w:szCs w:val="28"/>
        </w:rPr>
        <w:t xml:space="preserve">  </w:t>
      </w:r>
      <w:r>
        <w:rPr>
          <w:rStyle w:val="19"/>
          <w:rFonts w:hint="eastAsia" w:asciiTheme="minorEastAsia" w:hAnsiTheme="minorEastAsia"/>
          <w:sz w:val="28"/>
          <w:szCs w:val="28"/>
        </w:rPr>
        <w:t>合同基本条款及合同书格式</w:t>
      </w:r>
      <w:r>
        <w:rPr>
          <w:rFonts w:asciiTheme="minorEastAsia" w:hAnsiTheme="minorEastAsia"/>
          <w:sz w:val="28"/>
          <w:szCs w:val="28"/>
        </w:rPr>
        <w:tab/>
      </w:r>
      <w:r>
        <w:rPr>
          <w:rFonts w:hint="eastAsia" w:asciiTheme="minorEastAsia" w:hAnsiTheme="minorEastAsia"/>
          <w:sz w:val="28"/>
          <w:szCs w:val="28"/>
          <w:lang w:val="en-US" w:eastAsia="zh-CN"/>
        </w:rPr>
        <w:t>3</w:t>
      </w:r>
      <w:r>
        <w:rPr>
          <w:rFonts w:hint="eastAsia" w:asciiTheme="minorEastAsia" w:hAnsiTheme="minorEastAsia"/>
          <w:sz w:val="28"/>
          <w:szCs w:val="28"/>
        </w:rPr>
        <w:fldChar w:fldCharType="end"/>
      </w:r>
      <w:r>
        <w:rPr>
          <w:rFonts w:hint="eastAsia" w:asciiTheme="minorEastAsia" w:hAnsiTheme="minorEastAsia"/>
          <w:sz w:val="28"/>
          <w:szCs w:val="28"/>
          <w:lang w:val="en-US" w:eastAsia="zh-CN"/>
        </w:rPr>
        <w:t>3</w:t>
      </w:r>
    </w:p>
    <w:p>
      <w:pPr>
        <w:pStyle w:val="12"/>
        <w:tabs>
          <w:tab w:val="right" w:leader="dot" w:pos="8296"/>
        </w:tabs>
        <w:rPr>
          <w:rFonts w:hint="eastAsia" w:asciiTheme="minorEastAsia" w:hAnsiTheme="minorEastAsia" w:eastAsiaTheme="minorEastAsia"/>
          <w:sz w:val="28"/>
          <w:szCs w:val="28"/>
          <w:lang w:val="en-US" w:eastAsia="zh-CN"/>
        </w:rPr>
      </w:pPr>
      <w:r>
        <w:fldChar w:fldCharType="begin"/>
      </w:r>
      <w:r>
        <w:instrText xml:space="preserve"> HYPERLINK \l "_Toc491248245" </w:instrText>
      </w:r>
      <w:r>
        <w:fldChar w:fldCharType="separate"/>
      </w:r>
      <w:r>
        <w:rPr>
          <w:rStyle w:val="19"/>
          <w:rFonts w:hint="eastAsia" w:asciiTheme="minorEastAsia" w:hAnsiTheme="minorEastAsia"/>
          <w:sz w:val="28"/>
          <w:szCs w:val="28"/>
        </w:rPr>
        <w:t>第六章</w:t>
      </w:r>
      <w:r>
        <w:rPr>
          <w:rStyle w:val="19"/>
          <w:rFonts w:asciiTheme="minorEastAsia" w:hAnsiTheme="minorEastAsia"/>
          <w:sz w:val="28"/>
          <w:szCs w:val="28"/>
        </w:rPr>
        <w:t xml:space="preserve"> </w:t>
      </w:r>
      <w:r>
        <w:rPr>
          <w:rStyle w:val="19"/>
          <w:rFonts w:hint="eastAsia" w:asciiTheme="minorEastAsia" w:hAnsiTheme="minorEastAsia"/>
          <w:sz w:val="28"/>
          <w:szCs w:val="28"/>
        </w:rPr>
        <w:t>响应文件格式</w:t>
      </w:r>
      <w:r>
        <w:rPr>
          <w:rFonts w:asciiTheme="minorEastAsia" w:hAnsiTheme="minorEastAsia"/>
          <w:sz w:val="28"/>
          <w:szCs w:val="28"/>
        </w:rPr>
        <w:tab/>
      </w:r>
      <w:r>
        <w:rPr>
          <w:rFonts w:hint="eastAsia" w:asciiTheme="minorEastAsia" w:hAnsiTheme="minorEastAsia"/>
          <w:sz w:val="28"/>
          <w:szCs w:val="28"/>
          <w:lang w:val="en-US" w:eastAsia="zh-CN"/>
        </w:rPr>
        <w:t>4</w:t>
      </w:r>
      <w:r>
        <w:rPr>
          <w:rFonts w:hint="eastAsia" w:asciiTheme="minorEastAsia" w:hAnsiTheme="minorEastAsia"/>
          <w:sz w:val="28"/>
          <w:szCs w:val="28"/>
        </w:rPr>
        <w:fldChar w:fldCharType="end"/>
      </w:r>
      <w:r>
        <w:rPr>
          <w:rFonts w:hint="eastAsia" w:asciiTheme="minorEastAsia" w:hAnsiTheme="minorEastAsia"/>
          <w:sz w:val="28"/>
          <w:szCs w:val="28"/>
          <w:lang w:val="en-US" w:eastAsia="zh-CN"/>
        </w:rPr>
        <w:t>2</w:t>
      </w:r>
    </w:p>
    <w:p>
      <w:pPr>
        <w:rPr>
          <w:rFonts w:asciiTheme="minorEastAsia" w:hAnsiTheme="minorEastAsia"/>
          <w:b/>
          <w:sz w:val="28"/>
          <w:szCs w:val="28"/>
        </w:rPr>
        <w:sectPr>
          <w:pgSz w:w="11906" w:h="16838"/>
          <w:pgMar w:top="1440" w:right="1800" w:bottom="1440" w:left="1800" w:header="851" w:footer="992" w:gutter="0"/>
          <w:cols w:space="425" w:num="1"/>
          <w:docGrid w:type="lines" w:linePitch="312" w:charSpace="0"/>
        </w:sectPr>
      </w:pPr>
      <w:r>
        <w:rPr>
          <w:rFonts w:hint="eastAsia" w:asciiTheme="minorEastAsia" w:hAnsiTheme="minorEastAsia"/>
          <w:b/>
          <w:sz w:val="28"/>
          <w:szCs w:val="28"/>
        </w:rPr>
        <w:fldChar w:fldCharType="end"/>
      </w:r>
    </w:p>
    <w:p>
      <w:pPr>
        <w:pStyle w:val="3"/>
        <w:numPr>
          <w:ilvl w:val="0"/>
          <w:numId w:val="1"/>
        </w:numPr>
        <w:rPr>
          <w:rFonts w:ascii="方正小标宋_GBK" w:eastAsia="方正小标宋_GBK"/>
        </w:rPr>
      </w:pPr>
      <w:bookmarkStart w:id="17" w:name="_Toc491248220"/>
      <w:r>
        <w:rPr>
          <w:rFonts w:hint="eastAsia" w:ascii="方正小标宋_GBK" w:eastAsia="方正小标宋_GBK"/>
        </w:rPr>
        <w:t>竞争性谈判采购公告</w:t>
      </w:r>
      <w:bookmarkEnd w:id="17"/>
    </w:p>
    <w:p/>
    <w:tbl>
      <w:tblPr>
        <w:tblStyle w:val="16"/>
        <w:tblW w:w="10392"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392" w:type="dxa"/>
          </w:tcPr>
          <w:p>
            <w:pPr>
              <w:pStyle w:val="14"/>
              <w:spacing w:before="75" w:beforeAutospacing="0" w:after="75" w:afterAutospacing="0"/>
              <w:rPr>
                <w:rFonts w:cs="宋体"/>
                <w:color w:val="000000"/>
              </w:rPr>
            </w:pPr>
            <w:bookmarkStart w:id="18" w:name="_Toc491248222"/>
            <w:r>
              <w:rPr>
                <w:rFonts w:hint="eastAsia" w:cs="宋体"/>
                <w:color w:val="000000"/>
              </w:rPr>
              <w:t>项目概况：</w:t>
            </w:r>
          </w:p>
          <w:p>
            <w:pPr>
              <w:pStyle w:val="14"/>
              <w:spacing w:before="75" w:beforeAutospacing="0" w:after="75" w:afterAutospacing="0"/>
              <w:rPr>
                <w:rFonts w:ascii="sans-serif" w:hAnsi="sans-serif" w:eastAsia="sans-serif" w:cs="sans-serif"/>
                <w:color w:val="000000"/>
              </w:rPr>
            </w:pPr>
            <w:r>
              <w:rPr>
                <w:rFonts w:hint="eastAsia" w:cs="宋体"/>
                <w:color w:val="000000"/>
                <w:u w:val="single"/>
              </w:rPr>
              <w:t>广西民族师范学院数模电路试验室设备采购</w:t>
            </w:r>
            <w:r>
              <w:rPr>
                <w:rFonts w:hint="eastAsia" w:cs="宋体"/>
                <w:color w:val="000000"/>
              </w:rPr>
              <w:t>的潜在投标人应在政采云平台（https://www.zcygov.cn/）在线办理报名并自行下载获取采购文件，并于</w:t>
            </w:r>
            <w:r>
              <w:rPr>
                <w:rFonts w:hint="eastAsia" w:cs="宋体"/>
                <w:color w:val="000000"/>
                <w:u w:val="single"/>
              </w:rPr>
              <w:t>2021</w:t>
            </w:r>
            <w:r>
              <w:rPr>
                <w:rFonts w:hint="eastAsia" w:cs="宋体"/>
                <w:color w:val="000000"/>
                <w:u w:val="single"/>
                <w:lang w:eastAsia="zh-CN"/>
              </w:rPr>
              <w:t>年</w:t>
            </w:r>
            <w:r>
              <w:rPr>
                <w:rFonts w:hint="eastAsia" w:cs="宋体"/>
                <w:color w:val="000000"/>
                <w:u w:val="single"/>
                <w:lang w:val="en-US" w:eastAsia="zh-CN"/>
              </w:rPr>
              <w:t>10</w:t>
            </w:r>
            <w:r>
              <w:rPr>
                <w:rFonts w:hint="eastAsia" w:cs="宋体"/>
                <w:color w:val="000000"/>
                <w:u w:val="single"/>
              </w:rPr>
              <w:t xml:space="preserve"> </w:t>
            </w:r>
            <w:r>
              <w:rPr>
                <w:rFonts w:hint="eastAsia" w:cs="宋体"/>
                <w:u w:val="single"/>
              </w:rPr>
              <w:t>月</w:t>
            </w:r>
            <w:r>
              <w:rPr>
                <w:rFonts w:hint="eastAsia" w:cs="宋体"/>
                <w:u w:val="single"/>
                <w:lang w:val="en-US" w:eastAsia="zh-CN"/>
              </w:rPr>
              <w:t>14</w:t>
            </w:r>
            <w:r>
              <w:rPr>
                <w:rFonts w:hint="eastAsia" w:cs="宋体"/>
                <w:u w:val="single"/>
              </w:rPr>
              <w:t xml:space="preserve"> 日10 点 00 分</w:t>
            </w:r>
            <w:r>
              <w:rPr>
                <w:rFonts w:hint="eastAsia" w:cs="宋体"/>
              </w:rPr>
              <w:t>（北京</w:t>
            </w:r>
            <w:r>
              <w:rPr>
                <w:rFonts w:hint="eastAsia" w:cs="宋体"/>
                <w:color w:val="000000"/>
              </w:rPr>
              <w:t>时间）前递交响应文件。</w:t>
            </w:r>
          </w:p>
        </w:tc>
      </w:tr>
    </w:tbl>
    <w:p>
      <w:pPr>
        <w:pStyle w:val="14"/>
        <w:spacing w:before="75" w:beforeAutospacing="0" w:after="75" w:afterAutospacing="0" w:line="440" w:lineRule="exact"/>
        <w:rPr>
          <w:rFonts w:ascii="sans-serif" w:hAnsi="sans-serif" w:eastAsia="sans-serif" w:cs="sans-serif"/>
          <w:color w:val="000000"/>
        </w:rPr>
      </w:pPr>
      <w:r>
        <w:rPr>
          <w:rStyle w:val="18"/>
          <w:rFonts w:hint="eastAsia" w:cs="宋体"/>
          <w:color w:val="000000"/>
        </w:rPr>
        <w:t>一、项目基本情况</w:t>
      </w:r>
    </w:p>
    <w:p>
      <w:pPr>
        <w:pStyle w:val="14"/>
        <w:spacing w:before="0" w:beforeAutospacing="0" w:after="75" w:afterAutospacing="0" w:line="440" w:lineRule="exact"/>
        <w:ind w:firstLine="480"/>
        <w:rPr>
          <w:rFonts w:cs="宋体"/>
          <w:color w:val="000000"/>
        </w:rPr>
      </w:pPr>
      <w:r>
        <w:rPr>
          <w:rFonts w:hint="eastAsia" w:cs="宋体"/>
          <w:color w:val="000000"/>
        </w:rPr>
        <w:t xml:space="preserve">项目编号: CZZC2021-J1-01849-GXKZ    </w:t>
      </w:r>
    </w:p>
    <w:p>
      <w:pPr>
        <w:pStyle w:val="14"/>
        <w:spacing w:before="0" w:beforeAutospacing="0" w:after="75" w:afterAutospacing="0" w:line="440" w:lineRule="exact"/>
        <w:ind w:firstLine="480"/>
        <w:rPr>
          <w:rFonts w:cs="宋体"/>
        </w:rPr>
      </w:pPr>
      <w:r>
        <w:rPr>
          <w:rFonts w:hint="eastAsia" w:cs="宋体"/>
        </w:rPr>
        <w:t>采购计划编号：崇左采备[2021]1849号</w:t>
      </w:r>
    </w:p>
    <w:p>
      <w:pPr>
        <w:pStyle w:val="14"/>
        <w:spacing w:before="0" w:beforeAutospacing="0" w:after="75" w:afterAutospacing="0" w:line="440" w:lineRule="exact"/>
        <w:ind w:firstLine="480"/>
        <w:rPr>
          <w:rFonts w:cs="宋体"/>
          <w:color w:val="000000"/>
        </w:rPr>
      </w:pPr>
      <w:r>
        <w:rPr>
          <w:rFonts w:hint="eastAsia" w:cs="宋体"/>
          <w:color w:val="000000"/>
        </w:rPr>
        <w:t>项目名称：广西民族师范学院数模电路试验室设备采购</w:t>
      </w:r>
    </w:p>
    <w:p>
      <w:pPr>
        <w:pStyle w:val="14"/>
        <w:spacing w:before="0" w:beforeAutospacing="0" w:after="75" w:afterAutospacing="0" w:line="440" w:lineRule="exact"/>
        <w:ind w:firstLine="480"/>
        <w:rPr>
          <w:rFonts w:ascii="sans-serif" w:hAnsi="sans-serif" w:eastAsia="sans-serif" w:cs="sans-serif"/>
        </w:rPr>
      </w:pPr>
      <w:r>
        <w:rPr>
          <w:rFonts w:hint="eastAsia" w:cs="宋体"/>
        </w:rPr>
        <w:t>预算金额：人民币玖壹佰零贰万捌仟陆佰伍拾元整（￥1028650.00</w:t>
      </w:r>
      <w:r>
        <w:rPr>
          <w:rFonts w:hint="eastAsia" w:cs="宋体"/>
          <w:lang w:eastAsia="zh-CN"/>
        </w:rPr>
        <w:t>元</w:t>
      </w:r>
      <w:r>
        <w:rPr>
          <w:rFonts w:hint="eastAsia" w:cs="宋体"/>
        </w:rPr>
        <w:t>）</w:t>
      </w:r>
    </w:p>
    <w:p>
      <w:pPr>
        <w:pStyle w:val="14"/>
        <w:spacing w:before="0" w:beforeAutospacing="0" w:after="75" w:afterAutospacing="0" w:line="440" w:lineRule="exact"/>
        <w:ind w:firstLine="480"/>
        <w:rPr>
          <w:rFonts w:ascii="sans-serif" w:hAnsi="sans-serif" w:eastAsia="sans-serif" w:cs="sans-serif"/>
          <w:color w:val="000000"/>
        </w:rPr>
      </w:pPr>
      <w:r>
        <w:rPr>
          <w:rFonts w:hint="eastAsia" w:cs="宋体"/>
          <w:color w:val="000000"/>
        </w:rPr>
        <w:t>最高限价：与预算金额一致</w:t>
      </w:r>
    </w:p>
    <w:p>
      <w:pPr>
        <w:pStyle w:val="14"/>
        <w:spacing w:before="0" w:beforeAutospacing="0" w:after="75" w:afterAutospacing="0" w:line="440" w:lineRule="exact"/>
        <w:ind w:left="239" w:leftChars="114" w:firstLine="307" w:firstLineChars="128"/>
        <w:rPr>
          <w:rFonts w:ascii="sans-serif" w:hAnsi="sans-serif" w:eastAsia="sans-serif" w:cs="sans-serif"/>
          <w:color w:val="000000"/>
        </w:rPr>
      </w:pPr>
      <w:r>
        <w:rPr>
          <w:rFonts w:hint="eastAsia" w:cs="宋体"/>
        </w:rPr>
        <w:t>采购需求：EDA实验系统30台、投影仪1台、函数信号发生器16台等</w:t>
      </w:r>
      <w:r>
        <w:rPr>
          <w:rFonts w:hint="eastAsia" w:cs="宋体"/>
          <w:color w:val="0000FF"/>
        </w:rPr>
        <w:t>，</w:t>
      </w:r>
      <w:r>
        <w:rPr>
          <w:rFonts w:hint="eastAsia" w:cs="宋体"/>
        </w:rPr>
        <w:t>因采购品类过多，如需进一步</w:t>
      </w:r>
      <w:r>
        <w:rPr>
          <w:rFonts w:hint="eastAsia" w:cs="宋体"/>
          <w:color w:val="000000"/>
        </w:rPr>
        <w:t>了解详细内容，详见招标文件《第二章招标项目采购需求表》。</w:t>
      </w:r>
    </w:p>
    <w:p>
      <w:pPr>
        <w:pStyle w:val="14"/>
        <w:spacing w:before="0" w:beforeAutospacing="0" w:after="75" w:afterAutospacing="0" w:line="540" w:lineRule="exact"/>
        <w:ind w:firstLine="480" w:firstLineChars="200"/>
        <w:rPr>
          <w:rFonts w:cs="宋体"/>
          <w:color w:val="0000FF"/>
        </w:rPr>
      </w:pPr>
      <w:r>
        <w:rPr>
          <w:rFonts w:hint="eastAsia" w:cs="宋体"/>
          <w:color w:val="000000"/>
        </w:rPr>
        <w:t>合同履行期限</w:t>
      </w:r>
      <w:r>
        <w:rPr>
          <w:rFonts w:hint="eastAsia" w:cs="宋体"/>
        </w:rPr>
        <w:t>：自合同签订之日起</w:t>
      </w:r>
      <w:r>
        <w:rPr>
          <w:rFonts w:hint="eastAsia" w:cs="宋体"/>
          <w:u w:val="single"/>
        </w:rPr>
        <w:t>30日</w:t>
      </w:r>
      <w:r>
        <w:rPr>
          <w:rFonts w:hint="eastAsia" w:cs="宋体"/>
        </w:rPr>
        <w:t>内安装调试完毕并交付使用。</w:t>
      </w:r>
    </w:p>
    <w:p>
      <w:pPr>
        <w:pStyle w:val="14"/>
        <w:spacing w:before="0" w:beforeAutospacing="0" w:after="75" w:afterAutospacing="0" w:line="540" w:lineRule="exact"/>
        <w:ind w:firstLine="480"/>
        <w:rPr>
          <w:rFonts w:ascii="sans-serif" w:hAnsi="sans-serif" w:eastAsia="sans-serif" w:cs="sans-serif"/>
        </w:rPr>
      </w:pPr>
      <w:r>
        <w:rPr>
          <w:rFonts w:hint="eastAsia" w:cs="宋体"/>
        </w:rPr>
        <w:t>如需进一步了解详细内容，详见采购文件。</w:t>
      </w:r>
    </w:p>
    <w:p>
      <w:pPr>
        <w:pStyle w:val="14"/>
        <w:spacing w:before="75" w:beforeAutospacing="0" w:after="75" w:afterAutospacing="0" w:line="540" w:lineRule="exact"/>
        <w:rPr>
          <w:rFonts w:ascii="sans-serif" w:hAnsi="sans-serif" w:eastAsia="sans-serif" w:cs="sans-serif"/>
          <w:color w:val="000000"/>
        </w:rPr>
      </w:pPr>
      <w:r>
        <w:rPr>
          <w:rStyle w:val="18"/>
          <w:rFonts w:hint="eastAsia" w:cs="宋体"/>
          <w:color w:val="000000"/>
        </w:rPr>
        <w:t>二、申请人的资格要求：</w:t>
      </w:r>
    </w:p>
    <w:p>
      <w:pPr>
        <w:pStyle w:val="14"/>
        <w:spacing w:before="0" w:beforeAutospacing="0" w:after="0" w:afterAutospacing="0" w:line="540" w:lineRule="exact"/>
        <w:rPr>
          <w:rFonts w:ascii="sans-serif" w:hAnsi="sans-serif" w:eastAsia="sans-serif" w:cs="sans-serif"/>
          <w:color w:val="000000"/>
        </w:rPr>
      </w:pPr>
      <w:r>
        <w:rPr>
          <w:rFonts w:hint="eastAsia" w:cs="宋体"/>
          <w:color w:val="000000"/>
        </w:rPr>
        <w:t>1.满足《中华人民共和国政府采购法》第二十二条规定；</w:t>
      </w:r>
    </w:p>
    <w:p>
      <w:pPr>
        <w:pStyle w:val="14"/>
        <w:spacing w:before="0" w:beforeAutospacing="0" w:after="0" w:afterAutospacing="0" w:line="540" w:lineRule="exact"/>
        <w:rPr>
          <w:rFonts w:ascii="sans-serif" w:hAnsi="sans-serif" w:eastAsia="sans-serif" w:cs="sans-serif"/>
          <w:color w:val="000000"/>
        </w:rPr>
      </w:pPr>
      <w:r>
        <w:rPr>
          <w:rFonts w:hint="eastAsia" w:cs="宋体"/>
          <w:color w:val="000000"/>
        </w:rPr>
        <w:t>2.本项目的特定资格要求：</w:t>
      </w:r>
    </w:p>
    <w:p>
      <w:pPr>
        <w:pStyle w:val="14"/>
        <w:spacing w:before="0" w:beforeAutospacing="0" w:after="0" w:afterAutospacing="0" w:line="540" w:lineRule="exact"/>
        <w:jc w:val="both"/>
        <w:rPr>
          <w:rFonts w:ascii="sans-serif" w:hAnsi="sans-serif" w:eastAsia="sans-serif" w:cs="sans-serif"/>
          <w:color w:val="000000"/>
        </w:rPr>
      </w:pPr>
      <w:r>
        <w:rPr>
          <w:rFonts w:hint="eastAsia" w:cs="宋体"/>
          <w:color w:val="000000"/>
        </w:rPr>
        <w:t>（1）符合《中华人民共和国政府采购法》第二十二条的规定，国内注册（指按国家有关规定要求注册的），生产或经营本次采购货物，并在人员、设备、资金等方面具有相应的能力，同时具备合法资格的供应商。</w:t>
      </w:r>
    </w:p>
    <w:p>
      <w:pPr>
        <w:pStyle w:val="14"/>
        <w:spacing w:before="0" w:beforeAutospacing="0" w:after="0" w:afterAutospacing="0" w:line="540" w:lineRule="exact"/>
        <w:rPr>
          <w:rFonts w:ascii="sans-serif" w:hAnsi="sans-serif" w:eastAsia="sans-serif" w:cs="sans-serif"/>
          <w:color w:val="000000"/>
        </w:rPr>
      </w:pPr>
      <w:r>
        <w:rPr>
          <w:rFonts w:hint="eastAsia" w:cs="宋体"/>
          <w:color w:val="000000"/>
        </w:rPr>
        <w:t>（2）本项目不接受未下载本项目招标文件的供应商投标。</w:t>
      </w:r>
    </w:p>
    <w:p>
      <w:pPr>
        <w:pStyle w:val="14"/>
        <w:spacing w:before="0" w:beforeAutospacing="0" w:after="0" w:afterAutospacing="0" w:line="540" w:lineRule="exact"/>
        <w:rPr>
          <w:rFonts w:ascii="sans-serif" w:hAnsi="sans-serif" w:eastAsia="sans-serif" w:cs="sans-serif"/>
          <w:color w:val="000000"/>
        </w:rPr>
      </w:pPr>
      <w:r>
        <w:rPr>
          <w:rFonts w:hint="eastAsia" w:cs="宋体"/>
          <w:color w:val="000000"/>
        </w:rPr>
        <w:t>（3）本项目不接受联合体投标。</w:t>
      </w:r>
    </w:p>
    <w:p>
      <w:pPr>
        <w:pStyle w:val="14"/>
        <w:spacing w:before="0" w:beforeAutospacing="0" w:after="0" w:afterAutospacing="0" w:line="540" w:lineRule="exact"/>
        <w:rPr>
          <w:rFonts w:ascii="sans-serif" w:hAnsi="sans-serif" w:eastAsia="sans-serif" w:cs="sans-serif"/>
          <w:color w:val="000000"/>
        </w:rPr>
      </w:pPr>
      <w:r>
        <w:rPr>
          <w:rFonts w:hint="eastAsia" w:cs="宋体"/>
          <w:color w:val="000000"/>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4"/>
        <w:spacing w:before="0" w:beforeAutospacing="0" w:after="0" w:afterAutospacing="0" w:line="540" w:lineRule="exact"/>
        <w:jc w:val="both"/>
        <w:rPr>
          <w:rFonts w:ascii="sans-serif" w:hAnsi="sans-serif" w:eastAsia="sans-serif" w:cs="sans-serif"/>
          <w:color w:val="000000"/>
        </w:rPr>
      </w:pPr>
      <w:r>
        <w:rPr>
          <w:rFonts w:hint="eastAsia" w:cs="宋体"/>
          <w:color w:val="000000"/>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4"/>
        <w:spacing w:before="75" w:beforeAutospacing="0" w:after="75" w:afterAutospacing="0" w:line="540" w:lineRule="exact"/>
        <w:rPr>
          <w:rFonts w:ascii="sans-serif" w:hAnsi="sans-serif" w:eastAsia="sans-serif" w:cs="sans-serif"/>
          <w:color w:val="000000"/>
        </w:rPr>
      </w:pPr>
      <w:r>
        <w:rPr>
          <w:rStyle w:val="18"/>
          <w:rFonts w:hint="eastAsia" w:cs="宋体"/>
          <w:color w:val="000000"/>
        </w:rPr>
        <w:t>三、获取采购文件</w:t>
      </w:r>
    </w:p>
    <w:p>
      <w:pPr>
        <w:pStyle w:val="14"/>
        <w:spacing w:before="0" w:beforeAutospacing="0" w:after="75" w:afterAutospacing="0" w:line="540" w:lineRule="exact"/>
        <w:ind w:firstLine="480"/>
        <w:jc w:val="both"/>
        <w:rPr>
          <w:rFonts w:ascii="sans-serif" w:hAnsi="sans-serif" w:eastAsia="sans-serif" w:cs="sans-serif"/>
          <w:color w:val="000000"/>
        </w:rPr>
      </w:pPr>
      <w:r>
        <w:rPr>
          <w:rFonts w:hint="eastAsia" w:cs="宋体"/>
          <w:color w:val="000000"/>
        </w:rPr>
        <w:t>获取时间：</w:t>
      </w:r>
      <w:r>
        <w:rPr>
          <w:rFonts w:hint="eastAsia" w:cs="宋体"/>
          <w:color w:val="000000"/>
          <w:u w:val="single"/>
        </w:rPr>
        <w:t xml:space="preserve">公告发布之日起至 2021年 </w:t>
      </w:r>
      <w:r>
        <w:rPr>
          <w:rFonts w:hint="eastAsia" w:cs="宋体"/>
          <w:color w:val="000000"/>
          <w:u w:val="single"/>
          <w:lang w:val="en-US" w:eastAsia="zh-CN"/>
        </w:rPr>
        <w:t>10</w:t>
      </w:r>
      <w:r>
        <w:rPr>
          <w:rFonts w:hint="eastAsia" w:cs="宋体"/>
          <w:color w:val="000000"/>
          <w:u w:val="single"/>
        </w:rPr>
        <w:t xml:space="preserve">月 </w:t>
      </w:r>
      <w:r>
        <w:rPr>
          <w:rFonts w:hint="eastAsia" w:cs="宋体"/>
          <w:color w:val="000000"/>
          <w:u w:val="single"/>
          <w:lang w:val="en-US" w:eastAsia="zh-CN"/>
        </w:rPr>
        <w:t>13</w:t>
      </w:r>
      <w:r>
        <w:rPr>
          <w:rFonts w:hint="eastAsia" w:cs="宋体"/>
          <w:color w:val="000000"/>
          <w:u w:val="single"/>
        </w:rPr>
        <w:t xml:space="preserve"> 日止（北京时间）</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地点:本项目采用不记名方式购买采购文件，潜在投标人不需投标报名，在广西壮族壮族区政府采购网（https://www.zcygov.cn/）下载采购文件电子版（逾期下载无效）。</w:t>
      </w:r>
    </w:p>
    <w:p>
      <w:pPr>
        <w:pStyle w:val="14"/>
        <w:spacing w:before="0" w:beforeAutospacing="0" w:after="75" w:afterAutospacing="0" w:line="500" w:lineRule="exact"/>
        <w:ind w:firstLine="480"/>
        <w:rPr>
          <w:rStyle w:val="18"/>
          <w:rFonts w:cs="宋体"/>
          <w:color w:val="000000"/>
        </w:rPr>
      </w:pPr>
      <w:r>
        <w:rPr>
          <w:rFonts w:hint="eastAsia" w:cs="宋体"/>
          <w:color w:val="000000"/>
        </w:rPr>
        <w:t>方式：供应商通过广西壮族自治区政府采购网“供应商注册入口”完成账号注册后，登录政采云平台“项目采购—获取采购文件”模块自行下载采购文件。</w:t>
      </w:r>
      <w:r>
        <w:rPr>
          <w:rStyle w:val="18"/>
          <w:rFonts w:ascii="仿宋" w:hAnsi="仿宋" w:eastAsia="仿宋" w:cs="仿宋"/>
          <w:color w:val="000000"/>
        </w:rPr>
        <w:t>为配合采购人进行政府采购项目执行和备案，未在政采云注册的供应商可在获取招标文件后登录政采云（https://www.zcygov.cn/）进行注册，如在操作过程中遇到问题或者需要技术支持，请致电政采云客服热线：400-881-7190。</w:t>
      </w:r>
    </w:p>
    <w:p>
      <w:pPr>
        <w:pStyle w:val="14"/>
        <w:spacing w:before="75" w:beforeAutospacing="0" w:after="75" w:afterAutospacing="0" w:line="500" w:lineRule="exact"/>
        <w:rPr>
          <w:rFonts w:ascii="sans-serif" w:hAnsi="sans-serif" w:eastAsia="sans-serif" w:cs="sans-serif"/>
          <w:color w:val="000000"/>
        </w:rPr>
      </w:pPr>
      <w:r>
        <w:rPr>
          <w:rStyle w:val="18"/>
          <w:rFonts w:hint="eastAsia" w:cs="宋体"/>
          <w:color w:val="000000"/>
        </w:rPr>
        <w:t>四、提交投标文件截止时间、开标时间和地点</w:t>
      </w:r>
    </w:p>
    <w:p>
      <w:pPr>
        <w:pStyle w:val="14"/>
        <w:spacing w:before="0" w:beforeAutospacing="0" w:after="75" w:afterAutospacing="0" w:line="500" w:lineRule="exact"/>
        <w:ind w:firstLine="480"/>
        <w:rPr>
          <w:rFonts w:cs="宋体"/>
          <w:color w:val="000000"/>
        </w:rPr>
      </w:pPr>
      <w:r>
        <w:rPr>
          <w:rFonts w:hint="eastAsia" w:cs="宋体"/>
          <w:color w:val="000000"/>
        </w:rPr>
        <w:t>提交投标文件截止时间和开标</w:t>
      </w:r>
      <w:r>
        <w:rPr>
          <w:rFonts w:hint="eastAsia" w:cs="宋体"/>
        </w:rPr>
        <w:t>时间：</w:t>
      </w:r>
      <w:r>
        <w:rPr>
          <w:rFonts w:hint="eastAsia" w:cs="宋体"/>
          <w:u w:val="single"/>
        </w:rPr>
        <w:t>2021 年</w:t>
      </w:r>
      <w:r>
        <w:rPr>
          <w:rFonts w:hint="eastAsia" w:cs="宋体"/>
          <w:u w:val="single"/>
          <w:lang w:val="en-US" w:eastAsia="zh-CN"/>
        </w:rPr>
        <w:t>10</w:t>
      </w:r>
      <w:r>
        <w:rPr>
          <w:rFonts w:hint="eastAsia" w:cs="宋体"/>
          <w:u w:val="single"/>
        </w:rPr>
        <w:t xml:space="preserve"> 月 </w:t>
      </w:r>
      <w:r>
        <w:rPr>
          <w:rFonts w:hint="eastAsia" w:cs="宋体"/>
          <w:u w:val="single"/>
          <w:lang w:val="en-US" w:eastAsia="zh-CN"/>
        </w:rPr>
        <w:t>14</w:t>
      </w:r>
      <w:r>
        <w:rPr>
          <w:rFonts w:hint="eastAsia" w:cs="宋体"/>
          <w:u w:val="single"/>
        </w:rPr>
        <w:t xml:space="preserve"> 日10 时 00 分</w:t>
      </w:r>
      <w:r>
        <w:rPr>
          <w:rFonts w:hint="eastAsia" w:cs="宋体"/>
        </w:rPr>
        <w:t>（北京时间）在广西坤珍建设项目管理咨询有限公司【崇左市友谊大道嘉苑小区转角地块22号三楼（市发改委后面）</w:t>
      </w:r>
      <w:r>
        <w:rPr>
          <w:rFonts w:hint="eastAsia" w:cs="宋体"/>
          <w:color w:val="000000"/>
        </w:rPr>
        <w:t>】开标。逾期送达或未按照采购文件要求密封的响应文件，将予以拒收。</w:t>
      </w:r>
    </w:p>
    <w:p>
      <w:pPr>
        <w:pStyle w:val="14"/>
        <w:spacing w:before="75" w:beforeAutospacing="0" w:after="75" w:afterAutospacing="0" w:line="500" w:lineRule="exact"/>
        <w:rPr>
          <w:rFonts w:ascii="sans-serif" w:hAnsi="sans-serif" w:eastAsia="sans-serif" w:cs="sans-serif"/>
          <w:color w:val="000000"/>
        </w:rPr>
      </w:pPr>
      <w:r>
        <w:rPr>
          <w:rStyle w:val="18"/>
          <w:rFonts w:hint="eastAsia" w:cs="宋体"/>
          <w:color w:val="000000"/>
        </w:rPr>
        <w:t>五、公告期限</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自本公告发布之日起 3个工作日。</w:t>
      </w:r>
    </w:p>
    <w:p>
      <w:pPr>
        <w:pStyle w:val="14"/>
        <w:spacing w:before="75" w:beforeAutospacing="0" w:after="75" w:afterAutospacing="0" w:line="500" w:lineRule="exact"/>
        <w:rPr>
          <w:rFonts w:ascii="sans-serif" w:hAnsi="sans-serif" w:eastAsia="sans-serif" w:cs="sans-serif"/>
          <w:color w:val="000000"/>
        </w:rPr>
      </w:pPr>
      <w:r>
        <w:rPr>
          <w:rStyle w:val="18"/>
          <w:rFonts w:hint="eastAsia" w:cs="宋体"/>
          <w:color w:val="000000"/>
        </w:rPr>
        <w:t>六、其他补充事宜</w:t>
      </w:r>
    </w:p>
    <w:p>
      <w:pPr>
        <w:pStyle w:val="14"/>
        <w:spacing w:before="75" w:beforeAutospacing="0" w:after="75" w:afterAutospacing="0" w:line="500" w:lineRule="exact"/>
        <w:rPr>
          <w:rFonts w:ascii="sans-serif" w:hAnsi="sans-serif" w:eastAsia="sans-serif" w:cs="sans-serif"/>
          <w:color w:val="000000"/>
        </w:rPr>
      </w:pPr>
      <w:r>
        <w:rPr>
          <w:rStyle w:val="18"/>
          <w:rFonts w:hint="eastAsia" w:cs="宋体"/>
          <w:color w:val="000000"/>
        </w:rPr>
        <w:t>（一）网上查询地址：</w:t>
      </w:r>
    </w:p>
    <w:p>
      <w:pPr>
        <w:pStyle w:val="14"/>
        <w:spacing w:before="75" w:beforeAutospacing="0" w:after="75" w:afterAutospacing="0" w:line="500" w:lineRule="exact"/>
        <w:rPr>
          <w:rStyle w:val="18"/>
          <w:rFonts w:cs="宋体"/>
          <w:b w:val="0"/>
          <w:bCs/>
          <w:color w:val="000000"/>
        </w:rPr>
      </w:pPr>
      <w:r>
        <w:rPr>
          <w:rStyle w:val="18"/>
          <w:rFonts w:hint="eastAsia" w:cs="宋体"/>
          <w:b w:val="0"/>
          <w:bCs/>
          <w:color w:val="000000"/>
        </w:rPr>
        <w:t>中国政府采购网（www.ccpg.gov.cn）、广西壮族自治区政府采购网（http://www.gxzfcg.gov.cn）</w:t>
      </w:r>
    </w:p>
    <w:p>
      <w:pPr>
        <w:pStyle w:val="14"/>
        <w:spacing w:before="75" w:beforeAutospacing="0" w:after="75" w:afterAutospacing="0" w:line="500" w:lineRule="exact"/>
        <w:rPr>
          <w:rFonts w:ascii="sans-serif" w:hAnsi="sans-serif" w:eastAsia="sans-serif" w:cs="sans-serif"/>
          <w:color w:val="000000"/>
        </w:rPr>
      </w:pPr>
      <w:r>
        <w:rPr>
          <w:rStyle w:val="18"/>
          <w:rFonts w:hint="eastAsia" w:cs="宋体"/>
          <w:b w:val="0"/>
          <w:bCs/>
          <w:color w:val="000000"/>
        </w:rPr>
        <w:t>。</w:t>
      </w:r>
      <w:r>
        <w:rPr>
          <w:rStyle w:val="18"/>
          <w:rFonts w:hint="eastAsia" w:cs="宋体"/>
          <w:color w:val="000000"/>
        </w:rPr>
        <w:t>（二）本项目需要落实的政府采购政策：</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（1）《政府采购促进中小企业发展暂行办法》（财库[2011]181 号）；</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（2）《财政部、司法部关于政府采购支持监狱企业发展有关问题的通知》（财库〔2014〕68 号）；</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（3）《财政部民政部中国残疾人联合会关于促进残疾人就业政府采购政策的通知》（财库〔2017〕 141号）；</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（4）财政部发展改革委生态环境部市场监管总局关于调整优化节能产品、环境标志产品政府采购执行机制的通知（财库〔2019〕9 号）；</w:t>
      </w:r>
    </w:p>
    <w:p>
      <w:pPr>
        <w:pStyle w:val="14"/>
        <w:spacing w:before="0" w:beforeAutospacing="0" w:after="75" w:afterAutospacing="0" w:line="500" w:lineRule="exact"/>
        <w:ind w:firstLine="480"/>
        <w:rPr>
          <w:rFonts w:ascii="sans-serif" w:hAnsi="sans-serif" w:eastAsia="sans-serif" w:cs="sans-serif"/>
          <w:color w:val="000000"/>
        </w:rPr>
      </w:pPr>
      <w:r>
        <w:rPr>
          <w:rFonts w:hint="eastAsia" w:cs="宋体"/>
          <w:color w:val="000000"/>
        </w:rPr>
        <w:t>（5）财政部发展改革委关于印发节能产品政府采购品目清单的通知（财库〔2019〕19 号）等政府采购相关政策。</w:t>
      </w:r>
    </w:p>
    <w:p>
      <w:pPr>
        <w:pStyle w:val="14"/>
        <w:spacing w:before="0" w:beforeAutospacing="0" w:after="75" w:afterAutospacing="0" w:line="500" w:lineRule="exact"/>
        <w:ind w:firstLine="480"/>
        <w:rPr>
          <w:rFonts w:cs="宋体"/>
        </w:rPr>
      </w:pPr>
      <w:r>
        <w:rPr>
          <w:rStyle w:val="18"/>
          <w:rFonts w:hint="eastAsia" w:cs="宋体"/>
          <w:color w:val="000000"/>
        </w:rPr>
        <w:t>七、对本次招标提出询问，请按以下方式联系。</w:t>
      </w:r>
    </w:p>
    <w:p>
      <w:pPr>
        <w:spacing w:line="500" w:lineRule="exact"/>
        <w:ind w:firstLine="960" w:firstLineChars="400"/>
        <w:rPr>
          <w:rFonts w:ascii="仿宋_GB2312" w:hAnsi="宋体" w:cs="仿宋_GB2312"/>
          <w:sz w:val="24"/>
        </w:rPr>
      </w:pPr>
      <w:r>
        <w:rPr>
          <w:rFonts w:ascii="仿宋_GB2312" w:hAnsi="宋体" w:cs="仿宋_GB2312"/>
          <w:sz w:val="24"/>
        </w:rPr>
        <w:t>1.</w:t>
      </w:r>
      <w:r>
        <w:rPr>
          <w:rFonts w:hint="eastAsia" w:ascii="仿宋_GB2312" w:hAnsi="宋体" w:cs="仿宋_GB2312"/>
          <w:sz w:val="24"/>
        </w:rPr>
        <w:t>采购人：广西民族师范学院</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地</w:t>
      </w:r>
      <w:r>
        <w:rPr>
          <w:rFonts w:ascii="仿宋_GB2312" w:hAnsi="宋体" w:cs="仿宋_GB2312"/>
          <w:sz w:val="24"/>
        </w:rPr>
        <w:t xml:space="preserve"> </w:t>
      </w:r>
      <w:r>
        <w:rPr>
          <w:rFonts w:hint="eastAsia" w:ascii="仿宋_GB2312" w:hAnsi="宋体" w:cs="仿宋_GB2312"/>
          <w:sz w:val="24"/>
        </w:rPr>
        <w:t>址：</w:t>
      </w:r>
      <w:r>
        <w:rPr>
          <w:rFonts w:ascii="仿宋_GB2312" w:hAnsi="宋体" w:cs="仿宋_GB2312"/>
          <w:sz w:val="24"/>
        </w:rPr>
        <w:t xml:space="preserve"> </w:t>
      </w:r>
      <w:r>
        <w:rPr>
          <w:rFonts w:hint="eastAsia" w:ascii="仿宋_GB2312" w:hAnsi="宋体" w:cs="仿宋_GB2312"/>
          <w:sz w:val="24"/>
        </w:rPr>
        <w:t>崇左市佛子路23号</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联系人及电话</w:t>
      </w:r>
      <w:r>
        <w:rPr>
          <w:rFonts w:ascii="仿宋_GB2312" w:hAnsi="宋体" w:cs="仿宋_GB2312"/>
          <w:sz w:val="24"/>
        </w:rPr>
        <w:t xml:space="preserve">: </w:t>
      </w:r>
      <w:r>
        <w:rPr>
          <w:rFonts w:hint="eastAsia" w:ascii="仿宋_GB2312" w:hAnsi="宋体" w:cs="仿宋_GB2312"/>
          <w:sz w:val="24"/>
        </w:rPr>
        <w:t>杨老师</w:t>
      </w: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0771-78</w:t>
      </w:r>
      <w:r>
        <w:rPr>
          <w:rFonts w:hint="eastAsia" w:ascii="仿宋_GB2312" w:hAnsi="宋体" w:cs="仿宋_GB2312"/>
          <w:sz w:val="24"/>
        </w:rPr>
        <w:t>7</w:t>
      </w:r>
      <w:r>
        <w:rPr>
          <w:rFonts w:ascii="仿宋_GB2312" w:hAnsi="宋体" w:cs="仿宋_GB2312"/>
          <w:sz w:val="24"/>
        </w:rPr>
        <w:t>0</w:t>
      </w:r>
      <w:r>
        <w:rPr>
          <w:rFonts w:hint="eastAsia" w:ascii="仿宋_GB2312" w:hAnsi="宋体" w:cs="仿宋_GB2312"/>
          <w:sz w:val="24"/>
        </w:rPr>
        <w:t>541</w:t>
      </w:r>
      <w:r>
        <w:rPr>
          <w:rFonts w:ascii="仿宋_GB2312" w:hAnsi="宋体" w:cs="仿宋_GB2312"/>
          <w:sz w:val="24"/>
        </w:rPr>
        <w:t xml:space="preserve">   </w:t>
      </w:r>
    </w:p>
    <w:p>
      <w:pPr>
        <w:spacing w:line="500" w:lineRule="exact"/>
        <w:ind w:firstLine="960" w:firstLineChars="400"/>
        <w:rPr>
          <w:rFonts w:ascii="仿宋_GB2312" w:hAnsi="宋体" w:cs="仿宋_GB2312"/>
          <w:sz w:val="24"/>
        </w:rPr>
      </w:pPr>
      <w:r>
        <w:rPr>
          <w:rFonts w:ascii="仿宋_GB2312" w:hAnsi="宋体" w:cs="仿宋_GB2312"/>
          <w:sz w:val="24"/>
        </w:rPr>
        <w:t>2.</w:t>
      </w:r>
      <w:r>
        <w:rPr>
          <w:rFonts w:hint="eastAsia" w:ascii="仿宋_GB2312" w:hAnsi="宋体" w:cs="仿宋_GB2312"/>
          <w:sz w:val="24"/>
        </w:rPr>
        <w:t xml:space="preserve">采购代理机构：广西坤珍建设项目管理咨询有限公司  </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地</w:t>
      </w:r>
      <w:r>
        <w:rPr>
          <w:rFonts w:ascii="仿宋_GB2312" w:hAnsi="宋体" w:cs="仿宋_GB2312"/>
          <w:sz w:val="24"/>
        </w:rPr>
        <w:t xml:space="preserve">  </w:t>
      </w:r>
      <w:r>
        <w:rPr>
          <w:rFonts w:hint="eastAsia" w:ascii="仿宋_GB2312" w:hAnsi="宋体" w:cs="仿宋_GB2312"/>
          <w:sz w:val="24"/>
        </w:rPr>
        <w:t>址：崇左市友谊大道嘉苑小区转角地块22号三楼（市发改委后面）；</w:t>
      </w:r>
      <w:r>
        <w:rPr>
          <w:rFonts w:ascii="仿宋_GB2312" w:hAnsi="宋体" w:cs="仿宋_GB2312"/>
          <w:sz w:val="24"/>
        </w:rPr>
        <w:t xml:space="preserve">                    </w:t>
      </w:r>
    </w:p>
    <w:p>
      <w:pPr>
        <w:spacing w:line="500" w:lineRule="exact"/>
        <w:rPr>
          <w:rFonts w:ascii="仿宋_GB2312" w:hAnsi="宋体" w:cs="仿宋_GB2312"/>
          <w:sz w:val="24"/>
        </w:rPr>
      </w:pPr>
      <w:r>
        <w:rPr>
          <w:rFonts w:ascii="仿宋_GB2312" w:hAnsi="宋体" w:cs="仿宋_GB2312"/>
          <w:sz w:val="24"/>
        </w:rPr>
        <w:t xml:space="preserve"> </w:t>
      </w:r>
      <w:r>
        <w:rPr>
          <w:rFonts w:hint="eastAsia" w:ascii="仿宋_GB2312" w:hAnsi="宋体" w:cs="仿宋_GB2312"/>
          <w:sz w:val="24"/>
        </w:rPr>
        <w:t xml:space="preserve">      </w:t>
      </w:r>
      <w:r>
        <w:rPr>
          <w:rFonts w:ascii="仿宋_GB2312" w:hAnsi="宋体" w:cs="仿宋_GB2312"/>
          <w:sz w:val="24"/>
        </w:rPr>
        <w:t xml:space="preserve"> </w:t>
      </w:r>
      <w:r>
        <w:rPr>
          <w:rFonts w:hint="eastAsia" w:ascii="仿宋_GB2312" w:hAnsi="宋体" w:cs="仿宋_GB2312"/>
          <w:sz w:val="24"/>
        </w:rPr>
        <w:t>项目联系人：叶工     联系电话</w:t>
      </w:r>
      <w:r>
        <w:rPr>
          <w:rFonts w:ascii="仿宋_GB2312" w:hAnsi="宋体" w:cs="仿宋_GB2312"/>
          <w:sz w:val="24"/>
        </w:rPr>
        <w:t>:</w:t>
      </w:r>
      <w:r>
        <w:rPr>
          <w:rFonts w:hint="eastAsia" w:ascii="仿宋_GB2312" w:hAnsi="宋体" w:cs="仿宋_GB2312"/>
          <w:sz w:val="24"/>
        </w:rPr>
        <w:t>0771-7945829</w:t>
      </w:r>
    </w:p>
    <w:p>
      <w:pPr>
        <w:spacing w:line="500" w:lineRule="exact"/>
        <w:rPr>
          <w:rFonts w:ascii="宋体" w:hAnsi="宋体" w:cs="宋体"/>
          <w:sz w:val="24"/>
        </w:rPr>
      </w:pPr>
      <w:r>
        <w:rPr>
          <w:rFonts w:hint="eastAsia" w:ascii="仿宋_GB2312" w:hAnsi="宋体" w:cs="仿宋_GB2312"/>
          <w:sz w:val="24"/>
        </w:rPr>
        <w:t xml:space="preserve">        3.监督部</w:t>
      </w:r>
      <w:r>
        <w:rPr>
          <w:rFonts w:hint="eastAsia" w:ascii="宋体" w:hAnsi="宋体" w:cs="宋体"/>
          <w:sz w:val="24"/>
        </w:rPr>
        <w:t xml:space="preserve">门：崇左市财政局政府采购监督管理科   </w:t>
      </w:r>
    </w:p>
    <w:p>
      <w:pPr>
        <w:spacing w:line="500" w:lineRule="exact"/>
        <w:ind w:firstLine="960" w:firstLineChars="400"/>
        <w:rPr>
          <w:rFonts w:ascii="宋体" w:hAnsi="宋体" w:cs="宋体"/>
          <w:sz w:val="24"/>
        </w:rPr>
      </w:pPr>
      <w:r>
        <w:rPr>
          <w:rFonts w:hint="eastAsia" w:ascii="宋体" w:hAnsi="宋体" w:cs="宋体"/>
          <w:sz w:val="24"/>
        </w:rPr>
        <w:t xml:space="preserve">电 话：0771-5962613     </w:t>
      </w:r>
    </w:p>
    <w:p>
      <w:pPr>
        <w:spacing w:line="400" w:lineRule="exact"/>
        <w:ind w:left="3915" w:leftChars="1750" w:hanging="240" w:hangingChars="100"/>
        <w:jc w:val="left"/>
        <w:rPr>
          <w:rFonts w:ascii="宋体" w:hAnsi="宋体" w:cs="宋体"/>
          <w:sz w:val="24"/>
          <w:szCs w:val="20"/>
        </w:rPr>
      </w:pPr>
    </w:p>
    <w:p>
      <w:pPr>
        <w:spacing w:line="360" w:lineRule="exact"/>
        <w:jc w:val="left"/>
        <w:rPr>
          <w:rFonts w:ascii="宋体" w:hAnsi="宋体" w:cs="宋体"/>
          <w:sz w:val="24"/>
          <w:szCs w:val="20"/>
        </w:rPr>
      </w:pPr>
    </w:p>
    <w:p>
      <w:pPr>
        <w:spacing w:line="440" w:lineRule="exact"/>
        <w:ind w:firstLine="3120" w:firstLineChars="1300"/>
        <w:jc w:val="left"/>
        <w:rPr>
          <w:rFonts w:ascii="Tahoma" w:hAnsi="Tahoma"/>
          <w:sz w:val="24"/>
          <w:szCs w:val="20"/>
        </w:rPr>
      </w:pPr>
      <w:r>
        <w:rPr>
          <w:rFonts w:hint="eastAsia" w:ascii="宋体" w:hAnsi="宋体" w:cs="宋体"/>
          <w:sz w:val="24"/>
          <w:szCs w:val="20"/>
        </w:rPr>
        <w:t xml:space="preserve">采  购  人：广西民族师范学院               </w:t>
      </w:r>
      <w:r>
        <w:rPr>
          <w:rFonts w:ascii="Tahoma" w:hAnsi="Tahoma"/>
          <w:sz w:val="24"/>
          <w:szCs w:val="20"/>
        </w:rPr>
        <w:t xml:space="preserve">  </w:t>
      </w:r>
      <w:r>
        <w:rPr>
          <w:rFonts w:hint="eastAsia" w:ascii="Tahoma" w:hAnsi="Tahoma"/>
          <w:sz w:val="24"/>
          <w:szCs w:val="20"/>
        </w:rPr>
        <w:t xml:space="preserve">           </w:t>
      </w:r>
    </w:p>
    <w:p>
      <w:pPr>
        <w:spacing w:line="440" w:lineRule="exact"/>
        <w:ind w:left="4545" w:leftChars="850" w:hanging="2760" w:hangingChars="1150"/>
        <w:jc w:val="left"/>
        <w:rPr>
          <w:rFonts w:ascii="Tahoma" w:hAnsi="Tahoma"/>
          <w:sz w:val="24"/>
          <w:szCs w:val="20"/>
        </w:rPr>
      </w:pPr>
      <w:r>
        <w:rPr>
          <w:rFonts w:hint="eastAsia" w:ascii="Tahoma" w:hAnsi="Tahoma"/>
          <w:sz w:val="24"/>
          <w:szCs w:val="20"/>
        </w:rPr>
        <w:t xml:space="preserve">         采购代理机构：广西坤珍建设项目管理咨询有限公司  </w:t>
      </w:r>
      <w:r>
        <w:rPr>
          <w:rFonts w:ascii="Tahoma" w:hAnsi="Tahoma"/>
          <w:sz w:val="24"/>
          <w:szCs w:val="20"/>
        </w:rPr>
        <w:t xml:space="preserve">                                    </w:t>
      </w:r>
      <w:r>
        <w:rPr>
          <w:rFonts w:hint="eastAsia" w:ascii="Tahoma" w:hAnsi="Tahoma"/>
          <w:sz w:val="24"/>
          <w:szCs w:val="20"/>
        </w:rPr>
        <w:t xml:space="preserve">         2021年 </w:t>
      </w:r>
      <w:r>
        <w:rPr>
          <w:rFonts w:hint="eastAsia" w:ascii="Tahoma" w:hAnsi="Tahoma"/>
          <w:sz w:val="24"/>
          <w:szCs w:val="20"/>
          <w:lang w:val="en-US" w:eastAsia="zh-CN"/>
        </w:rPr>
        <w:t>10</w:t>
      </w:r>
      <w:r>
        <w:rPr>
          <w:rFonts w:hint="eastAsia" w:ascii="Tahoma" w:hAnsi="Tahoma"/>
          <w:sz w:val="24"/>
          <w:szCs w:val="20"/>
        </w:rPr>
        <w:t xml:space="preserve">月 </w:t>
      </w:r>
      <w:r>
        <w:rPr>
          <w:rFonts w:hint="eastAsia" w:ascii="Tahoma" w:hAnsi="Tahoma"/>
          <w:sz w:val="24"/>
          <w:szCs w:val="20"/>
          <w:lang w:val="en-US" w:eastAsia="zh-CN"/>
        </w:rPr>
        <w:t>9</w:t>
      </w:r>
      <w:r>
        <w:rPr>
          <w:rFonts w:hint="eastAsia" w:ascii="Tahoma" w:hAnsi="Tahoma"/>
          <w:sz w:val="24"/>
          <w:szCs w:val="20"/>
        </w:rPr>
        <w:t xml:space="preserve"> 日</w:t>
      </w:r>
    </w:p>
    <w:p/>
    <w:p>
      <w:pPr>
        <w:pStyle w:val="3"/>
        <w:ind w:firstLine="2240" w:firstLineChars="700"/>
        <w:jc w:val="both"/>
        <w:rPr>
          <w:rFonts w:ascii="方正小标宋简体" w:eastAsia="方正小标宋简体"/>
          <w:b w:val="0"/>
        </w:rPr>
      </w:pPr>
      <w:r>
        <w:rPr>
          <w:rFonts w:hint="eastAsia" w:ascii="方正小标宋简体" w:eastAsia="方正小标宋简体"/>
          <w:b w:val="0"/>
        </w:rPr>
        <w:t>第二章  采购项目需求</w:t>
      </w:r>
      <w:bookmarkEnd w:id="18"/>
    </w:p>
    <w:p>
      <w:pPr>
        <w:adjustRightInd w:val="0"/>
        <w:spacing w:line="340" w:lineRule="exact"/>
        <w:jc w:val="center"/>
        <w:rPr>
          <w:rFonts w:hAnsi="宋体"/>
          <w:b/>
          <w:sz w:val="28"/>
          <w:szCs w:val="28"/>
        </w:rPr>
      </w:pPr>
      <w:r>
        <w:rPr>
          <w:rFonts w:hint="eastAsia" w:hAnsi="宋体"/>
          <w:b/>
          <w:sz w:val="28"/>
          <w:szCs w:val="28"/>
        </w:rPr>
        <w:t>项目需求一览表</w:t>
      </w:r>
    </w:p>
    <w:p>
      <w:pPr>
        <w:adjustRightInd w:val="0"/>
        <w:spacing w:line="400" w:lineRule="exact"/>
        <w:rPr>
          <w:rFonts w:hAnsi="宋体"/>
          <w:b/>
          <w:szCs w:val="21"/>
        </w:rPr>
      </w:pPr>
      <w:r>
        <w:rPr>
          <w:rFonts w:hint="eastAsia" w:hAnsi="宋体"/>
          <w:b/>
          <w:szCs w:val="21"/>
        </w:rPr>
        <w:t>说明：</w:t>
      </w:r>
    </w:p>
    <w:p>
      <w:pPr>
        <w:adjustRightInd w:val="0"/>
        <w:spacing w:line="400" w:lineRule="exact"/>
        <w:rPr>
          <w:rFonts w:hAnsi="宋体"/>
          <w:b/>
          <w:szCs w:val="21"/>
        </w:rPr>
      </w:pPr>
      <w:r>
        <w:rPr>
          <w:rFonts w:hint="eastAsia" w:hAnsi="宋体"/>
          <w:b/>
          <w:szCs w:val="21"/>
        </w:rPr>
        <w:t xml:space="preserve">   1、本项目需求一览表中所列的品牌、型号仅起参考作用，竞标人可选用其他品牌、型号替代，但替代的品牌、型号在实质性要求和条件上要相当于或优于参考品牌、型号。</w:t>
      </w:r>
    </w:p>
    <w:p>
      <w:pPr>
        <w:adjustRightInd w:val="0"/>
        <w:spacing w:line="400" w:lineRule="exact"/>
        <w:rPr>
          <w:rFonts w:hAnsi="宋体"/>
          <w:b/>
          <w:szCs w:val="21"/>
        </w:rPr>
      </w:pPr>
      <w:r>
        <w:rPr>
          <w:rFonts w:hint="eastAsia" w:hAnsi="宋体"/>
          <w:b/>
          <w:szCs w:val="21"/>
        </w:rPr>
        <w:t xml:space="preserve">   2、凡在“技术参数要求”中表述为“标配”或“标准配置”的设备，竞标人应按第六章“响应文件格式”规定的格式在“报价表”中将其参数详细列明。</w:t>
      </w:r>
    </w:p>
    <w:p>
      <w:pPr>
        <w:adjustRightInd w:val="0"/>
        <w:spacing w:line="400" w:lineRule="exact"/>
        <w:rPr>
          <w:rFonts w:hAnsi="宋体"/>
          <w:b/>
          <w:szCs w:val="21"/>
        </w:rPr>
      </w:pPr>
      <w:r>
        <w:rPr>
          <w:rFonts w:hint="eastAsia" w:hAnsi="宋体"/>
          <w:b/>
          <w:szCs w:val="21"/>
        </w:rPr>
        <w:t xml:space="preserve">   3、本项目需求一览表中的内容如与第五章“合同条款及格式”相关条款不一致的，以本表为准。</w:t>
      </w:r>
    </w:p>
    <w:p>
      <w:pPr>
        <w:adjustRightInd w:val="0"/>
        <w:spacing w:line="400" w:lineRule="exact"/>
        <w:rPr>
          <w:rFonts w:hAnsi="宋体"/>
          <w:b/>
          <w:szCs w:val="21"/>
        </w:rPr>
      </w:pPr>
      <w:r>
        <w:rPr>
          <w:rFonts w:hint="eastAsia" w:hAnsi="宋体"/>
          <w:b/>
          <w:szCs w:val="21"/>
        </w:rPr>
        <w:t xml:space="preserve">   4、若采购货物属于进口产品的，本次采购将优先采购向我国企业转让技术、与我国企业签订消化吸收再创新方案的供应商的进口产品。</w:t>
      </w:r>
    </w:p>
    <w:p>
      <w:pPr>
        <w:adjustRightInd w:val="0"/>
        <w:spacing w:line="400" w:lineRule="exact"/>
        <w:rPr>
          <w:rFonts w:hAnsi="宋体"/>
          <w:b/>
          <w:szCs w:val="21"/>
        </w:rPr>
      </w:pPr>
      <w:r>
        <w:rPr>
          <w:rFonts w:hint="eastAsia" w:hAnsi="宋体"/>
          <w:b/>
          <w:szCs w:val="21"/>
        </w:rPr>
        <w:t xml:space="preserve">   5、若竞标产品为进口产品的，必须提供进口产品合法手续有效证明。</w:t>
      </w:r>
    </w:p>
    <w:p>
      <w:pPr>
        <w:rPr>
          <w:rFonts w:ascii="方正小标宋_GBK" w:hAnsi="仿宋" w:eastAsia="方正小标宋_GBK"/>
          <w:b/>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tbl>
      <w:tblPr>
        <w:tblStyle w:val="16"/>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21"/>
        <w:gridCol w:w="9507"/>
        <w:gridCol w:w="93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2" w:type="dxa"/>
            <w:vAlign w:val="center"/>
          </w:tcPr>
          <w:p>
            <w:pPr>
              <w:widowControl/>
              <w:jc w:val="center"/>
              <w:textAlignment w:val="center"/>
              <w:rPr>
                <w:rFonts w:ascii="宋体" w:hAnsi="宋体" w:eastAsia="宋体" w:cs="宋体"/>
                <w:b/>
                <w:bCs/>
                <w:color w:val="000000"/>
                <w:kern w:val="0"/>
                <w:sz w:val="24"/>
              </w:rPr>
            </w:pPr>
            <w:r>
              <w:rPr>
                <w:rFonts w:hint="eastAsia" w:ascii="黑体" w:hAnsi="宋体" w:eastAsia="黑体" w:cs="黑体"/>
                <w:b/>
                <w:bCs/>
                <w:color w:val="000000"/>
                <w:kern w:val="0"/>
                <w:sz w:val="20"/>
                <w:szCs w:val="20"/>
                <w:lang w:bidi="ar"/>
              </w:rPr>
              <w:t>序号</w:t>
            </w:r>
          </w:p>
        </w:tc>
        <w:tc>
          <w:tcPr>
            <w:tcW w:w="1521" w:type="dxa"/>
            <w:vAlign w:val="center"/>
          </w:tcPr>
          <w:p>
            <w:pPr>
              <w:widowControl/>
              <w:jc w:val="center"/>
              <w:textAlignment w:val="center"/>
              <w:rPr>
                <w:rFonts w:ascii="宋体" w:hAnsi="宋体" w:eastAsia="宋体" w:cs="宋体"/>
                <w:b/>
                <w:bCs/>
                <w:color w:val="000000"/>
                <w:kern w:val="0"/>
                <w:sz w:val="24"/>
              </w:rPr>
            </w:pPr>
            <w:r>
              <w:rPr>
                <w:rFonts w:hint="eastAsia" w:ascii="黑体" w:hAnsi="宋体" w:eastAsia="黑体" w:cs="黑体"/>
                <w:b/>
                <w:bCs/>
                <w:color w:val="000000"/>
                <w:kern w:val="0"/>
                <w:sz w:val="20"/>
                <w:szCs w:val="20"/>
                <w:lang w:bidi="ar"/>
              </w:rPr>
              <w:t>物品名称</w:t>
            </w:r>
          </w:p>
        </w:tc>
        <w:tc>
          <w:tcPr>
            <w:tcW w:w="9507" w:type="dxa"/>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0"/>
                <w:szCs w:val="20"/>
                <w:lang w:bidi="ar"/>
              </w:rPr>
              <w:t>技术参数、性能指标要求</w:t>
            </w:r>
          </w:p>
        </w:tc>
        <w:tc>
          <w:tcPr>
            <w:tcW w:w="930" w:type="dxa"/>
            <w:vAlign w:val="center"/>
          </w:tcPr>
          <w:p>
            <w:pPr>
              <w:widowControl/>
              <w:jc w:val="center"/>
              <w:textAlignment w:val="center"/>
              <w:rPr>
                <w:rFonts w:ascii="宋体" w:hAnsi="宋体" w:eastAsia="宋体" w:cs="宋体"/>
                <w:b/>
                <w:bCs/>
                <w:color w:val="000000"/>
                <w:kern w:val="0"/>
                <w:sz w:val="24"/>
              </w:rPr>
            </w:pPr>
            <w:r>
              <w:rPr>
                <w:rFonts w:hint="eastAsia" w:ascii="黑体" w:hAnsi="宋体" w:eastAsia="黑体" w:cs="黑体"/>
                <w:b/>
                <w:bCs/>
                <w:color w:val="000000"/>
                <w:kern w:val="0"/>
                <w:sz w:val="20"/>
                <w:szCs w:val="20"/>
                <w:lang w:bidi="ar"/>
              </w:rPr>
              <w:t>单位</w:t>
            </w:r>
          </w:p>
        </w:tc>
        <w:tc>
          <w:tcPr>
            <w:tcW w:w="1065" w:type="dxa"/>
            <w:vAlign w:val="center"/>
          </w:tcPr>
          <w:p>
            <w:pPr>
              <w:widowControl/>
              <w:jc w:val="center"/>
              <w:textAlignment w:val="center"/>
              <w:rPr>
                <w:rFonts w:ascii="宋体" w:hAnsi="宋体" w:eastAsia="宋体" w:cs="宋体"/>
                <w:b/>
                <w:bCs/>
                <w:color w:val="000000"/>
                <w:kern w:val="0"/>
                <w:sz w:val="24"/>
              </w:rPr>
            </w:pPr>
            <w:r>
              <w:rPr>
                <w:rFonts w:hint="eastAsia" w:ascii="黑体" w:hAnsi="宋体" w:eastAsia="黑体" w:cs="黑体"/>
                <w:b/>
                <w:bCs/>
                <w:color w:val="000000"/>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8"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1</w:t>
            </w:r>
          </w:p>
        </w:tc>
        <w:tc>
          <w:tcPr>
            <w:tcW w:w="1521"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EDA实验系统</w:t>
            </w:r>
          </w:p>
        </w:tc>
        <w:tc>
          <w:tcPr>
            <w:tcW w:w="9507" w:type="dxa"/>
            <w:vAlign w:val="center"/>
          </w:tcPr>
          <w:p>
            <w:pPr>
              <w:widowControl/>
              <w:jc w:val="left"/>
              <w:textAlignment w:val="center"/>
              <w:rPr>
                <w:rStyle w:val="24"/>
                <w:rFonts w:hint="default" w:asciiTheme="minorEastAsia" w:hAnsiTheme="minorEastAsia" w:eastAsiaTheme="minorEastAsia" w:cstheme="minorEastAsia"/>
                <w:highlight w:val="none"/>
                <w:lang w:bidi="ar"/>
              </w:rPr>
            </w:pPr>
            <w:r>
              <w:rPr>
                <w:rFonts w:hint="eastAsia" w:asciiTheme="minorEastAsia" w:hAnsiTheme="minorEastAsia" w:cstheme="minorEastAsia"/>
                <w:color w:val="000000"/>
                <w:kern w:val="0"/>
                <w:sz w:val="18"/>
                <w:szCs w:val="18"/>
                <w:highlight w:val="none"/>
                <w:lang w:bidi="ar"/>
              </w:rPr>
              <w:t>一、总体要求</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（1）要求平台采用“核心板+主板+扩展板”设计架构。</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（2）要求平台核心板芯片采用Intel Cyclone IV大规模FPGA芯片，提供多种外设资源，至少包含串口、高速USB接口、Ethernet网卡接口、音频接口、电源管理、专用扩展接口，开放所有I/O口。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（3）要求平台主板提供多种扩展单元，至少包含LED灯、拨码开关、按键开关、7寸5点电容触摸屏和双色LED点阵，可根据需求搭建不同的FPGA应用系统及控制系统，方便二次开发应用。</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（4）要求平台支持VHDL语言、Verilog HDL语言、原理图输入电路设计方式。支持通过Intel公司提供的Quartus II软件、IP资源及NIOS-II工具完成不同的SOPC设计。</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5）要求平台搭配FPGA应用开发相关线上课程，配套全套课程资源与开发资料，资料中包含教学PPT、实验讲义、实验案例源码、开发环境及软件工具，同时提供难易程度不同的80多个示例实验程序，满足高职生、本科生和研究生的日常实训实验教学，同时还满足课程设计、毕业设计以及相关电子竞赛用途使用。</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▲（6）要求系统支持EDA、嵌入式、物联网核心技术等线上课程，包含嵌入式微控制器应用开发、EDA技术应用、传感器原理与应用、Android应用开发、物联网通信技术及应用、智能家居系统应用开发、Android AI应用与开发、Python编程、OpenCV计算机视觉应用开发，配套全套课程资源与开发资料，包括教学PPT、实验讲义、实验案例源码、开发环境及软件工具。投标时要求投标人提供包含但不限于含上述线上课程的学习服务平台截图，作为佐证材料。</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二、硬件资源及技术参数要求</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1、核心板技术要求</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★（1）要求PCB采用10层板精心设计，工艺精良；</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★（2）要求主芯片采用Intel公司的Cyclone IV系列EP4CE40F29，门电路高达250万门；</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（3）要求FPGA配置芯片采用EPCS64，容量可达64Mbit，采用AS模式编程，擦写次数高达上万次，通过JTAG和跳线完成程序固化；</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（4）要求提供一路系统复位电路；</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（5）要求提供一路50M高速、稳定的时钟源；</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（6）要求电源管理模块提供+5V、+3.3V、+2.5V、+1.2V电压的电源；</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（7）要求提供SDRAM芯片，容量可达32Mbits；</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（8）要求存储器模块提供1MB SRAM、64MB Nand FLASH以及4MB Nor FLASH；</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（9）要求提供一路音频AD/DA模块，采样频率可达96KHz；</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（10）要求提供一路Ethernet网卡接口，内部集成硬件TCP/IP协议栈+MAC+PHY；</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（11）要求提供两路JTAG接口，支持主芯片和配置芯片的SOPC程序编程、仿真调试及固化；</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（12）要求提供一路RS232串行通信接口，支持与其它设备进行通信，同时可用于SOPC程序调试；</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（13）要求提供一路USB接口，支持USB-HOST主机接口和USB-DEVICE设备接口，支持动态切换主机方式与设备方式，芯片内置USB控制传输的协议处理器，简化常用的控制传输；</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（13）要求提供四个通用自定义按键和四个通用的LED发光二极管；</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（14）要求提供8位数码管；</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（15）要求提供两路高速扩展接口。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2、系统主板技术要求</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（1）要求提供1路任意波形发生器（正弦波、三角波和方波），频率和幅度可调；</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（2）要求提供1路DB9-232串行接口；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（3）要求提供1路支持65536色的VGA接口；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（4）要求提供1路视频输入输出接口；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（5）要求提供1路Ethernet 10M/100M高速接口，支持TCP/IP协议转换；</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（6）要求提供1路PS2接口，可以接键盘或鼠标；</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（7）要求提供1路RS485接口；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（8）要求提供1路USB2.0接口，支持USB协议转换以及与其它设备的数据通信；</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（9）要求提供1路IIC接口的EEPROM；</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★（10）要求提供1路音频模块，支持MP3/WMA/OGG/WAV/FLAC/MIDI音频格式的解码，并支持OGG/WAV音频格式的录音，支持高低音调节以及空间效果设置；</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（11）要求提供1组数字时钟源，至少包含24MHz、12MHz、6MHz、1MHz、100KHz、10KHz、1KHz、100Hz、10Hz、1Hz时钟频率；</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（12）要求提供1路8位高速并行ADC接口模块，速度可达40MSPS；</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（13）要求提供1路8位高速并行DAC接口模块，速度可达33MSPS；</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（14）要求提供1路12位高精度、高速串行ADC接口模块；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（15）要求提供1路12位高精度、高速串行DAC接口模块；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（16）要求提供RTC实时时钟芯片，具有时钟掉电保护、在线充电功能；</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（17）要求提供16个LED显示、16个拨挡开关输入模块、8个独立按键输入模块；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（18）要求提供1个4×4键盘阵列模块；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（19）要求提供1个8位数码管显示模块；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（20）要求提供1个16×16双色点阵模块；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（21）要求提供1个直流电机模块；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（22）要求提供1个步进电机模块；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（23）要求提供1个交通灯模块；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（24）要求提供1个光电传感器测速模块；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（25）要求提供1个霍尔传感器测速模块；</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（26）要求提供1个DS18B20温度传感器；</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（27）要求提供1个SD卡接口；</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（28）要求提供2路高速扩展接口，支持创新设计与二次开发使用；</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（29）要求提供3路电源输出（均带过流、过压保护）；</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（30）要求提供1路7寸5点电容触摸屏。</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三、软件资源要求</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（1）EDA实验</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 xml:space="preserve">要求提供EDA实验不少于四十个，其中包含Verilog与VHDL版本各二十个。 </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（2）SOPC NIOS-II实验</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要求提供SOPC实验不少于二十个。</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highlight w:val="none"/>
                <w:lang w:bidi="ar"/>
              </w:rPr>
              <w:t>★投标时要求投标人现场提供满足上述要求的实验名称及实验指导书目录截图。</w:t>
            </w:r>
          </w:p>
        </w:tc>
        <w:tc>
          <w:tcPr>
            <w:tcW w:w="930" w:type="dxa"/>
            <w:vAlign w:val="center"/>
          </w:tcPr>
          <w:p>
            <w:pPr>
              <w:widowControl/>
              <w:jc w:val="center"/>
              <w:textAlignment w:val="center"/>
              <w:rPr>
                <w:rFonts w:asciiTheme="minorEastAsia" w:hAnsiTheme="minorEastAsia" w:cstheme="minorEastAsia"/>
                <w:sz w:val="18"/>
                <w:szCs w:val="18"/>
                <w:highlight w:val="none"/>
              </w:rPr>
            </w:pPr>
            <w:r>
              <w:rPr>
                <w:rFonts w:hint="eastAsia" w:asciiTheme="minorEastAsia" w:hAnsiTheme="minorEastAsia" w:cstheme="minorEastAsia"/>
                <w:color w:val="000000"/>
                <w:kern w:val="0"/>
                <w:sz w:val="18"/>
                <w:szCs w:val="18"/>
                <w:highlight w:val="none"/>
                <w:lang w:bidi="ar"/>
              </w:rPr>
              <w:t>套</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2</w:t>
            </w:r>
          </w:p>
        </w:tc>
        <w:tc>
          <w:tcPr>
            <w:tcW w:w="1521"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投影仪</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★1、显示技术：0.63英寸多晶硅有源矩阵式TFT液晶板×3；</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★2、标准亮度≥5300流明（ISO21118标准）；</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3、标准分辨率：1024x768，兼容1280x800，比例须与幕布比例一致；</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4、对比度≥1500,000:1；</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5、光源：蓝色激光二极管及荧光轮，蓝色激光波长450-460nm之间，光源寿命≥20000小时（标准模式），</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6、内置扬声器：功率≥16w；</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★7、标准内置接口：必须具备HDBaseTx1，HDMI*2、VGAin*2、VIDEO*1、LAN*1、RS232*1、USB*1、AUDIO IN*2及OUT*1等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8、镜头：标准镜头配置，镜头透射比大于1.6倍变焦，投射比范围达1.15-1.80；</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9、工作噪音：标准模式下≦36dB；</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10、整机功耗：标准模式下≦370W，待机模式下≦0.5W；</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11、尺寸约：500mm（宽）× 136mm（高）×424mm(深)</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12、产品类型：具备高性能的激光工程投影机，机身净重≥7.9kg；</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★13、镜头位移功能：通过手动调节机身上下左右镜头位移旋钮可调节镜头上下左右位移；</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14、支持DICOM模拟模式；</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15、具备自动开启电源功能：当投影机处于待机模式并检测到外部设备的视频信号输入时，可自动启动投影机已在屏幕上自动显示图像；</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16、气压传感监控功能：可针对不同海拔气压的检测结果控制投影机的风扇转速。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★17、状态监视功能：状态监视功能开启后，投影机的角度发生变动时，显示状态开启报警，同时会自动锁定投影机信号输入。</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18、全方位任意角度安装，支持投影机前后纵向翻转360度安装；支持投影机左右侧向翻转360度安装；</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19、可支持双频段（2.4G/5G）无线信号输入；</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20、投影机保修：整机3年；</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★21、产品必须符合国家1级能效标准，并提供中国能效标识网（www.energylabelrecord.com）查询截图；</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台</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3</w:t>
            </w:r>
          </w:p>
        </w:tc>
        <w:tc>
          <w:tcPr>
            <w:tcW w:w="1521"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函数信号发生器</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（1）输出波形：正弦波、方波、斜波、脉冲波、噪声、直流DC、任意波形；</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（2）输出频率范围：正弦波：1µHz～10MHz；方波：1µHz～5MHz；</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  （3）频率分辨率：1µHz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 （4）内置16组任意波，频率范围：1µHz～2MHz；</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（5）输出阻抗：1Ω～999Ω之间可调；</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  （6）内置6位高精度、宽频带频率计、频率范围：1Hz～100MHz；</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（7）输出幅值：1mVpp～23Vpp,输出端电压倒灌保护和短路保护</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 （8）输出幅值和频率误差在±1%左右；</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（9）垂直分辨率：14bit，采样率：125MS/s；</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（10）模拟数字调制类型： AM、FM、PM、ASK、FSK、PSK、PWM、sweep ；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（11）USB Device接口；</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（12）单键飞轮：单个旋钮即可完成波形全部参数的选择/设定/确定；</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（13）显示：4.3英寸WVGA（480×272）TFT液晶屏，同时显示频率、幅值等信息；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（14）支持NeptuneLab实验室管理系统：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1）1图形化实验位总览，及各实验位所有仪器的状态，并用颜色区分未上电或未联接的设备，一目了然。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2）锁定/解锁示波器的AUTO SET功能，增强学生仪器操作的动手能力。</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3）即时通讯功能：教师与学生之间可以通过该功能进行交流，并能给学生发送文件，如预习重点，实验课件。创造出安静的实验室环境。</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4）过程介入，教师可通过教师端随时查看任一学生位仪器的屏幕介面，并能通过虚拟介面操作仪器。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5）教师可以根据自已的课程编辑符合自已特色的实验报告，并且随时可以更改。实验报告中一键自动插入仪器屏幕截图、仪器数据、计算值、仪器状态、实验总结等。</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台</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4</w:t>
            </w:r>
          </w:p>
        </w:tc>
        <w:tc>
          <w:tcPr>
            <w:tcW w:w="1521"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计算机主机</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一 硬件要求；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★1、CPU: Intel第十代 酷睿i3-10100处理器 主频3.6GHZ 缓存≥6M</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2、主板: Intel 400系列及以上芯片组</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3、内存: 4G DDR4  2666MHz双内存插槽设计，支持后期升级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4、硬盘：M.2 256GB SSD,支持双硬盘扩展</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5、显卡：集成显卡</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6、声卡：集成HD Audio，支持5.1声道 提供前2后3共5个音频接口</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7、网卡：集成千兆网卡；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 电源：≥180W  能效可达85%，电源可在90V-265V范围内工作，供货时必须提供性能检测报告或相关证明文件并加盖投标人公章</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9、接口：10个USB接口，前置≥6个USB 3.2Gen 1，后置4个USB 2.0, PS/2接口、 串口，板载VGA口及HDMI视屏接口</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10、机箱：标准立式机箱，不大于14L，前置蜂窝进风孔设计，有效空气流通，促进散热，顶置顶置提手和电源开关键，方便移动办公使用。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11、安全特性：具备智能USB屏蔽技术，可在BIOS中设置USB口仅识别键盘、鼠标，无法识别USB读取设备，有效防止U盘病毒入侵及数据非法拷贝，有效防止数据丢失</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★12、操作系统：</w:t>
            </w:r>
            <w:r>
              <w:rPr>
                <w:rFonts w:hint="eastAsia" w:asciiTheme="minorEastAsia" w:hAnsiTheme="minorEastAsia" w:cstheme="minorEastAsia"/>
                <w:b/>
                <w:bCs/>
                <w:color w:val="FF0000"/>
                <w:kern w:val="0"/>
                <w:sz w:val="18"/>
                <w:szCs w:val="18"/>
                <w:lang w:bidi="ar"/>
              </w:rPr>
              <w:t>出厂预安装Windows 10 GSKU 中国政府版</w:t>
            </w:r>
            <w:r>
              <w:rPr>
                <w:rFonts w:hint="eastAsia" w:asciiTheme="minorEastAsia" w:hAnsiTheme="minorEastAsia" w:cstheme="minorEastAsia"/>
                <w:color w:val="000000"/>
                <w:kern w:val="0"/>
                <w:sz w:val="18"/>
                <w:szCs w:val="18"/>
                <w:lang w:bidi="ar"/>
              </w:rPr>
              <w:t>，操作系统不接受开机二次安装，需体现在装箱清单内，清单序列号可查。</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二、★ 软件要求：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配置云桌面管理软件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（1）为了保证实施运维的方便简单，虚拟化软件需要直接安装在物理服务器上，VOI和IDV两种架构的云桌面服务端可以通过一个安装包实现的统一安装，并立即生效使用，无需部署其他组件。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为保证平台的易用性和便捷性，不需要记录多种平台地址、账号、密码，需要对VOI和IDV两种架构云桌面进行统一管理整合，实现两种平台单一视图的的融合管理平台（响应时必须提供此功能界面截图证明）</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▲（3）同时支持Legacy与UEFI两种方式启动系统，同时兼容新老机型部署（响应时必须提供此功能界面截图证明）。</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▲（4）支持批量管理设置终端机计算机名、IP地址、分辨率、时间同步等配置信息（响应时必须提供此功能界面截图证明，并加盖供应商公章，否则响应无效，供货时提供软件功能演示，否则不予验收）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（5）支持离线脱网运行:客户端可在没有网络连接的情况下可离线运行与在线状态下一致的操作系统及软件，并保证同一桌面环境在线与离线数据一致。</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（6）支持使用U盘/移动硬盘在脱机的情况下（完全没有网络）脱机恢复桌面。</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支持打包windows\Linux系统镜像。客户端可自主选择不同的系统环境启动或由管理端指定启动环境且多个虚拟系统环境可快速切换（响应时必须提供此功能界面截图证明，并加盖供应商公章，否则响应无效，供货时提供软件功能演示，否则不予验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▲（8）提供打印机通道模板，支持打印机的个性化管理（响应时必须提供此功能界面截图证明，并加盖供应商公章，否则响应无效，供货时提供软件功能演示，否则不予验收）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硬件资产管理，支持收集终端硬件配置信息，终端使用时长，空闲时长，开机所用时长并计算使用率。（响应时必须提供此功能界面截图证明，并加盖供应商公章，否则响应无效，供货时提供软件功能演示，否则不予验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▲（10）为管理员提供云桌面数据展示看板，可视化的展示客户使用云桌面过程中的各种硬件、软件、管理等数据信息（响应时必须提供此功能界面截图证明）</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三、资质及售后服务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原厂三年有限上门免费保修服务，要求全年无休服务，第二自然日上门；提供门到桌的安装验机服务；提供厂家大客户专家专人400和800售后服务热线电话，为保障售后服务原厂需在该地市内设有官方服务站（需提供官网截图及网址链接）。</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投标人在中标供货后提供生产厂家针对此项目满足用户要求的售后服务保证原件和授权书原件，加盖厂商红章证明，符合原厂设备机器，采购人保留对成交供应商所竞标的产品进行全面测试的权利，硬件配置必须与机箱清单一致，不接受加改，若测试结果不符合采购文件要求，视为不合格产品，采购方有权拒收。</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台</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5</w:t>
            </w:r>
          </w:p>
        </w:tc>
        <w:tc>
          <w:tcPr>
            <w:tcW w:w="1521"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可编程控制器实验装置</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主要技术要求：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1、电源输入：AC：220V，50Hz</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2、电源输出：DC：24V/2.5A</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3、工作环境温度：－10℃～＋40℃ 相对湿度&lt;85%(25℃)</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4、机箱及外型尺寸：采用铝合金型材，外形参考尺寸：438×350×143mm。</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5、主机：标配三菱FX3U-48MR</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6、模拟控制模块标准配置如下：</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1）装配流水线的模拟控制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2）LED数码显示控制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3）五相步进电机的模拟控制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4）十字路口交通灯控制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5）液体混合装置控制的模拟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6）三层电梯控制系统的模拟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7）机械手动作的模拟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8）四节传送带的模拟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 天塔之光</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 水塔水位的控制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11）三相异步电机模拟控制实验</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12）轧钢机的模拟控制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7、组态棒图实验教学</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采用MCGS工控组态软件，在MCGS通用版组态环境下，任何实验都可以编辑出形象直观、动感强、教学效果好的组态棒图，并进行实验动态跟踪教学。</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可以实现的实验项目</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 可编程控制器的基本指令编程练习</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 装配流水线的模拟控制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3、 LED数码显示控制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 五相步进电机的模拟控制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 十字路口交通灯控制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 液体混合装置控制的模拟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 xml:space="preserve">7、 三层电梯控制系统的模拟 </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 机械手动作的模拟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 四节传送带的模拟</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 天塔之光</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 水塔水位的控制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12、三相异步电机模拟控制实验</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13、轧钢机的模拟控制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14、实验2-11要能在组态软件支持下也能编程运行，实现相应功能。</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套</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6</w:t>
            </w:r>
          </w:p>
        </w:tc>
        <w:tc>
          <w:tcPr>
            <w:tcW w:w="1521"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proteus单片机实验系统</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一、总体要求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（1）要求系统采用“核心板+主板+扩展板”的设计架构，是一种可以应用于多种单片机核心板和扩展板的实验开发平台。</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（2）要求系统支持多种单片机核心板来完成相应的单片机学习实验和系统开发。要求每种单片机核心板有丰富的外围资源，既可以配合实验箱使用，也可以独立供电进行开发使用。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（3）要求系统核心板和功能扩展板可根据需求选配不同的功能模块，也可以根据要求定制相应的功能模块。</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（4）要求系统配备单片机教学常用的外围资源，包括LED、按键、拨档开关、数码管、矩阵键盘、点阵、液晶、AD/DA、存储器和传感器。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（5）要求系统满足单片机相关课程教学、实训及课程设计需求。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▲（6）要求系统支持单片机、物联网核心技术线上课程，包含嵌入式微控制器应用开发、传感器原理与应用、Android应用开发、物联网通信技术及应用、智能家居系统应用开发、Android AI应用与开发、Python编程、OpenCV计算机视觉应用开发，配套全套课程资源与开发资料，包括教学PPT、实验讲义、实验案例源码、开发环境及软件工具</w:t>
            </w:r>
            <w:r>
              <w:rPr>
                <w:rFonts w:hint="eastAsia" w:asciiTheme="minorEastAsia" w:hAnsiTheme="minorEastAsia" w:cstheme="minorEastAsia"/>
                <w:color w:val="000000"/>
                <w:kern w:val="0"/>
                <w:sz w:val="18"/>
                <w:szCs w:val="18"/>
                <w:highlight w:val="none"/>
                <w:lang w:bidi="ar"/>
              </w:rPr>
              <w:t>。投标时要求投标人提供包含但不限于含上述线上课程的学习服务平台截图，作为佐证材料。</w:t>
            </w:r>
            <w:r>
              <w:rPr>
                <w:rFonts w:hint="eastAsia" w:asciiTheme="minorEastAsia" w:hAnsiTheme="minorEastAsia" w:cstheme="minorEastAsia"/>
                <w:color w:val="000000"/>
                <w:kern w:val="0"/>
                <w:sz w:val="18"/>
                <w:szCs w:val="18"/>
                <w:highlight w:val="none"/>
                <w:lang w:bidi="ar"/>
              </w:rPr>
              <w:br w:type="textWrapping"/>
            </w:r>
            <w:r>
              <w:rPr>
                <w:rFonts w:hint="eastAsia" w:asciiTheme="minorEastAsia" w:hAnsiTheme="minorEastAsia" w:cstheme="minorEastAsia"/>
                <w:color w:val="000000"/>
                <w:kern w:val="0"/>
                <w:sz w:val="18"/>
                <w:szCs w:val="18"/>
                <w:lang w:bidi="ar"/>
              </w:rPr>
              <w:t>二、硬件资源及技术参数要求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 核心板技术参数要求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（1）51单片机核心板</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1）要求模块核心芯片采用STC89C52RC，DIP40封装；</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2）要求模块板载1个5V电源接口,支持模块单独供电；</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3）要求模块板载1个USB转串口通信接口；</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4）要求模块板载2个独立按键，1个复位按键；</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5）要求模块板载4个20P防反插座将I/O全部引出，供开发使用；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6）要求模块板载1路短路保护电路；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7）要求模块板载标准ISP下载接口，要求既可以使用外接的USBASP下载线进行程序下载，也可以通过串口直接下载用户程序。</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 主板技术参数要求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（1）要求板载拨动开关：8个；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（2）要求板载电压驱动蜂鸣器：1个；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（3）要求板载脉冲驱动蜂鸣器：1个；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（4）要求板载按键开关：8个；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（5）要求板载IC卡读卡器：1个；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（6）要求板载1602字符液晶：1个；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（7）要求板载12864图形液晶：1个；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（8）要求板载脉冲编码器：1个；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（9）要求板载LED发光二极管：8个；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（10）要求板载串转并模块：1个74HC164；</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（11）要求板载并转串模块：1个74HC165；</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（12）要求板载静态单8字数码管：2个；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（13）要求四位一体数码管：2个；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（14）要求板载逻辑测试笔模块：1个；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（15）要求板载4*4矩阵键盘模块：1个；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（16）要求板载0V～5V可调电压输出：2个；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（17）要求板载EEPROM存储器模块：2个；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（18）要求板载常用脉冲频率发生模块：1个；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（19）要求板载16*16的LED点阵模块：1个；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（20）要求板载PWM信号发生模块：1个；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（21）要求板载PCF8563日历时钟模块：1个；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（22）要求板载红外收发模块：1个；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（23）要求板载并行ADC模块：1个ADC0809；</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（24）要求板载并行DAC模块：1个DAC0832；</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（25）要求板载串行ADC模块：1路8bit；</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（26）要求板载串行DAC模块：4路8bit；</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（27）要求板载直流电机模块：1个；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（28）要求板载步进电机模块：1个；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（29）要求板载RS232通信模块：1个；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（30）要求板载RS485通信模块：1个；</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（31）要求板载IO扩展模块：1个8255A；</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（32）要求板载简易IO扩展模块：1个74HC245；</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（33）要求板载温度传感器模块：2个DS18B20。</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 扩展模块技术参数要求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（1）智能语音交互模块</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1）支持中文普通话和方言识别，用户可自定义学习训练唤醒词和控制指令，学习训练内容不限制语种，不限制说话内容；</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2）支持动态调整录音音量，离线状态下识别指令可达万条；</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3）模块是基于最新DNN深度神经网络识别算法的远场语音识别系统，采用智能语音芯片和高灵敏度数字麦克风，集成本地语音识别、语音增强、语音降噪、声源定位和本地语音合成等多种算法；</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4）提供1路USB转TTL串口电路；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5）提供1路4P UART接口电路；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6）提供1路DC3-20统一标准接口电路；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7）提供1路喇叭接口，提供1路2W喇叭；</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8）支持3.3~5V宽工作电压；</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9）提供1个电源开关并带有电源指示灯。</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w:t>
            </w:r>
            <w:r>
              <w:rPr>
                <w:rFonts w:hint="eastAsia" w:asciiTheme="minorEastAsia" w:hAnsiTheme="minorEastAsia" w:cstheme="minorEastAsia"/>
                <w:color w:val="000000"/>
                <w:kern w:val="0"/>
                <w:sz w:val="18"/>
                <w:szCs w:val="18"/>
                <w:highlight w:val="none"/>
                <w:lang w:bidi="ar"/>
              </w:rPr>
              <w:t>投标时要求投标人现场提供基于智能语音交互模块的单片机综合应用开发案例演示视频，要求包含但不限于实现自定义学习训练唤醒词、自定义学习训练控制指令、中文普通话识别和方言识别等功能，要求实验过程清晰，现象明显，以MP4文件存放于U盘中，作为佐证材料。</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三、配套软件资源要求</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（1）要求提供不少于5个核心板基础实验，要求不少于25个主板硬件开发实验，要求提供不少于5个综合应用开发实验案例，要求提供配套的实验指导书及实验案例源码。</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★投标时要求投标人现场提供满足上述要求的详细实验名称，提供相应案例源码及实验指导书目录截图。</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套</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7</w:t>
            </w:r>
          </w:p>
        </w:tc>
        <w:tc>
          <w:tcPr>
            <w:tcW w:w="1521"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多媒体控制系统</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1、一体式中控，钣金壳体；3路VGA输入，2路VGA输出；3路视频输入，2路视频输出；4路音频输入，2路音频输出；1路RS232编程口，1路RS232控制口，1路红外控制口，1路I/O口；3路强电电源控制，1路计算机开关控制；产品尺寸：230mm×110mm×115mm; 开孔尺寸：214mm*94mm。</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2、面板12个按键，采用机械式轻触开关，按下有“嗒”声提示；具有“上课、“下课”按键，一键开关系统；可实现计算机开关机，音量控制采用数字按键调音模式，具有静音键。</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★3、面板具有“电脑重启”按键。当计算机死机时，可直接操作中控完成电脑重启；可扩展通过手机、平板电脑进行无线控制。</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★4、面板前置接口：1路VGA接口；2路音频接口；1路视频接口；1路MIC接口；1路HDMI接口；1路网络接口；2路USB接口；1路笔记本220V电源输出。</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台</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8</w:t>
            </w:r>
          </w:p>
        </w:tc>
        <w:tc>
          <w:tcPr>
            <w:tcW w:w="1521"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投影仪幕布</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1、品牌幕布类型：D型电教银幕，材质：白塑，产品质量符合GB/T 13982-2011国标要求，投标时提供产品相关检测报告。</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2、电机：管状电容电机，功率≥38W；</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3、幕面解像力：≥125线对/mm，有效散射角≥150度；</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4、幕布尺寸：120寸，升降方式：电动；</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5、产品比例：4：3</w:t>
            </w:r>
            <w:r>
              <w:rPr>
                <w:rFonts w:hint="eastAsia" w:asciiTheme="minorEastAsia" w:hAnsiTheme="minorEastAsia" w:cstheme="minorEastAsia"/>
                <w:color w:val="000000"/>
                <w:kern w:val="0"/>
                <w:sz w:val="18"/>
                <w:szCs w:val="18"/>
                <w:lang w:bidi="ar"/>
              </w:rPr>
              <w:br w:type="textWrapping"/>
            </w:r>
            <w:r>
              <w:rPr>
                <w:rFonts w:hint="eastAsia" w:asciiTheme="minorEastAsia" w:hAnsiTheme="minorEastAsia" w:cstheme="minorEastAsia"/>
                <w:color w:val="000000"/>
                <w:kern w:val="0"/>
                <w:sz w:val="18"/>
                <w:szCs w:val="18"/>
                <w:lang w:bidi="ar"/>
              </w:rPr>
              <w:t>6、甲醛含量：符合GB/T 2912.1-2009要求。</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块</w:t>
            </w:r>
          </w:p>
        </w:tc>
        <w:tc>
          <w:tcPr>
            <w:tcW w:w="1065" w:type="dxa"/>
            <w:shd w:val="clear" w:color="auto" w:fill="FFFFFF"/>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22" w:type="dxa"/>
            <w:vAlign w:val="center"/>
          </w:tcPr>
          <w:p>
            <w:pPr>
              <w:widowControl/>
              <w:jc w:val="center"/>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9</w:t>
            </w:r>
          </w:p>
        </w:tc>
        <w:tc>
          <w:tcPr>
            <w:tcW w:w="1521"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数字功率放大器</w:t>
            </w:r>
          </w:p>
        </w:tc>
        <w:tc>
          <w:tcPr>
            <w:tcW w:w="9507" w:type="dxa"/>
            <w:vAlign w:val="center"/>
          </w:tcPr>
          <w:p>
            <w:pPr>
              <w:widowControl/>
              <w:jc w:val="left"/>
              <w:textAlignment w:val="center"/>
              <w:rPr>
                <w:rStyle w:val="24"/>
                <w:rFonts w:hint="default" w:asciiTheme="minorEastAsia" w:hAnsiTheme="minorEastAsia" w:eastAsiaTheme="minorEastAsia" w:cstheme="minorEastAsia"/>
                <w:lang w:bidi="ar"/>
              </w:rPr>
            </w:pPr>
            <w:r>
              <w:rPr>
                <w:rFonts w:hint="eastAsia" w:asciiTheme="minorEastAsia" w:hAnsiTheme="minorEastAsia" w:cstheme="minorEastAsia"/>
                <w:color w:val="000000"/>
                <w:kern w:val="0"/>
                <w:sz w:val="18"/>
                <w:szCs w:val="18"/>
                <w:lang w:bidi="ar"/>
              </w:rPr>
              <w:t xml:space="preserve">    特有四路音源输入（三路线路，一路USB播放，带电子切换）开机预置“通道1”；USB声卡播放功能，可用USB线连接电脑播放音乐，USB储存器接口；MP3、WAV和WMA三解码多媒体播放器；液晶显示；USB WAV格式数字录音功能；四路话筒输入（前二，后二）平衡与非平衡输入，1、3与2、4话筒独立高低音调节（方便无线话筒与有线话筒输入），专用复合卡侬输入插座，带48V幻象电源和6V极相电源,独立电源开关；本机设置反馈、混响调节功能，且能对话筒、线路的音调、音量，独立调节；一组前级输出，一组录音输出接口及A、B两组功率输出，可驱动4只8欧音箱；机架式机箱, 主要功能键采用暗藏式设计、不便产生误动，也能有效延长扩音系统的使用期限。主要参数：频率响应：线路输入20Hz-20KHz话筒 50Hz-18KHz线路音调控制：高音10KHz±12dB低音100Hz±12dB话筒音调控制：高音 10KHz±12dB低音100Hz±12dB额定输入电平：话筒15mV（非平衡）线路 200mV额定输出电平：线路 0.775V录音  1V 失真度:≤0.03%信噪比:≥85dB(A计权)输出功率:2×150W/4-16Ω 电源：交流220V±10％/50Hz 尺寸：480*340*90( 宽*深*高单位：mm)</w:t>
            </w:r>
          </w:p>
        </w:tc>
        <w:tc>
          <w:tcPr>
            <w:tcW w:w="930" w:type="dxa"/>
            <w:vAlign w:val="center"/>
          </w:tcPr>
          <w:p>
            <w:pPr>
              <w:widowControl/>
              <w:jc w:val="center"/>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台</w:t>
            </w:r>
          </w:p>
        </w:tc>
        <w:tc>
          <w:tcPr>
            <w:tcW w:w="1065" w:type="dxa"/>
            <w:shd w:val="clear" w:color="auto" w:fill="FFFFFF"/>
            <w:vAlign w:val="center"/>
          </w:tcPr>
          <w:p>
            <w:pPr>
              <w:widowControl/>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color w:val="000000"/>
                <w:kern w:val="0"/>
                <w:sz w:val="18"/>
                <w:szCs w:val="18"/>
                <w:lang w:val="en-US" w:eastAsia="zh-CN" w:bidi="ar"/>
              </w:rPr>
              <w:t>2</w:t>
            </w:r>
          </w:p>
        </w:tc>
      </w:tr>
    </w:tbl>
    <w:p>
      <w:pPr>
        <w:widowControl/>
        <w:jc w:val="left"/>
        <w:textAlignment w:val="center"/>
        <w:rPr>
          <w:rFonts w:hint="eastAsia" w:ascii="宋体" w:hAnsi="宋体" w:cs="宋体"/>
          <w:b/>
          <w:bCs/>
          <w:color w:val="000000"/>
          <w:kern w:val="0"/>
          <w:sz w:val="28"/>
          <w:szCs w:val="28"/>
          <w:lang w:bidi="ar"/>
        </w:rPr>
      </w:pPr>
    </w:p>
    <w:p>
      <w:pPr>
        <w:widowControl/>
        <w:jc w:val="left"/>
        <w:textAlignment w:val="center"/>
        <w:rPr>
          <w:rFonts w:hint="eastAsia" w:ascii="宋体" w:hAnsi="宋体" w:cs="宋体"/>
          <w:b/>
          <w:bCs/>
          <w:color w:val="000000"/>
          <w:kern w:val="0"/>
          <w:sz w:val="28"/>
          <w:szCs w:val="28"/>
          <w:lang w:bidi="ar"/>
        </w:rPr>
      </w:pPr>
    </w:p>
    <w:p>
      <w:pPr>
        <w:widowControl/>
        <w:jc w:val="left"/>
        <w:textAlignment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★一、合同签订期：自发布成交公告之日起</w:t>
      </w:r>
      <w:r>
        <w:rPr>
          <w:rFonts w:hint="eastAsia" w:ascii="宋体" w:hAnsi="宋体" w:cs="宋体"/>
          <w:b/>
          <w:bCs/>
          <w:color w:val="000000"/>
          <w:kern w:val="0"/>
          <w:sz w:val="22"/>
          <w:szCs w:val="22"/>
          <w:u w:val="single"/>
          <w:lang w:bidi="ar"/>
        </w:rPr>
        <w:t>15</w:t>
      </w:r>
      <w:r>
        <w:rPr>
          <w:rFonts w:hint="eastAsia" w:ascii="宋体" w:hAnsi="宋体" w:cs="宋体"/>
          <w:color w:val="000000"/>
          <w:kern w:val="0"/>
          <w:sz w:val="22"/>
          <w:szCs w:val="22"/>
          <w:lang w:bidi="ar"/>
        </w:rPr>
        <w:t>日以内。</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★二、交货期：合同</w:t>
      </w:r>
      <w:r>
        <w:rPr>
          <w:rFonts w:hint="eastAsia" w:ascii="宋体" w:hAnsi="宋体" w:cs="宋体"/>
          <w:kern w:val="0"/>
          <w:sz w:val="22"/>
          <w:szCs w:val="22"/>
          <w:lang w:bidi="ar"/>
        </w:rPr>
        <w:t>签订后</w:t>
      </w:r>
      <w:r>
        <w:rPr>
          <w:rFonts w:hint="eastAsia" w:ascii="宋体" w:hAnsi="宋体" w:cs="宋体"/>
          <w:b/>
          <w:bCs/>
          <w:kern w:val="0"/>
          <w:sz w:val="22"/>
          <w:szCs w:val="22"/>
          <w:u w:val="single"/>
          <w:lang w:bidi="ar"/>
        </w:rPr>
        <w:t>30日</w:t>
      </w:r>
      <w:r>
        <w:rPr>
          <w:rFonts w:hint="eastAsia" w:ascii="宋体" w:hAnsi="宋体" w:cs="宋体"/>
          <w:kern w:val="0"/>
          <w:sz w:val="22"/>
          <w:szCs w:val="22"/>
          <w:lang w:bidi="ar"/>
        </w:rPr>
        <w:t>以内</w:t>
      </w:r>
      <w:r>
        <w:rPr>
          <w:rFonts w:hint="eastAsia" w:ascii="宋体" w:hAnsi="宋体" w:cs="宋体"/>
          <w:color w:val="000000"/>
          <w:kern w:val="0"/>
          <w:sz w:val="22"/>
          <w:szCs w:val="22"/>
          <w:lang w:bidi="ar"/>
        </w:rPr>
        <w:t>安装调试完工。</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三、交货地点</w:t>
      </w:r>
      <w:r>
        <w:rPr>
          <w:rFonts w:hint="eastAsia" w:ascii="宋体" w:hAnsi="宋体" w:cs="宋体"/>
          <w:kern w:val="0"/>
          <w:sz w:val="22"/>
          <w:szCs w:val="22"/>
          <w:lang w:bidi="ar"/>
        </w:rPr>
        <w:t>：采购人指定地点。</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四、交货方式：现场交货，成交供应商须与采购单位技术人员共同组织安装、调试、验收，成交供应商必须提供厂商原装、全新的符合国家有关质量标准的货物。</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★五、售后技术服务要求：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1、故障响应时间：成交供应商接到故障通知后在2小时内到达采购人指定现场，并对故障进行及时处理，对于不能及时修复的主要设备要在接到故障报修通知后，24小时内提供替代设备，以保证设备的正常使用。</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2、按国家标准实行“三包”，因产品质量问题发生的相关费用由成交人承担；</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3、免费送货上门、安装、调试，免费提供完善的设备使用、操作培训及中文操作手册；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4、产品质量符合国家现行标准和技术规范。</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★5、供应商交货时，提交货物生产制造商为本次采购货物提供的售后服务技术支持文件（复印件加盖单位公章）。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FF"/>
          <w:kern w:val="0"/>
          <w:sz w:val="22"/>
          <w:szCs w:val="22"/>
          <w:lang w:bidi="ar"/>
        </w:rPr>
      </w:pPr>
      <w:r>
        <w:rPr>
          <w:rFonts w:hint="eastAsia" w:ascii="宋体" w:hAnsi="宋体" w:cs="宋体"/>
          <w:color w:val="000000"/>
          <w:kern w:val="0"/>
          <w:sz w:val="22"/>
          <w:szCs w:val="22"/>
          <w:lang w:bidi="ar"/>
        </w:rPr>
        <w:t>★六、</w:t>
      </w:r>
      <w:r>
        <w:rPr>
          <w:rFonts w:hint="eastAsia" w:ascii="宋体" w:hAnsi="宋体" w:cs="宋体"/>
          <w:color w:val="000000" w:themeColor="text1"/>
          <w:kern w:val="0"/>
          <w:sz w:val="22"/>
          <w:szCs w:val="22"/>
          <w:lang w:bidi="ar"/>
          <w14:textFill>
            <w14:solidFill>
              <w14:schemeClr w14:val="tx1"/>
            </w14:solidFill>
          </w14:textFill>
        </w:rPr>
        <w:t>付款条件：具体详见合同条款</w:t>
      </w:r>
      <w:r>
        <w:rPr>
          <w:rFonts w:hint="eastAsia" w:ascii="宋体" w:hAnsi="宋体" w:cs="宋体"/>
          <w:kern w:val="0"/>
          <w:sz w:val="22"/>
          <w:szCs w:val="22"/>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七、备品备件及耗材等要求：成交供应商应按中标价或优于市场价提供相关配件和服务。</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八、验收条件及标准: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1、常温0℃－35℃，符合合同要求及国家相关标准；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2、参数配置符合标书要求，无任何变动；</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3、中标供应商提供所招标采购的货物、配套设备、所属装置等有关技术资料作为验收的参考依据。</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22"/>
          <w:szCs w:val="22"/>
          <w:lang w:bidi="ar"/>
        </w:rPr>
      </w:pP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bookmarkStart w:id="83" w:name="_GoBack"/>
      <w:bookmarkEnd w:id="83"/>
      <w:r>
        <w:rPr>
          <w:rFonts w:hint="eastAsia" w:ascii="宋体" w:hAnsi="宋体" w:cs="宋体"/>
          <w:color w:val="000000"/>
          <w:kern w:val="0"/>
          <w:sz w:val="22"/>
          <w:szCs w:val="22"/>
          <w:lang w:bidi="ar"/>
        </w:rPr>
        <w:t>九、验收方法及方案：</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验收方式：由采购人、成交供应商、使用方共同现场验收，并出具验收文书。有必要时可委托具有资质的合法第三方检测机构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                                                              2、验收费用：验收所产生的劳务费、检验费（含抽检时可能对样品造成的物理伤害和破坏）、场保费及相关发生的全部费用均由中标人承担。</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★十、投标报价为采购人指定地点的现场交货价，包括：</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1、货物的价格；</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2、货物的标准附件、备品备件、专用工具的价格；</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3、运输、装卸、调试、培训、技术支持、售后服务等费用；</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4、必要的保险费用和各项税费；</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5、设备安装、培训（含教材费、场地租用费）、送货上门的费用；</w:t>
      </w:r>
    </w:p>
    <w:p>
      <w:pPr>
        <w:spacing w:line="400" w:lineRule="exact"/>
        <w:rPr>
          <w:rFonts w:asciiTheme="minorEastAsia" w:hAnsiTheme="minorEastAsia"/>
          <w:b/>
          <w:bCs/>
          <w:sz w:val="24"/>
        </w:rPr>
      </w:pPr>
      <w:r>
        <w:rPr>
          <w:rFonts w:hint="eastAsia" w:ascii="宋体" w:hAnsi="宋体" w:cs="宋体"/>
          <w:color w:val="000000"/>
          <w:kern w:val="0"/>
          <w:sz w:val="22"/>
          <w:szCs w:val="22"/>
          <w:lang w:bidi="ar"/>
        </w:rPr>
        <w:t>6、到现场验收的费用。</w:t>
      </w:r>
    </w:p>
    <w:p>
      <w:pPr>
        <w:spacing w:line="400" w:lineRule="exact"/>
        <w:rPr>
          <w:rFonts w:asciiTheme="minorEastAsia" w:hAnsiTheme="minorEastAsia"/>
          <w:b/>
          <w:bCs/>
          <w:sz w:val="24"/>
        </w:rPr>
        <w:sectPr>
          <w:pgSz w:w="16838" w:h="11906" w:orient="landscape"/>
          <w:pgMar w:top="1800" w:right="1440" w:bottom="1800" w:left="1440" w:header="851" w:footer="992" w:gutter="0"/>
          <w:cols w:space="425" w:num="1"/>
          <w:docGrid w:type="lines" w:linePitch="312" w:charSpace="0"/>
        </w:sectPr>
      </w:pPr>
    </w:p>
    <w:p>
      <w:pPr>
        <w:pStyle w:val="3"/>
        <w:spacing w:line="420" w:lineRule="exact"/>
        <w:rPr>
          <w:rFonts w:ascii="宋体" w:hAnsi="宋体"/>
          <w:b w:val="0"/>
        </w:rPr>
      </w:pPr>
      <w:bookmarkStart w:id="19" w:name="_Toc491248223"/>
      <w:r>
        <w:rPr>
          <w:rFonts w:hint="eastAsia" w:ascii="宋体" w:hAnsi="宋体"/>
        </w:rPr>
        <w:t>第三章  竞标人须知</w:t>
      </w:r>
      <w:bookmarkEnd w:id="19"/>
    </w:p>
    <w:p>
      <w:pPr>
        <w:spacing w:line="420" w:lineRule="exact"/>
        <w:jc w:val="center"/>
        <w:rPr>
          <w:rFonts w:ascii="黑体" w:hAnsi="黑体" w:eastAsia="黑体"/>
          <w:b/>
          <w:sz w:val="32"/>
          <w:szCs w:val="32"/>
        </w:rPr>
      </w:pPr>
      <w:r>
        <w:rPr>
          <w:rFonts w:hint="eastAsia" w:ascii="黑体" w:hAnsi="黑体" w:eastAsia="黑体"/>
          <w:b/>
          <w:sz w:val="32"/>
          <w:szCs w:val="32"/>
        </w:rPr>
        <w:t>一、竞标人须知前附表</w:t>
      </w:r>
    </w:p>
    <w:tbl>
      <w:tblPr>
        <w:tblStyle w:val="15"/>
        <w:tblW w:w="9757" w:type="dxa"/>
        <w:jc w:val="center"/>
        <w:tblLayout w:type="fixed"/>
        <w:tblCellMar>
          <w:top w:w="0" w:type="dxa"/>
          <w:left w:w="108" w:type="dxa"/>
          <w:bottom w:w="0" w:type="dxa"/>
          <w:right w:w="108" w:type="dxa"/>
        </w:tblCellMar>
      </w:tblPr>
      <w:tblGrid>
        <w:gridCol w:w="726"/>
        <w:gridCol w:w="945"/>
        <w:gridCol w:w="8086"/>
      </w:tblGrid>
      <w:tr>
        <w:tblPrEx>
          <w:tblCellMar>
            <w:top w:w="0" w:type="dxa"/>
            <w:left w:w="108" w:type="dxa"/>
            <w:bottom w:w="0" w:type="dxa"/>
            <w:right w:w="108" w:type="dxa"/>
          </w:tblCellMar>
        </w:tblPrEx>
        <w:trPr>
          <w:trHeight w:val="73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b/>
                <w:kern w:val="0"/>
                <w:szCs w:val="21"/>
              </w:rPr>
            </w:pPr>
            <w:r>
              <w:rPr>
                <w:rFonts w:hint="eastAsia" w:ascii="宋体" w:hAnsi="宋体" w:cs="宋体"/>
                <w:b/>
                <w:kern w:val="0"/>
                <w:szCs w:val="21"/>
              </w:rPr>
              <w:t>序号</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b/>
                <w:kern w:val="0"/>
                <w:szCs w:val="21"/>
              </w:rPr>
            </w:pPr>
            <w:r>
              <w:rPr>
                <w:rFonts w:hint="eastAsia" w:ascii="宋体" w:hAnsi="宋体" w:cs="宋体"/>
                <w:b/>
                <w:kern w:val="0"/>
                <w:szCs w:val="21"/>
              </w:rPr>
              <w:t>条款</w:t>
            </w:r>
          </w:p>
          <w:p>
            <w:pPr>
              <w:widowControl/>
              <w:spacing w:line="360" w:lineRule="exact"/>
              <w:jc w:val="center"/>
              <w:rPr>
                <w:rFonts w:ascii="宋体" w:hAnsi="宋体" w:cs="宋体"/>
                <w:b/>
                <w:kern w:val="0"/>
                <w:szCs w:val="21"/>
              </w:rPr>
            </w:pPr>
            <w:r>
              <w:rPr>
                <w:rFonts w:hint="eastAsia" w:ascii="宋体" w:hAnsi="宋体" w:cs="宋体"/>
                <w:b/>
                <w:kern w:val="0"/>
                <w:szCs w:val="21"/>
              </w:rPr>
              <w:t>名称</w:t>
            </w:r>
          </w:p>
        </w:tc>
        <w:tc>
          <w:tcPr>
            <w:tcW w:w="8086"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1391"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项目</w:t>
            </w:r>
          </w:p>
        </w:tc>
        <w:tc>
          <w:tcPr>
            <w:tcW w:w="8086" w:type="dxa"/>
            <w:tcBorders>
              <w:top w:val="single" w:color="000000" w:sz="4" w:space="0"/>
              <w:left w:val="nil"/>
              <w:bottom w:val="single" w:color="000000" w:sz="4" w:space="0"/>
              <w:right w:val="single" w:color="000000" w:sz="4" w:space="0"/>
            </w:tcBorders>
            <w:vAlign w:val="center"/>
          </w:tcPr>
          <w:p>
            <w:pPr>
              <w:pStyle w:val="8"/>
              <w:spacing w:line="360" w:lineRule="auto"/>
              <w:rPr>
                <w:rFonts w:hAnsi="宋体" w:cs="宋体"/>
                <w:kern w:val="0"/>
              </w:rPr>
            </w:pPr>
            <w:r>
              <w:rPr>
                <w:rFonts w:hint="eastAsia" w:hAnsi="宋体" w:cs="宋体"/>
                <w:kern w:val="0"/>
              </w:rPr>
              <w:t>1、项目：广西民族师范学院数模电路试验室设备采购（项目编号：CZZC2021-J1-01849-GXKZ）</w:t>
            </w:r>
          </w:p>
          <w:p>
            <w:pPr>
              <w:pStyle w:val="8"/>
              <w:spacing w:line="360" w:lineRule="auto"/>
              <w:rPr>
                <w:rFonts w:hAnsi="宋体" w:cs="宋体"/>
                <w:kern w:val="0"/>
              </w:rPr>
            </w:pPr>
            <w:r>
              <w:rPr>
                <w:rFonts w:hint="eastAsia" w:hAnsi="宋体" w:cs="宋体"/>
                <w:kern w:val="0"/>
              </w:rPr>
              <w:t>2、资金来源：</w:t>
            </w:r>
            <w:r>
              <w:rPr>
                <w:rFonts w:hint="eastAsia" w:hAnsi="宋体" w:cs="宋体"/>
                <w:kern w:val="0"/>
                <w:lang w:eastAsia="zh-CN"/>
              </w:rPr>
              <w:t>财政资金</w:t>
            </w:r>
            <w:r>
              <w:rPr>
                <w:rFonts w:hint="eastAsia" w:hAnsi="宋体" w:cs="宋体"/>
                <w:kern w:val="0"/>
              </w:rPr>
              <w:t xml:space="preserve"> </w:t>
            </w:r>
          </w:p>
        </w:tc>
      </w:tr>
      <w:tr>
        <w:tblPrEx>
          <w:tblCellMar>
            <w:top w:w="0" w:type="dxa"/>
            <w:left w:w="108" w:type="dxa"/>
            <w:bottom w:w="0" w:type="dxa"/>
            <w:right w:w="108" w:type="dxa"/>
          </w:tblCellMar>
        </w:tblPrEx>
        <w:trPr>
          <w:trHeight w:val="447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竞标</w:t>
            </w:r>
          </w:p>
          <w:p>
            <w:pPr>
              <w:widowControl/>
              <w:spacing w:line="360" w:lineRule="exact"/>
              <w:jc w:val="center"/>
              <w:rPr>
                <w:rFonts w:ascii="宋体" w:hAnsi="宋体" w:cs="宋体"/>
                <w:kern w:val="0"/>
                <w:szCs w:val="21"/>
              </w:rPr>
            </w:pPr>
            <w:r>
              <w:rPr>
                <w:rFonts w:hint="eastAsia" w:ascii="宋体" w:hAnsi="宋体" w:cs="宋体"/>
                <w:kern w:val="0"/>
                <w:szCs w:val="21"/>
              </w:rPr>
              <w:t>资格</w:t>
            </w:r>
          </w:p>
        </w:tc>
        <w:tc>
          <w:tcPr>
            <w:tcW w:w="8086" w:type="dxa"/>
            <w:tcBorders>
              <w:top w:val="single" w:color="000000" w:sz="4" w:space="0"/>
              <w:left w:val="nil"/>
              <w:bottom w:val="single" w:color="000000" w:sz="4" w:space="0"/>
              <w:right w:val="single" w:color="000000" w:sz="4" w:space="0"/>
            </w:tcBorders>
            <w:vAlign w:val="center"/>
          </w:tcPr>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1、符合《中华人民共和国政府采购法》第二十二条规定的条件，在国内注册（指按国家有关规定要求注册的）生产或经营本次采购货物，具备法人资格的供应商。</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2、单位负责人为同一人或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400" w:lineRule="exact"/>
              <w:ind w:firstLine="210" w:firstLineChars="100"/>
              <w:jc w:val="left"/>
              <w:rPr>
                <w:rFonts w:ascii="宋体" w:hAnsi="宋体" w:cs="宋体"/>
                <w:kern w:val="0"/>
                <w:szCs w:val="21"/>
              </w:rPr>
            </w:pPr>
            <w:r>
              <w:rPr>
                <w:rFonts w:hint="eastAsia" w:ascii="宋体" w:hAnsi="宋体" w:cs="宋体"/>
                <w:kern w:val="0"/>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spacing w:after="220"/>
              <w:ind w:firstLine="210" w:firstLineChars="100"/>
              <w:jc w:val="left"/>
              <w:textAlignment w:val="center"/>
              <w:rPr>
                <w:rFonts w:ascii="宋体" w:hAnsi="宋体" w:cs="宋体"/>
                <w:kern w:val="0"/>
                <w:szCs w:val="21"/>
              </w:rPr>
            </w:pPr>
            <w:r>
              <w:rPr>
                <w:rFonts w:hint="eastAsia" w:ascii="宋体" w:hAnsi="宋体" w:cs="宋体"/>
                <w:kern w:val="0"/>
                <w:szCs w:val="21"/>
              </w:rPr>
              <w:t>4、本项目不接受联合体投标。</w:t>
            </w:r>
          </w:p>
        </w:tc>
      </w:tr>
      <w:tr>
        <w:tblPrEx>
          <w:tblCellMar>
            <w:top w:w="0" w:type="dxa"/>
            <w:left w:w="108" w:type="dxa"/>
            <w:bottom w:w="0" w:type="dxa"/>
            <w:right w:w="108" w:type="dxa"/>
          </w:tblCellMar>
        </w:tblPrEx>
        <w:trPr>
          <w:trHeight w:val="91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报价</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竞标人须对《项目需求一览表》及谈判记录中的全部内容作完整唯一报价，否则其竞标将被拒绝。</w:t>
            </w:r>
          </w:p>
        </w:tc>
      </w:tr>
      <w:tr>
        <w:tblPrEx>
          <w:tblCellMar>
            <w:top w:w="0" w:type="dxa"/>
            <w:left w:w="108" w:type="dxa"/>
            <w:bottom w:w="0" w:type="dxa"/>
            <w:right w:w="108" w:type="dxa"/>
          </w:tblCellMar>
        </w:tblPrEx>
        <w:trPr>
          <w:trHeight w:val="91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响应</w:t>
            </w:r>
          </w:p>
          <w:p>
            <w:pPr>
              <w:widowControl/>
              <w:spacing w:line="360" w:lineRule="exact"/>
              <w:jc w:val="center"/>
              <w:rPr>
                <w:rFonts w:ascii="宋体" w:hAnsi="宋体" w:cs="宋体"/>
                <w:kern w:val="0"/>
                <w:szCs w:val="21"/>
              </w:rPr>
            </w:pPr>
            <w:r>
              <w:rPr>
                <w:rFonts w:hint="eastAsia" w:ascii="宋体" w:hAnsi="宋体" w:cs="宋体"/>
                <w:kern w:val="0"/>
                <w:szCs w:val="21"/>
              </w:rPr>
              <w:t>文件</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ind w:left="746" w:hanging="720"/>
              <w:rPr>
                <w:rFonts w:ascii="宋体" w:hAnsi="宋体" w:cs="宋体"/>
                <w:kern w:val="0"/>
                <w:szCs w:val="21"/>
              </w:rPr>
            </w:pPr>
            <w:r>
              <w:rPr>
                <w:rFonts w:hint="eastAsia" w:ascii="宋体" w:hAnsi="宋体" w:cs="宋体"/>
                <w:kern w:val="0"/>
                <w:szCs w:val="21"/>
              </w:rPr>
              <w:t>正本一份、副本四份。</w:t>
            </w:r>
          </w:p>
        </w:tc>
      </w:tr>
      <w:tr>
        <w:tblPrEx>
          <w:tblCellMar>
            <w:top w:w="0" w:type="dxa"/>
            <w:left w:w="108" w:type="dxa"/>
            <w:bottom w:w="0" w:type="dxa"/>
            <w:right w:w="108" w:type="dxa"/>
          </w:tblCellMar>
        </w:tblPrEx>
        <w:trPr>
          <w:trHeight w:val="2765"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文件递交时间</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响应文件递交截止时间：</w:t>
            </w:r>
            <w:r>
              <w:rPr>
                <w:rFonts w:hint="eastAsia"/>
                <w:color w:val="auto"/>
              </w:rPr>
              <w:t>2021年</w:t>
            </w:r>
            <w:r>
              <w:rPr>
                <w:rFonts w:hint="eastAsia"/>
                <w:color w:val="auto"/>
                <w:lang w:val="en-US" w:eastAsia="zh-CN"/>
              </w:rPr>
              <w:t>10</w:t>
            </w:r>
            <w:r>
              <w:rPr>
                <w:rFonts w:hint="eastAsia"/>
                <w:color w:val="auto"/>
              </w:rPr>
              <w:t xml:space="preserve">月 </w:t>
            </w:r>
            <w:r>
              <w:rPr>
                <w:rFonts w:hint="eastAsia"/>
                <w:color w:val="auto"/>
                <w:lang w:val="en-US" w:eastAsia="zh-CN"/>
              </w:rPr>
              <w:t>14</w:t>
            </w:r>
            <w:r>
              <w:rPr>
                <w:rFonts w:hint="eastAsia"/>
                <w:color w:val="auto"/>
              </w:rPr>
              <w:t>日 10时00 分；响应文件必须以密封形式于规定时间前递交到</w:t>
            </w:r>
            <w:r>
              <w:rPr>
                <w:rFonts w:hint="eastAsia" w:ascii="宋体" w:hAnsi="宋体" w:cs="宋体"/>
                <w:color w:val="auto"/>
                <w:kern w:val="0"/>
                <w:szCs w:val="21"/>
              </w:rPr>
              <w:t>广西坤珍建设项目管理咨询有限公司</w:t>
            </w:r>
            <w:r>
              <w:rPr>
                <w:rFonts w:hint="eastAsia" w:ascii="宋体" w:hAnsi="宋体"/>
                <w:color w:val="auto"/>
              </w:rPr>
              <w:t>【崇</w:t>
            </w:r>
            <w:r>
              <w:rPr>
                <w:rFonts w:hint="eastAsia" w:ascii="宋体" w:hAnsi="宋体"/>
              </w:rPr>
              <w:t>左市友谊大道嘉苑小区转角地块22号三楼（市发改委后面）】</w:t>
            </w:r>
            <w:r>
              <w:rPr>
                <w:rFonts w:hint="eastAsia" w:ascii="宋体" w:hAnsi="宋体" w:cs="宋体"/>
                <w:kern w:val="0"/>
                <w:szCs w:val="21"/>
              </w:rPr>
              <w:t>开</w:t>
            </w:r>
            <w:r>
              <w:rPr>
                <w:rFonts w:hint="eastAsia" w:ascii="宋体" w:hAnsi="宋体"/>
                <w:szCs w:val="21"/>
              </w:rPr>
              <w:t>标厅</w:t>
            </w:r>
            <w:r>
              <w:rPr>
                <w:rFonts w:hint="eastAsia"/>
              </w:rPr>
              <w:t>，逾期不受理。</w:t>
            </w:r>
          </w:p>
          <w:p>
            <w:pPr>
              <w:widowControl/>
              <w:spacing w:line="340" w:lineRule="exact"/>
            </w:pPr>
            <w:r>
              <w:rPr>
                <w:rFonts w:hint="eastAsia"/>
                <w:b/>
                <w:szCs w:val="21"/>
              </w:rPr>
              <w:t>注意事项：竞标人的法定代表人或其委托代理人提交响应文件时，必须提交以下开标资料：竞标人的法定代表人参加时须出示本人身份证及营业执照副本复印件；委托代理人参加时须出示本人身份证、法人授权委托书原件及营业执照副本复印件、竞标保证金缴纳证明复印件。否则拒收竞标文件。如资料不齐或无效的将拒收其响应文件。</w:t>
            </w:r>
          </w:p>
        </w:tc>
      </w:tr>
      <w:tr>
        <w:tblPrEx>
          <w:tblCellMar>
            <w:top w:w="0" w:type="dxa"/>
            <w:left w:w="108" w:type="dxa"/>
            <w:bottom w:w="0" w:type="dxa"/>
            <w:right w:w="108" w:type="dxa"/>
          </w:tblCellMar>
        </w:tblPrEx>
        <w:trPr>
          <w:trHeight w:val="904"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文件</w:t>
            </w:r>
          </w:p>
          <w:p>
            <w:pPr>
              <w:widowControl/>
              <w:spacing w:line="360" w:lineRule="exact"/>
              <w:jc w:val="center"/>
              <w:rPr>
                <w:rFonts w:ascii="宋体" w:hAnsi="宋体" w:cs="宋体"/>
                <w:kern w:val="0"/>
                <w:szCs w:val="21"/>
              </w:rPr>
            </w:pPr>
            <w:r>
              <w:rPr>
                <w:rFonts w:hint="eastAsia" w:ascii="宋体" w:hAnsi="宋体" w:cs="宋体"/>
                <w:kern w:val="0"/>
                <w:szCs w:val="21"/>
              </w:rPr>
              <w:t>有效期</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pPr>
            <w:r>
              <w:rPr>
                <w:rFonts w:hint="eastAsia"/>
              </w:rPr>
              <w:t>截止日期后60天。</w:t>
            </w:r>
          </w:p>
        </w:tc>
      </w:tr>
      <w:tr>
        <w:tblPrEx>
          <w:tblCellMar>
            <w:top w:w="0" w:type="dxa"/>
            <w:left w:w="108" w:type="dxa"/>
            <w:bottom w:w="0" w:type="dxa"/>
            <w:right w:w="108" w:type="dxa"/>
          </w:tblCellMar>
        </w:tblPrEx>
        <w:trPr>
          <w:trHeight w:val="415"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保证金</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rPr>
                <w:rFonts w:ascii="宋体" w:hAnsi="宋体"/>
              </w:rPr>
            </w:pPr>
            <w:r>
              <w:rPr>
                <w:rFonts w:hint="eastAsia" w:ascii="宋体" w:hAnsi="宋体"/>
              </w:rPr>
              <w:t>本项目不收取投标保证金</w:t>
            </w:r>
          </w:p>
        </w:tc>
      </w:tr>
      <w:tr>
        <w:tblPrEx>
          <w:tblCellMar>
            <w:top w:w="0" w:type="dxa"/>
            <w:left w:w="108" w:type="dxa"/>
            <w:bottom w:w="0" w:type="dxa"/>
            <w:right w:w="108" w:type="dxa"/>
          </w:tblCellMar>
        </w:tblPrEx>
        <w:trPr>
          <w:trHeight w:val="1011"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谈判</w:t>
            </w:r>
          </w:p>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 xml:space="preserve"> 时间</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rPr>
                <w:color w:val="auto"/>
              </w:rPr>
            </w:pPr>
            <w:r>
              <w:rPr>
                <w:rFonts w:hint="eastAsia"/>
                <w:color w:val="auto"/>
              </w:rPr>
              <w:t>2021年</w:t>
            </w:r>
            <w:r>
              <w:rPr>
                <w:rFonts w:hint="eastAsia"/>
                <w:color w:val="auto"/>
                <w:lang w:val="en-US" w:eastAsia="zh-CN"/>
              </w:rPr>
              <w:t>10</w:t>
            </w:r>
            <w:r>
              <w:rPr>
                <w:rFonts w:hint="eastAsia"/>
                <w:color w:val="auto"/>
              </w:rPr>
              <w:t xml:space="preserve">月 </w:t>
            </w:r>
            <w:r>
              <w:rPr>
                <w:rFonts w:hint="eastAsia"/>
                <w:color w:val="auto"/>
                <w:lang w:val="en-US" w:eastAsia="zh-CN"/>
              </w:rPr>
              <w:t>14</w:t>
            </w:r>
            <w:r>
              <w:rPr>
                <w:rFonts w:hint="eastAsia"/>
                <w:color w:val="auto"/>
              </w:rPr>
              <w:t xml:space="preserve"> 日 10 时00 分截标</w:t>
            </w:r>
            <w:r>
              <w:rPr>
                <w:rFonts w:hint="eastAsia" w:ascii="宋体" w:hAnsi="宋体"/>
                <w:color w:val="auto"/>
              </w:rPr>
              <w:t>后为与竞标人谈判时间，具体时间由采购代理机构另行通知。参加竞标的法定代表人或委托代理人必须持有效证件依时到达指定地点等候当面谈判。</w:t>
            </w:r>
          </w:p>
          <w:p>
            <w:pPr>
              <w:widowControl/>
              <w:spacing w:line="340" w:lineRule="exact"/>
              <w:rPr>
                <w:color w:val="auto"/>
              </w:rPr>
            </w:pPr>
            <w:r>
              <w:rPr>
                <w:rFonts w:hint="eastAsia"/>
                <w:color w:val="auto"/>
              </w:rPr>
              <w:t>谈判地点：广西坤珍建设项目管理咨询有限公司【崇左市友谊大道嘉苑小区转角地块22号三楼（市发改委后面）】</w:t>
            </w:r>
          </w:p>
        </w:tc>
      </w:tr>
      <w:tr>
        <w:tblPrEx>
          <w:tblCellMar>
            <w:top w:w="0" w:type="dxa"/>
            <w:left w:w="108" w:type="dxa"/>
            <w:bottom w:w="0" w:type="dxa"/>
            <w:right w:w="108" w:type="dxa"/>
          </w:tblCellMar>
        </w:tblPrEx>
        <w:trPr>
          <w:trHeight w:val="696"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履约</w:t>
            </w:r>
          </w:p>
          <w:p>
            <w:pPr>
              <w:widowControl/>
              <w:spacing w:line="360" w:lineRule="exact"/>
              <w:jc w:val="center"/>
              <w:rPr>
                <w:rFonts w:ascii="宋体" w:hAnsi="宋体" w:cs="宋体"/>
                <w:kern w:val="0"/>
                <w:szCs w:val="21"/>
              </w:rPr>
            </w:pPr>
            <w:r>
              <w:rPr>
                <w:rFonts w:hint="eastAsia" w:ascii="宋体" w:hAnsi="宋体" w:cs="宋体"/>
                <w:kern w:val="0"/>
                <w:szCs w:val="21"/>
              </w:rPr>
              <w:t>保证金</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ind w:firstLine="420" w:firstLineChars="200"/>
              <w:rPr>
                <w:rFonts w:hAnsi="宋体" w:cs="宋体"/>
                <w:kern w:val="0"/>
              </w:rPr>
            </w:pPr>
            <w:r>
              <w:rPr>
                <w:rFonts w:hint="eastAsia" w:hAnsi="宋体" w:cs="宋体"/>
                <w:kern w:val="0"/>
              </w:rPr>
              <w:t>无</w:t>
            </w:r>
          </w:p>
        </w:tc>
      </w:tr>
      <w:tr>
        <w:tblPrEx>
          <w:tblCellMar>
            <w:top w:w="0" w:type="dxa"/>
            <w:left w:w="108" w:type="dxa"/>
            <w:bottom w:w="0" w:type="dxa"/>
            <w:right w:w="108" w:type="dxa"/>
          </w:tblCellMar>
        </w:tblPrEx>
        <w:trPr>
          <w:trHeight w:val="71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评标</w:t>
            </w:r>
          </w:p>
        </w:tc>
        <w:tc>
          <w:tcPr>
            <w:tcW w:w="8086" w:type="dxa"/>
            <w:tcBorders>
              <w:top w:val="single" w:color="000000" w:sz="4" w:space="0"/>
              <w:left w:val="nil"/>
              <w:bottom w:val="single" w:color="000000" w:sz="4" w:space="0"/>
              <w:right w:val="single" w:color="000000" w:sz="4" w:space="0"/>
            </w:tcBorders>
            <w:vAlign w:val="center"/>
          </w:tcPr>
          <w:p>
            <w:pPr>
              <w:widowControl/>
              <w:spacing w:line="340" w:lineRule="exact"/>
              <w:rPr>
                <w:rFonts w:ascii="宋体" w:hAnsi="宋体" w:cs="宋体"/>
                <w:kern w:val="0"/>
                <w:szCs w:val="21"/>
              </w:rPr>
            </w:pPr>
            <w:r>
              <w:rPr>
                <w:rFonts w:hint="eastAsia" w:ascii="宋体" w:hAnsi="宋体" w:cs="宋体"/>
                <w:kern w:val="0"/>
                <w:szCs w:val="21"/>
              </w:rPr>
              <w:t>评标原则和评标方法：</w:t>
            </w:r>
            <w:r>
              <w:rPr>
                <w:rFonts w:hint="eastAsia"/>
              </w:rPr>
              <w:t>详细见第四章</w:t>
            </w:r>
          </w:p>
        </w:tc>
      </w:tr>
      <w:tr>
        <w:tblPrEx>
          <w:tblCellMar>
            <w:top w:w="0" w:type="dxa"/>
            <w:left w:w="108" w:type="dxa"/>
            <w:bottom w:w="0" w:type="dxa"/>
            <w:right w:w="108" w:type="dxa"/>
          </w:tblCellMar>
        </w:tblPrEx>
        <w:trPr>
          <w:trHeight w:val="83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中标</w:t>
            </w:r>
          </w:p>
          <w:p>
            <w:pPr>
              <w:widowControl/>
              <w:spacing w:line="360" w:lineRule="exact"/>
              <w:jc w:val="center"/>
              <w:rPr>
                <w:rFonts w:ascii="宋体" w:hAnsi="宋体" w:cs="宋体"/>
                <w:kern w:val="0"/>
                <w:szCs w:val="21"/>
              </w:rPr>
            </w:pPr>
            <w:r>
              <w:rPr>
                <w:rFonts w:hint="eastAsia" w:ascii="宋体" w:hAnsi="宋体" w:cs="宋体"/>
                <w:kern w:val="0"/>
                <w:szCs w:val="21"/>
              </w:rPr>
              <w:t>结果</w:t>
            </w:r>
          </w:p>
        </w:tc>
        <w:tc>
          <w:tcPr>
            <w:tcW w:w="8086" w:type="dxa"/>
            <w:tcBorders>
              <w:top w:val="single" w:color="000000" w:sz="4" w:space="0"/>
              <w:left w:val="nil"/>
              <w:bottom w:val="single" w:color="000000" w:sz="4" w:space="0"/>
              <w:right w:val="single" w:color="000000" w:sz="4" w:space="0"/>
            </w:tcBorders>
            <w:vAlign w:val="center"/>
          </w:tcPr>
          <w:p>
            <w:pPr>
              <w:spacing w:line="400" w:lineRule="exact"/>
              <w:rPr>
                <w:rFonts w:hAnsi="宋体"/>
              </w:rPr>
            </w:pPr>
            <w:r>
              <w:rPr>
                <w:rFonts w:hint="eastAsia" w:ascii="宋体" w:hAnsi="宋体" w:cs="仿宋"/>
                <w:sz w:val="24"/>
              </w:rPr>
              <w:t xml:space="preserve">中国政府采购网、广西壮族自治区政府采购网站上发布。                            </w:t>
            </w:r>
          </w:p>
        </w:tc>
      </w:tr>
      <w:tr>
        <w:tblPrEx>
          <w:tblCellMar>
            <w:top w:w="0" w:type="dxa"/>
            <w:left w:w="108" w:type="dxa"/>
            <w:bottom w:w="0" w:type="dxa"/>
            <w:right w:w="108" w:type="dxa"/>
          </w:tblCellMar>
        </w:tblPrEx>
        <w:trPr>
          <w:trHeight w:val="252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94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服务费</w:t>
            </w:r>
          </w:p>
        </w:tc>
        <w:tc>
          <w:tcPr>
            <w:tcW w:w="8086" w:type="dxa"/>
            <w:tcBorders>
              <w:top w:val="single" w:color="000000" w:sz="4" w:space="0"/>
              <w:left w:val="nil"/>
              <w:bottom w:val="single" w:color="000000" w:sz="4" w:space="0"/>
              <w:right w:val="single" w:color="000000" w:sz="4" w:space="0"/>
            </w:tcBorders>
            <w:vAlign w:val="center"/>
          </w:tcPr>
          <w:p>
            <w:pPr>
              <w:spacing w:line="400" w:lineRule="exact"/>
              <w:rPr>
                <w:rFonts w:hAnsi="宋体"/>
              </w:rPr>
            </w:pPr>
            <w:r>
              <w:rPr>
                <w:rFonts w:hint="eastAsia" w:hAnsi="宋体"/>
              </w:rPr>
              <w:t>成交服务费：签订合同前，成交竞标人领取成交通知书时须向采购代理机构一次性付清成交服务费。</w:t>
            </w:r>
          </w:p>
          <w:p>
            <w:pPr>
              <w:widowControl/>
              <w:spacing w:line="340" w:lineRule="exact"/>
              <w:rPr>
                <w:rFonts w:hAnsi="宋体"/>
              </w:rPr>
            </w:pPr>
            <w:r>
              <w:rPr>
                <w:rFonts w:hint="eastAsia" w:hAnsi="宋体"/>
              </w:rPr>
              <w:t>成交服务费参照国家发展和改革委员会文件发改价格【2011】534号《国家发展改革委关于降低部分建设项目收费标准规范收费行为等有关问题的通知》的规定收取，以差额定率累进法计算。采购代理机构按成交竞标人所成交的合同金额收取相应的成交服务费。</w:t>
            </w:r>
          </w:p>
        </w:tc>
      </w:tr>
    </w:tbl>
    <w:p/>
    <w:p>
      <w:pPr>
        <w:sectPr>
          <w:pgSz w:w="11906" w:h="16838"/>
          <w:pgMar w:top="1440" w:right="1800" w:bottom="1440" w:left="1800" w:header="851" w:footer="992" w:gutter="0"/>
          <w:cols w:space="425" w:num="1"/>
          <w:docGrid w:type="lines" w:linePitch="312" w:charSpace="0"/>
        </w:sectPr>
      </w:pPr>
    </w:p>
    <w:p/>
    <w:p>
      <w:pPr>
        <w:pStyle w:val="4"/>
        <w:numPr>
          <w:ilvl w:val="0"/>
          <w:numId w:val="2"/>
        </w:numPr>
        <w:jc w:val="center"/>
      </w:pPr>
      <w:bookmarkStart w:id="20" w:name="_Toc491248224"/>
      <w:r>
        <w:rPr>
          <w:rFonts w:hint="eastAsia"/>
        </w:rPr>
        <w:t>竞标人须知</w:t>
      </w:r>
      <w:bookmarkEnd w:id="20"/>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0" w:firstLineChars="200"/>
        <w:jc w:val="left"/>
        <w:rPr>
          <w:rFonts w:ascii="宋体" w:hAnsi="宋体"/>
          <w:szCs w:val="21"/>
        </w:rPr>
      </w:pPr>
      <w:r>
        <w:rPr>
          <w:rFonts w:hint="eastAsia" w:ascii="宋体" w:hAnsi="宋体"/>
          <w:szCs w:val="21"/>
        </w:rPr>
        <w:t>1. 适用范围</w:t>
      </w:r>
    </w:p>
    <w:p>
      <w:pPr>
        <w:pStyle w:val="8"/>
        <w:spacing w:line="360" w:lineRule="auto"/>
        <w:ind w:firstLine="405"/>
        <w:jc w:val="left"/>
        <w:rPr>
          <w:rFonts w:asciiTheme="minorEastAsia" w:hAnsiTheme="minorEastAsia"/>
          <w:bCs/>
          <w:sz w:val="24"/>
          <w:szCs w:val="24"/>
        </w:rPr>
      </w:pPr>
      <w:r>
        <w:rPr>
          <w:rFonts w:hint="eastAsia"/>
        </w:rPr>
        <w:t>1.1项目名称：广西民族师范学院数模电路试验室设备采购</w:t>
      </w:r>
    </w:p>
    <w:p>
      <w:pPr>
        <w:pStyle w:val="8"/>
        <w:spacing w:line="360" w:lineRule="auto"/>
        <w:ind w:firstLine="210" w:firstLineChars="100"/>
        <w:jc w:val="left"/>
      </w:pPr>
      <w:r>
        <w:rPr>
          <w:rFonts w:hint="eastAsia"/>
        </w:rPr>
        <w:t>1.2项目编号：</w:t>
      </w:r>
      <w:r>
        <w:rPr>
          <w:rFonts w:hint="eastAsia" w:hAnsi="宋体" w:cs="宋体"/>
          <w:kern w:val="0"/>
        </w:rPr>
        <w:t xml:space="preserve">CZZC2021-J1-01849-GXKZ  </w:t>
      </w:r>
      <w:r>
        <w:rPr>
          <w:rFonts w:hint="eastAsia" w:hAnsi="宋体" w:cs="宋体"/>
          <w:color w:val="FF0000"/>
          <w:kern w:val="0"/>
        </w:rPr>
        <w:t xml:space="preserve"> </w:t>
      </w:r>
      <w:r>
        <w:rPr>
          <w:rFonts w:hint="eastAsia" w:hAnsi="宋体" w:cs="宋体"/>
          <w:kern w:val="0"/>
        </w:rPr>
        <w:t xml:space="preserve">   </w:t>
      </w:r>
    </w:p>
    <w:p>
      <w:pPr>
        <w:pStyle w:val="8"/>
        <w:spacing w:line="400" w:lineRule="exact"/>
        <w:ind w:firstLine="411" w:firstLineChars="196"/>
        <w:jc w:val="left"/>
        <w:rPr>
          <w:rFonts w:hAnsi="宋体"/>
        </w:rPr>
      </w:pPr>
      <w:r>
        <w:rPr>
          <w:rFonts w:hint="eastAsia" w:hAnsi="宋体"/>
        </w:rPr>
        <w:t>本文件仅适用于本文件中所叙述的货物、服务类政府采购项目。</w:t>
      </w:r>
    </w:p>
    <w:p>
      <w:pPr>
        <w:spacing w:line="400" w:lineRule="exact"/>
        <w:ind w:firstLine="420" w:firstLineChars="200"/>
        <w:jc w:val="left"/>
        <w:rPr>
          <w:rFonts w:ascii="宋体" w:hAnsi="宋体"/>
          <w:szCs w:val="21"/>
        </w:rPr>
      </w:pPr>
      <w:r>
        <w:rPr>
          <w:rFonts w:hint="eastAsia" w:ascii="宋体" w:hAnsi="宋体"/>
          <w:szCs w:val="21"/>
        </w:rPr>
        <w:t>2. 定义</w:t>
      </w:r>
    </w:p>
    <w:p>
      <w:pPr>
        <w:spacing w:line="400" w:lineRule="exact"/>
        <w:ind w:firstLine="420" w:firstLineChars="200"/>
        <w:jc w:val="left"/>
        <w:rPr>
          <w:rFonts w:ascii="宋体" w:hAnsi="宋体"/>
          <w:szCs w:val="21"/>
        </w:rPr>
      </w:pPr>
      <w:r>
        <w:rPr>
          <w:rFonts w:hint="eastAsia" w:ascii="宋体" w:hAnsi="宋体"/>
          <w:szCs w:val="21"/>
        </w:rPr>
        <w:t>2.1“采购代理机构”是指：</w:t>
      </w:r>
      <w:r>
        <w:rPr>
          <w:rFonts w:hint="eastAsia" w:ascii="宋体" w:hAnsi="宋体"/>
        </w:rPr>
        <w:t>广西坤珍建设项目管理咨询有限公司。</w:t>
      </w:r>
    </w:p>
    <w:p>
      <w:pPr>
        <w:spacing w:line="400" w:lineRule="exact"/>
        <w:ind w:firstLine="420" w:firstLineChars="200"/>
        <w:jc w:val="left"/>
        <w:rPr>
          <w:rFonts w:ascii="宋体" w:hAnsi="宋体"/>
          <w:szCs w:val="21"/>
        </w:rPr>
      </w:pPr>
      <w:r>
        <w:rPr>
          <w:rFonts w:hint="eastAsia" w:ascii="宋体" w:hAnsi="宋体"/>
          <w:szCs w:val="21"/>
        </w:rPr>
        <w:t>2.2“竞标人”是指响应本文件要求，参加谈判的法人或</w:t>
      </w:r>
      <w:r>
        <w:rPr>
          <w:rFonts w:hint="eastAsia" w:ascii="宋体" w:hAnsi="宋体"/>
        </w:rPr>
        <w:t>具备法人资格的国内注册供应商</w:t>
      </w:r>
      <w:r>
        <w:rPr>
          <w:rFonts w:hint="eastAsia" w:ascii="宋体" w:hAnsi="宋体"/>
          <w:szCs w:val="21"/>
        </w:rPr>
        <w:t>。如果该竞标人在本次谈判中成交,即成为“成交竞标人”。</w:t>
      </w:r>
    </w:p>
    <w:p>
      <w:pPr>
        <w:spacing w:line="400" w:lineRule="exact"/>
        <w:ind w:firstLine="420" w:firstLineChars="200"/>
        <w:jc w:val="left"/>
        <w:rPr>
          <w:rFonts w:ascii="宋体" w:hAnsi="宋体"/>
          <w:szCs w:val="21"/>
        </w:rPr>
      </w:pPr>
      <w:r>
        <w:rPr>
          <w:rFonts w:hint="eastAsia" w:ascii="宋体" w:hAnsi="宋体"/>
          <w:szCs w:val="21"/>
        </w:rPr>
        <w:t>2.3“货物和服务”是指本次采购文件中所采购的各种形态和种类的产品以及其提供的服务。</w:t>
      </w:r>
    </w:p>
    <w:p>
      <w:pPr>
        <w:spacing w:line="400" w:lineRule="exact"/>
        <w:ind w:firstLine="420" w:firstLineChars="200"/>
        <w:jc w:val="left"/>
        <w:rPr>
          <w:rFonts w:ascii="宋体" w:hAnsi="宋体"/>
          <w:szCs w:val="21"/>
        </w:rPr>
      </w:pPr>
      <w:r>
        <w:rPr>
          <w:rFonts w:hint="eastAsia" w:ascii="宋体" w:hAnsi="宋体"/>
          <w:szCs w:val="21"/>
        </w:rPr>
        <w:t>2.4“响应文件”是指：竞标人根据本文件要求，编制包含报价、技术和服务等所有内容的文件。</w:t>
      </w:r>
    </w:p>
    <w:p>
      <w:pPr>
        <w:spacing w:line="400" w:lineRule="exact"/>
        <w:ind w:firstLine="422" w:firstLineChars="200"/>
        <w:jc w:val="left"/>
        <w:rPr>
          <w:rFonts w:ascii="宋体" w:hAnsi="宋体"/>
          <w:b/>
          <w:szCs w:val="21"/>
        </w:rPr>
      </w:pPr>
      <w:r>
        <w:rPr>
          <w:rFonts w:hint="eastAsia" w:ascii="宋体" w:hAnsi="宋体"/>
          <w:b/>
          <w:szCs w:val="21"/>
        </w:rPr>
        <w:t>3. 竞标人的基本条件</w:t>
      </w:r>
    </w:p>
    <w:p>
      <w:pPr>
        <w:widowControl/>
        <w:spacing w:line="400" w:lineRule="exact"/>
        <w:ind w:firstLine="420" w:firstLineChars="200"/>
        <w:jc w:val="left"/>
        <w:rPr>
          <w:rFonts w:ascii="宋体" w:hAnsi="宋体"/>
        </w:rPr>
      </w:pPr>
      <w:r>
        <w:rPr>
          <w:rFonts w:hint="eastAsia"/>
        </w:rPr>
        <w:t>3.1.</w:t>
      </w:r>
      <w:r>
        <w:rPr>
          <w:rFonts w:hint="eastAsia" w:ascii="宋体" w:hAnsi="宋体"/>
        </w:rPr>
        <w:t xml:space="preserve"> </w:t>
      </w:r>
      <w:r>
        <w:rPr>
          <w:rFonts w:hint="eastAsia"/>
        </w:rPr>
        <w:t>符合《中华人民共和国政府采购法》第二十二条规定的条件，在国内注册（指按国家有关规定要求注册的）生产或经营本次采购货物，具备法人资格的供应商</w:t>
      </w:r>
      <w:r>
        <w:rPr>
          <w:rFonts w:hint="eastAsia" w:ascii="宋体" w:hAnsi="宋体"/>
        </w:rPr>
        <w:t>；</w:t>
      </w:r>
    </w:p>
    <w:p>
      <w:pPr>
        <w:widowControl/>
        <w:spacing w:line="400" w:lineRule="exact"/>
        <w:ind w:firstLine="420" w:firstLineChars="200"/>
        <w:jc w:val="left"/>
        <w:rPr>
          <w:rFonts w:ascii="宋体" w:hAnsi="宋体" w:cs="宋体"/>
          <w:kern w:val="0"/>
          <w:szCs w:val="21"/>
        </w:rPr>
      </w:pPr>
      <w:r>
        <w:rPr>
          <w:rFonts w:hint="eastAsia" w:ascii="宋体" w:hAnsi="宋体"/>
        </w:rPr>
        <w:t>3.</w:t>
      </w:r>
      <w:r>
        <w:rPr>
          <w:rFonts w:hint="eastAsia" w:ascii="宋体" w:hAnsi="宋体" w:cs="宋体"/>
          <w:kern w:val="0"/>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pPr>
      <w:r>
        <w:rPr>
          <w:rFonts w:hint="eastAsia"/>
        </w:rPr>
        <w:t>3.4. 本项目不接受联合体投标。</w:t>
      </w:r>
    </w:p>
    <w:p>
      <w:pPr>
        <w:spacing w:line="400" w:lineRule="exact"/>
        <w:ind w:firstLine="422" w:firstLineChars="200"/>
        <w:rPr>
          <w:rFonts w:ascii="宋体" w:hAnsi="宋体"/>
          <w:b/>
          <w:szCs w:val="21"/>
        </w:rPr>
      </w:pPr>
      <w:r>
        <w:rPr>
          <w:rFonts w:hint="eastAsia" w:ascii="宋体" w:hAnsi="宋体"/>
          <w:b/>
          <w:szCs w:val="21"/>
        </w:rPr>
        <w:t>4. 谈判费用、竞标公告、竞争性谈判文件的澄清和修改</w:t>
      </w:r>
    </w:p>
    <w:p>
      <w:pPr>
        <w:spacing w:line="400" w:lineRule="exact"/>
        <w:ind w:firstLine="420" w:firstLineChars="200"/>
        <w:rPr>
          <w:rFonts w:ascii="宋体" w:hAnsi="宋体"/>
          <w:szCs w:val="21"/>
        </w:rPr>
      </w:pPr>
      <w:r>
        <w:rPr>
          <w:rFonts w:hint="eastAsia" w:ascii="宋体" w:hAnsi="宋体"/>
          <w:szCs w:val="21"/>
        </w:rPr>
        <w:t>4.1谈判费用：竞标人应自行承担所有与编写和提交响应文件有关的费用，不论谈判结果如何，采购人和采购代理机构在任何情况下无义务和责任承担此类费用。</w:t>
      </w:r>
    </w:p>
    <w:p>
      <w:pPr>
        <w:pStyle w:val="8"/>
        <w:spacing w:line="400" w:lineRule="exact"/>
        <w:ind w:firstLine="420"/>
        <w:rPr>
          <w:rFonts w:hAnsi="宋体" w:cs="Times New Roman"/>
        </w:rPr>
      </w:pPr>
      <w:r>
        <w:rPr>
          <w:rFonts w:hint="eastAsia" w:hAnsi="宋体"/>
        </w:rPr>
        <w:t>4.</w:t>
      </w:r>
      <w:r>
        <w:rPr>
          <w:rFonts w:hint="eastAsia" w:hAnsi="宋体" w:cs="Times New Roman"/>
        </w:rPr>
        <w:t>2竞标公告：见中国政府采购网、广西壮族自治区政府采购网。</w:t>
      </w:r>
    </w:p>
    <w:p>
      <w:pPr>
        <w:spacing w:line="400" w:lineRule="exact"/>
        <w:ind w:firstLine="422" w:firstLineChars="200"/>
        <w:rPr>
          <w:rFonts w:hAnsi="宋体"/>
        </w:rPr>
      </w:pPr>
      <w:r>
        <w:rPr>
          <w:rFonts w:hint="eastAsia"/>
          <w:b/>
          <w:bCs/>
        </w:rPr>
        <w:t>4.3</w:t>
      </w:r>
      <w:r>
        <w:rPr>
          <w:rFonts w:hint="eastAsia"/>
        </w:rPr>
        <w:t>竞争性谈判文件</w:t>
      </w:r>
      <w:r>
        <w:rPr>
          <w:rFonts w:hint="eastAsia" w:hAnsi="宋体"/>
        </w:rPr>
        <w:t>的澄清和修改：</w:t>
      </w:r>
    </w:p>
    <w:p>
      <w:pPr>
        <w:pStyle w:val="8"/>
        <w:spacing w:line="400" w:lineRule="exact"/>
        <w:ind w:firstLine="420"/>
        <w:jc w:val="left"/>
        <w:rPr>
          <w:rFonts w:hAnsi="宋体"/>
        </w:rPr>
      </w:pPr>
      <w:r>
        <w:rPr>
          <w:rFonts w:hAnsi="宋体"/>
        </w:rPr>
        <w:t>4.3.1</w:t>
      </w:r>
      <w:r>
        <w:rPr>
          <w:rFonts w:hint="eastAsia" w:hAnsi="宋体"/>
        </w:rPr>
        <w:t>供应商应认真阅读谈判文件的采购需求，如发现需求中有误或要求不合理的，供应商必须在</w:t>
      </w:r>
      <w:r>
        <w:rPr>
          <w:rFonts w:hAnsi="宋体"/>
        </w:rPr>
        <w:t>提交首次响应文件截止之日前</w:t>
      </w:r>
      <w:r>
        <w:rPr>
          <w:rFonts w:hint="eastAsia" w:hAnsi="宋体"/>
        </w:rPr>
        <w:t>，以书面形式向</w:t>
      </w:r>
      <w:r>
        <w:rPr>
          <w:rFonts w:hAnsi="宋体"/>
        </w:rPr>
        <w:t>采购人、采购代理机构</w:t>
      </w:r>
      <w:r>
        <w:rPr>
          <w:rFonts w:hint="eastAsia" w:hAnsi="宋体"/>
        </w:rPr>
        <w:t>提出</w:t>
      </w:r>
      <w:r>
        <w:rPr>
          <w:rFonts w:hAnsi="宋体"/>
          <w:bCs/>
        </w:rPr>
        <w:t>。</w:t>
      </w:r>
    </w:p>
    <w:p>
      <w:pPr>
        <w:spacing w:line="400" w:lineRule="exact"/>
        <w:ind w:firstLine="420" w:firstLineChars="200"/>
        <w:rPr>
          <w:rFonts w:hAnsi="宋体"/>
          <w:szCs w:val="21"/>
        </w:rPr>
      </w:pPr>
    </w:p>
    <w:p>
      <w:pPr>
        <w:spacing w:line="400" w:lineRule="exact"/>
        <w:ind w:firstLine="420" w:firstLineChars="200"/>
        <w:rPr>
          <w:rFonts w:ascii="宋体" w:hAnsi="宋体"/>
          <w:szCs w:val="21"/>
        </w:rPr>
      </w:pPr>
      <w:r>
        <w:rPr>
          <w:rFonts w:hAnsi="宋体"/>
          <w:szCs w:val="21"/>
        </w:rPr>
        <w:t>4.3.2</w:t>
      </w: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二、响应文件的编制</w:t>
      </w:r>
    </w:p>
    <w:p>
      <w:pPr>
        <w:spacing w:line="400" w:lineRule="exact"/>
        <w:ind w:firstLine="420" w:firstLineChars="200"/>
        <w:rPr>
          <w:rFonts w:ascii="宋体" w:hAnsi="宋体"/>
          <w:szCs w:val="21"/>
        </w:rPr>
      </w:pPr>
      <w:r>
        <w:rPr>
          <w:rFonts w:hint="eastAsia" w:ascii="宋体" w:hAnsi="宋体"/>
          <w:szCs w:val="21"/>
        </w:rPr>
        <w:t>5.响应文件编制基本要求</w:t>
      </w:r>
    </w:p>
    <w:p>
      <w:pPr>
        <w:spacing w:line="400" w:lineRule="exact"/>
        <w:ind w:firstLine="420" w:firstLineChars="200"/>
        <w:rPr>
          <w:rFonts w:ascii="宋体" w:hAnsi="宋体"/>
          <w:szCs w:val="21"/>
        </w:rPr>
      </w:pPr>
      <w:r>
        <w:rPr>
          <w:rFonts w:hint="eastAsia" w:ascii="宋体" w:hAnsi="宋体"/>
          <w:szCs w:val="21"/>
        </w:rPr>
        <w:t>5.1竞标人对响应文件的编制应按要求装订和封装。</w:t>
      </w:r>
    </w:p>
    <w:p>
      <w:pPr>
        <w:pStyle w:val="8"/>
        <w:spacing w:line="400" w:lineRule="exact"/>
        <w:ind w:firstLine="420"/>
      </w:pPr>
      <w:r>
        <w:rPr>
          <w:rFonts w:hint="eastAsia" w:hAnsi="宋体"/>
        </w:rPr>
        <w:t>5.2</w:t>
      </w:r>
      <w:r>
        <w:rPr>
          <w:rFonts w:hint="eastAsia"/>
        </w:rPr>
        <w:t>竞标人的</w:t>
      </w:r>
      <w:r>
        <w:rPr>
          <w:rFonts w:hint="eastAsia" w:hAnsi="宋体"/>
        </w:rPr>
        <w:t>响应文件</w:t>
      </w:r>
      <w:r>
        <w:rPr>
          <w:rFonts w:hint="eastAsia"/>
        </w:rPr>
        <w:t>以及竞标人与采购代理机构所有来往函电统一使用中文（特别规定除外）。</w:t>
      </w:r>
    </w:p>
    <w:p>
      <w:pPr>
        <w:spacing w:line="400" w:lineRule="exact"/>
        <w:ind w:firstLine="420" w:firstLineChars="200"/>
        <w:rPr>
          <w:rFonts w:ascii="宋体" w:hAnsi="宋体"/>
          <w:szCs w:val="21"/>
        </w:rPr>
      </w:pPr>
      <w:r>
        <w:rPr>
          <w:rFonts w:hint="eastAsia" w:ascii="宋体" w:hAnsi="宋体"/>
          <w:szCs w:val="21"/>
        </w:rPr>
        <w:t>5.3竞标人应认真阅读、并充分理解竞争性谈判文件的全部内容（包括所有的补充、修改内容），承诺并履行竞争性谈判文件中各项条款的规定及要求。</w:t>
      </w:r>
    </w:p>
    <w:p>
      <w:pPr>
        <w:spacing w:line="400" w:lineRule="exact"/>
        <w:ind w:firstLine="420" w:firstLineChars="200"/>
        <w:rPr>
          <w:rFonts w:ascii="宋体" w:hAnsi="宋体"/>
          <w:szCs w:val="21"/>
        </w:rPr>
      </w:pPr>
      <w:r>
        <w:rPr>
          <w:rFonts w:hint="eastAsia" w:ascii="宋体" w:hAnsi="宋体"/>
          <w:szCs w:val="21"/>
        </w:rPr>
        <w:t>5.4响应文件必须按竞争性谈判文件的全部内容，包括所有的补充通知及附件进行编制。</w:t>
      </w:r>
    </w:p>
    <w:p>
      <w:pPr>
        <w:spacing w:line="400" w:lineRule="exact"/>
        <w:ind w:firstLine="420" w:firstLineChars="200"/>
        <w:rPr>
          <w:rFonts w:ascii="宋体" w:hAnsi="宋体"/>
          <w:szCs w:val="21"/>
        </w:rPr>
      </w:pPr>
      <w:r>
        <w:rPr>
          <w:rFonts w:hint="eastAsia" w:ascii="宋体" w:hAnsi="宋体"/>
          <w:szCs w:val="21"/>
        </w:rPr>
        <w:t>5.5如因竞标人只填写和提供了竞争性谈判文件要求的部分内容和附件，而给评审造成困难，其可能导致的结果和责任由竞标人自行承担。</w:t>
      </w:r>
    </w:p>
    <w:p>
      <w:pPr>
        <w:spacing w:line="400" w:lineRule="exact"/>
        <w:ind w:firstLine="420" w:firstLineChars="200"/>
        <w:rPr>
          <w:rFonts w:ascii="宋体" w:hAnsi="宋体"/>
          <w:szCs w:val="21"/>
        </w:rPr>
      </w:pPr>
      <w:r>
        <w:rPr>
          <w:rFonts w:hint="eastAsia" w:ascii="宋体" w:hAnsi="宋体"/>
          <w:szCs w:val="21"/>
        </w:rPr>
        <w:t>5.6响应文件的组成：响应文件应分为价格文件和商务技术文件两个部分组成</w:t>
      </w:r>
      <w:r>
        <w:rPr>
          <w:rFonts w:hint="eastAsia" w:ascii="宋体" w:hAnsi="宋体" w:cs="Arial"/>
          <w:szCs w:val="21"/>
        </w:rPr>
        <w:t>（要求装订成一本）</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5.6.1价格文件</w:t>
      </w:r>
    </w:p>
    <w:p>
      <w:pPr>
        <w:spacing w:line="400" w:lineRule="exact"/>
        <w:ind w:firstLine="105" w:firstLineChars="50"/>
        <w:rPr>
          <w:rFonts w:ascii="宋体" w:hAnsi="宋体"/>
          <w:b/>
          <w:bCs/>
          <w:szCs w:val="21"/>
        </w:rPr>
      </w:pPr>
      <w:r>
        <w:rPr>
          <w:rFonts w:hint="eastAsia" w:ascii="宋体" w:hAnsi="宋体"/>
          <w:b/>
          <w:bCs/>
          <w:szCs w:val="21"/>
        </w:rPr>
        <w:t>★报价表；</w:t>
      </w:r>
    </w:p>
    <w:p>
      <w:pPr>
        <w:spacing w:line="400" w:lineRule="exact"/>
        <w:ind w:firstLine="422" w:firstLineChars="200"/>
        <w:rPr>
          <w:rFonts w:ascii="宋体" w:hAnsi="宋体"/>
          <w:szCs w:val="21"/>
        </w:rPr>
      </w:pPr>
      <w:r>
        <w:rPr>
          <w:rFonts w:hint="eastAsia" w:ascii="宋体" w:hAnsi="宋体"/>
          <w:b/>
          <w:szCs w:val="21"/>
        </w:rPr>
        <w:t>5.6.2 商务技术文件</w:t>
      </w:r>
    </w:p>
    <w:p>
      <w:pPr>
        <w:spacing w:line="400" w:lineRule="exact"/>
        <w:ind w:firstLine="105" w:firstLineChars="50"/>
        <w:rPr>
          <w:rFonts w:ascii="宋体" w:hAnsi="宋体"/>
          <w:b/>
          <w:bCs/>
          <w:szCs w:val="21"/>
        </w:rPr>
      </w:pPr>
      <w:r>
        <w:rPr>
          <w:rFonts w:hint="eastAsia" w:ascii="宋体" w:hAnsi="宋体"/>
          <w:b/>
          <w:bCs/>
          <w:szCs w:val="21"/>
        </w:rPr>
        <w:t>★ （1）竞标函；</w:t>
      </w:r>
    </w:p>
    <w:p>
      <w:pPr>
        <w:spacing w:line="400" w:lineRule="exact"/>
        <w:ind w:firstLine="105" w:firstLineChars="50"/>
        <w:rPr>
          <w:rFonts w:ascii="宋体" w:hAnsi="宋体"/>
          <w:b/>
          <w:bCs/>
          <w:szCs w:val="21"/>
        </w:rPr>
      </w:pPr>
      <w:r>
        <w:rPr>
          <w:rFonts w:hint="eastAsia" w:ascii="宋体" w:hAnsi="宋体"/>
          <w:b/>
          <w:bCs/>
          <w:szCs w:val="21"/>
        </w:rPr>
        <w:t>★ （2）技术响应偏离情况说明表；</w:t>
      </w:r>
    </w:p>
    <w:p>
      <w:pPr>
        <w:spacing w:line="400" w:lineRule="exact"/>
        <w:ind w:firstLine="105" w:firstLineChars="50"/>
        <w:rPr>
          <w:rFonts w:ascii="宋体" w:hAnsi="宋体"/>
          <w:b/>
          <w:bCs/>
          <w:szCs w:val="21"/>
        </w:rPr>
      </w:pPr>
      <w:r>
        <w:rPr>
          <w:rFonts w:hint="eastAsia" w:ascii="宋体" w:hAnsi="宋体"/>
          <w:b/>
          <w:bCs/>
          <w:szCs w:val="21"/>
        </w:rPr>
        <w:t>★ （3）竞标人售后服务承诺书；</w:t>
      </w:r>
    </w:p>
    <w:p>
      <w:pPr>
        <w:pStyle w:val="8"/>
        <w:spacing w:line="400" w:lineRule="exact"/>
        <w:ind w:firstLine="316" w:firstLineChars="150"/>
        <w:rPr>
          <w:rFonts w:hAnsi="宋体"/>
          <w:b/>
          <w:bCs/>
        </w:rPr>
      </w:pPr>
      <w:r>
        <w:rPr>
          <w:rFonts w:hint="eastAsia" w:hAnsi="宋体"/>
          <w:b/>
          <w:bCs/>
        </w:rPr>
        <w:t xml:space="preserve"> （4）竞标人资格证明文件：</w:t>
      </w:r>
    </w:p>
    <w:p>
      <w:pPr>
        <w:pStyle w:val="8"/>
        <w:spacing w:line="400" w:lineRule="exact"/>
        <w:ind w:firstLine="306" w:firstLineChars="146"/>
        <w:rPr>
          <w:rFonts w:hAnsi="宋体" w:cs="Times New Roman"/>
        </w:rPr>
      </w:pPr>
      <w:r>
        <w:rPr>
          <w:rFonts w:hint="eastAsia"/>
        </w:rPr>
        <w:t xml:space="preserve">  </w:t>
      </w:r>
      <w:r>
        <w:rPr>
          <w:rFonts w:hint="eastAsia" w:hAnsi="宋体"/>
        </w:rPr>
        <w:t>★</w:t>
      </w:r>
      <w:r>
        <w:rPr>
          <w:rFonts w:hint="eastAsia"/>
        </w:rPr>
        <w:t>①竞标人有效的“营业执照”正副本复印件【要求清晰反映包含本次采购货物的生产或经营范围（部分特区工商行政管理部门另有规定的除外）】、基本账户开户许可证复印件；</w:t>
      </w:r>
    </w:p>
    <w:p>
      <w:pPr>
        <w:spacing w:line="400" w:lineRule="exact"/>
        <w:ind w:firstLine="525" w:firstLineChars="250"/>
        <w:rPr>
          <w:rFonts w:ascii="宋体" w:hAnsi="宋体"/>
          <w:szCs w:val="21"/>
        </w:rPr>
      </w:pPr>
      <w:r>
        <w:rPr>
          <w:rFonts w:hint="eastAsia" w:hAnsi="宋体"/>
        </w:rPr>
        <w:t>★</w:t>
      </w:r>
      <w:r>
        <w:rPr>
          <w:rFonts w:hint="eastAsia" w:ascii="宋体" w:hAnsi="宋体"/>
          <w:szCs w:val="21"/>
        </w:rPr>
        <w:t>②</w:t>
      </w:r>
      <w:r>
        <w:rPr>
          <w:rFonts w:hint="eastAsia"/>
        </w:rPr>
        <w:t>有效的</w:t>
      </w:r>
      <w:r>
        <w:rPr>
          <w:rFonts w:hint="eastAsia" w:ascii="宋体" w:hAnsi="宋体"/>
          <w:szCs w:val="21"/>
        </w:rPr>
        <w:t>法定代表人身份证</w:t>
      </w:r>
      <w:r>
        <w:rPr>
          <w:rFonts w:hint="eastAsia"/>
        </w:rPr>
        <w:t>正反面</w:t>
      </w:r>
      <w:r>
        <w:rPr>
          <w:rFonts w:hint="eastAsia" w:ascii="宋体" w:hAnsi="宋体"/>
          <w:szCs w:val="21"/>
        </w:rPr>
        <w:t>复印件；</w:t>
      </w:r>
    </w:p>
    <w:p>
      <w:pPr>
        <w:spacing w:line="400" w:lineRule="exact"/>
        <w:ind w:firstLine="525" w:firstLineChars="250"/>
        <w:rPr>
          <w:rFonts w:ascii="宋体" w:hAnsi="宋体"/>
          <w:szCs w:val="21"/>
        </w:rPr>
      </w:pPr>
      <w:r>
        <w:rPr>
          <w:rFonts w:hint="eastAsia" w:hAnsi="宋体"/>
        </w:rPr>
        <w:t>★</w:t>
      </w:r>
      <w:r>
        <w:rPr>
          <w:rFonts w:hint="eastAsia" w:ascii="宋体" w:hAnsi="宋体"/>
          <w:szCs w:val="21"/>
        </w:rPr>
        <w:t>③</w:t>
      </w:r>
      <w:r>
        <w:rPr>
          <w:rFonts w:hint="eastAsia"/>
        </w:rPr>
        <w:t>有效的</w:t>
      </w:r>
      <w:r>
        <w:rPr>
          <w:rFonts w:hint="eastAsia" w:ascii="宋体" w:hAnsi="宋体"/>
          <w:szCs w:val="21"/>
        </w:rPr>
        <w:t>法定代表人授权委托书原件和委托代理人身份证</w:t>
      </w:r>
      <w:r>
        <w:rPr>
          <w:rFonts w:hint="eastAsia"/>
        </w:rPr>
        <w:t>正反面</w:t>
      </w:r>
      <w:r>
        <w:rPr>
          <w:rFonts w:hint="eastAsia" w:ascii="宋体" w:hAnsi="宋体"/>
          <w:szCs w:val="21"/>
        </w:rPr>
        <w:t>复印件</w:t>
      </w:r>
      <w:r>
        <w:rPr>
          <w:rFonts w:hint="eastAsia" w:hAnsi="宋体"/>
        </w:rPr>
        <w:t>（委托时必须提供，明确委托权限及时间）</w:t>
      </w:r>
      <w:r>
        <w:rPr>
          <w:rFonts w:hint="eastAsia" w:ascii="宋体" w:hAnsi="宋体"/>
          <w:szCs w:val="21"/>
        </w:rPr>
        <w:t>；</w:t>
      </w:r>
    </w:p>
    <w:p>
      <w:pPr>
        <w:spacing w:line="400" w:lineRule="exact"/>
        <w:ind w:firstLine="735" w:firstLineChars="350"/>
        <w:rPr>
          <w:rFonts w:ascii="宋体" w:hAnsi="宋体"/>
          <w:b/>
          <w:bCs/>
          <w:szCs w:val="21"/>
        </w:rPr>
      </w:pPr>
      <w:r>
        <w:rPr>
          <w:rFonts w:hint="eastAsia" w:ascii="宋体" w:hAnsi="宋体"/>
          <w:szCs w:val="21"/>
        </w:rPr>
        <w:t>④</w:t>
      </w:r>
      <w:r>
        <w:rPr>
          <w:rFonts w:hint="eastAsia"/>
        </w:rPr>
        <w:t>竞标人认为必要提供的证明其满足本项目竞标资格的</w:t>
      </w:r>
      <w:r>
        <w:rPr>
          <w:rFonts w:hint="eastAsia" w:ascii="宋体" w:hAnsi="宋体"/>
          <w:szCs w:val="21"/>
        </w:rPr>
        <w:t>声明及文件资料（如属于小型、微型企业的，须提供工商注册地的工业和信息化部门出具的相关证明材料等）。</w:t>
      </w:r>
    </w:p>
    <w:p>
      <w:pPr>
        <w:spacing w:line="400" w:lineRule="exact"/>
        <w:ind w:firstLine="440" w:firstLineChars="200"/>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p>
      <w:pPr>
        <w:spacing w:line="400" w:lineRule="exact"/>
        <w:ind w:firstLine="440" w:firstLineChars="200"/>
        <w:rPr>
          <w:rFonts w:ascii="宋体" w:hAnsi="宋体"/>
          <w:b/>
          <w:bCs/>
          <w:szCs w:val="21"/>
        </w:rPr>
      </w:pPr>
      <w:r>
        <w:rPr>
          <w:rFonts w:hint="eastAsia" w:ascii="宋体" w:hAnsi="宋体" w:eastAsia="宋体" w:cs="宋体"/>
          <w:color w:val="000000"/>
          <w:kern w:val="0"/>
          <w:sz w:val="22"/>
          <w:szCs w:val="22"/>
        </w:rPr>
        <w:t xml:space="preserve"> </w:t>
      </w:r>
      <w:r>
        <w:rPr>
          <w:rFonts w:hint="eastAsia" w:ascii="宋体" w:hAnsi="宋体"/>
          <w:b/>
          <w:bCs/>
          <w:szCs w:val="21"/>
        </w:rPr>
        <w:t>（5）货物合格和符合竞争性谈判文件规定的证明文件：</w:t>
      </w:r>
    </w:p>
    <w:p>
      <w:pPr>
        <w:pStyle w:val="8"/>
        <w:spacing w:line="400" w:lineRule="exact"/>
        <w:ind w:firstLine="735" w:firstLineChars="350"/>
      </w:pPr>
      <w:r>
        <w:rPr>
          <w:rFonts w:hint="eastAsia"/>
        </w:rPr>
        <w:t>①生产厂家的有关资格和生产许可证、产品实行强制标准认证的证书、产品质量检验证；</w:t>
      </w:r>
    </w:p>
    <w:p>
      <w:pPr>
        <w:pStyle w:val="8"/>
        <w:spacing w:line="400" w:lineRule="exact"/>
        <w:ind w:firstLine="735" w:firstLineChars="350"/>
      </w:pPr>
      <w:r>
        <w:rPr>
          <w:rFonts w:hint="eastAsia"/>
        </w:rPr>
        <w:t>②产品样本（彩页）、使用说明书等技术资料；</w:t>
      </w:r>
    </w:p>
    <w:p>
      <w:pPr>
        <w:pStyle w:val="8"/>
        <w:spacing w:line="400" w:lineRule="exact"/>
        <w:ind w:firstLine="735" w:firstLineChars="350"/>
      </w:pPr>
      <w:r>
        <w:rPr>
          <w:rFonts w:hint="eastAsia"/>
        </w:rPr>
        <w:t>③设备或产品保证供货的有效证明；</w:t>
      </w:r>
    </w:p>
    <w:p>
      <w:pPr>
        <w:pStyle w:val="8"/>
        <w:spacing w:line="400" w:lineRule="exact"/>
        <w:ind w:firstLine="735" w:firstLineChars="350"/>
      </w:pPr>
      <w:r>
        <w:rPr>
          <w:rFonts w:hint="eastAsia"/>
        </w:rPr>
        <w:t>④产品合法手续的有效证明；</w:t>
      </w:r>
    </w:p>
    <w:p>
      <w:pPr>
        <w:pStyle w:val="8"/>
        <w:spacing w:line="400" w:lineRule="exact"/>
        <w:ind w:firstLine="735" w:firstLineChars="350"/>
      </w:pPr>
      <w:r>
        <w:rPr>
          <w:rFonts w:hint="eastAsia"/>
        </w:rPr>
        <w:t>⑤产品销售授权书或代理证书；</w:t>
      </w:r>
    </w:p>
    <w:p>
      <w:pPr>
        <w:pStyle w:val="8"/>
        <w:spacing w:line="400" w:lineRule="exact"/>
        <w:ind w:firstLine="735" w:firstLineChars="350"/>
      </w:pPr>
      <w:r>
        <w:rPr>
          <w:rFonts w:hint="eastAsia"/>
        </w:rPr>
        <w:t>⑥竞标人认为其他需要提供的证明材料。</w:t>
      </w:r>
    </w:p>
    <w:p>
      <w:pPr>
        <w:pStyle w:val="8"/>
        <w:spacing w:line="400" w:lineRule="exact"/>
        <w:ind w:firstLine="632" w:firstLineChars="300"/>
        <w:rPr>
          <w:b/>
          <w:bCs/>
        </w:rPr>
      </w:pPr>
      <w:r>
        <w:rPr>
          <w:rFonts w:hint="eastAsia"/>
          <w:b/>
        </w:rPr>
        <w:t>注：以上材料标有“★”号的材料及项目需求一览表中要求必须提供的材料，必须与响应文件同时提交完备，其余由竞标人视自身情况提交。法定代表人授权委托书必须由法定代表人签名并加盖单位公章；竞标函必须由法定代表人或授权代表签名并加盖单位公章。否则，竞标无效处理。</w:t>
      </w:r>
    </w:p>
    <w:p>
      <w:pPr>
        <w:spacing w:line="400" w:lineRule="exact"/>
        <w:ind w:firstLine="420" w:firstLineChars="200"/>
        <w:rPr>
          <w:rFonts w:ascii="宋体" w:hAnsi="宋体"/>
          <w:szCs w:val="21"/>
        </w:rPr>
      </w:pPr>
      <w:r>
        <w:rPr>
          <w:rFonts w:hint="eastAsia" w:ascii="宋体" w:hAnsi="宋体"/>
          <w:szCs w:val="21"/>
        </w:rPr>
        <w:t>6. 计量单位</w:t>
      </w:r>
    </w:p>
    <w:p>
      <w:pPr>
        <w:spacing w:line="400" w:lineRule="exact"/>
        <w:ind w:firstLine="420" w:firstLineChars="200"/>
        <w:rPr>
          <w:rFonts w:ascii="宋体" w:hAnsi="宋体"/>
          <w:b/>
          <w:szCs w:val="21"/>
        </w:rPr>
      </w:pPr>
      <w:r>
        <w:rPr>
          <w:rFonts w:hint="eastAsia" w:ascii="宋体" w:hAnsi="宋体"/>
          <w:szCs w:val="21"/>
        </w:rPr>
        <w:t>6.1除技术要求中另有规定外，竞争性谈判文件所要求使用的计量单位均应采用国家法定计量单位。</w:t>
      </w:r>
    </w:p>
    <w:p>
      <w:pPr>
        <w:spacing w:line="400" w:lineRule="exact"/>
        <w:ind w:firstLine="422" w:firstLineChars="200"/>
        <w:rPr>
          <w:rFonts w:ascii="宋体" w:hAnsi="宋体"/>
          <w:b/>
          <w:szCs w:val="21"/>
        </w:rPr>
      </w:pPr>
      <w:r>
        <w:rPr>
          <w:rFonts w:hint="eastAsia" w:ascii="宋体" w:hAnsi="宋体"/>
          <w:b/>
          <w:szCs w:val="21"/>
        </w:rPr>
        <w:t>三、谈判报价要求</w:t>
      </w:r>
    </w:p>
    <w:p>
      <w:pPr>
        <w:spacing w:line="400" w:lineRule="exact"/>
        <w:ind w:firstLine="420" w:firstLineChars="200"/>
        <w:rPr>
          <w:rFonts w:ascii="宋体" w:hAnsi="宋体"/>
          <w:szCs w:val="21"/>
        </w:rPr>
      </w:pPr>
      <w:r>
        <w:rPr>
          <w:rFonts w:hint="eastAsia" w:ascii="宋体" w:hAnsi="宋体"/>
          <w:szCs w:val="21"/>
        </w:rPr>
        <w:t>7.1对于竞争性谈判文件中未列明，而竞标人认为必需的费用也需列入总报价。在合同实施时，采购人将不予支付成交竞标人没有列入的项目费用，并认为此项目的费用已包括在总报价中。</w:t>
      </w:r>
    </w:p>
    <w:p>
      <w:pPr>
        <w:spacing w:line="400" w:lineRule="exact"/>
        <w:ind w:firstLine="420" w:firstLineChars="200"/>
        <w:rPr>
          <w:rFonts w:ascii="宋体" w:hAnsi="宋体"/>
          <w:szCs w:val="21"/>
        </w:rPr>
      </w:pPr>
      <w:r>
        <w:rPr>
          <w:rFonts w:hint="eastAsia" w:ascii="宋体" w:hAnsi="宋体"/>
          <w:szCs w:val="21"/>
        </w:rPr>
        <w:t>7.2成交竞标人负责本项目所需货物的制造、运输、售后服务等全部工作。</w:t>
      </w:r>
    </w:p>
    <w:p>
      <w:pPr>
        <w:pStyle w:val="8"/>
        <w:spacing w:line="400" w:lineRule="exact"/>
        <w:ind w:firstLine="420"/>
        <w:rPr>
          <w:rFonts w:hAnsi="宋体"/>
        </w:rPr>
      </w:pPr>
      <w:r>
        <w:rPr>
          <w:rFonts w:hint="eastAsia" w:hAnsi="宋体"/>
        </w:rPr>
        <w:t>7.3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pStyle w:val="8"/>
        <w:spacing w:line="400" w:lineRule="exact"/>
        <w:ind w:firstLine="420"/>
        <w:rPr>
          <w:rFonts w:hAnsi="宋体"/>
          <w:b/>
        </w:rPr>
      </w:pPr>
      <w:r>
        <w:rPr>
          <w:rFonts w:hint="eastAsia" w:hAnsi="宋体" w:cs="宋体"/>
          <w:kern w:val="0"/>
        </w:rPr>
        <w:t>7.4竞标人须对《项目需求一览表》及谈判记录中的货物和服务内容作完整唯一报价，否则其竞标将被拒绝。</w:t>
      </w:r>
    </w:p>
    <w:p>
      <w:pPr>
        <w:spacing w:line="400" w:lineRule="exact"/>
        <w:ind w:firstLine="422" w:firstLineChars="200"/>
        <w:rPr>
          <w:rFonts w:ascii="宋体" w:hAnsi="宋体"/>
          <w:b/>
          <w:szCs w:val="21"/>
        </w:rPr>
      </w:pPr>
      <w:r>
        <w:rPr>
          <w:rFonts w:hint="eastAsia" w:ascii="宋体" w:hAnsi="宋体"/>
          <w:b/>
          <w:szCs w:val="21"/>
        </w:rPr>
        <w:t>四、响应文件的份数、封装和递交</w:t>
      </w:r>
    </w:p>
    <w:p>
      <w:pPr>
        <w:spacing w:line="400" w:lineRule="exact"/>
        <w:ind w:firstLine="420" w:firstLineChars="200"/>
        <w:rPr>
          <w:rFonts w:ascii="宋体" w:hAnsi="宋体"/>
          <w:szCs w:val="21"/>
        </w:rPr>
      </w:pPr>
      <w:r>
        <w:rPr>
          <w:rFonts w:hint="eastAsia" w:ascii="宋体" w:hAnsi="宋体"/>
          <w:szCs w:val="21"/>
        </w:rPr>
        <w:t>8. 响应文件的份数和封装</w:t>
      </w:r>
    </w:p>
    <w:p>
      <w:pPr>
        <w:pStyle w:val="8"/>
        <w:spacing w:line="400" w:lineRule="exact"/>
        <w:ind w:firstLine="420"/>
      </w:pPr>
      <w:r>
        <w:rPr>
          <w:rFonts w:hint="eastAsia"/>
        </w:rPr>
        <w:t>8.1竞标人应将响应文件</w:t>
      </w:r>
      <w:r>
        <w:rPr>
          <w:rFonts w:hint="eastAsia" w:hAnsi="宋体" w:cs="Arial"/>
        </w:rPr>
        <w:t>装订成一本</w:t>
      </w:r>
      <w:r>
        <w:rPr>
          <w:rFonts w:hint="eastAsia"/>
        </w:rPr>
        <w:t>件。</w:t>
      </w:r>
    </w:p>
    <w:p>
      <w:pPr>
        <w:pStyle w:val="8"/>
        <w:spacing w:line="400" w:lineRule="exact"/>
        <w:ind w:firstLine="420"/>
        <w:rPr>
          <w:rFonts w:hAnsi="宋体"/>
        </w:rPr>
      </w:pPr>
      <w:r>
        <w:rPr>
          <w:rFonts w:hint="eastAsia"/>
        </w:rPr>
        <w:t>竞标人将响应文件按正、副本分别装订成册，在每个正、副本封面上标明“正本”或“副本”，以及项目名称、项目编号、竞标人名称等内容。</w:t>
      </w:r>
      <w:r>
        <w:rPr>
          <w:rFonts w:hint="eastAsia" w:hAnsi="宋体"/>
        </w:rPr>
        <w:t xml:space="preserve"> </w:t>
      </w:r>
    </w:p>
    <w:p>
      <w:pPr>
        <w:spacing w:line="400" w:lineRule="exact"/>
        <w:ind w:firstLine="420" w:firstLineChars="200"/>
        <w:rPr>
          <w:rFonts w:ascii="宋体" w:hAnsi="宋体"/>
          <w:szCs w:val="21"/>
        </w:rPr>
      </w:pPr>
      <w:r>
        <w:rPr>
          <w:rFonts w:hint="eastAsia" w:ascii="宋体" w:hAnsi="宋体"/>
          <w:szCs w:val="21"/>
        </w:rPr>
        <w:t>8.2竞标人</w:t>
      </w:r>
      <w:r>
        <w:rPr>
          <w:rFonts w:hint="eastAsia"/>
        </w:rPr>
        <w:t>应将响应文件正、副本（正本一份，副本四份）装入到一个</w:t>
      </w:r>
      <w:r>
        <w:rPr>
          <w:rFonts w:hint="eastAsia" w:ascii="宋体" w:hAnsi="宋体"/>
          <w:szCs w:val="21"/>
        </w:rPr>
        <w:t>响应文件袋内，</w:t>
      </w:r>
      <w:r>
        <w:rPr>
          <w:rFonts w:hint="eastAsia" w:hAnsi="宋体"/>
        </w:rPr>
        <w:t>封装并加以密封签章（公章、法定代表人或其委托代理人签字均可，要求文件袋无明显缝隙露出袋内文件）。</w:t>
      </w:r>
      <w:r>
        <w:rPr>
          <w:rFonts w:hint="eastAsia" w:ascii="宋体" w:hAnsi="宋体"/>
          <w:szCs w:val="21"/>
        </w:rPr>
        <w:t>文件袋外层封面上应写明：</w:t>
      </w:r>
    </w:p>
    <w:p>
      <w:pPr>
        <w:spacing w:line="400" w:lineRule="exact"/>
        <w:ind w:firstLine="420" w:firstLineChars="200"/>
        <w:rPr>
          <w:rFonts w:ascii="宋体" w:hAnsi="宋体"/>
          <w:szCs w:val="21"/>
        </w:rPr>
      </w:pPr>
      <w:r>
        <w:rPr>
          <w:rFonts w:hint="eastAsia" w:ascii="宋体" w:hAnsi="宋体"/>
          <w:szCs w:val="21"/>
        </w:rPr>
        <w:t>1）项目编号；</w:t>
      </w:r>
    </w:p>
    <w:p>
      <w:pPr>
        <w:spacing w:line="400" w:lineRule="exact"/>
        <w:ind w:firstLine="420" w:firstLineChars="200"/>
        <w:rPr>
          <w:rFonts w:ascii="宋体" w:hAnsi="宋体"/>
          <w:szCs w:val="21"/>
        </w:rPr>
      </w:pPr>
      <w:r>
        <w:rPr>
          <w:rFonts w:hint="eastAsia" w:ascii="宋体" w:hAnsi="宋体"/>
          <w:szCs w:val="21"/>
        </w:rPr>
        <w:t>2）项目名称；</w:t>
      </w:r>
    </w:p>
    <w:p>
      <w:pPr>
        <w:spacing w:line="400" w:lineRule="exact"/>
        <w:ind w:firstLine="420" w:firstLineChars="200"/>
        <w:rPr>
          <w:rFonts w:ascii="宋体" w:hAnsi="宋体"/>
          <w:szCs w:val="21"/>
        </w:rPr>
      </w:pPr>
      <w:r>
        <w:rPr>
          <w:rFonts w:hint="eastAsia" w:ascii="宋体" w:hAnsi="宋体"/>
          <w:szCs w:val="21"/>
        </w:rPr>
        <w:t>3）竞标人名称；</w:t>
      </w:r>
    </w:p>
    <w:p>
      <w:pPr>
        <w:spacing w:line="400" w:lineRule="exact"/>
        <w:ind w:firstLine="420" w:firstLineChars="200"/>
        <w:rPr>
          <w:rFonts w:ascii="宋体" w:hAnsi="宋体"/>
          <w:szCs w:val="21"/>
        </w:rPr>
      </w:pPr>
      <w:r>
        <w:rPr>
          <w:rFonts w:hint="eastAsia" w:ascii="宋体" w:hAnsi="宋体"/>
          <w:szCs w:val="21"/>
        </w:rPr>
        <w:t>4）竞标人地址；</w:t>
      </w:r>
    </w:p>
    <w:p>
      <w:pPr>
        <w:spacing w:line="400" w:lineRule="exact"/>
        <w:ind w:firstLine="420" w:firstLineChars="200"/>
        <w:rPr>
          <w:rFonts w:ascii="宋体" w:hAnsi="宋体"/>
          <w:szCs w:val="21"/>
        </w:rPr>
      </w:pPr>
      <w:r>
        <w:rPr>
          <w:rFonts w:hint="eastAsia" w:ascii="宋体" w:hAnsi="宋体"/>
          <w:bCs/>
          <w:szCs w:val="21"/>
        </w:rPr>
        <w:t xml:space="preserve">5） </w:t>
      </w:r>
      <w:r>
        <w:rPr>
          <w:rFonts w:hint="eastAsia" w:ascii="宋体" w:hAnsi="宋体"/>
          <w:szCs w:val="21"/>
        </w:rPr>
        <w:t>在×年×月×日×时×分前不得启封（开标时才能启封）。</w:t>
      </w:r>
    </w:p>
    <w:p>
      <w:pPr>
        <w:pStyle w:val="5"/>
        <w:snapToGrid w:val="0"/>
        <w:spacing w:before="50" w:after="50" w:line="400" w:lineRule="exact"/>
        <w:ind w:firstLineChars="200"/>
        <w:rPr>
          <w:rFonts w:ascii="宋体" w:hAnsi="宋体"/>
          <w:bCs/>
          <w:szCs w:val="21"/>
        </w:rPr>
      </w:pPr>
      <w:r>
        <w:rPr>
          <w:rFonts w:hint="eastAsia" w:ascii="宋体" w:hAnsi="宋体"/>
          <w:bCs/>
          <w:szCs w:val="21"/>
        </w:rPr>
        <w:t>8.3</w:t>
      </w:r>
      <w:r>
        <w:rPr>
          <w:rFonts w:hAnsi="宋体" w:cs="Courier New"/>
          <w:spacing w:val="2"/>
        </w:rPr>
        <w:t>本</w:t>
      </w:r>
      <w:r>
        <w:rPr>
          <w:rFonts w:hint="eastAsia" w:hAnsi="宋体" w:cs="Courier New"/>
          <w:spacing w:val="2"/>
        </w:rPr>
        <w:t>谈判文件</w:t>
      </w:r>
      <w:r>
        <w:rPr>
          <w:rFonts w:hAnsi="宋体" w:cs="Courier New"/>
          <w:spacing w:val="2"/>
        </w:rPr>
        <w:t>中描述</w:t>
      </w:r>
      <w:r>
        <w:rPr>
          <w:rFonts w:hint="eastAsia" w:hAnsi="宋体" w:cs="Courier New"/>
          <w:spacing w:val="2"/>
        </w:rPr>
        <w:t>竞标人</w:t>
      </w:r>
      <w:r>
        <w:rPr>
          <w:rFonts w:hAnsi="宋体" w:cs="Courier New"/>
          <w:spacing w:val="2"/>
        </w:rPr>
        <w:t>的“公章”是指根据我国对公章的管理规定，用</w:t>
      </w:r>
      <w:r>
        <w:rPr>
          <w:rFonts w:hint="eastAsia" w:hAnsi="宋体" w:cs="Courier New"/>
          <w:spacing w:val="2"/>
        </w:rPr>
        <w:t>竞标人</w:t>
      </w:r>
      <w:r>
        <w:rPr>
          <w:rFonts w:hAnsi="宋体" w:cs="Courier New"/>
          <w:spacing w:val="2"/>
        </w:rPr>
        <w:t>法定主体行为名称制作的印章，除本文件有特殊规定外，</w:t>
      </w:r>
      <w:r>
        <w:rPr>
          <w:rFonts w:hint="eastAsia" w:hAnsi="宋体" w:cs="Courier New"/>
          <w:spacing w:val="2"/>
        </w:rPr>
        <w:t>竞标人</w:t>
      </w:r>
      <w:r>
        <w:rPr>
          <w:rFonts w:hAnsi="宋体" w:cs="Courier New"/>
          <w:spacing w:val="2"/>
        </w:rPr>
        <w:t>的财务章、部门章、分公司章、工会章、合同章、投标专用章、业务专用章及银行的转账章、现金收讫章、现金付讫章等其它形式印章均不能代替公章</w:t>
      </w:r>
      <w:r>
        <w:rPr>
          <w:rFonts w:hint="eastAsia" w:hAnsi="宋体" w:cs="Courier New"/>
          <w:spacing w:val="2"/>
        </w:rPr>
        <w:t>。</w:t>
      </w:r>
    </w:p>
    <w:p>
      <w:pPr>
        <w:spacing w:line="400" w:lineRule="exact"/>
        <w:ind w:firstLine="420" w:firstLineChars="200"/>
        <w:rPr>
          <w:rFonts w:ascii="宋体" w:hAnsi="宋体"/>
          <w:szCs w:val="21"/>
        </w:rPr>
      </w:pPr>
      <w:r>
        <w:rPr>
          <w:rFonts w:hint="eastAsia" w:ascii="宋体" w:hAnsi="宋体"/>
          <w:szCs w:val="21"/>
        </w:rPr>
        <w:t>9. 响应文件的递交</w:t>
      </w:r>
    </w:p>
    <w:p>
      <w:pPr>
        <w:spacing w:line="400" w:lineRule="exact"/>
        <w:ind w:firstLine="420" w:firstLineChars="200"/>
        <w:rPr>
          <w:rFonts w:ascii="宋体" w:hAnsi="宋体"/>
          <w:szCs w:val="21"/>
        </w:rPr>
      </w:pPr>
      <w:r>
        <w:rPr>
          <w:rFonts w:hint="eastAsia" w:ascii="宋体" w:hAnsi="宋体"/>
          <w:szCs w:val="21"/>
        </w:rPr>
        <w:t>9.1所有竞争性谈判竞争性响应文件应于竞争性谈判文件中规定的时间前递交到</w:t>
      </w:r>
      <w:r>
        <w:rPr>
          <w:rFonts w:hint="eastAsia" w:ascii="宋体" w:hAnsi="宋体"/>
        </w:rPr>
        <w:t>广西坤珍建设项目管理咨询有限公司</w:t>
      </w:r>
      <w:r>
        <w:rPr>
          <w:rFonts w:hint="eastAsia" w:hAnsi="宋体"/>
        </w:rPr>
        <w:t>开标室</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9.2响应文件</w:t>
      </w:r>
      <w:r>
        <w:rPr>
          <w:rFonts w:hint="eastAsia" w:hAnsi="宋体"/>
        </w:rPr>
        <w:t>从竞标截止日期后</w:t>
      </w:r>
      <w:r>
        <w:rPr>
          <w:rFonts w:hint="eastAsia" w:hAnsi="宋体"/>
          <w:u w:val="single"/>
        </w:rPr>
        <w:t>60</w:t>
      </w:r>
      <w:r>
        <w:rPr>
          <w:rFonts w:hint="eastAsia" w:hAnsi="宋体"/>
        </w:rPr>
        <w:t>天内有效。</w:t>
      </w:r>
    </w:p>
    <w:p>
      <w:pPr>
        <w:spacing w:line="400" w:lineRule="exact"/>
        <w:ind w:firstLine="420" w:firstLineChars="200"/>
        <w:rPr>
          <w:rFonts w:ascii="宋体" w:hAnsi="宋体"/>
          <w:szCs w:val="21"/>
        </w:rPr>
      </w:pPr>
      <w:r>
        <w:rPr>
          <w:rFonts w:hint="eastAsia" w:ascii="宋体" w:hAnsi="宋体"/>
          <w:szCs w:val="21"/>
        </w:rPr>
        <w:t>10.迟交的响应文件及竞标保证金</w:t>
      </w:r>
    </w:p>
    <w:p>
      <w:pPr>
        <w:spacing w:line="400" w:lineRule="exact"/>
        <w:ind w:firstLine="420" w:firstLineChars="200"/>
        <w:rPr>
          <w:rFonts w:ascii="宋体" w:hAnsi="宋体"/>
          <w:szCs w:val="21"/>
        </w:rPr>
      </w:pPr>
      <w:r>
        <w:rPr>
          <w:rFonts w:hint="eastAsia" w:ascii="宋体" w:hAnsi="宋体"/>
          <w:szCs w:val="21"/>
        </w:rPr>
        <w:t>10.1在规定的递交响应文件截止时间之后，采购代理机构拒收任何响应文件。</w:t>
      </w:r>
    </w:p>
    <w:p>
      <w:pPr>
        <w:spacing w:line="400" w:lineRule="exact"/>
        <w:rPr>
          <w:rFonts w:ascii="宋体" w:hAnsi="宋体" w:cs="宋体"/>
          <w:kern w:val="0"/>
          <w:szCs w:val="21"/>
        </w:rPr>
      </w:pPr>
      <w:r>
        <w:rPr>
          <w:rFonts w:hint="eastAsia" w:ascii="宋体" w:hAnsi="宋体"/>
          <w:szCs w:val="21"/>
        </w:rPr>
        <w:t xml:space="preserve">    10.2.</w:t>
      </w:r>
      <w:r>
        <w:rPr>
          <w:rFonts w:hint="eastAsia" w:hAnsi="宋体"/>
        </w:rPr>
        <w:t>竞标保证金为人民币</w:t>
      </w:r>
      <w:r>
        <w:rPr>
          <w:rFonts w:hint="eastAsia" w:ascii="宋体" w:hAnsi="宋体" w:cs="宋体"/>
          <w:kern w:val="0"/>
          <w:szCs w:val="21"/>
        </w:rPr>
        <w:t>：</w:t>
      </w:r>
      <w:r>
        <w:rPr>
          <w:rFonts w:hint="eastAsia" w:ascii="宋体" w:hAnsi="宋体"/>
        </w:rPr>
        <w:t>本项目不收取投标保证金。</w:t>
      </w:r>
    </w:p>
    <w:p>
      <w:pPr>
        <w:pStyle w:val="8"/>
        <w:spacing w:line="400" w:lineRule="exact"/>
        <w:ind w:firstLine="420"/>
        <w:rPr>
          <w:rFonts w:hAnsi="宋体"/>
        </w:rPr>
      </w:pPr>
      <w:r>
        <w:rPr>
          <w:rFonts w:hint="eastAsia" w:hAnsi="宋体"/>
        </w:rPr>
        <w:t>10.3交款方式：竞标人应于递交响应文件截止时间前将竞标保证金以银行转账、电汇或网上支付、支票、汇票、本票或者银行、保险机构出具的保函存入形式交至指定账户，转账时请注明项目名称及所投标段，截标时核验转账/电汇单原件。以个人名义交纳的视为无效)，竞标保证金转账单必须复印装订到响应文件中。</w:t>
      </w:r>
    </w:p>
    <w:p>
      <w:pPr>
        <w:pStyle w:val="8"/>
        <w:spacing w:line="400" w:lineRule="exact"/>
        <w:ind w:firstLine="420"/>
        <w:rPr>
          <w:rFonts w:hAnsi="宋体"/>
        </w:rPr>
      </w:pPr>
      <w:r>
        <w:rPr>
          <w:rFonts w:hint="eastAsia" w:hAnsi="宋体"/>
        </w:rPr>
        <w:t>10.4竞标人应按公告中明确的单位全称、开户行、账号，于竞标截止时间前交到广西坤珍建设项目管理咨询有限公司账户上。</w:t>
      </w:r>
    </w:p>
    <w:p>
      <w:pPr>
        <w:pStyle w:val="8"/>
        <w:spacing w:line="400" w:lineRule="exact"/>
        <w:ind w:firstLine="420"/>
        <w:rPr>
          <w:rFonts w:hAnsi="宋体"/>
        </w:rPr>
      </w:pPr>
      <w:r>
        <w:rPr>
          <w:rFonts w:hint="eastAsia" w:hAnsi="宋体"/>
        </w:rPr>
        <w:t>10.5办理竞标保证金手续时，请务必在银行进账单或电汇单的用途或空白栏上注明项目名称及项目编号，以免耽误竞标。</w:t>
      </w:r>
    </w:p>
    <w:p>
      <w:pPr>
        <w:spacing w:line="400" w:lineRule="exact"/>
        <w:ind w:firstLine="420" w:firstLineChars="200"/>
        <w:rPr>
          <w:rFonts w:hAnsi="宋体"/>
        </w:rPr>
      </w:pPr>
      <w:r>
        <w:rPr>
          <w:rFonts w:hint="eastAsia" w:hAnsi="宋体"/>
        </w:rPr>
        <w:t>10.6未成交竞标人的竞标保证金，采购代理机构在成交通知书发出后五个工作日内予以退还，不计利息；成交竞标人的竞标保证金在合同签订后五个工作日内予以退还，不计利息。成交竞标人携合同原件一份到采购代理机构处办理退款手续。</w:t>
      </w:r>
    </w:p>
    <w:p>
      <w:pPr>
        <w:spacing w:line="400" w:lineRule="exact"/>
        <w:ind w:firstLine="420" w:firstLineChars="200"/>
        <w:rPr>
          <w:rFonts w:ascii="宋体" w:hAnsi="宋体"/>
          <w:b/>
          <w:bCs/>
          <w:szCs w:val="21"/>
        </w:rPr>
      </w:pPr>
      <w:r>
        <w:rPr>
          <w:rFonts w:hint="eastAsia" w:hAnsi="宋体"/>
        </w:rPr>
        <w:t>10.7对应交未交竞标保证金的竞标人的响应文件，</w:t>
      </w:r>
      <w:r>
        <w:rPr>
          <w:rFonts w:hint="eastAsia" w:ascii="宋体" w:hAnsi="宋体"/>
        </w:rPr>
        <w:t>将会在评标中按照无效响应文件处理</w:t>
      </w:r>
      <w:r>
        <w:rPr>
          <w:rFonts w:hint="eastAsia" w:hAnsi="宋体"/>
        </w:rPr>
        <w:t>。</w:t>
      </w:r>
    </w:p>
    <w:p>
      <w:pPr>
        <w:widowControl/>
        <w:spacing w:line="400" w:lineRule="exact"/>
        <w:ind w:firstLine="422" w:firstLineChars="200"/>
        <w:jc w:val="left"/>
        <w:rPr>
          <w:rFonts w:hAnsi="宋体"/>
        </w:rPr>
      </w:pPr>
      <w:r>
        <w:rPr>
          <w:rFonts w:hint="eastAsia" w:ascii="宋体" w:hAnsi="宋体"/>
          <w:b/>
          <w:bCs/>
          <w:szCs w:val="21"/>
        </w:rPr>
        <w:t>10.8竞标人有下列情形之一的，竞标保证金将不予退还：</w:t>
      </w:r>
    </w:p>
    <w:p>
      <w:pPr>
        <w:widowControl/>
        <w:spacing w:line="400" w:lineRule="exact"/>
        <w:ind w:firstLine="315" w:firstLineChars="150"/>
        <w:jc w:val="left"/>
      </w:pPr>
      <w:r>
        <w:rPr>
          <w:rFonts w:hint="eastAsia"/>
        </w:rPr>
        <w:t>（1）竞标人在提交响应文件截止时间后撤回响应文件的；</w:t>
      </w:r>
    </w:p>
    <w:p>
      <w:pPr>
        <w:widowControl/>
        <w:spacing w:line="400" w:lineRule="exact"/>
        <w:ind w:firstLine="315" w:firstLineChars="150"/>
        <w:jc w:val="left"/>
      </w:pPr>
      <w:r>
        <w:rPr>
          <w:rFonts w:hint="eastAsia"/>
        </w:rPr>
        <w:t>（2）竞标人在响应文件中提供虚假材料的；</w:t>
      </w:r>
    </w:p>
    <w:p>
      <w:pPr>
        <w:widowControl/>
        <w:spacing w:line="400" w:lineRule="exact"/>
        <w:ind w:firstLine="315" w:firstLineChars="150"/>
        <w:jc w:val="left"/>
        <w:rPr>
          <w:spacing w:val="-2"/>
        </w:rPr>
      </w:pPr>
      <w:r>
        <w:rPr>
          <w:rFonts w:hint="eastAsia"/>
        </w:rPr>
        <w:t>（3）</w:t>
      </w:r>
      <w:r>
        <w:rPr>
          <w:rFonts w:hint="eastAsia"/>
          <w:spacing w:val="-2"/>
        </w:rPr>
        <w:t>除因不可抗力或竞争性谈判文件认可的情形以外，成交竞标人不与采购人签订合同的；</w:t>
      </w:r>
    </w:p>
    <w:p>
      <w:pPr>
        <w:widowControl/>
        <w:spacing w:line="400" w:lineRule="exact"/>
        <w:ind w:firstLine="315" w:firstLineChars="150"/>
        <w:jc w:val="left"/>
      </w:pPr>
      <w:r>
        <w:rPr>
          <w:rFonts w:hint="eastAsia"/>
        </w:rPr>
        <w:t>（4）竞标人与采购人或其他竞标人或采购代理机构恶意串通的；</w:t>
      </w:r>
    </w:p>
    <w:p>
      <w:pPr>
        <w:widowControl/>
        <w:spacing w:line="400" w:lineRule="exact"/>
        <w:ind w:firstLine="315" w:firstLineChars="150"/>
        <w:jc w:val="left"/>
      </w:pPr>
      <w:r>
        <w:rPr>
          <w:rFonts w:hint="eastAsia"/>
        </w:rPr>
        <w:t>（5）竞争性谈判文件规定的其他情形。</w:t>
      </w:r>
    </w:p>
    <w:p>
      <w:pPr>
        <w:pStyle w:val="8"/>
        <w:spacing w:line="400" w:lineRule="exact"/>
        <w:ind w:firstLine="420"/>
        <w:rPr>
          <w:rFonts w:hAnsi="宋体"/>
          <w:b/>
          <w:bCs/>
        </w:rPr>
      </w:pPr>
      <w:r>
        <w:rPr>
          <w:rFonts w:hint="eastAsia"/>
          <w:b/>
          <w:bCs/>
        </w:rPr>
        <w:t>10.9</w:t>
      </w:r>
      <w:r>
        <w:rPr>
          <w:rFonts w:hint="eastAsia" w:hAnsi="宋体"/>
          <w:b/>
          <w:bCs/>
        </w:rPr>
        <w:t>响应文件如有下列情况之一，将会在评标中按照无效竞标处理：</w:t>
      </w:r>
    </w:p>
    <w:p>
      <w:pPr>
        <w:pStyle w:val="8"/>
        <w:spacing w:line="400" w:lineRule="exact"/>
        <w:ind w:left="420"/>
        <w:rPr>
          <w:rFonts w:hAnsi="宋体"/>
          <w:bCs/>
        </w:rPr>
      </w:pPr>
      <w:r>
        <w:rPr>
          <w:rFonts w:hint="eastAsia" w:hAnsi="宋体"/>
          <w:bCs/>
        </w:rPr>
        <w:t>（1）未按规定足额提交竞标保证金的；</w:t>
      </w:r>
    </w:p>
    <w:p>
      <w:pPr>
        <w:pStyle w:val="8"/>
        <w:spacing w:line="400" w:lineRule="exact"/>
        <w:ind w:left="420"/>
        <w:rPr>
          <w:rFonts w:hAnsi="宋体"/>
          <w:bCs/>
        </w:rPr>
      </w:pPr>
      <w:r>
        <w:rPr>
          <w:rFonts w:hint="eastAsia" w:hAnsi="宋体"/>
          <w:bCs/>
        </w:rPr>
        <w:t>（2）未按照竞争性谈判文件规定要求密封、签署、盖章的；</w:t>
      </w:r>
    </w:p>
    <w:p>
      <w:pPr>
        <w:pStyle w:val="8"/>
        <w:spacing w:line="400" w:lineRule="exact"/>
        <w:ind w:left="420"/>
        <w:rPr>
          <w:rFonts w:hAnsi="宋体"/>
          <w:bCs/>
        </w:rPr>
      </w:pPr>
      <w:r>
        <w:rPr>
          <w:rFonts w:hint="eastAsia" w:hAnsi="宋体"/>
          <w:bCs/>
        </w:rPr>
        <w:t>（3）不具备竞争性谈判文件中规定资格要求的；</w:t>
      </w:r>
    </w:p>
    <w:p>
      <w:pPr>
        <w:pStyle w:val="8"/>
        <w:spacing w:line="400" w:lineRule="exact"/>
        <w:ind w:left="420"/>
        <w:rPr>
          <w:rFonts w:hAnsi="宋体"/>
          <w:bCs/>
        </w:rPr>
      </w:pPr>
      <w:r>
        <w:rPr>
          <w:rFonts w:hint="eastAsia" w:hAnsi="宋体"/>
          <w:bCs/>
        </w:rPr>
        <w:t>（4）不符合法律、法规和竞争性谈判文件中规定的其他实质性要求的；</w:t>
      </w:r>
    </w:p>
    <w:p>
      <w:pPr>
        <w:pStyle w:val="8"/>
        <w:tabs>
          <w:tab w:val="left" w:pos="780"/>
        </w:tabs>
        <w:spacing w:line="400" w:lineRule="exact"/>
        <w:ind w:firstLine="420"/>
        <w:rPr>
          <w:rFonts w:hAnsi="宋体"/>
        </w:rPr>
      </w:pPr>
      <w:r>
        <w:rPr>
          <w:rFonts w:hint="eastAsia" w:hAnsi="宋体"/>
        </w:rPr>
        <w:t>（5）谈判小组在评标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响应文件应作无效竞标处理。</w:t>
      </w:r>
    </w:p>
    <w:p>
      <w:pPr>
        <w:pStyle w:val="8"/>
        <w:tabs>
          <w:tab w:val="left" w:pos="780"/>
        </w:tabs>
        <w:spacing w:line="400" w:lineRule="exact"/>
        <w:ind w:firstLine="527" w:firstLineChars="250"/>
        <w:rPr>
          <w:rFonts w:hAnsi="宋体"/>
          <w:b/>
          <w:bCs/>
        </w:rPr>
      </w:pPr>
      <w:r>
        <w:rPr>
          <w:rFonts w:hint="eastAsia" w:hAnsi="宋体"/>
          <w:b/>
          <w:bCs/>
        </w:rPr>
        <w:t>10.10竞标人有下列情形之一的视为竞标人相互串通竞标，响应文件将视为无效处理：</w:t>
      </w:r>
    </w:p>
    <w:p>
      <w:pPr>
        <w:pStyle w:val="8"/>
        <w:tabs>
          <w:tab w:val="left" w:pos="780"/>
        </w:tabs>
        <w:spacing w:line="400" w:lineRule="exact"/>
        <w:ind w:firstLine="420"/>
        <w:rPr>
          <w:rFonts w:hAnsi="宋体"/>
        </w:rPr>
      </w:pPr>
      <w:r>
        <w:rPr>
          <w:rFonts w:hint="eastAsia" w:hAnsi="宋体"/>
        </w:rPr>
        <w:t>（1）不同竞标人的响应文件由同一单位或者个人编制；或不同竞标人报名的IP地址一致的；</w:t>
      </w:r>
    </w:p>
    <w:p>
      <w:pPr>
        <w:pStyle w:val="8"/>
        <w:tabs>
          <w:tab w:val="left" w:pos="780"/>
        </w:tabs>
        <w:spacing w:line="400" w:lineRule="exact"/>
        <w:ind w:firstLine="420"/>
        <w:rPr>
          <w:rFonts w:hAnsi="宋体"/>
        </w:rPr>
      </w:pPr>
      <w:r>
        <w:rPr>
          <w:rFonts w:hint="eastAsia" w:hAnsi="宋体"/>
        </w:rPr>
        <w:t>（2）不同竞标人委托同一单位或者个人办理竞标事宜；</w:t>
      </w:r>
    </w:p>
    <w:p>
      <w:pPr>
        <w:pStyle w:val="8"/>
        <w:tabs>
          <w:tab w:val="left" w:pos="780"/>
        </w:tabs>
        <w:spacing w:line="400" w:lineRule="exact"/>
        <w:ind w:firstLine="420"/>
        <w:rPr>
          <w:rFonts w:hAnsi="宋体"/>
        </w:rPr>
      </w:pPr>
      <w:r>
        <w:rPr>
          <w:rFonts w:hint="eastAsia" w:hAnsi="宋体"/>
        </w:rPr>
        <w:t>（3）不同的竞标人的响应文件载明的项目管理员为同一个人；</w:t>
      </w:r>
    </w:p>
    <w:p>
      <w:pPr>
        <w:pStyle w:val="8"/>
        <w:tabs>
          <w:tab w:val="left" w:pos="780"/>
        </w:tabs>
        <w:spacing w:line="400" w:lineRule="exact"/>
        <w:ind w:firstLine="420"/>
        <w:rPr>
          <w:rFonts w:hAnsi="宋体"/>
        </w:rPr>
      </w:pPr>
      <w:r>
        <w:rPr>
          <w:rFonts w:hint="eastAsia" w:hAnsi="宋体"/>
        </w:rPr>
        <w:t>（4）不同竞标人的响应文件异常一致或竞标报价呈规律性异常；</w:t>
      </w:r>
    </w:p>
    <w:p>
      <w:pPr>
        <w:pStyle w:val="8"/>
        <w:tabs>
          <w:tab w:val="left" w:pos="780"/>
        </w:tabs>
        <w:spacing w:line="400" w:lineRule="exact"/>
        <w:ind w:firstLine="420"/>
        <w:rPr>
          <w:rFonts w:hAnsi="宋体"/>
        </w:rPr>
      </w:pPr>
      <w:r>
        <w:rPr>
          <w:rFonts w:hint="eastAsia" w:hAnsi="宋体"/>
        </w:rPr>
        <w:t>（5）不同竞标人的响应文件相互混装；</w:t>
      </w:r>
    </w:p>
    <w:p>
      <w:pPr>
        <w:pStyle w:val="8"/>
        <w:tabs>
          <w:tab w:val="left" w:pos="780"/>
        </w:tabs>
        <w:spacing w:line="400" w:lineRule="exact"/>
        <w:ind w:firstLine="525" w:firstLineChars="250"/>
        <w:rPr>
          <w:rFonts w:hAnsi="宋体"/>
        </w:rPr>
      </w:pPr>
      <w:r>
        <w:rPr>
          <w:rFonts w:hint="eastAsia" w:hAnsi="宋体"/>
        </w:rPr>
        <w:t>10.11关联供应商不得参加同一合同项下政府采购活动，竞标人有下列情形之一的，其响应文件将视为无效处理：</w:t>
      </w:r>
    </w:p>
    <w:p>
      <w:pPr>
        <w:pStyle w:val="8"/>
        <w:tabs>
          <w:tab w:val="left" w:pos="780"/>
        </w:tabs>
        <w:spacing w:line="400" w:lineRule="exact"/>
        <w:ind w:firstLine="420"/>
        <w:rPr>
          <w:rFonts w:hAnsi="宋体"/>
        </w:rPr>
      </w:pPr>
      <w:r>
        <w:rPr>
          <w:rFonts w:hint="eastAsia" w:hAnsi="宋体"/>
        </w:rPr>
        <w:t>（1）单位负责人为同一人或者存在直接控股、管理关系的不同的供应商，不得参加同一合同项下的政府采购活动；</w:t>
      </w:r>
    </w:p>
    <w:p>
      <w:pPr>
        <w:pStyle w:val="8"/>
        <w:tabs>
          <w:tab w:val="left" w:pos="780"/>
        </w:tabs>
        <w:spacing w:line="400" w:lineRule="exact"/>
        <w:ind w:firstLine="420"/>
        <w:rPr>
          <w:rFonts w:hAnsi="宋体"/>
        </w:rPr>
      </w:pPr>
      <w:r>
        <w:rPr>
          <w:rFonts w:hint="eastAsia" w:hAnsi="宋体"/>
        </w:rPr>
        <w:t>（2）生产厂商授权给供应商后自己不得参加同一个合同项下的政府采购活动；生产厂商对同一品牌同一型号的货物，仅能委托一个代理商参加竞标。</w:t>
      </w:r>
    </w:p>
    <w:p>
      <w:pPr>
        <w:pStyle w:val="8"/>
        <w:spacing w:line="400" w:lineRule="exact"/>
        <w:ind w:firstLine="435"/>
        <w:rPr>
          <w:rFonts w:hAnsi="宋体"/>
          <w:bCs/>
        </w:rPr>
      </w:pPr>
      <w:r>
        <w:rPr>
          <w:rFonts w:hint="eastAsia" w:hAnsi="宋体"/>
        </w:rPr>
        <w:t>10.12</w:t>
      </w:r>
      <w:r>
        <w:rPr>
          <w:rFonts w:hint="eastAsia" w:hAnsi="宋体"/>
          <w:bCs/>
        </w:rPr>
        <w:t>招标采购项目出现下列情形之一的，招标代理机构将予以废标：</w:t>
      </w:r>
    </w:p>
    <w:p>
      <w:pPr>
        <w:pStyle w:val="8"/>
        <w:spacing w:line="400" w:lineRule="exact"/>
        <w:ind w:firstLine="435"/>
        <w:rPr>
          <w:rFonts w:hAnsi="宋体"/>
          <w:bCs/>
        </w:rPr>
      </w:pPr>
      <w:r>
        <w:rPr>
          <w:rFonts w:hint="eastAsia" w:hAnsi="宋体"/>
          <w:bCs/>
        </w:rPr>
        <w:t>（1）截标后整个招标项目的竞标人不足3家的；</w:t>
      </w:r>
    </w:p>
    <w:p>
      <w:pPr>
        <w:pStyle w:val="8"/>
        <w:spacing w:line="400" w:lineRule="exact"/>
        <w:ind w:firstLine="435"/>
        <w:rPr>
          <w:rFonts w:hAnsi="宋体"/>
          <w:bCs/>
        </w:rPr>
      </w:pPr>
      <w:r>
        <w:rPr>
          <w:rFonts w:hint="eastAsia" w:hAnsi="宋体"/>
        </w:rPr>
        <w:t>（2）</w:t>
      </w:r>
      <w:r>
        <w:rPr>
          <w:rFonts w:hint="eastAsia" w:hAnsi="宋体"/>
          <w:bCs/>
        </w:rPr>
        <w:t>评标过程中符合专业条件或者对竞争性谈判文件作实质响应的供应商不足3家的；</w:t>
      </w:r>
    </w:p>
    <w:p>
      <w:pPr>
        <w:pStyle w:val="8"/>
        <w:spacing w:line="400" w:lineRule="exact"/>
        <w:ind w:firstLine="420"/>
        <w:rPr>
          <w:rFonts w:hAnsi="宋体"/>
        </w:rPr>
      </w:pPr>
      <w:r>
        <w:rPr>
          <w:rFonts w:hint="eastAsia" w:hAnsi="宋体"/>
        </w:rPr>
        <w:t>（3）出现影响采购公正的违法、违规行为的；</w:t>
      </w:r>
    </w:p>
    <w:p>
      <w:pPr>
        <w:pStyle w:val="8"/>
        <w:spacing w:line="400" w:lineRule="exact"/>
        <w:ind w:firstLine="420"/>
        <w:rPr>
          <w:rFonts w:hAnsi="宋体"/>
        </w:rPr>
      </w:pPr>
      <w:r>
        <w:rPr>
          <w:rFonts w:hint="eastAsia" w:hAnsi="宋体"/>
        </w:rPr>
        <w:t>（4）竞标人的最终报价均超过了采购预算，采购人不能支付的；</w:t>
      </w:r>
    </w:p>
    <w:p>
      <w:pPr>
        <w:pStyle w:val="8"/>
        <w:spacing w:line="400" w:lineRule="exact"/>
        <w:ind w:firstLine="420"/>
        <w:rPr>
          <w:rFonts w:hAnsi="宋体"/>
        </w:rPr>
      </w:pPr>
      <w:r>
        <w:rPr>
          <w:rFonts w:hint="eastAsia" w:hAnsi="宋体"/>
        </w:rPr>
        <w:t>（5）因重大变故，采购任务取消的。</w:t>
      </w:r>
    </w:p>
    <w:p>
      <w:pPr>
        <w:spacing w:line="400" w:lineRule="exact"/>
        <w:ind w:firstLine="420" w:firstLineChars="200"/>
        <w:rPr>
          <w:rFonts w:hAnsi="宋体"/>
          <w:bCs/>
        </w:rPr>
      </w:pPr>
      <w:r>
        <w:rPr>
          <w:rFonts w:hint="eastAsia" w:hAnsi="宋体"/>
          <w:bCs/>
        </w:rPr>
        <w:t>废标后，采购代理机构将把废标理由通知所有竞标人。</w:t>
      </w: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五、谈判的步骤</w:t>
      </w:r>
    </w:p>
    <w:p>
      <w:pPr>
        <w:spacing w:line="400" w:lineRule="exact"/>
        <w:ind w:firstLine="420" w:firstLineChars="200"/>
        <w:rPr>
          <w:rFonts w:ascii="宋体" w:hAnsi="宋体"/>
          <w:szCs w:val="21"/>
        </w:rPr>
      </w:pPr>
      <w:r>
        <w:rPr>
          <w:rFonts w:hint="eastAsia" w:ascii="宋体" w:hAnsi="宋体"/>
          <w:szCs w:val="21"/>
        </w:rPr>
        <w:t>11.谈判小组组成及谈判时间、地点、人员</w:t>
      </w:r>
    </w:p>
    <w:p>
      <w:pPr>
        <w:spacing w:line="400" w:lineRule="exact"/>
        <w:ind w:firstLine="420" w:firstLineChars="200"/>
        <w:rPr>
          <w:rFonts w:ascii="宋体" w:hAnsi="宋体"/>
          <w:szCs w:val="21"/>
        </w:rPr>
      </w:pPr>
      <w:r>
        <w:rPr>
          <w:rFonts w:hint="eastAsia" w:ascii="宋体" w:hAnsi="宋体"/>
          <w:szCs w:val="21"/>
        </w:rPr>
        <w:t>11.1谈判小组构成：本采购项目的谈判小组由采购人代表和评审专家共三人以上单数组成，其中评审专家人数不少于成员总数的三分之二。</w:t>
      </w:r>
    </w:p>
    <w:p>
      <w:pPr>
        <w:spacing w:line="400" w:lineRule="exact"/>
        <w:ind w:firstLine="420" w:firstLineChars="200"/>
        <w:rPr>
          <w:rFonts w:ascii="宋体" w:hAnsi="宋体"/>
          <w:szCs w:val="21"/>
        </w:rPr>
      </w:pPr>
      <w:r>
        <w:rPr>
          <w:rFonts w:hint="eastAsia" w:ascii="宋体" w:hAnsi="宋体"/>
          <w:szCs w:val="21"/>
        </w:rPr>
        <w:t>11.2</w:t>
      </w:r>
      <w:r>
        <w:rPr>
          <w:rFonts w:hint="eastAsia" w:ascii="宋体" w:hAnsi="宋体"/>
          <w:color w:val="FF0000"/>
          <w:szCs w:val="21"/>
        </w:rPr>
        <w:t xml:space="preserve"> </w:t>
      </w:r>
      <w:r>
        <w:rPr>
          <w:rFonts w:hint="eastAsia" w:ascii="宋体" w:hAnsi="宋体"/>
          <w:szCs w:val="21"/>
        </w:rPr>
        <w:t>截标后为与竞标人谈判时间，具体时间由采购代理机构另行通知。地点：</w:t>
      </w:r>
      <w:r>
        <w:rPr>
          <w:rFonts w:hint="eastAsia"/>
        </w:rPr>
        <w:t>广西坤珍建设项目管理咨询有限公司【崇左市友谊大道嘉苑小区转角地块22号三楼（市发改委后面）】</w:t>
      </w:r>
      <w:r>
        <w:rPr>
          <w:rFonts w:hint="eastAsia" w:ascii="宋体" w:hAnsi="宋体"/>
          <w:szCs w:val="21"/>
        </w:rPr>
        <w:t>评标室，参加竞标的法定代表人或委托代理人必须持证件依时到达指定地点等候当面谈判。</w:t>
      </w:r>
    </w:p>
    <w:p>
      <w:pPr>
        <w:spacing w:line="400" w:lineRule="exact"/>
        <w:ind w:firstLine="420" w:firstLineChars="200"/>
        <w:rPr>
          <w:rFonts w:ascii="宋体" w:hAnsi="宋体"/>
          <w:szCs w:val="21"/>
        </w:rPr>
      </w:pPr>
      <w:r>
        <w:rPr>
          <w:rFonts w:hint="eastAsia" w:ascii="宋体" w:hAnsi="宋体"/>
          <w:szCs w:val="21"/>
        </w:rPr>
        <w:t>12．评标原则和评标办法</w:t>
      </w:r>
    </w:p>
    <w:p>
      <w:pPr>
        <w:spacing w:line="400" w:lineRule="exact"/>
        <w:ind w:firstLine="420" w:firstLineChars="200"/>
        <w:rPr>
          <w:rFonts w:ascii="宋体" w:hAnsi="宋体"/>
          <w:szCs w:val="21"/>
        </w:rPr>
      </w:pPr>
      <w:r>
        <w:rPr>
          <w:rFonts w:hint="eastAsia" w:ascii="宋体" w:hAnsi="宋体"/>
          <w:szCs w:val="21"/>
        </w:rPr>
        <w:t>12.1具体评标原则和评标办法见第四章评分标准。</w:t>
      </w:r>
    </w:p>
    <w:p>
      <w:pPr>
        <w:spacing w:line="400" w:lineRule="exact"/>
        <w:ind w:firstLine="420" w:firstLineChars="200"/>
        <w:rPr>
          <w:rFonts w:ascii="宋体" w:hAnsi="宋体"/>
          <w:szCs w:val="21"/>
        </w:rPr>
      </w:pPr>
      <w:r>
        <w:rPr>
          <w:rFonts w:hint="eastAsia" w:ascii="宋体" w:hAnsi="宋体"/>
          <w:szCs w:val="21"/>
        </w:rPr>
        <w:t>13.评审程序及谈判要求</w:t>
      </w:r>
    </w:p>
    <w:p>
      <w:pPr>
        <w:spacing w:line="400" w:lineRule="exact"/>
        <w:ind w:firstLine="420" w:firstLineChars="200"/>
        <w:rPr>
          <w:rFonts w:ascii="宋体" w:hAnsi="宋体"/>
          <w:szCs w:val="21"/>
        </w:rPr>
      </w:pPr>
      <w:r>
        <w:rPr>
          <w:rFonts w:hint="eastAsia" w:ascii="宋体" w:hAnsi="宋体"/>
          <w:szCs w:val="21"/>
        </w:rPr>
        <w:t>13.1采购中心核实谈判小组成员身份，宣布评审专家须知。</w:t>
      </w:r>
    </w:p>
    <w:p>
      <w:pPr>
        <w:spacing w:line="400" w:lineRule="exact"/>
        <w:ind w:firstLine="420" w:firstLineChars="200"/>
        <w:rPr>
          <w:rFonts w:ascii="宋体" w:hAnsi="宋体"/>
          <w:szCs w:val="21"/>
        </w:rPr>
      </w:pPr>
      <w:r>
        <w:rPr>
          <w:rFonts w:hint="eastAsia" w:ascii="宋体" w:hAnsi="宋体"/>
          <w:szCs w:val="21"/>
        </w:rPr>
        <w:t>13.2在谈判开始前由谈判小组对谈判文件进行确认，认可谈判文件的内容，符合法律法规的规定、不存在歧视性或排他性内容。</w:t>
      </w:r>
    </w:p>
    <w:p>
      <w:pPr>
        <w:spacing w:line="400" w:lineRule="exact"/>
        <w:ind w:firstLine="420" w:firstLineChars="200"/>
        <w:rPr>
          <w:rFonts w:ascii="宋体" w:hAnsi="宋体"/>
          <w:szCs w:val="21"/>
        </w:rPr>
      </w:pPr>
      <w:r>
        <w:rPr>
          <w:rFonts w:hint="eastAsia" w:ascii="宋体" w:hAnsi="宋体"/>
          <w:szCs w:val="21"/>
        </w:rPr>
        <w:t>13.3资格性和符合性审查</w:t>
      </w:r>
    </w:p>
    <w:p>
      <w:pPr>
        <w:spacing w:line="400" w:lineRule="exact"/>
        <w:ind w:firstLine="420" w:firstLineChars="200"/>
        <w:rPr>
          <w:rFonts w:ascii="宋体" w:hAnsi="宋体"/>
          <w:szCs w:val="21"/>
        </w:rPr>
      </w:pPr>
      <w:r>
        <w:rPr>
          <w:rFonts w:hint="eastAsia" w:ascii="宋体" w:hAnsi="宋体"/>
          <w:szCs w:val="21"/>
        </w:rPr>
        <w:t>13.3.1谈判小组对响应文件进行资格性和符合性审查，审查响应文件是否实质上响应了谈判文件的要求，未实质性响应谈判文件的响应文件按无效处理，谈判小组应当告知有关竞标人。在评审过程中可以要求竞标人对响应文件中含义不明确、同类问题表述不一致或者有明显文字和计算错误的内容等作出必要的澄清、说明或者更正,竞标人的澄清、说明或者更正不得超出响应文件的范围或者改变响应文件的实质性内容，澄清、说明或者更正应当由其法定代表人或授权委托代理人签字或者加盖竞标人公章。由授权委托代理人签字的，应当附法人授权委托书。</w:t>
      </w:r>
    </w:p>
    <w:p>
      <w:pPr>
        <w:spacing w:line="400" w:lineRule="exact"/>
        <w:ind w:firstLine="420" w:firstLineChars="200"/>
        <w:rPr>
          <w:rFonts w:ascii="宋体" w:hAnsi="宋体"/>
          <w:szCs w:val="21"/>
        </w:rPr>
      </w:pPr>
      <w:r>
        <w:rPr>
          <w:rFonts w:hint="eastAsia" w:ascii="宋体" w:hAnsi="宋体"/>
          <w:szCs w:val="21"/>
        </w:rPr>
        <w:t>13.3.2同一品牌同一型号产品只能由一家供应商参加。采购内容包含多项设备，如其中两家或两家以上供应商所竞产品均为同一品牌同一型号产品的，应当按一个供应商认定。多家供应商参加竞标，如其中两家或两家以上供应商的法定代表人为同一人或相互之间存在投资关系且达到控股的，应当按一个供应商认定。评审时，其中通过资格审查和符合审查后的最后报价最低一家为有效供应商；当报价相同时，则以售后服务最优一家为有效供应商；均相同时，由谈判小组成员集体决定。</w:t>
      </w:r>
    </w:p>
    <w:p>
      <w:pPr>
        <w:spacing w:line="400" w:lineRule="exact"/>
        <w:ind w:firstLine="420" w:firstLineChars="200"/>
        <w:rPr>
          <w:rFonts w:ascii="宋体" w:hAnsi="宋体"/>
          <w:szCs w:val="21"/>
        </w:rPr>
      </w:pPr>
      <w:r>
        <w:rPr>
          <w:rFonts w:hint="eastAsia" w:ascii="宋体" w:hAnsi="宋体"/>
          <w:szCs w:val="21"/>
        </w:rPr>
        <w:t>多家代理商或经销商参加竞标，如其中两家或两家以上供应商存在分级代理或代销关系，且提供的是其所代理同一品牌同一型号产品的，评审时，按上述规定确定其中一家为有效供应商。</w:t>
      </w:r>
    </w:p>
    <w:p>
      <w:pPr>
        <w:spacing w:line="400" w:lineRule="exact"/>
        <w:ind w:firstLine="420" w:firstLineChars="200"/>
        <w:rPr>
          <w:rFonts w:ascii="宋体" w:hAnsi="宋体"/>
          <w:szCs w:val="21"/>
        </w:rPr>
      </w:pPr>
      <w:r>
        <w:rPr>
          <w:rFonts w:hint="eastAsia" w:ascii="宋体" w:hAnsi="宋体"/>
          <w:szCs w:val="21"/>
        </w:rPr>
        <w:t>同一家原生产厂商授权多家代理商参加同一品牌同一型号产品竞标的，评审时，按上述规定确定其中一家为有效供应商。</w:t>
      </w:r>
    </w:p>
    <w:p>
      <w:pPr>
        <w:spacing w:line="400" w:lineRule="exact"/>
        <w:ind w:firstLine="420" w:firstLineChars="200"/>
        <w:rPr>
          <w:rFonts w:ascii="宋体" w:hAnsi="宋体"/>
          <w:szCs w:val="21"/>
        </w:rPr>
      </w:pPr>
      <w:r>
        <w:rPr>
          <w:rFonts w:hint="eastAsia" w:ascii="宋体" w:hAnsi="宋体"/>
          <w:szCs w:val="21"/>
        </w:rPr>
        <w:t>提供相同品牌产品的不同竞标人参加同一合同项下竞标的，以其中通过资格审查、符合性审查且报价最低的参加评标，当报价相同时，则以售后服务最优一家为有效供应商；均相同时，由谈判小组成员集体决定。其他竞标供应商竞标无效。</w:t>
      </w:r>
    </w:p>
    <w:p>
      <w:pPr>
        <w:spacing w:line="400" w:lineRule="exact"/>
        <w:ind w:firstLine="420" w:firstLineChars="200"/>
        <w:rPr>
          <w:rFonts w:ascii="宋体" w:hAnsi="宋体"/>
          <w:szCs w:val="21"/>
        </w:rPr>
      </w:pPr>
      <w:r>
        <w:rPr>
          <w:rFonts w:hint="eastAsia" w:ascii="宋体" w:hAnsi="宋体"/>
          <w:szCs w:val="21"/>
        </w:rPr>
        <w:t>非单一产品采购项目中，多家竞标人提供的核心产品品牌相同的，视为提供相同品牌产品。</w:t>
      </w:r>
    </w:p>
    <w:p>
      <w:pPr>
        <w:spacing w:line="400" w:lineRule="exact"/>
        <w:ind w:firstLine="420" w:firstLineChars="200"/>
        <w:rPr>
          <w:rFonts w:ascii="宋体" w:hAnsi="宋体"/>
          <w:szCs w:val="21"/>
        </w:rPr>
      </w:pPr>
      <w:r>
        <w:rPr>
          <w:rFonts w:hint="eastAsia" w:ascii="宋体" w:hAnsi="宋体"/>
          <w:szCs w:val="21"/>
        </w:rPr>
        <w:t>13.4谈判</w:t>
      </w:r>
    </w:p>
    <w:p>
      <w:pPr>
        <w:spacing w:line="400" w:lineRule="exact"/>
        <w:ind w:firstLine="420" w:firstLineChars="200"/>
        <w:rPr>
          <w:rFonts w:ascii="宋体" w:hAnsi="宋体"/>
          <w:szCs w:val="21"/>
        </w:rPr>
      </w:pPr>
      <w:r>
        <w:rPr>
          <w:rFonts w:hint="eastAsia" w:ascii="宋体" w:hAnsi="宋体"/>
          <w:szCs w:val="21"/>
        </w:rPr>
        <w:t>13.4.1在审查后由谈判小组组长主持，归纳各专家审核意见，形成谈判要点。谈判小组依据谈判要点，与单一实质性响应谈判文件的竞标人分别进行谈判，给予所有参加谈判的竞标人平等的谈判机会。</w:t>
      </w:r>
    </w:p>
    <w:p>
      <w:pPr>
        <w:spacing w:line="400" w:lineRule="exact"/>
        <w:ind w:firstLine="420" w:firstLineChars="200"/>
        <w:rPr>
          <w:rFonts w:ascii="宋体" w:hAnsi="宋体"/>
          <w:szCs w:val="21"/>
        </w:rPr>
      </w:pPr>
      <w:r>
        <w:rPr>
          <w:rFonts w:hint="eastAsia" w:ascii="宋体" w:hAnsi="宋体"/>
          <w:szCs w:val="21"/>
        </w:rPr>
        <w:t>13.4.2在谈判过程中，谈判小组可以根据谈判文件和谈判情况实质性变动项目需求中的技术、服务要求及合同草案条款，但不得变动谈判文件中的其他内容。实质性变动的内容，须经采购人代表确认。</w:t>
      </w:r>
    </w:p>
    <w:p>
      <w:pPr>
        <w:spacing w:line="400" w:lineRule="exact"/>
        <w:ind w:firstLine="420" w:firstLineChars="200"/>
        <w:rPr>
          <w:rFonts w:ascii="宋体" w:hAnsi="宋体"/>
          <w:szCs w:val="21"/>
        </w:rPr>
      </w:pPr>
      <w:r>
        <w:rPr>
          <w:rFonts w:hint="eastAsia" w:ascii="宋体" w:hAnsi="宋体"/>
          <w:szCs w:val="21"/>
        </w:rPr>
        <w:t>13.4.3对谈判文件作出的实质性变动是谈判文件的有效组成部分，谈判小组应当及时以书面形式同时通知所有参加谈判的竞标人。</w:t>
      </w:r>
    </w:p>
    <w:p>
      <w:pPr>
        <w:spacing w:line="400" w:lineRule="exact"/>
        <w:ind w:firstLine="420" w:firstLineChars="200"/>
        <w:rPr>
          <w:rFonts w:ascii="宋体" w:hAnsi="宋体"/>
          <w:szCs w:val="21"/>
        </w:rPr>
      </w:pPr>
      <w:r>
        <w:rPr>
          <w:rFonts w:hint="eastAsia" w:ascii="宋体" w:hAnsi="宋体"/>
          <w:szCs w:val="21"/>
        </w:rPr>
        <w:t>13.4.4谈判的任何一方不得透露与谈判有关的其他竞标人的技术资料、价格和其他信息。</w:t>
      </w:r>
      <w:r>
        <w:rPr>
          <w:rFonts w:hint="eastAsia"/>
        </w:rPr>
        <w:t>广西坤珍建设项目管理咨询有限公司</w:t>
      </w:r>
      <w:r>
        <w:rPr>
          <w:rFonts w:hint="eastAsia" w:ascii="宋体" w:hAnsi="宋体"/>
          <w:szCs w:val="21"/>
        </w:rPr>
        <w:t>对谈判过程和重要谈判内容进行记录，谈判双方在记录上签字确认。</w:t>
      </w:r>
    </w:p>
    <w:p>
      <w:pPr>
        <w:spacing w:line="400" w:lineRule="exact"/>
        <w:ind w:firstLine="420" w:firstLineChars="200"/>
        <w:rPr>
          <w:rFonts w:ascii="宋体" w:hAnsi="宋体"/>
          <w:szCs w:val="21"/>
        </w:rPr>
      </w:pPr>
      <w:r>
        <w:rPr>
          <w:rFonts w:hint="eastAsia" w:ascii="宋体" w:hAnsi="宋体"/>
          <w:szCs w:val="21"/>
        </w:rPr>
        <w:t>13.4.5谈判后，竞标人根据谈判小组统一整理的书面谈判记录要求做出书面承诺，并由其法定代表人或授权代表签字或者加盖公章后按时密封递交。</w:t>
      </w:r>
    </w:p>
    <w:p>
      <w:pPr>
        <w:spacing w:line="400" w:lineRule="exact"/>
        <w:ind w:firstLine="420" w:firstLineChars="200"/>
        <w:rPr>
          <w:rFonts w:ascii="宋体" w:hAnsi="宋体"/>
          <w:szCs w:val="21"/>
        </w:rPr>
      </w:pPr>
      <w:r>
        <w:rPr>
          <w:rFonts w:hint="eastAsia" w:ascii="宋体" w:hAnsi="宋体"/>
          <w:szCs w:val="21"/>
        </w:rPr>
        <w:t>13.4.6当谈判小组一致确定竞标人的响应文件符合竞争性谈判文件要求，无需再谈判的，谈判小组按竞争性谈判文件设定的13.5程序确定成交候选人。第一轮谈判后竞争性谈判文件有实质性变动或仍需谈判的，谈判小组对竞争性谈判文件变动或提出谈判意见后进行第二轮谈判。以此类推。</w:t>
      </w:r>
    </w:p>
    <w:p>
      <w:pPr>
        <w:spacing w:line="400" w:lineRule="exact"/>
        <w:ind w:firstLine="420" w:firstLineChars="200"/>
        <w:rPr>
          <w:rFonts w:ascii="宋体" w:hAnsi="宋体"/>
          <w:szCs w:val="21"/>
        </w:rPr>
      </w:pPr>
      <w:r>
        <w:rPr>
          <w:rFonts w:hint="eastAsia" w:ascii="宋体" w:hAnsi="宋体"/>
          <w:szCs w:val="21"/>
        </w:rPr>
        <w:t>13.5最后报价</w:t>
      </w:r>
    </w:p>
    <w:p>
      <w:pPr>
        <w:spacing w:line="400" w:lineRule="exact"/>
        <w:ind w:firstLine="420" w:firstLineChars="200"/>
        <w:rPr>
          <w:rFonts w:ascii="宋体" w:hAnsi="宋体"/>
          <w:szCs w:val="21"/>
        </w:rPr>
      </w:pPr>
      <w:r>
        <w:rPr>
          <w:rFonts w:hint="eastAsia" w:ascii="宋体" w:hAnsi="宋体"/>
          <w:szCs w:val="21"/>
        </w:rPr>
        <w:t>13.5.1谈判结束后，谈判小组应当要求所有继续参加谈判的竞标人在规定时间内密封提交最后报价，提交最后报价的竞标人不得少于3家。</w:t>
      </w:r>
    </w:p>
    <w:p>
      <w:pPr>
        <w:spacing w:line="400" w:lineRule="exact"/>
        <w:ind w:firstLine="420" w:firstLineChars="200"/>
        <w:rPr>
          <w:rFonts w:ascii="宋体" w:hAnsi="宋体"/>
          <w:szCs w:val="21"/>
        </w:rPr>
      </w:pPr>
      <w:r>
        <w:rPr>
          <w:rFonts w:hint="eastAsia" w:ascii="宋体" w:hAnsi="宋体"/>
          <w:szCs w:val="21"/>
        </w:rPr>
        <w:t>13.5.2已提交响应文件的竞标人，在提交最后报价之前，可以根据谈判情况书面退出谈判；</w:t>
      </w:r>
    </w:p>
    <w:p>
      <w:pPr>
        <w:spacing w:line="400" w:lineRule="exact"/>
        <w:ind w:firstLine="420" w:firstLineChars="200"/>
        <w:rPr>
          <w:rFonts w:ascii="宋体" w:hAnsi="宋体"/>
          <w:szCs w:val="21"/>
        </w:rPr>
      </w:pPr>
      <w:r>
        <w:rPr>
          <w:rFonts w:hint="eastAsia" w:ascii="宋体" w:hAnsi="宋体"/>
          <w:szCs w:val="21"/>
        </w:rPr>
        <w:t>13.5.3最后报价应由其法定代表人或授权委托代理人签字或者加盖竞标人公章，最后报价是竞标人响应文件的有效组成部分。</w:t>
      </w:r>
    </w:p>
    <w:p>
      <w:pPr>
        <w:spacing w:line="400" w:lineRule="exact"/>
        <w:ind w:firstLine="420" w:firstLineChars="200"/>
        <w:rPr>
          <w:rFonts w:ascii="宋体" w:hAnsi="宋体"/>
          <w:szCs w:val="21"/>
        </w:rPr>
      </w:pPr>
      <w:r>
        <w:rPr>
          <w:rFonts w:hint="eastAsia" w:ascii="宋体" w:hAnsi="宋体"/>
          <w:szCs w:val="21"/>
        </w:rPr>
        <w:t>13.5.4最后报价所有货物最终单价将根据最后报价所有货物总价及</w:t>
      </w:r>
      <w:r>
        <w:rPr>
          <w:rFonts w:ascii="宋体" w:hAnsi="宋体"/>
          <w:szCs w:val="21"/>
        </w:rPr>
        <w:t>响应文件</w:t>
      </w:r>
      <w:r>
        <w:rPr>
          <w:rFonts w:hint="eastAsia" w:ascii="宋体" w:hAnsi="宋体"/>
          <w:szCs w:val="21"/>
        </w:rPr>
        <w:t>中的首次货物总价按所调整比例进行相应调整。</w:t>
      </w:r>
    </w:p>
    <w:p>
      <w:pPr>
        <w:spacing w:line="400" w:lineRule="exact"/>
        <w:ind w:firstLine="420" w:firstLineChars="200"/>
        <w:rPr>
          <w:rFonts w:ascii="宋体" w:hAnsi="宋体"/>
          <w:szCs w:val="21"/>
        </w:rPr>
      </w:pPr>
      <w:r>
        <w:rPr>
          <w:rFonts w:hint="eastAsia" w:ascii="宋体" w:hAnsi="宋体"/>
          <w:szCs w:val="21"/>
        </w:rPr>
        <w:t>13.5.5小型和微型企业最终报价扣除计算。</w:t>
      </w:r>
    </w:p>
    <w:p>
      <w:pPr>
        <w:spacing w:line="440" w:lineRule="exact"/>
        <w:ind w:firstLine="420" w:firstLineChars="200"/>
        <w:rPr>
          <w:rFonts w:ascii="宋体" w:hAnsi="宋体"/>
          <w:szCs w:val="21"/>
        </w:rPr>
      </w:pPr>
      <w:r>
        <w:rPr>
          <w:rFonts w:hint="eastAsia" w:ascii="宋体" w:hAnsi="宋体"/>
          <w:szCs w:val="21"/>
        </w:rPr>
        <w:t>按照《政府采购促进中小企业发展暂行办法》（财库[2011]181号），响应竞标人认定为小型和微型企业（以响应文件提供的符合规定的有关证明材料为准）且所竞标产品均为小型和微型企业产品的，对最后报价给予10%的扣除，扣除后的价格为评标报价，即评标报价=最终报价×（1-10%）；除上述情况外，评标报价=最终报价。</w:t>
      </w:r>
    </w:p>
    <w:p>
      <w:pPr>
        <w:spacing w:line="440" w:lineRule="exact"/>
        <w:ind w:firstLine="420" w:firstLineChars="200"/>
        <w:rPr>
          <w:rFonts w:ascii="宋体" w:hAnsi="宋体"/>
          <w:szCs w:val="21"/>
        </w:rPr>
      </w:pPr>
      <w:r>
        <w:rPr>
          <w:rFonts w:hint="eastAsia" w:ascii="宋体" w:hAnsi="宋体"/>
          <w:szCs w:val="21"/>
        </w:rPr>
        <w:t>13.6评审报告</w:t>
      </w:r>
    </w:p>
    <w:p>
      <w:pPr>
        <w:spacing w:line="440" w:lineRule="exact"/>
        <w:ind w:firstLine="420" w:firstLineChars="200"/>
        <w:rPr>
          <w:rFonts w:ascii="宋体" w:hAnsi="宋体"/>
          <w:szCs w:val="21"/>
        </w:rPr>
      </w:pPr>
      <w:r>
        <w:rPr>
          <w:rFonts w:hint="eastAsia" w:ascii="宋体" w:hAnsi="宋体"/>
          <w:szCs w:val="21"/>
        </w:rPr>
        <w:t>13.6.1谈判小组应当从质量和服务均能满足采购文件实质性响应要求的竞标人中，按照评标报价由低到高的顺序提出3名以上（含3名）成交候选人，若评标报价相同时，由谈判小组集体讨论确定排序，并编写评审报告。</w:t>
      </w:r>
    </w:p>
    <w:p>
      <w:pPr>
        <w:spacing w:line="440" w:lineRule="exact"/>
        <w:ind w:firstLine="420" w:firstLineChars="200"/>
        <w:rPr>
          <w:rFonts w:ascii="宋体" w:hAnsi="宋体"/>
          <w:szCs w:val="21"/>
        </w:rPr>
      </w:pPr>
      <w:r>
        <w:rPr>
          <w:rFonts w:hint="eastAsia" w:ascii="宋体" w:hAnsi="宋体"/>
          <w:szCs w:val="21"/>
        </w:rPr>
        <w:t>13.6.2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440" w:lineRule="exact"/>
        <w:ind w:firstLine="420" w:firstLineChars="200"/>
        <w:rPr>
          <w:rFonts w:ascii="宋体" w:hAnsi="宋体"/>
          <w:szCs w:val="21"/>
        </w:rPr>
      </w:pPr>
      <w:r>
        <w:rPr>
          <w:rFonts w:hint="eastAsia" w:ascii="宋体" w:hAnsi="宋体"/>
          <w:szCs w:val="21"/>
        </w:rPr>
        <w:t>13.6.3响应竞标人的报价均超过了政府采购预算，采购人不能支付的，谈判活动终止；终止后，采购人需要采取调整采购预算或项目配置标准等，或采取其他采购方式的，应当在采购活动开始前获得崇左市财政局政府采购监督管理部门批准。</w:t>
      </w:r>
    </w:p>
    <w:p>
      <w:pPr>
        <w:spacing w:line="440" w:lineRule="exact"/>
        <w:ind w:firstLine="422" w:firstLineChars="200"/>
        <w:rPr>
          <w:rFonts w:ascii="宋体" w:hAnsi="宋体"/>
          <w:b/>
          <w:szCs w:val="21"/>
        </w:rPr>
      </w:pPr>
      <w:r>
        <w:rPr>
          <w:rFonts w:hint="eastAsia" w:ascii="宋体" w:hAnsi="宋体"/>
          <w:b/>
          <w:szCs w:val="21"/>
        </w:rPr>
        <w:t>六、确定成交竞标人</w:t>
      </w:r>
    </w:p>
    <w:p>
      <w:pPr>
        <w:widowControl/>
        <w:tabs>
          <w:tab w:val="left" w:pos="540"/>
        </w:tabs>
        <w:spacing w:line="440" w:lineRule="exact"/>
        <w:ind w:firstLine="420" w:firstLineChars="200"/>
        <w:jc w:val="left"/>
        <w:rPr>
          <w:rFonts w:ascii="宋体" w:hAnsi="宋体"/>
          <w:szCs w:val="21"/>
        </w:rPr>
      </w:pPr>
      <w:r>
        <w:rPr>
          <w:rFonts w:hint="eastAsia" w:ascii="宋体" w:hAnsi="宋体"/>
          <w:szCs w:val="21"/>
        </w:rPr>
        <w:t>14.1</w:t>
      </w:r>
      <w:r>
        <w:rPr>
          <w:rFonts w:hint="eastAsia"/>
        </w:rPr>
        <w:t>广西坤珍建设项目管理咨询有限公司</w:t>
      </w:r>
      <w:r>
        <w:rPr>
          <w:rFonts w:hint="eastAsia" w:ascii="宋体" w:hAnsi="宋体"/>
          <w:szCs w:val="21"/>
        </w:rPr>
        <w:t>在谈判工作完成后2个工作日内将评审报告送采购人确认，采购人应当在收到评审报告后4个工作日内，从评审报告提出的成交候选人中，根据质量和服务均能满足采购文件实质性响应要求且评标报价最低的原则确定成交竞标人，也可以书面授权谈判小组直接确定成交竞标人。采购人逾期未确定成交竞标人且不提出异议的，视为确定评审报告提出的评标报价最低的竞标人为成交竞标人。</w:t>
      </w:r>
    </w:p>
    <w:p>
      <w:pPr>
        <w:pStyle w:val="8"/>
        <w:spacing w:line="440" w:lineRule="exact"/>
        <w:ind w:firstLine="413" w:firstLineChars="196"/>
        <w:rPr>
          <w:rFonts w:hAnsi="宋体"/>
          <w:b/>
        </w:rPr>
      </w:pPr>
      <w:r>
        <w:rPr>
          <w:rFonts w:hint="eastAsia" w:hAnsi="宋体"/>
          <w:b/>
        </w:rPr>
        <w:t>七、成交公告</w:t>
      </w:r>
    </w:p>
    <w:p>
      <w:pPr>
        <w:pStyle w:val="8"/>
        <w:spacing w:line="440" w:lineRule="exact"/>
        <w:ind w:firstLine="420"/>
        <w:rPr>
          <w:rFonts w:hAnsi="宋体"/>
        </w:rPr>
      </w:pPr>
      <w:r>
        <w:rPr>
          <w:rFonts w:hint="eastAsia" w:hAnsi="宋体"/>
        </w:rPr>
        <w:t>15.1成交结果将在</w:t>
      </w:r>
      <w:r>
        <w:rPr>
          <w:rFonts w:hint="eastAsia"/>
        </w:rPr>
        <w:t>中国政府采购网、广西壮族自治区政府采购网</w:t>
      </w:r>
      <w:r>
        <w:rPr>
          <w:rFonts w:hint="eastAsia" w:hAnsi="宋体"/>
        </w:rPr>
        <w:t>上公告。</w:t>
      </w:r>
    </w:p>
    <w:p>
      <w:pPr>
        <w:pStyle w:val="8"/>
        <w:spacing w:line="440" w:lineRule="exact"/>
        <w:ind w:left="105" w:firstLine="315"/>
        <w:rPr>
          <w:rFonts w:hAnsi="宋体"/>
          <w:bCs/>
        </w:rPr>
      </w:pPr>
      <w:r>
        <w:rPr>
          <w:rFonts w:hint="eastAsia" w:hAnsi="宋体"/>
        </w:rPr>
        <w:t>15.2竞标人如对成交公告有异议，</w:t>
      </w:r>
      <w:r>
        <w:t>可以在成交公告期限届满之日起七个工作日内以书面形式向采购代理机构提出质疑</w:t>
      </w:r>
      <w:r>
        <w:rPr>
          <w:rFonts w:hint="eastAsia" w:hAnsi="宋体"/>
          <w:bCs/>
        </w:rPr>
        <w:t>。采购代理机构将在收到</w:t>
      </w:r>
      <w:r>
        <w:rPr>
          <w:rFonts w:hint="eastAsia" w:hAnsi="宋体"/>
        </w:rPr>
        <w:t>竞标人</w:t>
      </w:r>
      <w:r>
        <w:rPr>
          <w:rFonts w:hint="eastAsia" w:hAnsi="宋体"/>
          <w:bCs/>
        </w:rPr>
        <w:t>的书面质疑后七个工作日内做出答复，但答复的内容不得涉及商业秘密。</w:t>
      </w:r>
    </w:p>
    <w:p>
      <w:pPr>
        <w:pStyle w:val="8"/>
        <w:spacing w:line="440" w:lineRule="exact"/>
        <w:ind w:firstLine="420"/>
        <w:rPr>
          <w:rFonts w:hAnsi="宋体"/>
          <w:bCs/>
        </w:rPr>
      </w:pPr>
      <w:r>
        <w:rPr>
          <w:rFonts w:hint="eastAsia" w:hAnsi="宋体"/>
        </w:rPr>
        <w:t>15.3</w:t>
      </w:r>
      <w:r>
        <w:rPr>
          <w:rFonts w:hint="eastAsia" w:hAnsi="宋体"/>
          <w:bCs/>
        </w:rPr>
        <w:t>质疑</w:t>
      </w:r>
      <w:r>
        <w:rPr>
          <w:rFonts w:hint="eastAsia" w:hAnsi="宋体"/>
        </w:rPr>
        <w:t>竞标人</w:t>
      </w:r>
      <w:r>
        <w:rPr>
          <w:rFonts w:hint="eastAsia" w:hAnsi="宋体"/>
          <w:bCs/>
        </w:rPr>
        <w:t>必须首先经过质疑程序，在对采购代理机构的答复不满意或者采购代理机构未在规定的时间内做出答复的，可以在答复期满后十五个工作日内书面向本级政府采购监督管理部门投诉。</w:t>
      </w:r>
    </w:p>
    <w:p>
      <w:pPr>
        <w:pStyle w:val="8"/>
        <w:spacing w:line="440" w:lineRule="exact"/>
        <w:ind w:left="105" w:firstLine="315"/>
        <w:rPr>
          <w:rFonts w:hAnsi="宋体"/>
          <w:bCs/>
        </w:rPr>
      </w:pPr>
      <w:r>
        <w:rPr>
          <w:rFonts w:hint="eastAsia" w:hAnsi="宋体"/>
          <w:bCs/>
        </w:rPr>
        <w:t>质疑联系部门及电话为：</w:t>
      </w:r>
      <w:r>
        <w:rPr>
          <w:rFonts w:hint="eastAsia"/>
        </w:rPr>
        <w:t>广西坤珍建设项目管理咨询有限公司</w:t>
      </w:r>
      <w:r>
        <w:rPr>
          <w:rFonts w:hint="eastAsia" w:hAnsi="宋体"/>
          <w:bCs/>
        </w:rPr>
        <w:t xml:space="preserve">  0771-7945829</w:t>
      </w:r>
    </w:p>
    <w:p>
      <w:pPr>
        <w:pStyle w:val="8"/>
        <w:spacing w:line="440" w:lineRule="exact"/>
        <w:ind w:left="105" w:firstLine="315"/>
        <w:rPr>
          <w:rFonts w:hAnsi="宋体"/>
          <w:bCs/>
        </w:rPr>
      </w:pPr>
      <w:r>
        <w:rPr>
          <w:rFonts w:hint="eastAsia" w:hAnsi="宋体"/>
          <w:bCs/>
        </w:rPr>
        <w:t xml:space="preserve">监督部门：崇左市财政局政府采购监督管理科   0771-5962613   </w:t>
      </w:r>
    </w:p>
    <w:p>
      <w:pPr>
        <w:spacing w:line="400" w:lineRule="exact"/>
        <w:ind w:firstLine="422" w:firstLineChars="200"/>
        <w:rPr>
          <w:rFonts w:ascii="宋体" w:hAnsi="宋体"/>
          <w:b/>
          <w:szCs w:val="21"/>
        </w:rPr>
      </w:pPr>
      <w:r>
        <w:rPr>
          <w:rFonts w:hint="eastAsia" w:ascii="宋体" w:hAnsi="宋体"/>
          <w:b/>
          <w:szCs w:val="21"/>
        </w:rPr>
        <w:t>八、签订合同</w:t>
      </w:r>
    </w:p>
    <w:p>
      <w:pPr>
        <w:spacing w:line="400" w:lineRule="exact"/>
        <w:ind w:firstLine="525" w:firstLineChars="250"/>
        <w:rPr>
          <w:rFonts w:ascii="宋体" w:hAnsi="宋体" w:cs="Courier New"/>
          <w:szCs w:val="21"/>
        </w:rPr>
      </w:pPr>
      <w:r>
        <w:rPr>
          <w:rFonts w:hint="eastAsia" w:ascii="宋体" w:hAnsi="宋体"/>
          <w:szCs w:val="21"/>
        </w:rPr>
        <w:t>16.</w:t>
      </w:r>
      <w:r>
        <w:rPr>
          <w:rFonts w:hint="eastAsia" w:ascii="宋体" w:hAnsi="宋体" w:cs="Courier New"/>
          <w:szCs w:val="21"/>
        </w:rPr>
        <w:t>1采购人与成交竞标人应当在成交通知书发出之日起</w:t>
      </w:r>
      <w:r>
        <w:rPr>
          <w:rFonts w:hint="eastAsia" w:ascii="宋体" w:hAnsi="宋体" w:cs="Courier New"/>
          <w:b/>
          <w:bCs/>
          <w:szCs w:val="21"/>
          <w:u w:val="single"/>
        </w:rPr>
        <w:t>15日</w:t>
      </w:r>
      <w:r>
        <w:rPr>
          <w:rFonts w:hint="eastAsia" w:ascii="宋体" w:hAnsi="宋体" w:cs="Courier New"/>
          <w:szCs w:val="21"/>
        </w:rPr>
        <w:t>内，按照竞争性谈判文件确定的合同文本以及采购标的、规格型号、采购金额、采购数量、技术和服务要求等事项签订政府采购合同。</w:t>
      </w:r>
    </w:p>
    <w:p>
      <w:pPr>
        <w:pStyle w:val="8"/>
        <w:spacing w:line="420" w:lineRule="exact"/>
        <w:ind w:firstLine="525" w:firstLineChars="250"/>
        <w:rPr>
          <w:rFonts w:hAnsi="宋体"/>
        </w:rPr>
      </w:pPr>
      <w:r>
        <w:rPr>
          <w:rFonts w:hint="eastAsia" w:hAnsi="宋体"/>
        </w:rPr>
        <w:t>16.2成交竞标人不按成交通知书规定签订合同，则按成交竞标人违约处理，采购代理机构将没收成交竞标人的全部竞标保证金。</w:t>
      </w:r>
    </w:p>
    <w:p>
      <w:pPr>
        <w:spacing w:line="420" w:lineRule="exact"/>
        <w:rPr>
          <w:rFonts w:hAnsi="宋体"/>
        </w:rPr>
      </w:pPr>
      <w:r>
        <w:rPr>
          <w:rFonts w:hint="eastAsia" w:hAnsi="宋体"/>
        </w:rPr>
        <w:t xml:space="preserve">   16.3成交竞标人因不可抗力或者自身原因不能履行政府采购合同的，采购人可以与成交竞标人之后排名第一的成交候选人签订政府采购合同，以此类推。</w:t>
      </w:r>
    </w:p>
    <w:p>
      <w:pPr>
        <w:pStyle w:val="8"/>
        <w:spacing w:line="420" w:lineRule="exact"/>
      </w:pPr>
      <w:r>
        <w:rPr>
          <w:rFonts w:hint="eastAsia"/>
          <w:b/>
        </w:rPr>
        <w:t xml:space="preserve">    九、履约保证金   </w:t>
      </w:r>
      <w:r>
        <w:rPr>
          <w:rFonts w:hint="eastAsia"/>
          <w:b/>
          <w:bCs/>
        </w:rPr>
        <w:t xml:space="preserve"> 无</w:t>
      </w:r>
    </w:p>
    <w:p>
      <w:pPr>
        <w:pStyle w:val="8"/>
        <w:spacing w:line="420" w:lineRule="exact"/>
        <w:ind w:firstLine="422" w:firstLineChars="200"/>
        <w:jc w:val="left"/>
        <w:outlineLvl w:val="0"/>
        <w:rPr>
          <w:rFonts w:ascii="Times New Roman" w:hAnsi="Times New Roman"/>
          <w:b/>
        </w:rPr>
      </w:pPr>
      <w:bookmarkStart w:id="21" w:name="_Toc491248225"/>
      <w:r>
        <w:rPr>
          <w:rFonts w:hint="eastAsia" w:ascii="Times New Roman" w:hAnsi="宋体"/>
          <w:b/>
        </w:rPr>
        <w:t>十、质量保证</w:t>
      </w:r>
      <w:bookmarkEnd w:id="21"/>
    </w:p>
    <w:p>
      <w:pPr>
        <w:pStyle w:val="8"/>
        <w:spacing w:line="420" w:lineRule="exact"/>
        <w:ind w:firstLine="420" w:firstLineChars="200"/>
        <w:jc w:val="left"/>
        <w:rPr>
          <w:rFonts w:ascii="Times New Roman" w:hAnsi="Times New Roman"/>
        </w:rPr>
      </w:pPr>
      <w:r>
        <w:rPr>
          <w:rFonts w:ascii="Times New Roman" w:hAnsi="Times New Roman"/>
        </w:rPr>
        <w:t>1．</w:t>
      </w:r>
      <w:r>
        <w:rPr>
          <w:rFonts w:hint="eastAsia" w:ascii="Times New Roman" w:hAnsi="Times New Roman"/>
        </w:rPr>
        <w:t>竞标人应按本项目竞争性谈判文件及本合同规定的设备性能、技术要求、质量标准向采购人提供未经使用的全新产品，所有设备必须符合中华人民共和国国家标准及行业标准。</w:t>
      </w:r>
    </w:p>
    <w:p>
      <w:pPr>
        <w:pStyle w:val="8"/>
        <w:spacing w:line="420" w:lineRule="exact"/>
        <w:ind w:firstLine="420" w:firstLineChars="200"/>
        <w:jc w:val="left"/>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竞标人须将设备安装到甲方指定的场所内，安装完毕后，竞标人须对设备进行全面调试检测，保证安装后全部设备能正常运转使用。</w:t>
      </w:r>
    </w:p>
    <w:p>
      <w:pPr>
        <w:pStyle w:val="8"/>
        <w:spacing w:line="420" w:lineRule="exact"/>
        <w:ind w:left="105" w:leftChars="50" w:firstLine="315" w:firstLineChars="150"/>
        <w:jc w:val="left"/>
        <w:rPr>
          <w:rFonts w:ascii="Times New Roman" w:hAnsi="Times New Roman"/>
        </w:rPr>
      </w:pPr>
      <w:r>
        <w:rPr>
          <w:rFonts w:hint="eastAsia" w:ascii="Times New Roman" w:hAnsi="Times New Roman"/>
        </w:rPr>
        <w:t>3</w:t>
      </w:r>
      <w:r>
        <w:rPr>
          <w:rFonts w:ascii="Times New Roman" w:hAnsi="Times New Roman"/>
        </w:rPr>
        <w:t>．</w:t>
      </w:r>
      <w:r>
        <w:rPr>
          <w:rFonts w:hint="eastAsia" w:ascii="Times New Roman" w:hAnsi="Times New Roman"/>
        </w:rPr>
        <w:t>竞标人提供设备的质量保证期按交货验收合格之日起计，</w:t>
      </w:r>
      <w:r>
        <w:rPr>
          <w:rFonts w:ascii="Times New Roman" w:hAnsi="宋体"/>
        </w:rPr>
        <w:t>期限</w:t>
      </w:r>
      <w:r>
        <w:rPr>
          <w:rFonts w:hint="eastAsia"/>
        </w:rPr>
        <w:t>按《售后服务及其他要求》规定</w:t>
      </w:r>
      <w:r>
        <w:rPr>
          <w:rFonts w:hint="eastAsia" w:ascii="Times New Roman" w:hAnsi="宋体"/>
        </w:rPr>
        <w:t>。</w:t>
      </w:r>
    </w:p>
    <w:p>
      <w:pPr>
        <w:pStyle w:val="8"/>
        <w:spacing w:line="420" w:lineRule="exact"/>
        <w:ind w:firstLine="420" w:firstLineChars="200"/>
        <w:jc w:val="left"/>
        <w:rPr>
          <w:rFonts w:ascii="Times New Roman" w:hAnsi="Times New Roman"/>
        </w:rPr>
      </w:pPr>
      <w:r>
        <w:rPr>
          <w:rFonts w:hint="eastAsia" w:ascii="Times New Roman" w:hAnsi="Times New Roman"/>
        </w:rPr>
        <w:t>4．</w:t>
      </w:r>
      <w:r>
        <w:rPr>
          <w:rFonts w:ascii="Times New Roman" w:hAnsi="Times New Roman"/>
        </w:rPr>
        <w:t>设备质量不符合本合同的规定，甲方有权要求</w:t>
      </w:r>
      <w:r>
        <w:rPr>
          <w:rFonts w:hint="eastAsia" w:ascii="Times New Roman" w:hAnsi="Times New Roman"/>
        </w:rPr>
        <w:t>竞标人免费修理、</w:t>
      </w:r>
      <w:r>
        <w:rPr>
          <w:rFonts w:ascii="Times New Roman" w:hAnsi="Times New Roman"/>
        </w:rPr>
        <w:t>更换不合格的部件</w:t>
      </w:r>
      <w:r>
        <w:rPr>
          <w:rFonts w:hint="eastAsia" w:ascii="Times New Roman" w:hAnsi="Times New Roman"/>
        </w:rPr>
        <w:t>（或</w:t>
      </w:r>
      <w:r>
        <w:rPr>
          <w:rFonts w:ascii="Times New Roman" w:hAnsi="Times New Roman"/>
        </w:rPr>
        <w:t>整台设备</w:t>
      </w:r>
      <w:r>
        <w:rPr>
          <w:rFonts w:hint="eastAsia" w:ascii="Times New Roman" w:hAnsi="Times New Roman"/>
        </w:rPr>
        <w:t>）或退货</w:t>
      </w:r>
      <w:r>
        <w:rPr>
          <w:rFonts w:ascii="Times New Roman" w:hAnsi="Times New Roman"/>
        </w:rPr>
        <w:t>，直至取消本合同，</w:t>
      </w:r>
      <w:r>
        <w:rPr>
          <w:rFonts w:hint="eastAsia" w:ascii="Times New Roman" w:hAnsi="Times New Roman"/>
        </w:rPr>
        <w:t>竞标人</w:t>
      </w:r>
      <w:r>
        <w:rPr>
          <w:rFonts w:ascii="Times New Roman" w:hAnsi="Times New Roman"/>
        </w:rPr>
        <w:t>应对此承担全部责任并赔偿因此</w:t>
      </w:r>
      <w:r>
        <w:rPr>
          <w:rFonts w:hint="eastAsia" w:ascii="Times New Roman" w:hAnsi="Times New Roman"/>
        </w:rPr>
        <w:t>给</w:t>
      </w:r>
      <w:r>
        <w:rPr>
          <w:rFonts w:ascii="Times New Roman" w:hAnsi="Times New Roman"/>
        </w:rPr>
        <w:t>甲方造成的损失</w:t>
      </w:r>
      <w:r>
        <w:rPr>
          <w:rFonts w:hint="eastAsia" w:ascii="Times New Roman" w:hAnsi="Times New Roman"/>
        </w:rPr>
        <w:t>。</w:t>
      </w:r>
    </w:p>
    <w:p>
      <w:pPr>
        <w:pStyle w:val="8"/>
        <w:spacing w:line="420" w:lineRule="exact"/>
        <w:ind w:firstLine="420" w:firstLineChars="200"/>
        <w:jc w:val="left"/>
        <w:rPr>
          <w:rFonts w:ascii="Times New Roman" w:hAnsi="Times New Roman"/>
        </w:rPr>
      </w:pPr>
      <w:r>
        <w:rPr>
          <w:rFonts w:hint="eastAsia" w:ascii="Times New Roman" w:hAnsi="Times New Roman"/>
        </w:rPr>
        <w:t>5．因设备的质量问题发生争议的，由质检部门进行质量鉴定。设备符合质量标准的，由采购人承担鉴定费；设备不符合质量标准的，由竞标人承担鉴定费。</w:t>
      </w:r>
    </w:p>
    <w:p>
      <w:pPr>
        <w:spacing w:line="420" w:lineRule="exact"/>
        <w:ind w:left="420" w:leftChars="200" w:firstLine="105" w:firstLineChars="50"/>
        <w:rPr>
          <w:rFonts w:ascii="宋体" w:hAnsi="宋体"/>
          <w:b/>
          <w:szCs w:val="21"/>
        </w:rPr>
      </w:pPr>
      <w:r>
        <w:rPr>
          <w:rFonts w:hint="eastAsia" w:ascii="宋体" w:hAnsi="宋体"/>
          <w:b/>
          <w:szCs w:val="21"/>
        </w:rPr>
        <w:t>十一、适用法律</w:t>
      </w:r>
    </w:p>
    <w:p>
      <w:pPr>
        <w:spacing w:line="420" w:lineRule="exact"/>
        <w:rPr>
          <w:rFonts w:ascii="宋体" w:hAnsi="宋体"/>
          <w:szCs w:val="21"/>
        </w:rPr>
      </w:pPr>
      <w:r>
        <w:rPr>
          <w:rFonts w:hint="eastAsia" w:ascii="宋体" w:hAnsi="宋体"/>
          <w:szCs w:val="21"/>
        </w:rPr>
        <w:t xml:space="preserve">    18.1采购当事人的一切活动均适用于《中华人民共和国政府采购法》、《政府采购非招标采购方式管理办法》及相关规定。最终谈判结束后，谈判小组不得再与竞标人进行任何形式的商谈。</w:t>
      </w:r>
    </w:p>
    <w:p>
      <w:pPr>
        <w:spacing w:line="420" w:lineRule="exact"/>
        <w:ind w:left="420" w:leftChars="200" w:firstLine="105" w:firstLineChars="50"/>
        <w:rPr>
          <w:rFonts w:ascii="宋体" w:hAnsi="宋体"/>
          <w:b/>
          <w:szCs w:val="21"/>
        </w:rPr>
      </w:pPr>
      <w:r>
        <w:rPr>
          <w:rFonts w:hint="eastAsia" w:ascii="宋体" w:hAnsi="宋体"/>
          <w:b/>
          <w:szCs w:val="21"/>
        </w:rPr>
        <w:t>十二、其他事项</w:t>
      </w:r>
    </w:p>
    <w:p>
      <w:pPr>
        <w:spacing w:line="420" w:lineRule="exact"/>
        <w:ind w:firstLine="472" w:firstLineChars="225"/>
        <w:rPr>
          <w:rFonts w:hAnsi="宋体"/>
        </w:rPr>
      </w:pPr>
      <w:r>
        <w:rPr>
          <w:rFonts w:hint="eastAsia" w:hAnsi="宋体"/>
        </w:rPr>
        <w:t>19.1成交服务费：签订合同前，成交竞标人领取成交通知书时须向采购代理机构一次性付清成交服务费。</w:t>
      </w:r>
    </w:p>
    <w:p>
      <w:pPr>
        <w:spacing w:line="420" w:lineRule="exact"/>
        <w:ind w:firstLine="472" w:firstLineChars="225"/>
        <w:rPr>
          <w:rFonts w:hAnsi="宋体"/>
        </w:rPr>
      </w:pPr>
      <w:r>
        <w:rPr>
          <w:rFonts w:hint="eastAsia" w:hAnsi="宋体"/>
        </w:rPr>
        <w:t>成交服务费参照国家发展和改革委员会文件发改价格【2011】534号《国家发展改革委关于降低部分建设项目收费标准规范收费行为等有关问题的通知》的规定收取，以差额定率累进法计算。采购代理机构按成交竞标人所成交的合同金额收取相应的成交服务费。成交服务费收取标准如下：</w:t>
      </w:r>
    </w:p>
    <w:p>
      <w:pPr>
        <w:pStyle w:val="8"/>
        <w:spacing w:line="420" w:lineRule="exact"/>
        <w:rPr>
          <w:rFonts w:hAnsi="宋体"/>
          <w:bCs/>
        </w:rPr>
      </w:pPr>
    </w:p>
    <w:tbl>
      <w:tblPr>
        <w:tblStyle w:val="15"/>
        <w:tblpPr w:leftFromText="180" w:rightFromText="180" w:vertAnchor="text" w:horzAnchor="page" w:tblpX="1497" w:tblpY="464"/>
        <w:tblOverlap w:val="never"/>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2476"/>
        <w:gridCol w:w="183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90" w:type="dxa"/>
            <w:vMerge w:val="restart"/>
          </w:tcPr>
          <w:p>
            <w:pPr>
              <w:widowControl/>
              <w:spacing w:line="288" w:lineRule="auto"/>
              <w:ind w:firstLine="2310" w:firstLineChars="1100"/>
              <w:rPr>
                <w:rFonts w:hAnsi="宋体"/>
              </w:rPr>
            </w:pPr>
            <w:r>
              <w:rPr>
                <w:rFonts w:hint="eastAsia" w:hAnsi="宋体"/>
              </w:rPr>
              <w:t>采购类型</w:t>
            </w:r>
          </w:p>
          <w:p>
            <w:pPr>
              <w:widowControl/>
              <w:spacing w:line="288" w:lineRule="auto"/>
              <w:rPr>
                <w:rFonts w:hAnsi="宋体"/>
              </w:rPr>
            </w:pPr>
          </w:p>
          <w:p>
            <w:pPr>
              <w:widowControl/>
              <w:spacing w:line="288" w:lineRule="auto"/>
              <w:ind w:firstLine="1575" w:firstLineChars="750"/>
              <w:jc w:val="left"/>
              <w:rPr>
                <w:rFonts w:hAnsi="宋体"/>
              </w:rPr>
            </w:pPr>
            <w:r>
              <w:rPr>
                <w:rFonts w:hint="eastAsia" w:hAnsi="宋体"/>
              </w:rPr>
              <w:t>费率</w:t>
            </w:r>
          </w:p>
          <w:p>
            <w:pPr>
              <w:widowControl/>
              <w:spacing w:line="288" w:lineRule="auto"/>
              <w:ind w:leftChars="-1" w:hanging="2" w:hangingChars="1"/>
              <w:jc w:val="left"/>
              <w:rPr>
                <w:rFonts w:hAnsi="宋体"/>
              </w:rPr>
            </w:pPr>
          </w:p>
          <w:p>
            <w:pPr>
              <w:widowControl/>
              <w:spacing w:line="288" w:lineRule="auto"/>
              <w:ind w:leftChars="-1" w:hanging="2" w:hangingChars="1"/>
              <w:jc w:val="left"/>
              <w:rPr>
                <w:rFonts w:hAnsi="宋体"/>
              </w:rPr>
            </w:pPr>
          </w:p>
          <w:p>
            <w:pPr>
              <w:widowControl/>
              <w:spacing w:line="288" w:lineRule="auto"/>
              <w:jc w:val="left"/>
              <w:rPr>
                <w:rFonts w:hAnsi="宋体"/>
              </w:rPr>
            </w:pPr>
            <w:r>
              <w:rPr>
                <w:rFonts w:hint="eastAsia" w:hAnsi="宋体"/>
              </w:rPr>
              <w:t>（分标）成交金额（万元）</w:t>
            </w:r>
          </w:p>
        </w:tc>
        <w:tc>
          <w:tcPr>
            <w:tcW w:w="6391" w:type="dxa"/>
            <w:gridSpan w:val="3"/>
            <w:vAlign w:val="center"/>
          </w:tcPr>
          <w:p>
            <w:pPr>
              <w:widowControl/>
              <w:spacing w:line="288" w:lineRule="auto"/>
              <w:rPr>
                <w:rFonts w:hAnsi="宋体"/>
              </w:rPr>
            </w:pPr>
            <w:r>
              <w:rPr>
                <w:rFonts w:hint="eastAsia" w:hAnsi="宋体" w:eastAsia="宋体"/>
              </w:rPr>
              <w:t xml:space="preserve">        </w:t>
            </w: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490" w:type="dxa"/>
            <w:vMerge w:val="continue"/>
          </w:tcPr>
          <w:p>
            <w:pPr>
              <w:widowControl/>
              <w:spacing w:line="288" w:lineRule="auto"/>
              <w:ind w:firstLine="2620" w:firstLineChars="1248"/>
              <w:rPr>
                <w:rFonts w:hAnsi="宋体"/>
              </w:rPr>
            </w:pPr>
          </w:p>
        </w:tc>
        <w:tc>
          <w:tcPr>
            <w:tcW w:w="2476" w:type="dxa"/>
            <w:vAlign w:val="center"/>
          </w:tcPr>
          <w:p>
            <w:pPr>
              <w:widowControl/>
              <w:spacing w:line="288" w:lineRule="auto"/>
              <w:jc w:val="center"/>
              <w:rPr>
                <w:rFonts w:hAnsi="宋体"/>
              </w:rPr>
            </w:pPr>
            <w:r>
              <w:rPr>
                <w:rFonts w:hint="eastAsia" w:hAnsi="宋体"/>
              </w:rPr>
              <w:t>货物类</w:t>
            </w:r>
          </w:p>
        </w:tc>
        <w:tc>
          <w:tcPr>
            <w:tcW w:w="1830" w:type="dxa"/>
            <w:vAlign w:val="center"/>
          </w:tcPr>
          <w:p>
            <w:pPr>
              <w:widowControl/>
              <w:spacing w:line="288" w:lineRule="auto"/>
              <w:jc w:val="center"/>
              <w:rPr>
                <w:rFonts w:hAnsi="宋体"/>
              </w:rPr>
            </w:pPr>
            <w:r>
              <w:rPr>
                <w:rFonts w:hint="eastAsia" w:hAnsi="宋体"/>
              </w:rPr>
              <w:t>服务类</w:t>
            </w:r>
          </w:p>
        </w:tc>
        <w:tc>
          <w:tcPr>
            <w:tcW w:w="2085" w:type="dxa"/>
            <w:vAlign w:val="center"/>
          </w:tcPr>
          <w:p>
            <w:pPr>
              <w:widowControl/>
              <w:spacing w:line="288" w:lineRule="auto"/>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90" w:type="dxa"/>
            <w:vAlign w:val="center"/>
          </w:tcPr>
          <w:p>
            <w:pPr>
              <w:widowControl/>
              <w:spacing w:line="288" w:lineRule="auto"/>
              <w:jc w:val="center"/>
              <w:rPr>
                <w:rFonts w:hAnsi="宋体"/>
              </w:rPr>
            </w:pPr>
            <w:r>
              <w:rPr>
                <w:rFonts w:hint="eastAsia" w:hAnsi="宋体"/>
              </w:rPr>
              <w:t>100以下</w:t>
            </w:r>
          </w:p>
        </w:tc>
        <w:tc>
          <w:tcPr>
            <w:tcW w:w="2476" w:type="dxa"/>
            <w:vAlign w:val="center"/>
          </w:tcPr>
          <w:p>
            <w:pPr>
              <w:widowControl/>
              <w:spacing w:line="288" w:lineRule="auto"/>
              <w:jc w:val="center"/>
              <w:rPr>
                <w:rFonts w:ascii="宋体" w:hAnsi="宋体"/>
                <w:szCs w:val="18"/>
              </w:rPr>
            </w:pPr>
            <w:r>
              <w:rPr>
                <w:rFonts w:hint="eastAsia" w:ascii="宋体" w:hAnsi="宋体"/>
                <w:szCs w:val="18"/>
              </w:rPr>
              <w:t>1.5％</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1.5％</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90" w:type="dxa"/>
            <w:vAlign w:val="center"/>
          </w:tcPr>
          <w:p>
            <w:pPr>
              <w:widowControl/>
              <w:spacing w:line="288" w:lineRule="auto"/>
              <w:jc w:val="center"/>
              <w:rPr>
                <w:rFonts w:hAnsi="宋体"/>
              </w:rPr>
            </w:pPr>
            <w:r>
              <w:rPr>
                <w:rFonts w:hint="eastAsia" w:hAnsi="宋体"/>
              </w:rPr>
              <w:t>100-500</w:t>
            </w:r>
          </w:p>
        </w:tc>
        <w:tc>
          <w:tcPr>
            <w:tcW w:w="2476" w:type="dxa"/>
            <w:vAlign w:val="center"/>
          </w:tcPr>
          <w:p>
            <w:pPr>
              <w:widowControl/>
              <w:spacing w:line="288" w:lineRule="auto"/>
              <w:jc w:val="center"/>
              <w:rPr>
                <w:rFonts w:ascii="宋体" w:hAnsi="宋体"/>
                <w:szCs w:val="18"/>
              </w:rPr>
            </w:pPr>
            <w:r>
              <w:rPr>
                <w:rFonts w:hint="eastAsia" w:ascii="宋体" w:hAnsi="宋体"/>
                <w:szCs w:val="18"/>
              </w:rPr>
              <w:t>1.1％</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0.8％</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90" w:type="dxa"/>
            <w:vAlign w:val="center"/>
          </w:tcPr>
          <w:p>
            <w:pPr>
              <w:widowControl/>
              <w:spacing w:line="288" w:lineRule="auto"/>
              <w:jc w:val="center"/>
              <w:rPr>
                <w:rFonts w:hAnsi="宋体"/>
              </w:rPr>
            </w:pPr>
            <w:r>
              <w:rPr>
                <w:rFonts w:hint="eastAsia" w:hAnsi="宋体"/>
              </w:rPr>
              <w:t>500-1000</w:t>
            </w:r>
          </w:p>
        </w:tc>
        <w:tc>
          <w:tcPr>
            <w:tcW w:w="2476" w:type="dxa"/>
            <w:vAlign w:val="center"/>
          </w:tcPr>
          <w:p>
            <w:pPr>
              <w:widowControl/>
              <w:spacing w:line="288" w:lineRule="auto"/>
              <w:jc w:val="center"/>
              <w:rPr>
                <w:rFonts w:ascii="宋体" w:hAnsi="宋体"/>
                <w:szCs w:val="18"/>
              </w:rPr>
            </w:pPr>
            <w:r>
              <w:rPr>
                <w:rFonts w:hint="eastAsia" w:ascii="宋体" w:hAnsi="宋体"/>
                <w:szCs w:val="18"/>
              </w:rPr>
              <w:t>0.8％</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0.45％</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90" w:type="dxa"/>
            <w:vAlign w:val="center"/>
          </w:tcPr>
          <w:p>
            <w:pPr>
              <w:widowControl/>
              <w:spacing w:line="288" w:lineRule="auto"/>
              <w:jc w:val="center"/>
              <w:rPr>
                <w:rFonts w:hAnsi="宋体"/>
              </w:rPr>
            </w:pPr>
            <w:r>
              <w:rPr>
                <w:rFonts w:hint="eastAsia" w:hAnsi="宋体"/>
              </w:rPr>
              <w:t>1000-5000</w:t>
            </w:r>
          </w:p>
        </w:tc>
        <w:tc>
          <w:tcPr>
            <w:tcW w:w="2476" w:type="dxa"/>
            <w:vAlign w:val="center"/>
          </w:tcPr>
          <w:p>
            <w:pPr>
              <w:widowControl/>
              <w:spacing w:line="288" w:lineRule="auto"/>
              <w:jc w:val="center"/>
              <w:rPr>
                <w:rFonts w:ascii="宋体" w:hAnsi="宋体"/>
                <w:szCs w:val="18"/>
              </w:rPr>
            </w:pPr>
            <w:r>
              <w:rPr>
                <w:rFonts w:hint="eastAsia" w:ascii="宋体" w:hAnsi="宋体"/>
                <w:szCs w:val="18"/>
              </w:rPr>
              <w:t>0.5％</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0.25％</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90" w:type="dxa"/>
            <w:vAlign w:val="center"/>
          </w:tcPr>
          <w:p>
            <w:pPr>
              <w:widowControl/>
              <w:spacing w:line="288" w:lineRule="auto"/>
              <w:jc w:val="center"/>
              <w:rPr>
                <w:rFonts w:hAnsi="宋体"/>
              </w:rPr>
            </w:pPr>
            <w:r>
              <w:rPr>
                <w:rFonts w:hint="eastAsia" w:hAnsi="宋体"/>
              </w:rPr>
              <w:t>5000-10000</w:t>
            </w:r>
          </w:p>
        </w:tc>
        <w:tc>
          <w:tcPr>
            <w:tcW w:w="2476" w:type="dxa"/>
            <w:vAlign w:val="center"/>
          </w:tcPr>
          <w:p>
            <w:pPr>
              <w:widowControl/>
              <w:spacing w:line="288" w:lineRule="auto"/>
              <w:jc w:val="center"/>
              <w:rPr>
                <w:rFonts w:ascii="宋体" w:hAnsi="宋体"/>
                <w:szCs w:val="18"/>
              </w:rPr>
            </w:pPr>
            <w:r>
              <w:rPr>
                <w:rFonts w:hint="eastAsia" w:ascii="宋体" w:hAnsi="宋体"/>
                <w:szCs w:val="18"/>
              </w:rPr>
              <w:t>0.25％</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0.1％</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90" w:type="dxa"/>
            <w:vAlign w:val="center"/>
          </w:tcPr>
          <w:p>
            <w:pPr>
              <w:widowControl/>
              <w:spacing w:line="288" w:lineRule="auto"/>
              <w:jc w:val="center"/>
              <w:rPr>
                <w:rFonts w:hAnsi="宋体"/>
              </w:rPr>
            </w:pPr>
            <w:r>
              <w:rPr>
                <w:rFonts w:hint="eastAsia" w:hAnsi="宋体"/>
              </w:rPr>
              <w:t>10000-100000</w:t>
            </w:r>
          </w:p>
        </w:tc>
        <w:tc>
          <w:tcPr>
            <w:tcW w:w="2476" w:type="dxa"/>
            <w:vAlign w:val="center"/>
          </w:tcPr>
          <w:p>
            <w:pPr>
              <w:widowControl/>
              <w:spacing w:line="288" w:lineRule="auto"/>
              <w:jc w:val="center"/>
              <w:rPr>
                <w:rFonts w:ascii="宋体" w:hAnsi="宋体"/>
                <w:szCs w:val="18"/>
              </w:rPr>
            </w:pPr>
            <w:r>
              <w:rPr>
                <w:rFonts w:hint="eastAsia" w:ascii="宋体" w:hAnsi="宋体"/>
                <w:szCs w:val="18"/>
              </w:rPr>
              <w:t>0.05％</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0.05％</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90" w:type="dxa"/>
            <w:vAlign w:val="center"/>
          </w:tcPr>
          <w:p>
            <w:pPr>
              <w:widowControl/>
              <w:spacing w:line="288" w:lineRule="auto"/>
              <w:jc w:val="center"/>
              <w:rPr>
                <w:rFonts w:hAnsi="宋体"/>
              </w:rPr>
            </w:pPr>
            <w:r>
              <w:rPr>
                <w:rFonts w:hint="eastAsia" w:hAnsi="宋体"/>
              </w:rPr>
              <w:t>100000以上</w:t>
            </w:r>
          </w:p>
        </w:tc>
        <w:tc>
          <w:tcPr>
            <w:tcW w:w="2476" w:type="dxa"/>
            <w:vAlign w:val="center"/>
          </w:tcPr>
          <w:p>
            <w:pPr>
              <w:widowControl/>
              <w:spacing w:line="288" w:lineRule="auto"/>
              <w:jc w:val="center"/>
              <w:rPr>
                <w:rFonts w:ascii="宋体" w:hAnsi="宋体"/>
                <w:szCs w:val="18"/>
              </w:rPr>
            </w:pPr>
            <w:r>
              <w:rPr>
                <w:rFonts w:hint="eastAsia" w:ascii="宋体" w:hAnsi="宋体"/>
                <w:szCs w:val="18"/>
              </w:rPr>
              <w:t>0.01％</w:t>
            </w:r>
          </w:p>
        </w:tc>
        <w:tc>
          <w:tcPr>
            <w:tcW w:w="1830" w:type="dxa"/>
            <w:vAlign w:val="center"/>
          </w:tcPr>
          <w:p>
            <w:pPr>
              <w:widowControl/>
              <w:spacing w:line="288" w:lineRule="auto"/>
              <w:jc w:val="center"/>
              <w:rPr>
                <w:rFonts w:ascii="_x000B__x000C_" w:hAnsi="_x000B__x000C_"/>
                <w:szCs w:val="18"/>
              </w:rPr>
            </w:pPr>
            <w:r>
              <w:rPr>
                <w:rFonts w:hint="eastAsia" w:ascii="_x000B__x000C_" w:hAnsi="_x000B__x000C_"/>
                <w:szCs w:val="18"/>
              </w:rPr>
              <w:t>0.01％</w:t>
            </w:r>
          </w:p>
        </w:tc>
        <w:tc>
          <w:tcPr>
            <w:tcW w:w="2085" w:type="dxa"/>
            <w:vAlign w:val="center"/>
          </w:tcPr>
          <w:p>
            <w:pPr>
              <w:widowControl/>
              <w:spacing w:line="288" w:lineRule="auto"/>
              <w:jc w:val="center"/>
              <w:rPr>
                <w:rFonts w:ascii="_x000B__x000C_" w:hAnsi="_x000B__x000C_"/>
                <w:szCs w:val="18"/>
              </w:rPr>
            </w:pPr>
            <w:r>
              <w:rPr>
                <w:rFonts w:hint="eastAsia" w:ascii="_x000B__x000C_" w:hAnsi="_x000B__x000C_"/>
                <w:szCs w:val="18"/>
              </w:rPr>
              <w:t>0.01％</w:t>
            </w:r>
          </w:p>
        </w:tc>
      </w:tr>
    </w:tbl>
    <w:p>
      <w:pPr>
        <w:pStyle w:val="8"/>
        <w:widowControl/>
        <w:spacing w:line="288" w:lineRule="auto"/>
        <w:rPr>
          <w:rFonts w:hAnsi="宋体"/>
          <w:bCs/>
        </w:rPr>
      </w:pPr>
    </w:p>
    <w:p>
      <w:pPr>
        <w:pStyle w:val="8"/>
        <w:spacing w:line="400" w:lineRule="exact"/>
        <w:ind w:firstLine="420" w:firstLineChars="200"/>
        <w:rPr>
          <w:rFonts w:hAnsi="宋体"/>
          <w:bCs/>
        </w:rPr>
      </w:pPr>
      <w:r>
        <w:rPr>
          <w:rFonts w:hint="eastAsia" w:hAnsi="宋体"/>
        </w:rPr>
        <mc:AlternateContent>
          <mc:Choice Requires="wps">
            <w:drawing>
              <wp:anchor distT="0" distB="0" distL="114300" distR="114300" simplePos="0" relativeHeight="251660288" behindDoc="0" locked="0" layoutInCell="1" allowOverlap="1">
                <wp:simplePos x="0" y="0"/>
                <wp:positionH relativeFrom="column">
                  <wp:posOffset>732155</wp:posOffset>
                </wp:positionH>
                <wp:positionV relativeFrom="paragraph">
                  <wp:posOffset>48895</wp:posOffset>
                </wp:positionV>
                <wp:extent cx="1206500" cy="1413510"/>
                <wp:effectExtent l="3810" t="3175" r="8890" b="12065"/>
                <wp:wrapNone/>
                <wp:docPr id="1" name="Line 4"/>
                <wp:cNvGraphicFramePr/>
                <a:graphic xmlns:a="http://schemas.openxmlformats.org/drawingml/2006/main">
                  <a:graphicData uri="http://schemas.microsoft.com/office/word/2010/wordprocessingShape">
                    <wps:wsp>
                      <wps:cNvCnPr/>
                      <wps:spPr>
                        <a:xfrm flipH="1" flipV="1">
                          <a:off x="0" y="0"/>
                          <a:ext cx="1206500" cy="1413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flip:x y;margin-left:57.65pt;margin-top:3.85pt;height:111.3pt;width:95pt;z-index:251660288;mso-width-relative:page;mso-height-relative:page;" filled="f" stroked="t" coordsize="21600,21600" o:gfxdata="UEsDBAoAAAAAAIdO4kAAAAAAAAAAAAAAAAAEAAAAZHJzL1BLAwQUAAAACACHTuJA96iHatIAAAAJ&#10;AQAADwAAAGRycy9kb3ducmV2LnhtbE2PwU7DMBBE70j8g7VI3KidRpAoxOmhUj+gBVUc3XiJI+x1&#10;iN2m/D3bExxHM5p5026uwYsLzmmMpKFYKRBIfbQjDRre33ZPNYiUDVnjI6GGH0yw6e7vWtPYuNAe&#10;L4c8CC6h1BgNLuepkTL1DoNJqzghsfcZ52Ayy3mQdjYLlwcv10q9yGBG4gVnJtw67L8O56DB16r+&#10;Pm6r5WNveWV39I6qQuvHh0K9gsh4zX9huOEzOnTMdIpnskl41sVzyVENVQWC/VLd9EnDulQlyK6V&#10;/x90v1BLAwQUAAAACACHTuJA0EgWWekBAAD1AwAADgAAAGRycy9lMm9Eb2MueG1srVPLbtswELwX&#10;6D8QvNeS3DhoBcs5xE17CNoAfdxpcmkR4AtcxrL/vkvKNdL04kN1EJbc3eHOcLi+OzrLDpDQBD/w&#10;btFyBl4GZfx+4D9/PLz7wBlm4ZWwwcPAT4D8bvP2zXqKPSzDGKyCxAjEYz/FgY85x75pUI7gBC5C&#10;BE9JHZITmZZp36gkJkJ3tlm27W0zhaRiChIQaXc7J/kZMV0DGLQ2ErZBPjvweUZNYEUmSjiaiHxT&#10;p9UaZP6mNUJmduDENNc/HULxrvybzVr0+yTiaOR5BHHNCK84OWE8HXqB2oos2HMy/0A5I1PAoPNC&#10;BtfMRKoixKJrX2nzfRQRKheSGuNFdPx/sPLr4Skxo8gJnHnh6MIfjQd2U5SZIvZUcO+f0nmF8SkV&#10;mkedHNPWxC+1sUS/SlRyRIodq8Kni8JwzEzSZrdsb1ctiS8p191071ddvYNmhiztMWH+DMGxEgzc&#10;0jQVVhweMdMYVPqnpJRbz6aBf1wtVwQqyI+afEChi8QJ/b72YrBGPRhrSwem/e7eJnYQxRP1K2QJ&#10;96+ycshW4DjX1dTslhGE+uQVy6dIanl6JLyM4EBxZoHeVIkIUPRZGHtNJR1tfWmA6tgzz6L+rHeJ&#10;dkGd6jU0ZUVuqBOfnVvs9nJN8cvXu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6iHatIAAAAJ&#10;AQAADwAAAAAAAAABACAAAAAiAAAAZHJzL2Rvd25yZXYueG1sUEsBAhQAFAAAAAgAh07iQNBIFlnp&#10;AQAA9QMAAA4AAAAAAAAAAQAgAAAAIQEAAGRycy9lMm9Eb2MueG1sUEsFBgAAAAAGAAYAWQEAAHwF&#10;AAAAAA==&#10;">
                <v:fill on="f" focussize="0,0"/>
                <v:stroke color="#000000" joinstyle="round"/>
                <v:imagedata o:title=""/>
                <o:lock v:ext="edit" aspectratio="f"/>
              </v:line>
            </w:pict>
          </mc:Fallback>
        </mc:AlternateContent>
      </w:r>
      <w:r>
        <w:rPr>
          <w:rFonts w:hint="eastAsia" w:hAnsi="宋体"/>
        </w:rP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55880</wp:posOffset>
                </wp:positionV>
                <wp:extent cx="2203450" cy="1426210"/>
                <wp:effectExtent l="2540" t="3810" r="3810" b="17780"/>
                <wp:wrapNone/>
                <wp:docPr id="2" name="Line 5"/>
                <wp:cNvGraphicFramePr/>
                <a:graphic xmlns:a="http://schemas.openxmlformats.org/drawingml/2006/main">
                  <a:graphicData uri="http://schemas.microsoft.com/office/word/2010/wordprocessingShape">
                    <wps:wsp>
                      <wps:cNvCnPr/>
                      <wps:spPr>
                        <a:xfrm flipH="1" flipV="1">
                          <a:off x="0" y="0"/>
                          <a:ext cx="2203450" cy="14262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x y;margin-left:-20.65pt;margin-top:4.4pt;height:112.3pt;width:173.5pt;z-index:251661312;mso-width-relative:page;mso-height-relative:page;" filled="f" stroked="t" coordsize="21600,21600" o:gfxdata="UEsDBAoAAAAAAIdO4kAAAAAAAAAAAAAAAAAEAAAAZHJzL1BLAwQUAAAACACHTuJAHtSl2tUAAAAJ&#10;AQAADwAAAGRycy9kb3ducmV2LnhtbE2PwW7CMBBE75X6D9Yi9QZ2CG2iNBsOSHwAtEI9mthNIux1&#10;GhtC/77bU3sczWjmTb29eydudopDIIRspUBYaoMZqEN4f9svSxAxaTLaBbII3zbCtnl8qHVlwkwH&#10;ezumTnAJxUoj9CmNlZSx7a3XcRVGS+x9hsnrxHLqpJn0zOXeybVSL9LrgXih16Pd9ba9HK8ewZWq&#10;/DrtivnjYHhlf3I9FRni0yJTryCSvae/MPziMzo0zHQOVzJROITlJss5ilDyA/Zz9VyAOCOs83wD&#10;sqnl/wfND1BLAwQUAAAACACHTuJAsH3RnuoBAAD1AwAADgAAAGRycy9lMm9Eb2MueG1srVNNbxMx&#10;EL0j8R8s38kmS1PBKpseGgqHCiIBvTv2OGvJX/K42eTfM/aGqJRLDt3DasYzfp73/Ly6OzrLDpDQ&#10;BN/zxWzOGXgZlPH7nv/+9fDhE2eYhVfCBg89PwHyu/X7d6sxdtCGIVgFiRGIx26MPR9yjl3ToBzA&#10;CZyFCJ6KOiQnMqVp36gkRkJ3tmnn89tmDEnFFCQg0upmKvIzYroGMGhtJGyCfHbg84SawIpMlHAw&#10;Efm6Tqs1yPxDa4TMbM+Jaa5/OoTiXfk365Xo9knEwcjzCOKaEV5xcsJ4OvQCtRFZsOdk/oNyRqaA&#10;QeeZDK6ZiFRFiMVi/kqbn4OIULmQ1BgvouPbwcrvh21iRvW85cwLRxf+aDywZVFmjNhRw73fpnOG&#10;cZsKzaNOjmlr4jeyEK/RU4lKjUixY1X4dFEYjplJWmzb+cebJYkvqba4aW/bRb2DZoIs22PC/BWC&#10;YyXouaVpKqw4PGKmMaj1b0tpt56NPf+8bJcEKsiPmnxAoYvECf2+7sVgjXow1pYdmPa7e5vYQRRP&#10;1K+QJdx/2sohG4HD1FdLk1sGEOqLVyyfIqnl6ZHwMoIDxZkFelMlIkDRZWHsNZ10tPVlA1THnnkW&#10;9Se9S7QL6lSvoSkZuaFOfHZusdvLnOKXr3X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7UpdrV&#10;AAAACQEAAA8AAAAAAAAAAQAgAAAAIgAAAGRycy9kb3ducmV2LnhtbFBLAQIUABQAAAAIAIdO4kCw&#10;fdGe6gEAAPUDAAAOAAAAAAAAAAEAIAAAACQBAABkcnMvZTJvRG9jLnhtbFBLBQYAAAAABgAGAFkB&#10;AACABQAAAAA=&#10;">
                <v:fill on="f" focussize="0,0"/>
                <v:stroke color="#000000" joinstyle="round"/>
                <v:imagedata o:title=""/>
                <o:lock v:ext="edit" aspectratio="f"/>
              </v:line>
            </w:pict>
          </mc:Fallback>
        </mc:AlternateContent>
      </w:r>
      <w:r>
        <w:rPr>
          <w:rFonts w:hint="eastAsia" w:hAnsi="宋体"/>
          <w:bCs/>
        </w:rPr>
        <w:t>19.2解释权：</w:t>
      </w:r>
      <w:r>
        <w:rPr>
          <w:rFonts w:hint="eastAsia" w:hAnsi="宋体"/>
          <w:spacing w:val="-4"/>
        </w:rPr>
        <w:t>本竞争性谈判文件由</w:t>
      </w:r>
      <w:r>
        <w:rPr>
          <w:rFonts w:hint="eastAsia"/>
        </w:rPr>
        <w:t>广西坤珍建设项目管理咨询有限公司</w:t>
      </w:r>
      <w:r>
        <w:rPr>
          <w:rFonts w:hint="eastAsia" w:hAnsi="宋体"/>
          <w:spacing w:val="-4"/>
        </w:rPr>
        <w:t>负责解释。</w:t>
      </w:r>
    </w:p>
    <w:p>
      <w:pPr>
        <w:pStyle w:val="8"/>
        <w:spacing w:line="400" w:lineRule="exact"/>
        <w:ind w:firstLine="420" w:firstLineChars="200"/>
        <w:rPr>
          <w:rFonts w:hAnsi="宋体"/>
          <w:bCs/>
          <w:spacing w:val="-4"/>
        </w:rPr>
      </w:pPr>
      <w:r>
        <w:rPr>
          <w:rFonts w:hint="eastAsia" w:hAnsi="宋体"/>
          <w:bCs/>
        </w:rPr>
        <w:t>19.3.有关事宜</w:t>
      </w:r>
    </w:p>
    <w:p>
      <w:pPr>
        <w:spacing w:line="400" w:lineRule="exact"/>
        <w:ind w:firstLine="420" w:firstLineChars="200"/>
      </w:pPr>
      <w:r>
        <w:rPr>
          <w:rFonts w:hint="eastAsia"/>
        </w:rPr>
        <w:t>所有与本竞争性谈判文件有关的函件请按下列通讯地址联系：</w:t>
      </w:r>
    </w:p>
    <w:p>
      <w:pPr>
        <w:spacing w:line="400" w:lineRule="exact"/>
        <w:ind w:firstLine="420" w:firstLineChars="200"/>
      </w:pPr>
      <w:r>
        <w:rPr>
          <w:rFonts w:hint="eastAsia"/>
        </w:rPr>
        <w:t>广西坤珍建设项目管理咨询有限公司</w:t>
      </w:r>
    </w:p>
    <w:p>
      <w:pPr>
        <w:spacing w:line="400" w:lineRule="exact"/>
        <w:ind w:firstLine="420" w:firstLineChars="200"/>
      </w:pPr>
      <w:r>
        <w:rPr>
          <w:rFonts w:hint="eastAsia"/>
        </w:rPr>
        <w:t>邮政编码：532200</w:t>
      </w:r>
    </w:p>
    <w:p>
      <w:pPr>
        <w:spacing w:line="400" w:lineRule="exact"/>
      </w:pPr>
      <w:r>
        <w:rPr>
          <w:rFonts w:hint="eastAsia"/>
        </w:rPr>
        <w:t>通讯地址：广西坤珍建设项目管理咨询有限公司【崇左市友谊大道嘉苑小区转角地块22号三楼（市发改委后面）】</w:t>
      </w:r>
    </w:p>
    <w:p>
      <w:pPr>
        <w:spacing w:line="400" w:lineRule="exact"/>
        <w:ind w:firstLine="420" w:firstLineChars="200"/>
      </w:pPr>
      <w:r>
        <w:rPr>
          <w:rFonts w:hint="eastAsia"/>
        </w:rPr>
        <w:t>联 系 人：叶工</w:t>
      </w:r>
    </w:p>
    <w:p>
      <w:pPr>
        <w:spacing w:line="400" w:lineRule="exact"/>
        <w:ind w:firstLine="420" w:firstLineChars="200"/>
      </w:pPr>
      <w:r>
        <w:rPr>
          <w:rFonts w:hint="eastAsia"/>
        </w:rPr>
        <w:t>电    话：0771-7945829</w:t>
      </w:r>
    </w:p>
    <w:p>
      <w:pPr>
        <w:spacing w:line="440" w:lineRule="exact"/>
        <w:rPr>
          <w:b/>
          <w:sz w:val="44"/>
          <w:szCs w:val="44"/>
        </w:rPr>
      </w:pPr>
    </w:p>
    <w:p>
      <w:pPr>
        <w:spacing w:line="440" w:lineRule="exact"/>
        <w:rPr>
          <w:b/>
          <w:sz w:val="44"/>
          <w:szCs w:val="44"/>
        </w:rPr>
      </w:pPr>
    </w:p>
    <w:p>
      <w:pPr>
        <w:spacing w:line="440" w:lineRule="exact"/>
        <w:rPr>
          <w:b/>
          <w:sz w:val="44"/>
          <w:szCs w:val="44"/>
        </w:rPr>
      </w:pPr>
    </w:p>
    <w:p>
      <w:pPr>
        <w:rPr>
          <w:b/>
          <w:bCs/>
          <w:sz w:val="28"/>
          <w:szCs w:val="28"/>
        </w:rPr>
        <w:sectPr>
          <w:pgSz w:w="11906" w:h="16838"/>
          <w:pgMar w:top="1440" w:right="1800" w:bottom="1440" w:left="1800" w:header="851" w:footer="992" w:gutter="0"/>
          <w:cols w:space="425" w:num="1"/>
          <w:docGrid w:type="lines" w:linePitch="312" w:charSpace="0"/>
        </w:sectPr>
      </w:pPr>
    </w:p>
    <w:p>
      <w:pPr>
        <w:pStyle w:val="3"/>
      </w:pPr>
      <w:bookmarkStart w:id="22" w:name="_Toc491248226"/>
      <w:r>
        <w:rPr>
          <w:rFonts w:hint="eastAsia"/>
        </w:rPr>
        <w:t>第四章  评定标准</w:t>
      </w:r>
      <w:bookmarkEnd w:id="22"/>
    </w:p>
    <w:p>
      <w:pPr>
        <w:pStyle w:val="8"/>
        <w:spacing w:line="400" w:lineRule="exact"/>
        <w:ind w:firstLine="517" w:firstLineChars="245"/>
        <w:rPr>
          <w:rFonts w:hAnsi="宋体"/>
          <w:b/>
          <w:bCs/>
        </w:rPr>
      </w:pPr>
    </w:p>
    <w:p>
      <w:pPr>
        <w:pStyle w:val="8"/>
        <w:spacing w:line="500" w:lineRule="exact"/>
        <w:ind w:firstLine="517" w:firstLineChars="245"/>
        <w:rPr>
          <w:rFonts w:hAnsi="宋体"/>
          <w:b/>
          <w:bCs/>
        </w:rPr>
      </w:pPr>
      <w:r>
        <w:rPr>
          <w:rFonts w:hint="eastAsia" w:hAnsi="宋体"/>
          <w:b/>
          <w:bCs/>
        </w:rPr>
        <w:t>一、评标原则</w:t>
      </w:r>
    </w:p>
    <w:p>
      <w:pPr>
        <w:pStyle w:val="8"/>
        <w:spacing w:line="500" w:lineRule="exact"/>
        <w:ind w:firstLine="420" w:firstLineChars="200"/>
        <w:rPr>
          <w:rFonts w:hAnsi="宋体"/>
        </w:rPr>
      </w:pPr>
      <w:r>
        <w:rPr>
          <w:rFonts w:hint="eastAsia" w:hAnsi="宋体"/>
          <w:bCs/>
        </w:rPr>
        <w:t>(一) 谈判小组构成：</w:t>
      </w:r>
      <w:r>
        <w:rPr>
          <w:rFonts w:hint="eastAsia" w:hAnsi="宋体"/>
        </w:rPr>
        <w:t>本采购项目的谈判小组由采购人代表和评审专家共三人以上单数组成，其中评审专家人数不少于成员总数的三分之二。</w:t>
      </w:r>
    </w:p>
    <w:p>
      <w:pPr>
        <w:pStyle w:val="8"/>
        <w:spacing w:line="500" w:lineRule="exact"/>
        <w:ind w:firstLine="420" w:firstLineChars="200"/>
        <w:rPr>
          <w:rFonts w:hAnsi="宋体"/>
          <w:bCs/>
        </w:rPr>
      </w:pPr>
      <w:r>
        <w:rPr>
          <w:rFonts w:hint="eastAsia" w:hAnsi="宋体"/>
          <w:bCs/>
        </w:rPr>
        <w:t>(二)本项目采用最低评标价法。</w:t>
      </w:r>
    </w:p>
    <w:p>
      <w:pPr>
        <w:pStyle w:val="8"/>
        <w:spacing w:line="500" w:lineRule="exact"/>
        <w:ind w:firstLine="420" w:firstLineChars="200"/>
        <w:rPr>
          <w:rFonts w:hAnsi="宋体"/>
          <w:b/>
          <w:bCs/>
        </w:rPr>
      </w:pPr>
      <w:r>
        <w:rPr>
          <w:rFonts w:hint="eastAsia" w:hAnsi="宋体"/>
          <w:bCs/>
        </w:rPr>
        <w:t>(三)评标依据：以竞争性谈判文件和响应文件为评定依据。</w:t>
      </w:r>
    </w:p>
    <w:p>
      <w:pPr>
        <w:pStyle w:val="8"/>
        <w:spacing w:line="500" w:lineRule="exact"/>
        <w:ind w:firstLine="413" w:firstLineChars="196"/>
        <w:rPr>
          <w:rFonts w:hAnsi="宋体"/>
          <w:b/>
          <w:bCs/>
        </w:rPr>
      </w:pPr>
      <w:r>
        <w:rPr>
          <w:rFonts w:hint="eastAsia" w:hAnsi="宋体"/>
          <w:b/>
          <w:bCs/>
        </w:rPr>
        <w:t>二、评定方法</w:t>
      </w:r>
    </w:p>
    <w:p>
      <w:pPr>
        <w:spacing w:line="500" w:lineRule="exact"/>
        <w:ind w:firstLine="308" w:firstLineChars="147"/>
        <w:rPr>
          <w:rFonts w:ascii="宋体" w:hAnsi="宋体" w:cs="Courier New"/>
          <w:bCs/>
          <w:szCs w:val="21"/>
        </w:rPr>
      </w:pPr>
      <w:r>
        <w:rPr>
          <w:rFonts w:hint="eastAsia" w:ascii="宋体" w:hAnsi="宋体" w:cs="Courier New"/>
          <w:bCs/>
          <w:szCs w:val="21"/>
        </w:rPr>
        <w:t>（一）资格性检查：依据法律法规和采购文件的规定，对竞标文件中的资格证明、竞标保证金等进行审查，以确定竞标供应商是否具备竞标资格。以下资格审查部分的资料有一项缺项或不符合采购文件要求者资格审查视为不合格：</w:t>
      </w:r>
    </w:p>
    <w:p>
      <w:pPr>
        <w:pStyle w:val="8"/>
        <w:spacing w:line="500" w:lineRule="exact"/>
        <w:ind w:firstLine="306" w:firstLineChars="146"/>
        <w:rPr>
          <w:rFonts w:hAnsi="宋体" w:cs="Times New Roman"/>
        </w:rPr>
      </w:pPr>
      <w:r>
        <w:rPr>
          <w:rFonts w:hint="eastAsia"/>
        </w:rPr>
        <w:t xml:space="preserve">  ①竞标人有效的“营业执照”正副本复印件【要求清晰反映包含本次采购货物的生产或经营范围（部分特区工商行政管理部门另有规定的除外）】、基本账户开户许可证复印件；</w:t>
      </w:r>
    </w:p>
    <w:p>
      <w:pPr>
        <w:spacing w:line="500" w:lineRule="exact"/>
        <w:ind w:firstLine="525" w:firstLineChars="250"/>
        <w:rPr>
          <w:rFonts w:ascii="宋体" w:hAnsi="宋体"/>
          <w:szCs w:val="21"/>
        </w:rPr>
      </w:pPr>
      <w:r>
        <w:rPr>
          <w:rFonts w:hint="eastAsia" w:ascii="宋体" w:hAnsi="宋体"/>
          <w:szCs w:val="21"/>
        </w:rPr>
        <w:t>②</w:t>
      </w:r>
      <w:r>
        <w:rPr>
          <w:rFonts w:hint="eastAsia"/>
        </w:rPr>
        <w:t>有效的</w:t>
      </w:r>
      <w:r>
        <w:rPr>
          <w:rFonts w:hint="eastAsia" w:ascii="宋体" w:hAnsi="宋体"/>
          <w:szCs w:val="21"/>
        </w:rPr>
        <w:t>法定代表人身份证</w:t>
      </w:r>
      <w:r>
        <w:rPr>
          <w:rFonts w:hint="eastAsia"/>
        </w:rPr>
        <w:t>正反面</w:t>
      </w:r>
      <w:r>
        <w:rPr>
          <w:rFonts w:hint="eastAsia" w:ascii="宋体" w:hAnsi="宋体"/>
          <w:szCs w:val="21"/>
        </w:rPr>
        <w:t>复印件；</w:t>
      </w:r>
    </w:p>
    <w:p>
      <w:pPr>
        <w:spacing w:line="500" w:lineRule="exact"/>
        <w:ind w:firstLine="525" w:firstLineChars="250"/>
        <w:rPr>
          <w:rFonts w:ascii="宋体" w:hAnsi="宋体"/>
          <w:szCs w:val="21"/>
        </w:rPr>
      </w:pPr>
      <w:r>
        <w:rPr>
          <w:rFonts w:hint="eastAsia" w:ascii="宋体" w:hAnsi="宋体"/>
          <w:szCs w:val="21"/>
        </w:rPr>
        <w:t>③</w:t>
      </w:r>
      <w:r>
        <w:rPr>
          <w:rFonts w:hint="eastAsia"/>
        </w:rPr>
        <w:t>有效的</w:t>
      </w:r>
      <w:r>
        <w:rPr>
          <w:rFonts w:hint="eastAsia" w:ascii="宋体" w:hAnsi="宋体"/>
          <w:szCs w:val="21"/>
        </w:rPr>
        <w:t>法定代表人授权委托书原件和委托代理人身份证</w:t>
      </w:r>
      <w:r>
        <w:rPr>
          <w:rFonts w:hint="eastAsia"/>
        </w:rPr>
        <w:t>正反面</w:t>
      </w:r>
      <w:r>
        <w:rPr>
          <w:rFonts w:hint="eastAsia" w:ascii="宋体" w:hAnsi="宋体"/>
          <w:szCs w:val="21"/>
        </w:rPr>
        <w:t>复印件</w:t>
      </w:r>
      <w:r>
        <w:rPr>
          <w:rFonts w:hint="eastAsia" w:hAnsi="宋体"/>
        </w:rPr>
        <w:t>（委托时必须提供，明确委托权限及时间）</w:t>
      </w:r>
      <w:r>
        <w:rPr>
          <w:rFonts w:hint="eastAsia" w:ascii="宋体" w:hAnsi="宋体"/>
          <w:szCs w:val="21"/>
        </w:rPr>
        <w:t>；</w:t>
      </w:r>
    </w:p>
    <w:p>
      <w:pPr>
        <w:spacing w:line="500" w:lineRule="exact"/>
        <w:ind w:firstLine="308" w:firstLineChars="147"/>
        <w:rPr>
          <w:rFonts w:ascii="宋体" w:hAnsi="宋体" w:cs="Courier New"/>
          <w:bCs/>
          <w:szCs w:val="21"/>
        </w:rPr>
      </w:pPr>
      <w:r>
        <w:rPr>
          <w:rFonts w:hint="eastAsia" w:ascii="宋体" w:hAnsi="宋体" w:cs="Courier New"/>
          <w:bCs/>
          <w:szCs w:val="21"/>
        </w:rPr>
        <w:t>（二）符合性检查：依据采购文件的规定，从竞标文件的有效性、完整性和对采购文件的响应程度进行审查，以确定是否对采购文件的实质性要求和条件作出响应。</w:t>
      </w:r>
    </w:p>
    <w:p>
      <w:pPr>
        <w:pStyle w:val="8"/>
        <w:spacing w:line="500" w:lineRule="exact"/>
        <w:ind w:firstLine="420" w:firstLineChars="200"/>
        <w:rPr>
          <w:rFonts w:hAnsi="宋体"/>
          <w:bCs/>
        </w:rPr>
      </w:pPr>
      <w:r>
        <w:rPr>
          <w:rFonts w:hint="eastAsia" w:hAnsi="宋体"/>
          <w:bCs/>
        </w:rPr>
        <w:t>（三）对资格性和符合性检查合格的竞标文件，按最低评标价法确定成交供应商。</w:t>
      </w:r>
    </w:p>
    <w:p>
      <w:pPr>
        <w:pStyle w:val="8"/>
        <w:spacing w:line="500" w:lineRule="exact"/>
        <w:ind w:firstLine="517" w:firstLineChars="245"/>
        <w:rPr>
          <w:rFonts w:hAnsi="宋体"/>
          <w:b/>
          <w:bCs/>
        </w:rPr>
      </w:pPr>
      <w:r>
        <w:rPr>
          <w:rFonts w:hint="eastAsia" w:hAnsi="宋体"/>
          <w:b/>
          <w:bCs/>
        </w:rPr>
        <w:t>三、成交候选人推荐原则</w:t>
      </w:r>
    </w:p>
    <w:p>
      <w:pPr>
        <w:pStyle w:val="8"/>
        <w:spacing w:line="500" w:lineRule="exact"/>
        <w:ind w:firstLine="420"/>
      </w:pPr>
      <w:r>
        <w:rPr>
          <w:rFonts w:hint="eastAsia"/>
        </w:rPr>
        <w:t>（一）小型和微型企业最终报价扣除计算。</w:t>
      </w:r>
    </w:p>
    <w:p>
      <w:pPr>
        <w:spacing w:line="500" w:lineRule="exact"/>
        <w:ind w:firstLine="735" w:firstLineChars="350"/>
      </w:pPr>
      <w:r>
        <w:rPr>
          <w:rFonts w:hint="eastAsia"/>
        </w:rPr>
        <w:t>按照《政府采购促进中小企业发展暂行办法》（财库[2011]181号），响应竞标人认定为小型和微型企业（以响应文件提供的符合规定的有关证明材料为准）且所投产品均为小型和微型企业产品的，对最后报价给予10%的扣除，扣除后的价格为评标报价，即评标报价=最终报价×（1-10%）；除上述情况外，评标报价=最终报价。</w:t>
      </w:r>
      <w:r>
        <w:rPr>
          <w:rFonts w:hint="eastAsia" w:ascii="宋体" w:hAnsi="宋体"/>
          <w:b/>
          <w:bCs/>
          <w:szCs w:val="21"/>
        </w:rPr>
        <w:t>（如属于小型、微型企业的，须提供工商注册地的工业和信息化部门出具的相关证明材料等）。</w:t>
      </w:r>
    </w:p>
    <w:p>
      <w:pPr>
        <w:pStyle w:val="8"/>
        <w:spacing w:line="500" w:lineRule="exact"/>
        <w:ind w:firstLine="420"/>
      </w:pPr>
      <w:r>
        <w:rPr>
          <w:rFonts w:hint="eastAsia"/>
        </w:rPr>
        <w:t>（二）响应文件在质量和服务均能实质性满足竞争性谈判文件要求时，谈判小组将按评标报价由低到高顺序推荐3名以上成交候选人（评标报价相同时，由谈判小组集体讨论确定排序，并按由低到高的原则推荐成交候选人）。采购单位应当确定谈判小组推荐排名第一的竞标人为成交。排名第一的竞标人放弃成交或因不可抗力等原因提出不能履行合同，采购单位可以确定排名第二的竞标人为成交竞标人。排名第二的竞标人因前款规定的同样原因不能履行合同的，采购单位可以确定排名第三的竞标人为成交竞标人，其余以此类推。但确定为成交竞标人的竞标人放弃成交时，采购人也可以重新招标。</w:t>
      </w:r>
    </w:p>
    <w:p>
      <w:pPr>
        <w:pStyle w:val="8"/>
        <w:spacing w:line="500" w:lineRule="exact"/>
        <w:ind w:firstLine="420"/>
        <w:rPr>
          <w:rFonts w:hAnsi="宋体"/>
          <w:bCs/>
        </w:rPr>
      </w:pPr>
      <w:r>
        <w:rPr>
          <w:rFonts w:hint="eastAsia"/>
        </w:rPr>
        <w:t xml:space="preserve"> (三)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其后面的竞标人递补，以此类推。</w:t>
      </w:r>
    </w:p>
    <w:p>
      <w:pPr>
        <w:pStyle w:val="8"/>
        <w:spacing w:line="500" w:lineRule="exact"/>
        <w:rPr>
          <w:rFonts w:ascii="仿宋_GB2312" w:hAnsi="宋体" w:eastAsia="仿宋_GB2312"/>
          <w:sz w:val="28"/>
          <w:szCs w:val="28"/>
        </w:rPr>
      </w:pPr>
    </w:p>
    <w:p>
      <w:pPr>
        <w:pStyle w:val="8"/>
        <w:rPr>
          <w:rFonts w:ascii="仿宋_GB2312" w:hAnsi="宋体" w:eastAsia="仿宋_GB2312"/>
          <w:sz w:val="28"/>
          <w:szCs w:val="28"/>
        </w:rPr>
      </w:pPr>
    </w:p>
    <w:p>
      <w:pPr>
        <w:pStyle w:val="8"/>
        <w:rPr>
          <w:rFonts w:ascii="仿宋_GB2312" w:hAnsi="宋体" w:eastAsia="仿宋_GB2312"/>
          <w:sz w:val="28"/>
          <w:szCs w:val="28"/>
        </w:rPr>
      </w:pPr>
      <w:r>
        <w:rPr>
          <w:rFonts w:ascii="仿宋_GB2312" w:hAnsi="宋体" w:eastAsia="仿宋_GB2312"/>
          <w:sz w:val="28"/>
          <w:szCs w:val="28"/>
        </w:rPr>
        <w:br w:type="page"/>
      </w:r>
    </w:p>
    <w:p>
      <w:pPr>
        <w:pStyle w:val="3"/>
        <w:rPr>
          <w:rFonts w:ascii="方正小标宋_GBK" w:hAnsi="方正小标宋_GBK" w:eastAsia="方正小标宋_GBK"/>
        </w:rPr>
      </w:pPr>
      <w:bookmarkStart w:id="23" w:name="_Toc491248227"/>
      <w:r>
        <w:rPr>
          <w:rFonts w:hint="eastAsia" w:ascii="方正小标宋_GBK" w:hAnsi="方正小标宋_GBK" w:eastAsia="方正小标宋_GBK"/>
        </w:rPr>
        <w:t>第五章  合同基本条款及合同书格式</w:t>
      </w:r>
      <w:bookmarkEnd w:id="23"/>
    </w:p>
    <w:p>
      <w:pPr>
        <w:pStyle w:val="8"/>
        <w:ind w:firstLine="420" w:firstLineChars="200"/>
        <w:rPr>
          <w:rFonts w:ascii="Times New Roman" w:hAnsi="宋体"/>
        </w:rPr>
      </w:pPr>
    </w:p>
    <w:p>
      <w:pPr>
        <w:pStyle w:val="8"/>
        <w:ind w:firstLine="420" w:firstLineChars="200"/>
        <w:rPr>
          <w:rFonts w:ascii="Times New Roman" w:hAnsi="宋体"/>
        </w:rPr>
      </w:pPr>
    </w:p>
    <w:p>
      <w:pPr>
        <w:pStyle w:val="8"/>
        <w:ind w:firstLine="420" w:firstLineChars="200"/>
        <w:rPr>
          <w:rFonts w:ascii="Times New Roman" w:hAnsi="宋体"/>
        </w:rPr>
      </w:pPr>
    </w:p>
    <w:p>
      <w:pPr>
        <w:jc w:val="center"/>
        <w:rPr>
          <w:b/>
          <w:bCs/>
          <w:sz w:val="96"/>
          <w:szCs w:val="160"/>
        </w:rPr>
      </w:pPr>
      <w:r>
        <w:rPr>
          <w:rFonts w:hint="eastAsia"/>
          <w:b/>
          <w:bCs/>
          <w:sz w:val="96"/>
          <w:szCs w:val="160"/>
        </w:rPr>
        <w:t>采购合同协议书</w:t>
      </w:r>
    </w:p>
    <w:p>
      <w:pPr>
        <w:jc w:val="left"/>
        <w:rPr>
          <w:sz w:val="36"/>
          <w:szCs w:val="44"/>
        </w:rPr>
      </w:pPr>
    </w:p>
    <w:p>
      <w:pPr>
        <w:jc w:val="left"/>
        <w:rPr>
          <w:sz w:val="36"/>
          <w:szCs w:val="44"/>
        </w:rPr>
      </w:pPr>
    </w:p>
    <w:p>
      <w:pPr>
        <w:jc w:val="left"/>
        <w:rPr>
          <w:sz w:val="36"/>
          <w:szCs w:val="44"/>
        </w:rPr>
      </w:pPr>
    </w:p>
    <w:p>
      <w:pPr>
        <w:ind w:left="3076" w:leftChars="798" w:hanging="1400" w:hangingChars="500"/>
        <w:jc w:val="left"/>
        <w:rPr>
          <w:sz w:val="28"/>
          <w:szCs w:val="36"/>
        </w:rPr>
      </w:pPr>
      <w:r>
        <w:rPr>
          <w:rFonts w:hint="eastAsia"/>
          <w:sz w:val="28"/>
          <w:szCs w:val="36"/>
        </w:rPr>
        <w:t>项目名称：</w:t>
      </w:r>
    </w:p>
    <w:p>
      <w:pPr>
        <w:jc w:val="left"/>
        <w:rPr>
          <w:sz w:val="28"/>
          <w:szCs w:val="36"/>
        </w:rPr>
      </w:pPr>
      <w:r>
        <w:rPr>
          <w:rFonts w:hint="eastAsia"/>
          <w:sz w:val="28"/>
          <w:szCs w:val="36"/>
        </w:rPr>
        <w:t xml:space="preserve">            项目编号：</w:t>
      </w:r>
    </w:p>
    <w:p>
      <w:pPr>
        <w:jc w:val="left"/>
      </w:pPr>
      <w:r>
        <w:rPr>
          <w:rFonts w:hint="eastAsia"/>
        </w:rPr>
        <w:t xml:space="preserve">                </w:t>
      </w:r>
      <w:r>
        <w:rPr>
          <w:rFonts w:hint="eastAsia"/>
          <w:sz w:val="28"/>
          <w:szCs w:val="36"/>
        </w:rPr>
        <w:t>标段：X分标 （标段名称）</w:t>
      </w:r>
    </w:p>
    <w:p>
      <w:pPr>
        <w:jc w:val="left"/>
        <w:rPr>
          <w:sz w:val="28"/>
          <w:szCs w:val="36"/>
        </w:rPr>
      </w:pPr>
    </w:p>
    <w:p>
      <w:pPr>
        <w:jc w:val="left"/>
        <w:rPr>
          <w:sz w:val="36"/>
          <w:szCs w:val="44"/>
        </w:rPr>
      </w:pPr>
    </w:p>
    <w:p>
      <w:pPr>
        <w:jc w:val="left"/>
        <w:rPr>
          <w:sz w:val="36"/>
          <w:szCs w:val="44"/>
        </w:rPr>
      </w:pPr>
    </w:p>
    <w:p>
      <w:pPr>
        <w:jc w:val="left"/>
        <w:rPr>
          <w:sz w:val="36"/>
          <w:szCs w:val="44"/>
        </w:rPr>
      </w:pPr>
    </w:p>
    <w:p>
      <w:pPr>
        <w:jc w:val="left"/>
        <w:rPr>
          <w:sz w:val="36"/>
          <w:szCs w:val="44"/>
        </w:rPr>
      </w:pPr>
    </w:p>
    <w:p>
      <w:pPr>
        <w:ind w:firstLine="1928" w:firstLineChars="600"/>
        <w:jc w:val="left"/>
        <w:rPr>
          <w:b/>
          <w:bCs/>
          <w:sz w:val="32"/>
          <w:szCs w:val="40"/>
        </w:rPr>
      </w:pPr>
      <w:r>
        <w:rPr>
          <w:rFonts w:hint="eastAsia"/>
          <w:b/>
          <w:bCs/>
          <w:sz w:val="32"/>
          <w:szCs w:val="40"/>
        </w:rPr>
        <w:t>采购单位（甲方）：广西民族师范学院</w:t>
      </w:r>
    </w:p>
    <w:p>
      <w:pPr>
        <w:ind w:firstLine="1928" w:firstLineChars="600"/>
        <w:jc w:val="left"/>
        <w:rPr>
          <w:b/>
          <w:bCs/>
          <w:sz w:val="32"/>
          <w:szCs w:val="40"/>
        </w:rPr>
      </w:pPr>
      <w:r>
        <w:rPr>
          <w:rFonts w:hint="eastAsia"/>
          <w:b/>
          <w:bCs/>
          <w:sz w:val="32"/>
          <w:szCs w:val="40"/>
        </w:rPr>
        <w:t>供 应 商（乙方）：</w:t>
      </w:r>
    </w:p>
    <w:p>
      <w:pPr>
        <w:jc w:val="left"/>
        <w:rPr>
          <w:sz w:val="36"/>
          <w:szCs w:val="44"/>
        </w:rPr>
        <w:sectPr>
          <w:pgSz w:w="11906" w:h="16838"/>
          <w:pgMar w:top="1440" w:right="866" w:bottom="1440" w:left="960" w:header="851" w:footer="992" w:gutter="0"/>
          <w:cols w:space="720" w:num="1"/>
          <w:docGrid w:type="lines" w:linePitch="312" w:charSpace="0"/>
        </w:sectPr>
      </w:pPr>
      <w:r>
        <w:rPr>
          <w:rFonts w:hint="eastAsia"/>
          <w:sz w:val="28"/>
          <w:szCs w:val="36"/>
        </w:rPr>
        <w:t xml:space="preserve">                   </w:t>
      </w:r>
      <w:r>
        <w:rPr>
          <w:rFonts w:hint="eastAsia"/>
          <w:b/>
          <w:bCs/>
          <w:sz w:val="28"/>
          <w:szCs w:val="36"/>
        </w:rPr>
        <w:t xml:space="preserve">  签订日期：    年    月    日</w:t>
      </w: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r>
        <w:rPr>
          <w:rFonts w:hint="eastAsia" w:ascii="宋体" w:hAnsi="宋体" w:cs="宋体"/>
          <w:b/>
          <w:bCs/>
          <w:sz w:val="32"/>
          <w:szCs w:val="32"/>
        </w:rPr>
        <w:t xml:space="preserve"> 合同目录</w:t>
      </w:r>
    </w:p>
    <w:p/>
    <w:p/>
    <w:p>
      <w:pPr>
        <w:snapToGrid w:val="0"/>
        <w:spacing w:line="520" w:lineRule="exact"/>
        <w:jc w:val="left"/>
        <w:rPr>
          <w:rFonts w:ascii="宋体" w:hAnsi="宋体" w:cs="宋体"/>
          <w:bCs/>
          <w:sz w:val="32"/>
          <w:szCs w:val="32"/>
        </w:rPr>
      </w:pPr>
      <w:r>
        <w:rPr>
          <w:rFonts w:hint="eastAsia" w:ascii="宋体" w:hAnsi="宋体" w:cs="宋体"/>
          <w:bCs/>
          <w:sz w:val="32"/>
          <w:szCs w:val="32"/>
        </w:rPr>
        <w:t>1、采购合同条款</w:t>
      </w:r>
    </w:p>
    <w:p>
      <w:pPr>
        <w:snapToGrid w:val="0"/>
        <w:spacing w:line="520" w:lineRule="exact"/>
        <w:jc w:val="left"/>
        <w:rPr>
          <w:rFonts w:ascii="宋体" w:hAnsi="宋体" w:cs="宋体"/>
          <w:bCs/>
          <w:sz w:val="32"/>
          <w:szCs w:val="32"/>
        </w:rPr>
      </w:pPr>
      <w:r>
        <w:rPr>
          <w:rFonts w:hint="eastAsia" w:ascii="宋体" w:hAnsi="宋体" w:cs="宋体"/>
          <w:bCs/>
          <w:sz w:val="32"/>
          <w:szCs w:val="32"/>
        </w:rPr>
        <w:t xml:space="preserve">2、响应文件 </w:t>
      </w:r>
    </w:p>
    <w:p>
      <w:pPr>
        <w:snapToGrid w:val="0"/>
        <w:spacing w:line="520" w:lineRule="exact"/>
        <w:ind w:left="210" w:leftChars="100"/>
        <w:jc w:val="left"/>
        <w:rPr>
          <w:rFonts w:ascii="宋体" w:hAnsi="宋体" w:cs="宋体"/>
          <w:bCs/>
          <w:sz w:val="24"/>
        </w:rPr>
      </w:pPr>
      <w:r>
        <w:rPr>
          <w:rFonts w:hint="eastAsia" w:ascii="宋体" w:hAnsi="宋体" w:cs="宋体"/>
          <w:bCs/>
          <w:sz w:val="24"/>
        </w:rPr>
        <w:t>2.1、货物或产品配置清单</w:t>
      </w:r>
    </w:p>
    <w:p>
      <w:pPr>
        <w:snapToGrid w:val="0"/>
        <w:spacing w:line="520" w:lineRule="exact"/>
        <w:ind w:left="210" w:leftChars="100"/>
        <w:jc w:val="left"/>
        <w:rPr>
          <w:rFonts w:ascii="宋体" w:hAnsi="宋体" w:cs="宋体"/>
          <w:bCs/>
          <w:sz w:val="24"/>
        </w:rPr>
      </w:pPr>
      <w:r>
        <w:rPr>
          <w:rFonts w:hint="eastAsia" w:ascii="宋体" w:hAnsi="宋体" w:cs="宋体"/>
          <w:bCs/>
          <w:sz w:val="24"/>
        </w:rPr>
        <w:t>2.2、对本项目第二章《采购项目需求》技术要求的响应表</w:t>
      </w:r>
    </w:p>
    <w:p>
      <w:pPr>
        <w:snapToGrid w:val="0"/>
        <w:spacing w:line="520" w:lineRule="exact"/>
        <w:ind w:left="210" w:leftChars="100"/>
        <w:jc w:val="left"/>
        <w:rPr>
          <w:rFonts w:ascii="宋体" w:hAnsi="宋体" w:cs="宋体"/>
          <w:bCs/>
          <w:sz w:val="24"/>
        </w:rPr>
      </w:pPr>
      <w:r>
        <w:rPr>
          <w:rFonts w:hint="eastAsia" w:ascii="宋体" w:hAnsi="宋体" w:cs="宋体"/>
          <w:bCs/>
          <w:sz w:val="24"/>
        </w:rPr>
        <w:t>2.3、对本项目第二章《采购项目需求》商务要求的响应表</w:t>
      </w:r>
    </w:p>
    <w:p>
      <w:pPr>
        <w:snapToGrid w:val="0"/>
        <w:spacing w:line="520" w:lineRule="exact"/>
        <w:ind w:left="210" w:leftChars="100"/>
        <w:jc w:val="left"/>
        <w:rPr>
          <w:rFonts w:ascii="宋体" w:hAnsi="宋体" w:cs="宋体"/>
          <w:bCs/>
          <w:sz w:val="24"/>
        </w:rPr>
      </w:pPr>
      <w:r>
        <w:rPr>
          <w:rFonts w:hint="eastAsia" w:ascii="宋体" w:hAnsi="宋体" w:cs="宋体"/>
          <w:bCs/>
          <w:sz w:val="24"/>
        </w:rPr>
        <w:t>2.4、售后服务承诺书</w:t>
      </w:r>
    </w:p>
    <w:p>
      <w:pPr>
        <w:snapToGrid w:val="0"/>
        <w:spacing w:line="520" w:lineRule="exact"/>
        <w:ind w:left="210" w:leftChars="100"/>
        <w:jc w:val="left"/>
        <w:rPr>
          <w:rFonts w:ascii="宋体" w:hAnsi="宋体" w:cs="宋体"/>
          <w:bCs/>
          <w:sz w:val="24"/>
        </w:rPr>
      </w:pPr>
      <w:r>
        <w:rPr>
          <w:rFonts w:hint="eastAsia" w:ascii="宋体" w:hAnsi="宋体" w:cs="宋体"/>
          <w:bCs/>
          <w:sz w:val="24"/>
        </w:rPr>
        <w:t>2.5、响应函</w:t>
      </w:r>
    </w:p>
    <w:p>
      <w:pPr>
        <w:snapToGrid w:val="0"/>
        <w:spacing w:line="520" w:lineRule="exact"/>
        <w:ind w:left="210" w:leftChars="100"/>
        <w:jc w:val="left"/>
        <w:rPr>
          <w:rFonts w:ascii="宋体" w:hAnsi="宋体" w:cs="宋体"/>
          <w:bCs/>
          <w:sz w:val="24"/>
        </w:rPr>
      </w:pPr>
      <w:r>
        <w:rPr>
          <w:rFonts w:hint="eastAsia" w:ascii="宋体" w:hAnsi="宋体" w:cs="宋体"/>
          <w:bCs/>
          <w:sz w:val="24"/>
        </w:rPr>
        <w:t>2.6、谈判报价表</w:t>
      </w:r>
    </w:p>
    <w:p>
      <w:pPr>
        <w:snapToGrid w:val="0"/>
        <w:spacing w:line="520" w:lineRule="exact"/>
        <w:jc w:val="left"/>
        <w:rPr>
          <w:rFonts w:ascii="宋体" w:hAnsi="宋体" w:cs="宋体"/>
          <w:bCs/>
          <w:sz w:val="32"/>
          <w:szCs w:val="32"/>
        </w:rPr>
      </w:pPr>
      <w:r>
        <w:rPr>
          <w:rFonts w:hint="eastAsia" w:ascii="宋体" w:hAnsi="宋体" w:cs="宋体"/>
          <w:bCs/>
          <w:sz w:val="32"/>
          <w:szCs w:val="32"/>
        </w:rPr>
        <w:t>3、成交通知书</w:t>
      </w: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Pr>
        <w:snapToGrid w:val="0"/>
        <w:spacing w:line="520" w:lineRule="exact"/>
        <w:jc w:val="center"/>
        <w:rPr>
          <w:rFonts w:ascii="宋体" w:hAnsi="宋体" w:cs="宋体"/>
          <w:b/>
          <w:bCs/>
          <w:sz w:val="32"/>
          <w:szCs w:val="32"/>
        </w:rPr>
      </w:pPr>
    </w:p>
    <w:p/>
    <w:p>
      <w:pPr>
        <w:snapToGrid w:val="0"/>
        <w:spacing w:line="520" w:lineRule="exact"/>
        <w:rPr>
          <w:rFonts w:ascii="宋体" w:hAnsi="宋体" w:cs="宋体"/>
          <w:b/>
          <w:bCs/>
          <w:sz w:val="32"/>
          <w:szCs w:val="32"/>
        </w:rPr>
      </w:pPr>
    </w:p>
    <w:p/>
    <w:p/>
    <w:p>
      <w:pPr>
        <w:snapToGrid w:val="0"/>
        <w:spacing w:line="520" w:lineRule="exact"/>
        <w:jc w:val="center"/>
        <w:rPr>
          <w:rFonts w:ascii="宋体" w:hAnsi="宋体" w:cs="宋体"/>
          <w:b/>
          <w:bCs/>
          <w:sz w:val="32"/>
          <w:szCs w:val="32"/>
        </w:rPr>
      </w:pPr>
      <w:r>
        <w:rPr>
          <w:rFonts w:hint="eastAsia" w:ascii="宋体" w:hAnsi="宋体" w:cs="宋体"/>
          <w:b/>
          <w:bCs/>
          <w:sz w:val="32"/>
          <w:szCs w:val="32"/>
        </w:rPr>
        <w:t>采购合同条款</w:t>
      </w:r>
    </w:p>
    <w:p>
      <w:pPr>
        <w:snapToGrid w:val="0"/>
        <w:spacing w:line="360" w:lineRule="exact"/>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u w:val="single"/>
        </w:rPr>
      </w:pPr>
      <w:r>
        <w:rPr>
          <w:rFonts w:hint="eastAsia" w:ascii="宋体" w:hAnsi="宋体" w:cs="宋体"/>
          <w:sz w:val="24"/>
        </w:rPr>
        <w:t>采购单位（甲方）：</w:t>
      </w:r>
      <w:r>
        <w:rPr>
          <w:rFonts w:hint="eastAsia" w:ascii="宋体" w:hAnsi="宋体" w:cs="宋体"/>
          <w:sz w:val="24"/>
          <w:u w:val="single"/>
        </w:rPr>
        <w:t xml:space="preserve">广西民族师范学院 </w:t>
      </w:r>
      <w:r>
        <w:rPr>
          <w:rFonts w:hint="eastAsia" w:ascii="宋体" w:hAnsi="宋体" w:cs="宋体"/>
          <w:sz w:val="24"/>
        </w:rPr>
        <w:t xml:space="preserve">  采购计划号：</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供 应 商（乙方）：</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 xml:space="preserve">    根据《中华人民共和国政府采购法》、《中华人民共和国合同法》等法律、法规规定，按照__________________（项目编号：）招标文件规定条款和中标供应商承诺，甲乙双方签订本合同。</w:t>
      </w:r>
    </w:p>
    <w:p>
      <w:pPr>
        <w:snapToGrid w:val="0"/>
        <w:spacing w:line="360" w:lineRule="auto"/>
        <w:rPr>
          <w:rFonts w:ascii="宋体" w:hAnsi="宋体" w:cs="宋体"/>
          <w:b/>
          <w:sz w:val="24"/>
        </w:rPr>
      </w:pPr>
      <w:r>
        <w:rPr>
          <w:rFonts w:hint="eastAsia" w:ascii="宋体" w:hAnsi="宋体" w:cs="宋体"/>
          <w:b/>
          <w:sz w:val="24"/>
        </w:rPr>
        <w:t>第一条　合同标的</w:t>
      </w:r>
    </w:p>
    <w:p>
      <w:pPr>
        <w:snapToGrid w:val="0"/>
        <w:spacing w:line="360" w:lineRule="auto"/>
        <w:rPr>
          <w:rFonts w:ascii="宋体" w:hAnsi="宋体" w:cs="宋体"/>
          <w:sz w:val="24"/>
        </w:rPr>
      </w:pPr>
      <w:r>
        <w:rPr>
          <w:rFonts w:hint="eastAsia" w:ascii="宋体" w:hAnsi="宋体" w:cs="宋体"/>
          <w:sz w:val="24"/>
        </w:rPr>
        <w:t>1、供货一览表</w:t>
      </w:r>
    </w:p>
    <w:tbl>
      <w:tblPr>
        <w:tblStyle w:val="15"/>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02"/>
        <w:gridCol w:w="1446"/>
        <w:gridCol w:w="1484"/>
        <w:gridCol w:w="1065"/>
        <w:gridCol w:w="723"/>
        <w:gridCol w:w="15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540" w:type="dxa"/>
            <w:vAlign w:val="center"/>
          </w:tcPr>
          <w:p>
            <w:pPr>
              <w:snapToGrid w:val="0"/>
              <w:spacing w:line="280" w:lineRule="exact"/>
              <w:jc w:val="center"/>
              <w:rPr>
                <w:rFonts w:ascii="宋体" w:hAnsi="宋体" w:cs="宋体"/>
                <w:sz w:val="24"/>
              </w:rPr>
            </w:pPr>
            <w:r>
              <w:rPr>
                <w:rFonts w:hint="eastAsia" w:ascii="宋体" w:hAnsi="宋体" w:cs="宋体"/>
                <w:sz w:val="24"/>
              </w:rPr>
              <w:t>项号</w:t>
            </w:r>
          </w:p>
        </w:tc>
        <w:tc>
          <w:tcPr>
            <w:tcW w:w="1402" w:type="dxa"/>
            <w:vAlign w:val="center"/>
          </w:tcPr>
          <w:p>
            <w:pPr>
              <w:snapToGrid w:val="0"/>
              <w:spacing w:line="280" w:lineRule="exact"/>
              <w:jc w:val="center"/>
              <w:rPr>
                <w:rFonts w:ascii="宋体" w:hAnsi="宋体" w:cs="宋体"/>
                <w:sz w:val="24"/>
              </w:rPr>
            </w:pPr>
            <w:r>
              <w:rPr>
                <w:rFonts w:hint="eastAsia" w:ascii="宋体" w:hAnsi="宋体" w:cs="宋体"/>
                <w:sz w:val="24"/>
              </w:rPr>
              <w:t>货物名称</w:t>
            </w:r>
          </w:p>
        </w:tc>
        <w:tc>
          <w:tcPr>
            <w:tcW w:w="1446" w:type="dxa"/>
            <w:vAlign w:val="center"/>
          </w:tcPr>
          <w:p>
            <w:pPr>
              <w:snapToGrid w:val="0"/>
              <w:spacing w:line="280" w:lineRule="exact"/>
              <w:jc w:val="center"/>
              <w:rPr>
                <w:rFonts w:ascii="宋体" w:hAnsi="宋体" w:cs="宋体"/>
                <w:sz w:val="24"/>
              </w:rPr>
            </w:pPr>
            <w:r>
              <w:rPr>
                <w:rFonts w:hint="eastAsia" w:ascii="宋体" w:hAnsi="宋体" w:cs="宋体"/>
                <w:sz w:val="24"/>
              </w:rPr>
              <w:t>厂家品牌</w:t>
            </w:r>
          </w:p>
        </w:tc>
        <w:tc>
          <w:tcPr>
            <w:tcW w:w="1484" w:type="dxa"/>
            <w:vAlign w:val="center"/>
          </w:tcPr>
          <w:p>
            <w:pPr>
              <w:snapToGrid w:val="0"/>
              <w:spacing w:line="280" w:lineRule="exact"/>
              <w:jc w:val="center"/>
              <w:rPr>
                <w:rFonts w:ascii="宋体" w:hAnsi="宋体" w:cs="宋体"/>
                <w:sz w:val="24"/>
              </w:rPr>
            </w:pPr>
            <w:r>
              <w:rPr>
                <w:rFonts w:hint="eastAsia" w:ascii="宋体" w:hAnsi="宋体" w:cs="宋体"/>
                <w:sz w:val="24"/>
              </w:rPr>
              <w:t>规格型号</w:t>
            </w:r>
          </w:p>
        </w:tc>
        <w:tc>
          <w:tcPr>
            <w:tcW w:w="1065" w:type="dxa"/>
            <w:vAlign w:val="center"/>
          </w:tcPr>
          <w:p>
            <w:pPr>
              <w:snapToGrid w:val="0"/>
              <w:spacing w:line="280" w:lineRule="exact"/>
              <w:jc w:val="center"/>
              <w:rPr>
                <w:rFonts w:ascii="宋体" w:hAnsi="宋体" w:cs="宋体"/>
                <w:sz w:val="24"/>
              </w:rPr>
            </w:pPr>
            <w:r>
              <w:rPr>
                <w:rFonts w:hint="eastAsia" w:ascii="宋体" w:hAnsi="宋体" w:cs="宋体"/>
                <w:sz w:val="24"/>
              </w:rPr>
              <w:t>数量</w:t>
            </w:r>
          </w:p>
          <w:p>
            <w:pPr>
              <w:snapToGrid w:val="0"/>
              <w:spacing w:line="280" w:lineRule="exact"/>
              <w:jc w:val="center"/>
              <w:rPr>
                <w:rFonts w:ascii="宋体" w:hAnsi="宋体" w:cs="宋体"/>
                <w:sz w:val="24"/>
              </w:rPr>
            </w:pPr>
            <w:r>
              <w:rPr>
                <w:rFonts w:hint="eastAsia" w:ascii="宋体" w:hAnsi="宋体" w:cs="宋体"/>
                <w:sz w:val="24"/>
              </w:rPr>
              <w:t>①</w:t>
            </w:r>
          </w:p>
        </w:tc>
        <w:tc>
          <w:tcPr>
            <w:tcW w:w="723" w:type="dxa"/>
            <w:vAlign w:val="center"/>
          </w:tcPr>
          <w:p>
            <w:pPr>
              <w:snapToGrid w:val="0"/>
              <w:spacing w:line="280" w:lineRule="exact"/>
              <w:jc w:val="center"/>
              <w:rPr>
                <w:rFonts w:ascii="宋体" w:hAnsi="宋体" w:cs="宋体"/>
                <w:sz w:val="24"/>
              </w:rPr>
            </w:pPr>
            <w:r>
              <w:rPr>
                <w:rFonts w:hint="eastAsia" w:ascii="宋体" w:hAnsi="宋体" w:cs="宋体"/>
                <w:sz w:val="24"/>
              </w:rPr>
              <w:t>单位</w:t>
            </w:r>
          </w:p>
        </w:tc>
        <w:tc>
          <w:tcPr>
            <w:tcW w:w="1541" w:type="dxa"/>
            <w:vAlign w:val="center"/>
          </w:tcPr>
          <w:p>
            <w:pPr>
              <w:snapToGrid w:val="0"/>
              <w:spacing w:line="280" w:lineRule="exact"/>
              <w:jc w:val="center"/>
              <w:rPr>
                <w:rFonts w:ascii="宋体" w:hAnsi="宋体" w:cs="宋体"/>
                <w:sz w:val="24"/>
              </w:rPr>
            </w:pPr>
            <w:r>
              <w:rPr>
                <w:rFonts w:hint="eastAsia" w:ascii="宋体" w:hAnsi="宋体" w:cs="宋体"/>
                <w:sz w:val="24"/>
              </w:rPr>
              <w:t>单价（元）</w:t>
            </w:r>
          </w:p>
          <w:p>
            <w:pPr>
              <w:snapToGrid w:val="0"/>
              <w:spacing w:line="280" w:lineRule="exact"/>
              <w:jc w:val="center"/>
              <w:rPr>
                <w:rFonts w:ascii="宋体" w:hAnsi="宋体" w:cs="宋体"/>
                <w:sz w:val="24"/>
              </w:rPr>
            </w:pPr>
            <w:r>
              <w:rPr>
                <w:rFonts w:hint="eastAsia" w:ascii="宋体" w:hAnsi="宋体" w:cs="宋体"/>
                <w:sz w:val="24"/>
              </w:rPr>
              <w:t>②</w:t>
            </w:r>
          </w:p>
        </w:tc>
        <w:tc>
          <w:tcPr>
            <w:tcW w:w="1575" w:type="dxa"/>
            <w:vAlign w:val="center"/>
          </w:tcPr>
          <w:p>
            <w:pPr>
              <w:snapToGrid w:val="0"/>
              <w:spacing w:line="280" w:lineRule="exact"/>
              <w:jc w:val="center"/>
              <w:rPr>
                <w:rFonts w:ascii="宋体" w:hAnsi="宋体" w:cs="宋体"/>
                <w:sz w:val="24"/>
              </w:rPr>
            </w:pPr>
            <w:r>
              <w:rPr>
                <w:rFonts w:hint="eastAsia" w:ascii="宋体" w:hAnsi="宋体" w:cs="宋体"/>
                <w:b/>
                <w:sz w:val="24"/>
              </w:rPr>
              <w:t>单项合计金额</w:t>
            </w:r>
            <w:r>
              <w:rPr>
                <w:rFonts w:hint="eastAsia" w:ascii="宋体" w:hAnsi="宋体" w:cs="宋体"/>
                <w:sz w:val="24"/>
              </w:rPr>
              <w:t>（元）</w:t>
            </w:r>
          </w:p>
          <w:p>
            <w:pPr>
              <w:snapToGrid w:val="0"/>
              <w:spacing w:line="280" w:lineRule="exact"/>
              <w:jc w:val="center"/>
              <w:rPr>
                <w:rFonts w:ascii="宋体" w:hAnsi="宋体" w:cs="宋体"/>
                <w:sz w:val="24"/>
              </w:rPr>
            </w:pPr>
            <w:r>
              <w:rPr>
                <w:rFonts w:hint="eastAsia" w:ascii="宋体" w:hAnsi="宋体" w:cs="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40"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402" w:type="dxa"/>
            <w:vAlign w:val="center"/>
          </w:tcPr>
          <w:p>
            <w:pPr>
              <w:snapToGrid w:val="0"/>
              <w:spacing w:line="360" w:lineRule="auto"/>
              <w:rPr>
                <w:rFonts w:ascii="宋体" w:hAnsi="宋体" w:cs="宋体"/>
                <w:sz w:val="24"/>
              </w:rPr>
            </w:pPr>
          </w:p>
        </w:tc>
        <w:tc>
          <w:tcPr>
            <w:tcW w:w="1446" w:type="dxa"/>
            <w:vAlign w:val="center"/>
          </w:tcPr>
          <w:p>
            <w:pPr>
              <w:snapToGrid w:val="0"/>
              <w:spacing w:line="360" w:lineRule="auto"/>
              <w:rPr>
                <w:rFonts w:ascii="宋体" w:hAnsi="宋体" w:cs="宋体"/>
                <w:sz w:val="24"/>
              </w:rPr>
            </w:pPr>
          </w:p>
        </w:tc>
        <w:tc>
          <w:tcPr>
            <w:tcW w:w="1484" w:type="dxa"/>
            <w:vAlign w:val="center"/>
          </w:tcPr>
          <w:p>
            <w:pPr>
              <w:snapToGrid w:val="0"/>
              <w:spacing w:line="360" w:lineRule="auto"/>
              <w:rPr>
                <w:rFonts w:ascii="宋体" w:hAnsi="宋体" w:cs="宋体"/>
                <w:sz w:val="24"/>
              </w:rPr>
            </w:pPr>
          </w:p>
        </w:tc>
        <w:tc>
          <w:tcPr>
            <w:tcW w:w="1065" w:type="dxa"/>
          </w:tcPr>
          <w:p>
            <w:pPr>
              <w:snapToGrid w:val="0"/>
              <w:spacing w:line="360" w:lineRule="auto"/>
              <w:rPr>
                <w:rFonts w:ascii="宋体" w:hAnsi="宋体" w:cs="宋体"/>
                <w:sz w:val="24"/>
              </w:rPr>
            </w:pPr>
          </w:p>
        </w:tc>
        <w:tc>
          <w:tcPr>
            <w:tcW w:w="723" w:type="dxa"/>
          </w:tcPr>
          <w:p>
            <w:pPr>
              <w:snapToGrid w:val="0"/>
              <w:spacing w:line="360" w:lineRule="auto"/>
              <w:rPr>
                <w:rFonts w:ascii="宋体" w:hAnsi="宋体" w:cs="宋体"/>
                <w:sz w:val="24"/>
              </w:rPr>
            </w:pPr>
          </w:p>
        </w:tc>
        <w:tc>
          <w:tcPr>
            <w:tcW w:w="1541" w:type="dxa"/>
            <w:vAlign w:val="center"/>
          </w:tcPr>
          <w:p>
            <w:pPr>
              <w:snapToGrid w:val="0"/>
              <w:spacing w:line="360" w:lineRule="auto"/>
              <w:rPr>
                <w:rFonts w:ascii="宋体" w:hAnsi="宋体" w:cs="宋体"/>
                <w:sz w:val="24"/>
              </w:rPr>
            </w:pPr>
          </w:p>
        </w:tc>
        <w:tc>
          <w:tcPr>
            <w:tcW w:w="1575" w:type="dxa"/>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76" w:type="dxa"/>
            <w:gridSpan w:val="8"/>
            <w:vAlign w:val="center"/>
          </w:tcPr>
          <w:p>
            <w:pPr>
              <w:snapToGrid w:val="0"/>
              <w:spacing w:line="280" w:lineRule="exact"/>
              <w:rPr>
                <w:rFonts w:ascii="宋体" w:hAnsi="宋体" w:cs="宋体"/>
                <w:sz w:val="24"/>
              </w:rPr>
            </w:pPr>
            <w:r>
              <w:rPr>
                <w:rFonts w:hint="eastAsia" w:ascii="宋体" w:hAnsi="宋体" w:cs="宋体"/>
                <w:sz w:val="24"/>
              </w:rPr>
              <w:t xml:space="preserve">投标报价（合计金额）大写：                  </w:t>
            </w:r>
            <w:r>
              <w:rPr>
                <w:rFonts w:hint="eastAsia" w:ascii="宋体" w:hAnsi="宋体" w:cs="宋体"/>
                <w:spacing w:val="20"/>
                <w:sz w:val="24"/>
              </w:rPr>
              <w:t>人民币</w:t>
            </w:r>
            <w:r>
              <w:rPr>
                <w:rFonts w:hint="eastAsia" w:ascii="宋体" w:hAnsi="宋体" w:cs="宋体"/>
                <w:sz w:val="24"/>
              </w:rPr>
              <w:t xml:space="preserve">            </w:t>
            </w:r>
            <w:r>
              <w:rPr>
                <w:rFonts w:hint="eastAsia" w:ascii="宋体" w:hAnsi="宋体" w:cs="宋体"/>
                <w:spacing w:val="20"/>
                <w:sz w:val="24"/>
              </w:rPr>
              <w:t>（￥               ）</w:t>
            </w:r>
            <w:r>
              <w:rPr>
                <w:rFonts w:hint="eastAsia" w:ascii="宋体" w:hAnsi="宋体" w:cs="宋体"/>
                <w:sz w:val="24"/>
              </w:rPr>
              <w:t xml:space="preserve">                 </w:t>
            </w:r>
          </w:p>
        </w:tc>
      </w:tr>
    </w:tbl>
    <w:p>
      <w:pPr>
        <w:pStyle w:val="8"/>
        <w:spacing w:line="360" w:lineRule="auto"/>
        <w:jc w:val="left"/>
        <w:rPr>
          <w:rFonts w:hAnsi="宋体" w:cs="宋体"/>
          <w:szCs w:val="24"/>
        </w:rPr>
      </w:pPr>
      <w:r>
        <w:rPr>
          <w:rFonts w:hint="eastAsia" w:hAnsi="宋体" w:cs="宋体"/>
          <w:szCs w:val="24"/>
        </w:rPr>
        <w:t xml:space="preserve">    2、合同合计金额：_____________________________ </w:t>
      </w:r>
      <w:r>
        <w:rPr>
          <w:rFonts w:hint="eastAsia" w:hAnsi="宋体" w:cs="宋体"/>
          <w:b/>
          <w:bCs/>
          <w:szCs w:val="24"/>
          <w:u w:val="single"/>
        </w:rPr>
        <w:t>（¥元）</w:t>
      </w:r>
      <w:r>
        <w:rPr>
          <w:rFonts w:hint="eastAsia" w:hAnsi="宋体" w:cs="宋体"/>
          <w:szCs w:val="24"/>
        </w:rPr>
        <w:t>包括本次招标范围内货物货款、货物标准附件、备品备件、专用工具、包装、运输、装卸、保险、税金、货到就位以及安装、调试、培训、保修等一切税金和费用。如招标文件对其另有规定的，从其规定。</w:t>
      </w:r>
    </w:p>
    <w:p>
      <w:pPr>
        <w:snapToGrid w:val="0"/>
        <w:spacing w:line="360" w:lineRule="auto"/>
        <w:rPr>
          <w:rFonts w:ascii="宋体" w:hAnsi="宋体" w:cs="宋体"/>
          <w:b/>
          <w:sz w:val="24"/>
        </w:rPr>
      </w:pPr>
      <w:r>
        <w:rPr>
          <w:rFonts w:hint="eastAsia" w:ascii="宋体" w:hAnsi="宋体" w:cs="宋体"/>
          <w:b/>
          <w:sz w:val="24"/>
        </w:rPr>
        <w:t>第二条　质量保证</w:t>
      </w:r>
    </w:p>
    <w:p>
      <w:pPr>
        <w:snapToGrid w:val="0"/>
        <w:spacing w:line="360" w:lineRule="auto"/>
        <w:rPr>
          <w:rFonts w:ascii="宋体" w:hAnsi="宋体" w:cs="宋体"/>
          <w:sz w:val="24"/>
        </w:rPr>
      </w:pPr>
      <w:r>
        <w:rPr>
          <w:rFonts w:hint="eastAsia" w:ascii="宋体" w:hAnsi="宋体" w:cs="宋体"/>
          <w:sz w:val="24"/>
        </w:rPr>
        <w:t xml:space="preserve">    1、乙方所提供的货物型号、技术规格、技术参数等质量必须与投标文件的承诺相一致。乙方提供的自主创新产品、节能和环保产品必须是列入政府采购清单的产品。</w:t>
      </w:r>
    </w:p>
    <w:p>
      <w:pPr>
        <w:snapToGrid w:val="0"/>
        <w:spacing w:line="360" w:lineRule="auto"/>
        <w:rPr>
          <w:rFonts w:ascii="宋体" w:hAnsi="宋体" w:cs="宋体"/>
          <w:b/>
          <w:sz w:val="24"/>
        </w:rPr>
      </w:pPr>
      <w:r>
        <w:rPr>
          <w:rFonts w:hint="eastAsia" w:ascii="宋体" w:hAnsi="宋体" w:cs="宋体"/>
          <w:sz w:val="24"/>
        </w:rPr>
        <w:t xml:space="preserve">    2、乙方所提供的货物必须是全新、未使用的原装产品，且在正常安装、使用和保养条件下，其使用寿命期内各项指标均达到质量要求。</w:t>
      </w:r>
    </w:p>
    <w:p>
      <w:pPr>
        <w:tabs>
          <w:tab w:val="left" w:pos="900"/>
        </w:tabs>
        <w:snapToGrid w:val="0"/>
        <w:spacing w:line="360" w:lineRule="auto"/>
        <w:rPr>
          <w:rFonts w:ascii="宋体" w:hAnsi="宋体" w:cs="宋体"/>
          <w:b/>
          <w:sz w:val="24"/>
        </w:rPr>
      </w:pPr>
      <w:r>
        <w:rPr>
          <w:rFonts w:hint="eastAsia" w:ascii="宋体" w:hAnsi="宋体" w:cs="宋体"/>
          <w:b/>
          <w:sz w:val="24"/>
        </w:rPr>
        <w:t>第三条　权利保证</w:t>
      </w:r>
    </w:p>
    <w:p>
      <w:pPr>
        <w:snapToGrid w:val="0"/>
        <w:spacing w:line="360" w:lineRule="auto"/>
        <w:rPr>
          <w:rFonts w:ascii="宋体" w:hAnsi="宋体" w:cs="宋体"/>
          <w:sz w:val="24"/>
        </w:rPr>
      </w:pPr>
      <w:r>
        <w:rPr>
          <w:rFonts w:hint="eastAsia" w:ascii="宋体" w:hAnsi="宋体" w:cs="宋体"/>
          <w:sz w:val="24"/>
        </w:rPr>
        <w:t xml:space="preserve">    乙方应保证所提供货物在使用时不会侵犯任何第三方的专利权、商标权、工业设计权或其他权利。乙方应按招标文件规定的时间向甲方提供使用货物的有关技术资料。</w:t>
      </w:r>
    </w:p>
    <w:p>
      <w:pPr>
        <w:snapToGrid w:val="0"/>
        <w:spacing w:line="360" w:lineRule="auto"/>
        <w:rPr>
          <w:rFonts w:ascii="宋体" w:hAnsi="宋体" w:cs="宋体"/>
          <w:sz w:val="24"/>
        </w:rPr>
      </w:pPr>
      <w:r>
        <w:rPr>
          <w:rFonts w:hint="eastAsia" w:ascii="宋体" w:hAnsi="宋体" w:cs="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rPr>
          <w:rFonts w:ascii="宋体" w:hAnsi="宋体" w:cs="宋体"/>
          <w:sz w:val="24"/>
        </w:rPr>
      </w:pPr>
      <w:r>
        <w:rPr>
          <w:rFonts w:hint="eastAsia" w:ascii="宋体" w:hAnsi="宋体" w:cs="宋体"/>
          <w:sz w:val="24"/>
        </w:rPr>
        <w:t>乙方保证所交付的货物的所有权完全属于乙方且无任何抵押、质押、查封等产权瑕疵。</w:t>
      </w:r>
    </w:p>
    <w:p>
      <w:pPr>
        <w:snapToGrid w:val="0"/>
        <w:spacing w:line="360" w:lineRule="auto"/>
        <w:rPr>
          <w:rFonts w:ascii="宋体" w:hAnsi="宋体" w:cs="宋体"/>
          <w:b/>
          <w:sz w:val="24"/>
        </w:rPr>
      </w:pPr>
      <w:r>
        <w:rPr>
          <w:rFonts w:hint="eastAsia" w:ascii="宋体" w:hAnsi="宋体" w:cs="宋体"/>
          <w:b/>
          <w:sz w:val="24"/>
        </w:rPr>
        <w:t>第四条　包装和运输</w:t>
      </w:r>
    </w:p>
    <w:p>
      <w:pPr>
        <w:snapToGrid w:val="0"/>
        <w:spacing w:line="360" w:lineRule="auto"/>
        <w:rPr>
          <w:rFonts w:ascii="宋体" w:hAnsi="宋体" w:cs="宋体"/>
          <w:sz w:val="24"/>
        </w:rPr>
      </w:pPr>
      <w:r>
        <w:rPr>
          <w:rFonts w:hint="eastAsia" w:ascii="宋体" w:hAnsi="宋体" w:cs="宋体"/>
          <w:sz w:val="24"/>
        </w:rPr>
        <w:t xml:space="preserve">    1、乙方提供的货物均应按投标文件承诺的包装材料、包装标准、包装方式进行包装，每一包装单元内应附详细的装箱单和质量合格证。</w:t>
      </w:r>
    </w:p>
    <w:p>
      <w:pPr>
        <w:snapToGrid w:val="0"/>
        <w:spacing w:line="360" w:lineRule="auto"/>
        <w:rPr>
          <w:rFonts w:ascii="宋体" w:hAnsi="宋体" w:cs="宋体"/>
          <w:sz w:val="24"/>
        </w:rPr>
      </w:pPr>
      <w:r>
        <w:rPr>
          <w:rFonts w:hint="eastAsia" w:ascii="宋体" w:hAnsi="宋体" w:cs="宋体"/>
          <w:sz w:val="24"/>
        </w:rPr>
        <w:t xml:space="preserve">    2、货物的运输方式：不限。</w:t>
      </w:r>
    </w:p>
    <w:p>
      <w:pPr>
        <w:snapToGrid w:val="0"/>
        <w:spacing w:line="360" w:lineRule="auto"/>
        <w:rPr>
          <w:rFonts w:ascii="宋体" w:hAnsi="宋体" w:cs="宋体"/>
          <w:sz w:val="24"/>
        </w:rPr>
      </w:pPr>
      <w:r>
        <w:rPr>
          <w:rFonts w:hint="eastAsia" w:ascii="宋体" w:hAnsi="宋体" w:cs="宋体"/>
          <w:sz w:val="24"/>
        </w:rPr>
        <w:t xml:space="preserve">    3、乙方负责货物运输，货物运输合理损耗及计算方法：本合同交付货物不接受损耗，由乙方自行为其货物运输办理相关保险。</w:t>
      </w:r>
    </w:p>
    <w:p>
      <w:pPr>
        <w:snapToGrid w:val="0"/>
        <w:spacing w:line="360" w:lineRule="auto"/>
        <w:rPr>
          <w:rFonts w:ascii="宋体" w:hAnsi="宋体" w:cs="宋体"/>
          <w:b/>
          <w:sz w:val="24"/>
        </w:rPr>
      </w:pPr>
      <w:r>
        <w:rPr>
          <w:rFonts w:hint="eastAsia" w:ascii="宋体" w:hAnsi="宋体" w:cs="宋体"/>
          <w:b/>
          <w:sz w:val="24"/>
        </w:rPr>
        <w:t>第五条　交付和验收</w:t>
      </w:r>
    </w:p>
    <w:p>
      <w:pPr>
        <w:pStyle w:val="6"/>
        <w:spacing w:line="360" w:lineRule="auto"/>
        <w:ind w:left="240" w:hanging="240" w:hangingChars="100"/>
        <w:rPr>
          <w:rFonts w:ascii="宋体" w:hAnsi="宋体" w:cs="宋体"/>
          <w:sz w:val="24"/>
        </w:rPr>
      </w:pPr>
      <w:r>
        <w:rPr>
          <w:rFonts w:hint="eastAsia" w:ascii="宋体" w:hAnsi="宋体" w:cs="宋体"/>
          <w:sz w:val="24"/>
        </w:rPr>
        <w:t xml:space="preserve">    1、交货期：自合同签订之日起 30 日内安装调试完毕，如遇特殊情况，必须按采购人要求时间供货。交货地点：（采购人指定地点）。</w:t>
      </w:r>
    </w:p>
    <w:p>
      <w:pPr>
        <w:snapToGrid w:val="0"/>
        <w:spacing w:line="360" w:lineRule="auto"/>
        <w:rPr>
          <w:rFonts w:ascii="宋体" w:hAnsi="宋体" w:cs="宋体"/>
          <w:sz w:val="24"/>
        </w:rPr>
      </w:pPr>
      <w:r>
        <w:rPr>
          <w:rFonts w:hint="eastAsia" w:ascii="宋体" w:hAnsi="宋体" w:cs="宋体"/>
          <w:sz w:val="24"/>
        </w:rPr>
        <w:t xml:space="preserve">    2、乙方提供不符合招投标文件和本合同规定的货物，甲方有权拒绝接受。</w:t>
      </w:r>
    </w:p>
    <w:p>
      <w:pPr>
        <w:snapToGrid w:val="0"/>
        <w:spacing w:line="360" w:lineRule="auto"/>
        <w:rPr>
          <w:rFonts w:ascii="宋体" w:hAnsi="宋体" w:cs="宋体"/>
          <w:sz w:val="24"/>
        </w:rPr>
      </w:pPr>
      <w:r>
        <w:rPr>
          <w:rFonts w:hint="eastAsia" w:ascii="宋体" w:hAnsi="宋体" w:cs="宋体"/>
          <w:sz w:val="24"/>
        </w:rPr>
        <w:t xml:space="preserve">    3、乙方应将所提供货物的装箱清单、用户手册、原厂保修卡、随机资料、工具和备品、备件等交付给甲方，如有缺失应及时补齐，否则视为逾期交货。</w:t>
      </w:r>
    </w:p>
    <w:p>
      <w:pPr>
        <w:snapToGrid w:val="0"/>
        <w:spacing w:line="360" w:lineRule="auto"/>
        <w:rPr>
          <w:rFonts w:ascii="宋体" w:hAnsi="宋体" w:cs="宋体"/>
          <w:sz w:val="24"/>
        </w:rPr>
      </w:pPr>
      <w:r>
        <w:rPr>
          <w:rFonts w:hint="eastAsia" w:ascii="宋体" w:hAnsi="宋体" w:cs="宋体"/>
          <w:sz w:val="24"/>
        </w:rPr>
        <w:t xml:space="preserve">    4、甲方应当在到货（安装、调试完）后七个工作日内进行验收，逾期不验收的，乙方可视同验收合格。验收合格后由甲乙双方签署货物验收单并加盖采购单位公章，甲乙双方各执一份。</w:t>
      </w:r>
    </w:p>
    <w:p>
      <w:pPr>
        <w:snapToGrid w:val="0"/>
        <w:spacing w:line="360" w:lineRule="auto"/>
        <w:rPr>
          <w:rFonts w:ascii="宋体" w:hAnsi="宋体" w:cs="宋体"/>
          <w:sz w:val="24"/>
        </w:rPr>
      </w:pPr>
      <w:r>
        <w:rPr>
          <w:rFonts w:hint="eastAsia" w:ascii="宋体" w:hAnsi="宋体" w:cs="宋体"/>
          <w:sz w:val="24"/>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rPr>
          <w:rFonts w:ascii="宋体" w:hAnsi="宋体" w:cs="宋体"/>
          <w:sz w:val="24"/>
        </w:rPr>
      </w:pPr>
      <w:r>
        <w:rPr>
          <w:rFonts w:hint="eastAsia" w:ascii="宋体" w:hAnsi="宋体" w:cs="宋体"/>
          <w:sz w:val="24"/>
        </w:rPr>
        <w:t xml:space="preserve">    6、甲方对验收有异议的，在验收后五个工作日内以书面形式向乙方提出，乙方应自收到甲方书面异议后5日内及时予以解决。</w:t>
      </w:r>
    </w:p>
    <w:p>
      <w:pPr>
        <w:snapToGrid w:val="0"/>
        <w:spacing w:line="360" w:lineRule="auto"/>
        <w:rPr>
          <w:rFonts w:ascii="宋体" w:hAnsi="宋体" w:cs="宋体"/>
          <w:b/>
          <w:sz w:val="24"/>
        </w:rPr>
      </w:pPr>
      <w:r>
        <w:rPr>
          <w:rFonts w:hint="eastAsia" w:ascii="宋体" w:hAnsi="宋体" w:cs="宋体"/>
          <w:b/>
          <w:sz w:val="24"/>
        </w:rPr>
        <w:t>第六条　安装和培训</w:t>
      </w:r>
    </w:p>
    <w:p>
      <w:pPr>
        <w:snapToGrid w:val="0"/>
        <w:spacing w:line="360" w:lineRule="auto"/>
        <w:rPr>
          <w:rFonts w:ascii="宋体" w:hAnsi="宋体" w:cs="宋体"/>
          <w:sz w:val="24"/>
        </w:rPr>
      </w:pPr>
      <w:r>
        <w:rPr>
          <w:rFonts w:hint="eastAsia" w:ascii="宋体" w:hAnsi="宋体" w:cs="宋体"/>
          <w:sz w:val="24"/>
        </w:rPr>
        <w:t xml:space="preserve">    1、甲方应提供必要安装条件（如场地、电源、水源等）。</w:t>
      </w:r>
    </w:p>
    <w:p>
      <w:pPr>
        <w:snapToGrid w:val="0"/>
        <w:spacing w:line="500" w:lineRule="exact"/>
        <w:rPr>
          <w:rFonts w:ascii="宋体" w:hAnsi="宋体" w:cs="宋体"/>
          <w:sz w:val="24"/>
        </w:rPr>
      </w:pPr>
      <w:r>
        <w:rPr>
          <w:rFonts w:hint="eastAsia" w:ascii="宋体" w:hAnsi="宋体" w:cs="宋体"/>
          <w:sz w:val="24"/>
        </w:rPr>
        <w:t xml:space="preserve">    2、乙方负责甲方有关人员的培训。培训时间、地点：采购人指定地点。</w:t>
      </w:r>
    </w:p>
    <w:p>
      <w:pPr>
        <w:snapToGrid w:val="0"/>
        <w:spacing w:line="500" w:lineRule="exact"/>
        <w:rPr>
          <w:rFonts w:ascii="宋体" w:hAnsi="宋体" w:cs="宋体"/>
          <w:b/>
          <w:sz w:val="24"/>
        </w:rPr>
      </w:pPr>
    </w:p>
    <w:p>
      <w:pPr>
        <w:snapToGrid w:val="0"/>
        <w:spacing w:line="500" w:lineRule="exact"/>
        <w:rPr>
          <w:rFonts w:ascii="宋体" w:hAnsi="宋体" w:cs="宋体"/>
          <w:b/>
          <w:sz w:val="24"/>
        </w:rPr>
      </w:pPr>
      <w:r>
        <w:rPr>
          <w:rFonts w:hint="eastAsia" w:ascii="宋体" w:hAnsi="宋体" w:cs="宋体"/>
          <w:b/>
          <w:sz w:val="24"/>
        </w:rPr>
        <w:t>第七条  售后服务、质保期</w:t>
      </w:r>
    </w:p>
    <w:p>
      <w:pPr>
        <w:snapToGrid w:val="0"/>
        <w:spacing w:line="500" w:lineRule="exact"/>
        <w:rPr>
          <w:rFonts w:ascii="宋体" w:hAnsi="宋体" w:cs="宋体"/>
          <w:bCs/>
          <w:sz w:val="24"/>
        </w:rPr>
      </w:pPr>
      <w:r>
        <w:rPr>
          <w:rFonts w:hint="eastAsia" w:ascii="宋体" w:hAnsi="宋体" w:cs="宋体"/>
          <w:bCs/>
          <w:sz w:val="24"/>
        </w:rPr>
        <w:t xml:space="preserve">    1</w:t>
      </w:r>
      <w:r>
        <w:rPr>
          <w:rFonts w:hint="eastAsia" w:ascii="宋体" w:hAnsi="宋体" w:cs="宋体"/>
          <w:bCs/>
          <w:color w:val="000000" w:themeColor="text1"/>
          <w:sz w:val="24"/>
          <w14:textFill>
            <w14:solidFill>
              <w14:schemeClr w14:val="tx1"/>
            </w14:solidFill>
          </w14:textFill>
        </w:rPr>
        <w:t>、质量保证期1年（自交货并验收合格之日起计）</w:t>
      </w:r>
      <w:r>
        <w:rPr>
          <w:rFonts w:hint="eastAsia" w:ascii="宋体" w:hAnsi="宋体" w:cs="宋体"/>
          <w:bCs/>
          <w:sz w:val="24"/>
        </w:rPr>
        <w:t>，按国家及行业有关标准执行（如果厂家的质保期超过一年的，质保期按厂家要求执行）。</w:t>
      </w:r>
    </w:p>
    <w:p>
      <w:pPr>
        <w:snapToGrid w:val="0"/>
        <w:spacing w:line="500" w:lineRule="exact"/>
        <w:rPr>
          <w:rFonts w:ascii="宋体" w:hAnsi="宋体" w:cs="宋体"/>
          <w:bCs/>
          <w:sz w:val="24"/>
        </w:rPr>
      </w:pPr>
      <w:r>
        <w:rPr>
          <w:rFonts w:hint="eastAsia" w:ascii="宋体" w:hAnsi="宋体" w:cs="宋体"/>
          <w:bCs/>
          <w:sz w:val="24"/>
        </w:rPr>
        <w:t xml:space="preserve">    2、免费送货上门、安装及调试；货物发生故障时接到通知后12小时内响应，24小时内到达现场维修，无法维修的免费更换；定期回访；培训：免费技术培训；其余按厂家承诺进行。</w:t>
      </w:r>
    </w:p>
    <w:p>
      <w:pPr>
        <w:snapToGrid w:val="0"/>
        <w:spacing w:line="500" w:lineRule="exact"/>
        <w:rPr>
          <w:rFonts w:ascii="宋体" w:hAnsi="宋体" w:cs="宋体"/>
          <w:bCs/>
          <w:sz w:val="24"/>
        </w:rPr>
      </w:pPr>
      <w:r>
        <w:rPr>
          <w:rFonts w:hint="eastAsia" w:ascii="宋体" w:hAnsi="宋体" w:cs="宋体"/>
          <w:bCs/>
          <w:sz w:val="24"/>
        </w:rPr>
        <w:t xml:space="preserve">    3、在质保期内，以上物品质量和所引用标准必须符合采购人实验需求，如不满足需求，竞标人必须无条件更换；以上物品当出现2次不满足采购人实验需求时，竞标人必须更换品质更好的品牌，且采购人不再另行支付超出成交金额之外的款项。</w:t>
      </w:r>
    </w:p>
    <w:p>
      <w:pPr>
        <w:snapToGrid w:val="0"/>
        <w:spacing w:line="500" w:lineRule="exact"/>
        <w:rPr>
          <w:rFonts w:ascii="宋体" w:hAnsi="宋体" w:cs="宋体"/>
          <w:b/>
          <w:sz w:val="24"/>
        </w:rPr>
      </w:pPr>
      <w:r>
        <w:rPr>
          <w:rFonts w:hint="eastAsia" w:ascii="宋体" w:hAnsi="宋体" w:cs="宋体"/>
          <w:b/>
          <w:sz w:val="24"/>
        </w:rPr>
        <w:t>第八条　付款方式</w:t>
      </w:r>
    </w:p>
    <w:p>
      <w:pPr>
        <w:snapToGrid w:val="0"/>
        <w:spacing w:line="500" w:lineRule="exact"/>
        <w:ind w:firstLine="360" w:firstLineChars="150"/>
        <w:rPr>
          <w:rFonts w:ascii="宋体" w:hAnsi="宋体" w:cs="宋体"/>
          <w:color w:val="auto"/>
          <w:sz w:val="24"/>
        </w:rPr>
      </w:pPr>
      <w:r>
        <w:rPr>
          <w:rFonts w:hint="eastAsia" w:ascii="宋体" w:hAnsi="宋体" w:cs="宋体"/>
          <w:color w:val="auto"/>
          <w:sz w:val="24"/>
        </w:rPr>
        <w:t>1.当采购数量与实际使用数量不一致时，乙方应根据实际使用量供货，合同的最终结算金额按实际使用量乘以成交单价进行计算，但不得超出合同价的10%。</w:t>
      </w:r>
    </w:p>
    <w:p>
      <w:pPr>
        <w:snapToGrid w:val="0"/>
        <w:spacing w:line="500" w:lineRule="exact"/>
        <w:ind w:firstLine="360" w:firstLineChars="150"/>
        <w:rPr>
          <w:rFonts w:hint="eastAsia" w:ascii="宋体" w:hAnsi="宋体" w:cs="宋体"/>
          <w:color w:val="auto"/>
          <w:sz w:val="24"/>
        </w:rPr>
      </w:pPr>
      <w:r>
        <w:rPr>
          <w:rFonts w:hint="eastAsia" w:ascii="宋体" w:hAnsi="宋体" w:cs="宋体"/>
          <w:color w:val="auto"/>
          <w:sz w:val="24"/>
        </w:rPr>
        <w:t>2.付款方式：无预付款，成交供应商交货完毕并安装调试验收合格后，采购人凭成交人开具的发票，采购人在15天工作日内完成崇左财政支付申报，支付合同总金额95%的货款，余下5%待验收合格届满一年过后，成交人提出申请之日起十个工作日内支付（无息）。</w:t>
      </w:r>
    </w:p>
    <w:p>
      <w:pPr>
        <w:snapToGrid w:val="0"/>
        <w:spacing w:line="500" w:lineRule="exact"/>
        <w:rPr>
          <w:rFonts w:ascii="宋体" w:hAnsi="宋体" w:cs="宋体"/>
          <w:color w:val="auto"/>
          <w:sz w:val="24"/>
        </w:rPr>
      </w:pPr>
      <w:r>
        <w:rPr>
          <w:rFonts w:ascii="宋体" w:hAnsi="宋体" w:cs="宋体"/>
          <w:b/>
          <w:color w:val="auto"/>
          <w:sz w:val="24"/>
        </w:rPr>
        <w:t>第九条履约保证金</w:t>
      </w:r>
      <w:r>
        <w:rPr>
          <w:rFonts w:hint="eastAsia" w:ascii="宋体" w:hAnsi="宋体" w:cs="宋体"/>
          <w:b/>
          <w:color w:val="auto"/>
          <w:sz w:val="24"/>
        </w:rPr>
        <w:t>及谈判保证金</w:t>
      </w:r>
      <w:r>
        <w:rPr>
          <w:rFonts w:ascii="宋体" w:hAnsi="宋体" w:cs="宋体"/>
          <w:color w:val="auto"/>
          <w:sz w:val="24"/>
        </w:rPr>
        <w:t xml:space="preserve">   </w:t>
      </w:r>
    </w:p>
    <w:p>
      <w:pPr>
        <w:snapToGrid w:val="0"/>
        <w:spacing w:line="500" w:lineRule="exact"/>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履约保证金</w:t>
      </w:r>
      <w:r>
        <w:rPr>
          <w:rFonts w:hint="eastAsia" w:ascii="宋体" w:hAnsi="宋体" w:cs="宋体"/>
          <w:color w:val="000000" w:themeColor="text1"/>
          <w:sz w:val="24"/>
          <w14:textFill>
            <w14:solidFill>
              <w14:schemeClr w14:val="tx1"/>
            </w14:solidFill>
          </w14:textFill>
        </w:rPr>
        <w:t>金额：</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无</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p>
    <w:p>
      <w:pPr>
        <w:snapToGrid w:val="0"/>
        <w:spacing w:line="500" w:lineRule="exact"/>
        <w:ind w:firstLine="360" w:firstLineChars="150"/>
        <w:rPr>
          <w:rFonts w:ascii="宋体" w:hAnsi="宋体" w:cs="宋体"/>
          <w:color w:val="000000" w:themeColor="text1"/>
          <w:sz w:val="24"/>
          <w14:textFill>
            <w14:solidFill>
              <w14:schemeClr w14:val="tx1"/>
            </w14:solidFill>
          </w14:textFill>
        </w:rPr>
      </w:pPr>
      <w:bookmarkStart w:id="24" w:name="_Hlk47715729"/>
      <w:r>
        <w:rPr>
          <w:rFonts w:hint="eastAsia" w:ascii="宋体" w:hAnsi="宋体" w:cs="宋体"/>
          <w:color w:val="000000" w:themeColor="text1"/>
          <w:sz w:val="24"/>
          <w14:textFill>
            <w14:solidFill>
              <w14:schemeClr w14:val="tx1"/>
            </w14:solidFill>
          </w14:textFill>
        </w:rPr>
        <w:t>履约保证金缴纳形式：乙方可以选择</w:t>
      </w:r>
      <w:r>
        <w:rPr>
          <w:rFonts w:ascii="宋体" w:hAnsi="宋体" w:cs="宋体"/>
          <w:color w:val="000000" w:themeColor="text1"/>
          <w:sz w:val="24"/>
          <w14:textFill>
            <w14:solidFill>
              <w14:schemeClr w14:val="tx1"/>
            </w14:solidFill>
          </w14:textFill>
        </w:rPr>
        <w:t>电汇、转账</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支票、汇票、本票、保函等形式缴纳或提交</w:t>
      </w:r>
      <w:r>
        <w:rPr>
          <w:rFonts w:hint="eastAsia" w:ascii="宋体" w:hAnsi="宋体" w:cs="宋体"/>
          <w:color w:val="000000" w:themeColor="text1"/>
          <w:sz w:val="24"/>
          <w14:textFill>
            <w14:solidFill>
              <w14:schemeClr w14:val="tx1"/>
            </w14:solidFill>
          </w14:textFill>
        </w:rPr>
        <w:t>；采用保函形式缴纳的，甲方在保证期限届满后及时对收取的保证金进行核实和结算。</w:t>
      </w:r>
      <w:bookmarkEnd w:id="24"/>
    </w:p>
    <w:p>
      <w:pPr>
        <w:snapToGrid w:val="0"/>
        <w:spacing w:line="50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履约保证金退还方式及时间、条件、不予退还的情形：履约保证金自合同生效之日起生效至合同材料验收证书或进度款支付函签署之日起2</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天后失效，</w:t>
      </w:r>
      <w:r>
        <w:rPr>
          <w:rFonts w:ascii="宋体" w:hAnsi="宋体" w:cs="宋体"/>
          <w:color w:val="000000" w:themeColor="text1"/>
          <w:sz w:val="24"/>
          <w14:textFill>
            <w14:solidFill>
              <w14:schemeClr w14:val="tx1"/>
            </w14:solidFill>
          </w14:textFill>
        </w:rPr>
        <w:t>项目验收合格后，</w:t>
      </w:r>
      <w:r>
        <w:rPr>
          <w:rFonts w:hint="eastAsia" w:ascii="宋体" w:hAnsi="宋体" w:cs="宋体"/>
          <w:color w:val="000000" w:themeColor="text1"/>
          <w:sz w:val="24"/>
          <w14:textFill>
            <w14:solidFill>
              <w14:schemeClr w14:val="tx1"/>
            </w14:solidFill>
          </w14:textFill>
        </w:rPr>
        <w:t>乙方</w:t>
      </w:r>
      <w:r>
        <w:rPr>
          <w:rFonts w:ascii="宋体" w:hAnsi="宋体" w:cs="宋体"/>
          <w:color w:val="000000" w:themeColor="text1"/>
          <w:sz w:val="24"/>
          <w14:textFill>
            <w14:solidFill>
              <w14:schemeClr w14:val="tx1"/>
            </w14:solidFill>
          </w14:textFill>
        </w:rPr>
        <w:t>可向</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申请办理履约保证金的退付手续；如果</w:t>
      </w:r>
      <w:r>
        <w:rPr>
          <w:rFonts w:hint="eastAsia" w:ascii="宋体" w:hAnsi="宋体" w:cs="宋体"/>
          <w:color w:val="000000" w:themeColor="text1"/>
          <w:sz w:val="24"/>
          <w14:textFill>
            <w14:solidFill>
              <w14:schemeClr w14:val="tx1"/>
            </w14:solidFill>
          </w14:textFill>
        </w:rPr>
        <w:t>乙方</w:t>
      </w:r>
      <w:r>
        <w:rPr>
          <w:rFonts w:ascii="宋体" w:hAnsi="宋体" w:cs="宋体"/>
          <w:color w:val="000000" w:themeColor="text1"/>
          <w:sz w:val="24"/>
          <w14:textFill>
            <w14:solidFill>
              <w14:schemeClr w14:val="tx1"/>
            </w14:solidFill>
          </w14:textFill>
        </w:rPr>
        <w:t>不履行合同约定的义务或其履行不符合合同的约定，</w:t>
      </w:r>
      <w:r>
        <w:rPr>
          <w:rFonts w:hint="eastAsia" w:ascii="宋体" w:hAnsi="宋体" w:cs="宋体"/>
          <w:color w:val="000000" w:themeColor="text1"/>
          <w:sz w:val="24"/>
          <w14:textFill>
            <w14:solidFill>
              <w14:schemeClr w14:val="tx1"/>
            </w14:solidFill>
          </w14:textFill>
        </w:rPr>
        <w:t>甲方</w:t>
      </w:r>
      <w:r>
        <w:rPr>
          <w:rFonts w:ascii="宋体" w:hAnsi="宋体" w:cs="宋体"/>
          <w:color w:val="000000" w:themeColor="text1"/>
          <w:sz w:val="24"/>
          <w14:textFill>
            <w14:solidFill>
              <w14:schemeClr w14:val="tx1"/>
            </w14:solidFill>
          </w14:textFill>
        </w:rPr>
        <w:t>有权扣划</w:t>
      </w:r>
      <w:r>
        <w:rPr>
          <w:rFonts w:hint="eastAsia" w:ascii="宋体" w:hAnsi="宋体" w:cs="宋体"/>
          <w:color w:val="000000" w:themeColor="text1"/>
          <w:sz w:val="24"/>
          <w14:textFill>
            <w14:solidFill>
              <w14:schemeClr w14:val="tx1"/>
            </w14:solidFill>
          </w14:textFill>
        </w:rPr>
        <w:t>全部或</w:t>
      </w:r>
      <w:r>
        <w:rPr>
          <w:rFonts w:ascii="宋体" w:hAnsi="宋体" w:cs="宋体"/>
          <w:color w:val="000000" w:themeColor="text1"/>
          <w:sz w:val="24"/>
          <w14:textFill>
            <w14:solidFill>
              <w14:schemeClr w14:val="tx1"/>
            </w14:solidFill>
          </w14:textFill>
        </w:rPr>
        <w:t xml:space="preserve">相应金额的履约保证金。 </w:t>
      </w:r>
    </w:p>
    <w:p>
      <w:pPr>
        <w:snapToGrid w:val="0"/>
        <w:spacing w:line="50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履约保证金符合退还条件的，甲方在收到乙方提交的履约保证金退付申请之日起</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天内退还履约保证金，如未在规定时间内退还的，乙方可予以催告，经乙方催告后</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天内仍未退还履约保证金的，甲方应按中国人民银行发布的同期同类贷款基准利率向乙方支付自催告日期起的利息。</w:t>
      </w:r>
    </w:p>
    <w:p>
      <w:pPr>
        <w:snapToGrid w:val="0"/>
        <w:spacing w:line="500" w:lineRule="exact"/>
        <w:rPr>
          <w:rFonts w:ascii="宋体" w:hAnsi="宋体" w:cs="宋体"/>
          <w:b/>
          <w:sz w:val="24"/>
        </w:rPr>
      </w:pPr>
      <w:r>
        <w:rPr>
          <w:rFonts w:hint="eastAsia" w:ascii="宋体" w:hAnsi="宋体" w:cs="宋体"/>
          <w:b/>
          <w:sz w:val="24"/>
        </w:rPr>
        <w:t>第十条   税费</w:t>
      </w:r>
    </w:p>
    <w:p>
      <w:pPr>
        <w:snapToGrid w:val="0"/>
        <w:spacing w:line="500" w:lineRule="exact"/>
        <w:rPr>
          <w:rFonts w:ascii="宋体" w:hAnsi="宋体" w:cs="宋体"/>
          <w:sz w:val="24"/>
        </w:rPr>
      </w:pPr>
      <w:r>
        <w:rPr>
          <w:rFonts w:hint="eastAsia" w:ascii="宋体" w:hAnsi="宋体" w:cs="宋体"/>
          <w:sz w:val="24"/>
        </w:rPr>
        <w:t xml:space="preserve">    本合同执行中相关的一切税费均由乙方负担。</w:t>
      </w:r>
    </w:p>
    <w:p>
      <w:pPr>
        <w:snapToGrid w:val="0"/>
        <w:spacing w:line="500" w:lineRule="exact"/>
        <w:rPr>
          <w:rFonts w:ascii="宋体" w:hAnsi="宋体" w:cs="宋体"/>
          <w:b/>
          <w:sz w:val="24"/>
        </w:rPr>
      </w:pPr>
      <w:r>
        <w:rPr>
          <w:rFonts w:hint="eastAsia" w:ascii="宋体" w:hAnsi="宋体" w:cs="宋体"/>
          <w:b/>
          <w:sz w:val="24"/>
        </w:rPr>
        <w:t>第十一条  质量保证及售后服务</w:t>
      </w:r>
    </w:p>
    <w:p>
      <w:pPr>
        <w:snapToGrid w:val="0"/>
        <w:spacing w:line="500" w:lineRule="exact"/>
        <w:rPr>
          <w:rFonts w:ascii="宋体" w:hAnsi="宋体" w:cs="宋体"/>
          <w:sz w:val="24"/>
        </w:rPr>
      </w:pPr>
      <w:r>
        <w:rPr>
          <w:rFonts w:hint="eastAsia" w:ascii="宋体" w:hAnsi="宋体" w:cs="宋体"/>
          <w:sz w:val="24"/>
        </w:rPr>
        <w:t xml:space="preserve">    1. 乙方应按招标文件规定的货物性能、技术要求、质量标准向甲方提供未经使用的全新产品。不符合要求的，根据实际情况，经双方协商，可按以下办法处理：</w:t>
      </w:r>
    </w:p>
    <w:p>
      <w:pPr>
        <w:snapToGrid w:val="0"/>
        <w:spacing w:line="500" w:lineRule="exact"/>
        <w:rPr>
          <w:rFonts w:ascii="宋体" w:hAnsi="宋体" w:cs="宋体"/>
          <w:sz w:val="24"/>
        </w:rPr>
      </w:pPr>
      <w:r>
        <w:rPr>
          <w:rFonts w:hint="eastAsia" w:ascii="宋体" w:hAnsi="宋体" w:cs="宋体"/>
          <w:sz w:val="24"/>
        </w:rPr>
        <w:t xml:space="preserve">    ⑴更换：由乙方承担所发生的全部费用。</w:t>
      </w:r>
    </w:p>
    <w:p>
      <w:pPr>
        <w:snapToGrid w:val="0"/>
        <w:spacing w:line="500" w:lineRule="exact"/>
        <w:rPr>
          <w:rFonts w:ascii="宋体" w:hAnsi="宋体" w:cs="宋体"/>
          <w:sz w:val="24"/>
        </w:rPr>
      </w:pPr>
      <w:r>
        <w:rPr>
          <w:rFonts w:hint="eastAsia" w:ascii="宋体" w:hAnsi="宋体" w:cs="宋体"/>
          <w:sz w:val="24"/>
        </w:rPr>
        <w:t xml:space="preserve">    ⑵贬值处理：由甲乙双方合议定价。</w:t>
      </w:r>
    </w:p>
    <w:p>
      <w:pPr>
        <w:snapToGrid w:val="0"/>
        <w:spacing w:line="500" w:lineRule="exact"/>
        <w:rPr>
          <w:rFonts w:ascii="宋体" w:hAnsi="宋体" w:cs="宋体"/>
          <w:sz w:val="24"/>
        </w:rPr>
      </w:pPr>
      <w:r>
        <w:rPr>
          <w:rFonts w:hint="eastAsia" w:ascii="宋体" w:hAnsi="宋体" w:cs="宋体"/>
          <w:sz w:val="24"/>
        </w:rPr>
        <w:t xml:space="preserve">    ⑶退货处理：乙方应退还甲方支付的合同款，同时应承担该货物的直接费用（运输、保险、检验、货款利息及银行手续费等）。 </w:t>
      </w:r>
    </w:p>
    <w:p>
      <w:pPr>
        <w:snapToGrid w:val="0"/>
        <w:spacing w:line="500" w:lineRule="exact"/>
        <w:rPr>
          <w:rFonts w:ascii="宋体" w:hAnsi="宋体" w:cs="宋体"/>
          <w:sz w:val="24"/>
        </w:rPr>
      </w:pPr>
      <w:r>
        <w:rPr>
          <w:rFonts w:hint="eastAsia" w:ascii="宋体" w:hAnsi="宋体" w:cs="宋体"/>
          <w:sz w:val="24"/>
        </w:rPr>
        <w:t xml:space="preserve"> 2. 如在使用过程中发生质量问题，乙方在接到甲方通知后在按乙方投标文件中承诺的不超过招标要求的响应时间小时内到达甲方现场处理。 </w:t>
      </w:r>
    </w:p>
    <w:p>
      <w:pPr>
        <w:snapToGrid w:val="0"/>
        <w:spacing w:line="500" w:lineRule="exact"/>
        <w:rPr>
          <w:rFonts w:ascii="宋体" w:hAnsi="宋体" w:cs="宋体"/>
          <w:sz w:val="24"/>
        </w:rPr>
      </w:pPr>
      <w:r>
        <w:rPr>
          <w:rFonts w:hint="eastAsia" w:ascii="宋体" w:hAnsi="宋体" w:cs="宋体"/>
          <w:sz w:val="24"/>
        </w:rPr>
        <w:t xml:space="preserve"> 3. 在质保期内，乙方应对货物出现的质量及安全问题负责处理解决并承担一切费用。</w:t>
      </w:r>
    </w:p>
    <w:p>
      <w:pPr>
        <w:snapToGrid w:val="0"/>
        <w:spacing w:line="520" w:lineRule="exact"/>
        <w:rPr>
          <w:rFonts w:hint="eastAsia" w:ascii="宋体" w:hAnsi="宋体" w:cs="宋体" w:eastAsiaTheme="minorEastAsia"/>
          <w:b/>
          <w:sz w:val="24"/>
          <w:lang w:eastAsia="zh-CN"/>
        </w:rPr>
      </w:pPr>
      <w:r>
        <w:rPr>
          <w:rFonts w:hint="eastAsia" w:ascii="宋体" w:hAnsi="宋体" w:cs="宋体"/>
          <w:sz w:val="24"/>
        </w:rPr>
        <w:t xml:space="preserve">    4. 按国家有关产品“三包”规定执行“三包”，免费保修期最短不得少于</w:t>
      </w:r>
      <w:r>
        <w:rPr>
          <w:rFonts w:hint="eastAsia" w:ascii="宋体" w:hAnsi="宋体" w:cs="宋体"/>
          <w:b/>
          <w:bCs/>
          <w:sz w:val="24"/>
        </w:rPr>
        <w:t>1</w:t>
      </w:r>
      <w:r>
        <w:rPr>
          <w:rFonts w:hint="eastAsia" w:ascii="宋体" w:hAnsi="宋体" w:cs="宋体"/>
          <w:sz w:val="24"/>
        </w:rPr>
        <w:t>年，提供终身免费上门维修服务，投标人于投标文件中提供售后服务联系电话及联系人；接采购人报障电话2小时内响应）。因人为因素出现的故障不在免费保修范围内。超过保修期的机器设备，终生维修，维修时只收部件成本费（若：乙方投标承诺免费保修期超过采购最低要求的，按乙方承诺执行）</w:t>
      </w:r>
      <w:r>
        <w:rPr>
          <w:rFonts w:hint="eastAsia" w:ascii="宋体" w:hAnsi="宋体" w:cs="宋体"/>
          <w:sz w:val="24"/>
          <w:lang w:eastAsia="zh-CN"/>
        </w:rPr>
        <w:t>。</w:t>
      </w:r>
    </w:p>
    <w:p>
      <w:pPr>
        <w:snapToGrid w:val="0"/>
        <w:spacing w:line="520" w:lineRule="exact"/>
        <w:rPr>
          <w:rFonts w:ascii="宋体" w:hAnsi="宋体" w:cs="宋体"/>
          <w:b/>
          <w:sz w:val="24"/>
        </w:rPr>
      </w:pPr>
      <w:r>
        <w:rPr>
          <w:rFonts w:hint="eastAsia" w:ascii="宋体" w:hAnsi="宋体" w:cs="宋体"/>
          <w:b/>
          <w:sz w:val="24"/>
        </w:rPr>
        <w:t>第十二条  调试和验收</w:t>
      </w:r>
    </w:p>
    <w:p>
      <w:pPr>
        <w:snapToGrid w:val="0"/>
        <w:spacing w:line="520" w:lineRule="exact"/>
        <w:rPr>
          <w:rFonts w:ascii="宋体" w:hAnsi="宋体" w:cs="宋体"/>
          <w:sz w:val="24"/>
        </w:rPr>
      </w:pPr>
      <w:r>
        <w:rPr>
          <w:rFonts w:hint="eastAsia" w:ascii="宋体" w:hAnsi="宋体" w:cs="宋体"/>
          <w:sz w:val="24"/>
        </w:rPr>
        <w:t xml:space="preserve">    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520" w:lineRule="exact"/>
        <w:rPr>
          <w:rFonts w:ascii="宋体" w:hAnsi="宋体" w:cs="宋体"/>
          <w:sz w:val="24"/>
        </w:rPr>
      </w:pPr>
      <w:r>
        <w:rPr>
          <w:rFonts w:hint="eastAsia" w:ascii="宋体" w:hAnsi="宋体" w:cs="宋体"/>
          <w:sz w:val="24"/>
        </w:rPr>
        <w:t xml:space="preserve">  2. 乙方交货前应对产品作出全面检查和对验收文件进行整理，并列出清单，作为甲方收货验收和使用的技术条件依据，检验的结果应随货物交甲方。</w:t>
      </w:r>
    </w:p>
    <w:p>
      <w:pPr>
        <w:snapToGrid w:val="0"/>
        <w:spacing w:line="520" w:lineRule="exact"/>
        <w:rPr>
          <w:rFonts w:ascii="宋体" w:hAnsi="宋体" w:cs="宋体"/>
          <w:sz w:val="24"/>
        </w:rPr>
      </w:pPr>
      <w:r>
        <w:rPr>
          <w:rFonts w:hint="eastAsia" w:ascii="宋体" w:hAnsi="宋体" w:cs="宋体"/>
          <w:sz w:val="24"/>
        </w:rPr>
        <w:t xml:space="preserve">    3. 甲方对乙方提供的货物在使用前进行调试时，乙方需负责安装并培训甲方的使用操作人员，并协助甲方一起调试，直到符合技术要求，甲方才做最终验收。</w:t>
      </w:r>
    </w:p>
    <w:p>
      <w:pPr>
        <w:snapToGrid w:val="0"/>
        <w:spacing w:line="520" w:lineRule="exact"/>
        <w:rPr>
          <w:rFonts w:ascii="宋体" w:hAnsi="宋体" w:cs="宋体"/>
          <w:sz w:val="24"/>
        </w:rPr>
      </w:pPr>
      <w:r>
        <w:rPr>
          <w:rFonts w:hint="eastAsia" w:ascii="宋体" w:hAnsi="宋体" w:cs="宋体"/>
          <w:sz w:val="24"/>
        </w:rPr>
        <w:t xml:space="preserve">    4. 对技术复杂的货物，甲方应请国家认可的专业检测机构参与初步验收及最终验收，并由其出具质量检测报告。</w:t>
      </w:r>
    </w:p>
    <w:p>
      <w:pPr>
        <w:snapToGrid w:val="0"/>
        <w:spacing w:line="520" w:lineRule="exact"/>
        <w:rPr>
          <w:rFonts w:ascii="宋体" w:hAnsi="宋体" w:cs="宋体"/>
          <w:sz w:val="24"/>
        </w:rPr>
      </w:pPr>
      <w:r>
        <w:rPr>
          <w:rFonts w:hint="eastAsia" w:ascii="宋体" w:hAnsi="宋体" w:cs="宋体"/>
          <w:sz w:val="24"/>
        </w:rPr>
        <w:t xml:space="preserve">    5. 验收时乙方必须在现场，验收完毕后作出验收结果报告；验收费用由乙方负责。</w:t>
      </w:r>
    </w:p>
    <w:p>
      <w:pPr>
        <w:snapToGrid w:val="0"/>
        <w:spacing w:line="520" w:lineRule="exact"/>
        <w:rPr>
          <w:rFonts w:ascii="宋体" w:hAnsi="宋体" w:cs="宋体"/>
          <w:sz w:val="24"/>
        </w:rPr>
      </w:pPr>
      <w:r>
        <w:rPr>
          <w:rFonts w:hint="eastAsia" w:ascii="宋体" w:hAnsi="宋体" w:cs="宋体"/>
          <w:sz w:val="24"/>
        </w:rPr>
        <w:t xml:space="preserve">    6.质量要求：甲方所提供的货物必须符合国家现行的质量验收标准合格等级，并能一次性通过相关主管部门的验收。</w:t>
      </w:r>
    </w:p>
    <w:p>
      <w:pPr>
        <w:snapToGrid w:val="0"/>
        <w:spacing w:line="520" w:lineRule="exact"/>
        <w:rPr>
          <w:rFonts w:ascii="宋体" w:hAnsi="宋体" w:cs="宋体"/>
          <w:b/>
          <w:sz w:val="24"/>
        </w:rPr>
      </w:pPr>
      <w:r>
        <w:rPr>
          <w:rFonts w:hint="eastAsia" w:ascii="宋体" w:hAnsi="宋体" w:cs="宋体"/>
          <w:b/>
          <w:sz w:val="24"/>
        </w:rPr>
        <w:t>第十三条  货物包装、发运及运输</w:t>
      </w:r>
    </w:p>
    <w:p>
      <w:pPr>
        <w:snapToGrid w:val="0"/>
        <w:spacing w:line="520" w:lineRule="exact"/>
        <w:rPr>
          <w:rFonts w:ascii="宋体" w:hAnsi="宋体" w:cs="宋体"/>
          <w:sz w:val="24"/>
        </w:rPr>
      </w:pPr>
      <w:r>
        <w:rPr>
          <w:rFonts w:hint="eastAsia" w:ascii="宋体" w:hAnsi="宋体" w:cs="宋体"/>
          <w:sz w:val="24"/>
        </w:rPr>
        <w:t xml:space="preserve">    1. 乙方应在货物发运前对其进行满足运输距离、防潮、防震、防锈和防破损装卸等要求包装，以保证货物安全运达甲方指定地点。</w:t>
      </w:r>
    </w:p>
    <w:p>
      <w:pPr>
        <w:snapToGrid w:val="0"/>
        <w:spacing w:line="520" w:lineRule="exact"/>
        <w:rPr>
          <w:rFonts w:ascii="宋体" w:hAnsi="宋体" w:cs="宋体"/>
          <w:sz w:val="24"/>
        </w:rPr>
      </w:pPr>
      <w:r>
        <w:rPr>
          <w:rFonts w:hint="eastAsia" w:ascii="宋体" w:hAnsi="宋体" w:cs="宋体"/>
          <w:sz w:val="24"/>
        </w:rPr>
        <w:t xml:space="preserve">    2. 使用说明书、质量检验证明书、随配附件和工具以及清单一并附于货物内。</w:t>
      </w:r>
    </w:p>
    <w:p>
      <w:pPr>
        <w:snapToGrid w:val="0"/>
        <w:spacing w:line="480" w:lineRule="exact"/>
        <w:rPr>
          <w:rFonts w:ascii="宋体" w:hAnsi="宋体" w:cs="宋体"/>
          <w:sz w:val="24"/>
        </w:rPr>
      </w:pPr>
      <w:r>
        <w:rPr>
          <w:rFonts w:hint="eastAsia" w:ascii="宋体" w:hAnsi="宋体" w:cs="宋体"/>
          <w:sz w:val="24"/>
        </w:rPr>
        <w:t xml:space="preserve">    3. 乙方在货物发运手续办理完毕后二十四小时内或货到甲方四十八小时前通知甲方，以准备接货。</w:t>
      </w:r>
    </w:p>
    <w:p>
      <w:pPr>
        <w:snapToGrid w:val="0"/>
        <w:spacing w:line="480" w:lineRule="exact"/>
        <w:rPr>
          <w:rFonts w:ascii="宋体" w:hAnsi="宋体" w:cs="宋体"/>
          <w:sz w:val="24"/>
        </w:rPr>
      </w:pPr>
      <w:r>
        <w:rPr>
          <w:rFonts w:hint="eastAsia" w:ascii="宋体" w:hAnsi="宋体" w:cs="宋体"/>
          <w:sz w:val="24"/>
        </w:rPr>
        <w:t xml:space="preserve">    4. 货物在交付甲方前发生的风险均由乙方负责。</w:t>
      </w:r>
    </w:p>
    <w:p>
      <w:pPr>
        <w:snapToGrid w:val="0"/>
        <w:spacing w:line="480" w:lineRule="exact"/>
        <w:rPr>
          <w:rFonts w:hint="eastAsia" w:ascii="宋体" w:hAnsi="宋体" w:cs="宋体" w:eastAsiaTheme="minorEastAsia"/>
          <w:b/>
          <w:sz w:val="24"/>
          <w:lang w:eastAsia="zh-CN"/>
        </w:rPr>
      </w:pPr>
      <w:r>
        <w:rPr>
          <w:rFonts w:hint="eastAsia" w:ascii="宋体" w:hAnsi="宋体" w:cs="宋体"/>
          <w:sz w:val="24"/>
        </w:rPr>
        <w:t xml:space="preserve">    5. 货物在规定的交付期限内由乙方送达甲方指定的地点视为交付，乙方同时需通知甲方货物已送达</w:t>
      </w:r>
      <w:r>
        <w:rPr>
          <w:rFonts w:hint="eastAsia" w:ascii="宋体" w:hAnsi="宋体" w:cs="宋体"/>
          <w:sz w:val="24"/>
          <w:lang w:eastAsia="zh-CN"/>
        </w:rPr>
        <w:t>。</w:t>
      </w:r>
    </w:p>
    <w:p>
      <w:pPr>
        <w:snapToGrid w:val="0"/>
        <w:spacing w:line="480" w:lineRule="exact"/>
        <w:rPr>
          <w:rFonts w:ascii="宋体" w:hAnsi="宋体" w:cs="宋体"/>
          <w:b/>
          <w:sz w:val="24"/>
        </w:rPr>
      </w:pPr>
      <w:r>
        <w:rPr>
          <w:rFonts w:hint="eastAsia" w:ascii="宋体" w:hAnsi="宋体" w:cs="宋体"/>
          <w:b/>
          <w:sz w:val="24"/>
        </w:rPr>
        <w:t>第十四条　违约责任</w:t>
      </w:r>
    </w:p>
    <w:p>
      <w:pPr>
        <w:snapToGrid w:val="0"/>
        <w:spacing w:line="480" w:lineRule="exact"/>
        <w:rPr>
          <w:rFonts w:ascii="宋体" w:hAnsi="宋体" w:cs="宋体"/>
          <w:sz w:val="24"/>
        </w:rPr>
      </w:pPr>
      <w:r>
        <w:rPr>
          <w:rFonts w:hint="eastAsia" w:ascii="宋体" w:hAnsi="宋体" w:cs="宋体"/>
          <w:sz w:val="24"/>
        </w:rPr>
        <w:t xml:space="preserve">    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80" w:lineRule="exact"/>
        <w:rPr>
          <w:rFonts w:ascii="宋体" w:hAnsi="宋体" w:cs="宋体"/>
          <w:sz w:val="24"/>
        </w:rPr>
      </w:pPr>
      <w:r>
        <w:rPr>
          <w:rFonts w:hint="eastAsia" w:ascii="宋体" w:hAnsi="宋体" w:cs="宋体"/>
          <w:sz w:val="24"/>
        </w:rPr>
        <w:t xml:space="preserve">    2、乙方提供的货物如侵犯了第三方合法权益而引发的任何纠纷或诉讼，均由乙方负责交涉并承担全部责任。如果甲方被卷入因此而引发的诉讼或仲裁，甲方支付的律师费、鉴定费、诉讼费等由乙方承担。</w:t>
      </w:r>
    </w:p>
    <w:p>
      <w:pPr>
        <w:snapToGrid w:val="0"/>
        <w:spacing w:line="480" w:lineRule="exact"/>
        <w:rPr>
          <w:rFonts w:ascii="宋体" w:hAnsi="宋体" w:cs="宋体"/>
          <w:sz w:val="24"/>
        </w:rPr>
      </w:pPr>
      <w:r>
        <w:rPr>
          <w:rFonts w:hint="eastAsia" w:ascii="宋体" w:hAnsi="宋体" w:cs="宋体"/>
          <w:sz w:val="24"/>
        </w:rPr>
        <w:t xml:space="preserve">    3、因包装、运输引起的货物损坏，按质量不合格处罚。</w:t>
      </w:r>
    </w:p>
    <w:p>
      <w:pPr>
        <w:snapToGrid w:val="0"/>
        <w:spacing w:line="480" w:lineRule="exact"/>
        <w:ind w:firstLine="480"/>
        <w:rPr>
          <w:rFonts w:ascii="宋体" w:hAnsi="宋体" w:cs="宋体"/>
          <w:sz w:val="24"/>
        </w:rPr>
      </w:pPr>
      <w:r>
        <w:rPr>
          <w:rFonts w:hint="eastAsia" w:ascii="宋体" w:hAnsi="宋体" w:cs="宋体"/>
          <w:sz w:val="24"/>
        </w:rPr>
        <w:t>4、乙方逾期交付设备（货物）的（甲方最终验收不合格亦视为乙方延期交付），乙方应向甲方支付逾期违约金，每日按合同总价的千分之三计。逾期15天，甲方可立即解除本合同，并从第三方采购，乙方除承担相关违约责任外还应赔偿给甲方造成的损失。</w:t>
      </w:r>
    </w:p>
    <w:p>
      <w:pPr>
        <w:snapToGrid w:val="0"/>
        <w:spacing w:line="480" w:lineRule="exact"/>
        <w:rPr>
          <w:rFonts w:ascii="宋体" w:hAnsi="宋体" w:cs="宋体"/>
          <w:sz w:val="24"/>
        </w:rPr>
      </w:pPr>
      <w:r>
        <w:rPr>
          <w:rFonts w:hint="eastAsia" w:ascii="宋体" w:hAnsi="宋体" w:cs="宋体"/>
          <w:sz w:val="24"/>
        </w:rPr>
        <w:t xml:space="preserve">    5、乙方未按本合同和投标文件中规定的服务承诺提供售后服务的，乙方按本合同合计金额 5%向甲方支付违约金。</w:t>
      </w:r>
    </w:p>
    <w:p>
      <w:pPr>
        <w:snapToGrid w:val="0"/>
        <w:spacing w:line="480" w:lineRule="exact"/>
        <w:rPr>
          <w:rFonts w:ascii="宋体" w:hAnsi="宋体" w:cs="宋体"/>
          <w:sz w:val="24"/>
        </w:rPr>
      </w:pPr>
      <w:r>
        <w:rPr>
          <w:rFonts w:hint="eastAsia" w:ascii="宋体" w:hAnsi="宋体" w:cs="宋体"/>
          <w:sz w:val="24"/>
        </w:rPr>
        <w:t xml:space="preserve">    6、乙方提供的货物在质量保证期内，因设计、工艺或材料的缺陷和其它质量原因造成的问题，由乙方负责，费用从质量保证金中扣除，不足另补。</w:t>
      </w:r>
    </w:p>
    <w:p>
      <w:pPr>
        <w:snapToGrid w:val="0"/>
        <w:spacing w:line="480" w:lineRule="exact"/>
        <w:rPr>
          <w:rFonts w:ascii="宋体" w:hAnsi="宋体" w:cs="宋体"/>
          <w:sz w:val="24"/>
        </w:rPr>
      </w:pPr>
      <w:r>
        <w:rPr>
          <w:rFonts w:hint="eastAsia" w:ascii="宋体" w:hAnsi="宋体" w:cs="宋体"/>
          <w:sz w:val="24"/>
        </w:rPr>
        <w:t xml:space="preserve">    7、其它违约行为按违约货款额5%收取违约金并赔偿经济损失。</w:t>
      </w:r>
    </w:p>
    <w:p>
      <w:pPr>
        <w:snapToGrid w:val="0"/>
        <w:spacing w:line="480" w:lineRule="exact"/>
        <w:rPr>
          <w:rFonts w:ascii="宋体" w:hAnsi="宋体" w:cs="宋体"/>
          <w:b/>
          <w:sz w:val="24"/>
        </w:rPr>
      </w:pPr>
      <w:r>
        <w:rPr>
          <w:rFonts w:hint="eastAsia" w:ascii="宋体" w:hAnsi="宋体" w:cs="宋体"/>
          <w:b/>
          <w:sz w:val="24"/>
        </w:rPr>
        <w:t>第十五条  不可抗力事件处理</w:t>
      </w:r>
    </w:p>
    <w:p>
      <w:pPr>
        <w:snapToGrid w:val="0"/>
        <w:spacing w:line="480" w:lineRule="exact"/>
        <w:rPr>
          <w:rFonts w:ascii="宋体" w:hAnsi="宋体" w:cs="宋体"/>
          <w:sz w:val="24"/>
        </w:rPr>
      </w:pPr>
      <w:r>
        <w:rPr>
          <w:rFonts w:hint="eastAsia" w:ascii="宋体" w:hAnsi="宋体" w:cs="宋体"/>
          <w:sz w:val="24"/>
        </w:rPr>
        <w:t xml:space="preserve">    1. 在合同有效期内，任何一方因不可抗力事件导致不能履行合同，则合同履行期可延长，其延长期与不可抗力影响期相同。</w:t>
      </w:r>
    </w:p>
    <w:p>
      <w:pPr>
        <w:snapToGrid w:val="0"/>
        <w:spacing w:line="480" w:lineRule="exact"/>
        <w:rPr>
          <w:rFonts w:ascii="宋体" w:hAnsi="宋体" w:cs="宋体"/>
          <w:sz w:val="24"/>
        </w:rPr>
      </w:pPr>
      <w:r>
        <w:rPr>
          <w:rFonts w:hint="eastAsia" w:ascii="宋体" w:hAnsi="宋体" w:cs="宋体"/>
          <w:sz w:val="24"/>
        </w:rPr>
        <w:t xml:space="preserve">    2. 不可抗力事件发生后，应立即通知对方，并寄送有关权威机构出具的证明。</w:t>
      </w:r>
    </w:p>
    <w:p>
      <w:pPr>
        <w:snapToGrid w:val="0"/>
        <w:spacing w:line="480" w:lineRule="exact"/>
        <w:rPr>
          <w:rFonts w:ascii="宋体" w:hAnsi="宋体" w:cs="宋体"/>
          <w:b/>
          <w:sz w:val="24"/>
        </w:rPr>
      </w:pPr>
      <w:r>
        <w:rPr>
          <w:rFonts w:hint="eastAsia" w:ascii="宋体" w:hAnsi="宋体" w:cs="宋体"/>
          <w:sz w:val="24"/>
        </w:rPr>
        <w:t xml:space="preserve">    3. 不可抗力事件延续一百二十天以上，双方应通过友好协商，确定是否继续履行合同。</w:t>
      </w:r>
    </w:p>
    <w:p>
      <w:pPr>
        <w:snapToGrid w:val="0"/>
        <w:spacing w:line="500" w:lineRule="exact"/>
        <w:rPr>
          <w:rFonts w:ascii="宋体" w:hAnsi="宋体" w:cs="宋体"/>
          <w:b/>
          <w:sz w:val="24"/>
        </w:rPr>
      </w:pPr>
      <w:r>
        <w:rPr>
          <w:rFonts w:hint="eastAsia" w:ascii="宋体" w:hAnsi="宋体" w:cs="宋体"/>
          <w:b/>
          <w:sz w:val="24"/>
        </w:rPr>
        <w:t>第十六条  合同争议解决</w:t>
      </w:r>
    </w:p>
    <w:p>
      <w:pPr>
        <w:snapToGrid w:val="0"/>
        <w:spacing w:line="500" w:lineRule="exact"/>
        <w:rPr>
          <w:rFonts w:ascii="宋体" w:hAnsi="宋体" w:cs="宋体"/>
          <w:sz w:val="24"/>
        </w:rPr>
      </w:pPr>
      <w:r>
        <w:rPr>
          <w:rFonts w:hint="eastAsia" w:ascii="宋体" w:hAnsi="宋体" w:cs="宋体"/>
          <w:sz w:val="24"/>
        </w:rPr>
        <w:t xml:space="preserve">    1、因货物质量问题发生争议的，应邀请国家认可的质量检测机构对货物质量进行鉴定。货物符合标准的，鉴定费由甲方承担；货物不符合标准的，鉴定费由乙方承担。</w:t>
      </w:r>
    </w:p>
    <w:p>
      <w:pPr>
        <w:snapToGrid w:val="0"/>
        <w:spacing w:line="5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2、因履行本合同引起的或与本合同有关的争议，甲乙双方应首先通过友好协商解决，如果协商不能解决，可向甲方所在地仲裁机构申请仲裁，本仲裁为终审仲裁。</w:t>
      </w:r>
    </w:p>
    <w:p>
      <w:pPr>
        <w:snapToGrid w:val="0"/>
        <w:spacing w:line="540" w:lineRule="exact"/>
        <w:rPr>
          <w:rFonts w:ascii="宋体" w:hAnsi="宋体" w:cs="宋体"/>
          <w:sz w:val="24"/>
        </w:rPr>
      </w:pPr>
      <w:r>
        <w:rPr>
          <w:rFonts w:hint="eastAsia" w:ascii="宋体" w:hAnsi="宋体" w:cs="宋体"/>
          <w:sz w:val="24"/>
        </w:rPr>
        <w:t xml:space="preserve">    3、仲裁期间，本合同继续履行。</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b/>
          <w:sz w:val="24"/>
        </w:rPr>
      </w:pPr>
      <w:r>
        <w:rPr>
          <w:rFonts w:hint="eastAsia" w:ascii="宋体" w:hAnsi="宋体" w:cs="宋体"/>
          <w:b/>
          <w:sz w:val="24"/>
        </w:rPr>
        <w:t>第十七条  合同生效及其它</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1. 合同经双方法定代表人或被授权人签字并加盖单位公章后生效。</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2.合同执行中涉及采购资金和采购内容修改或补充的，须经财政部门审批，并签书面补充协议报财政部门备案，方可作为主合同不可分割的一部分。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3.本合同未尽事宜，遵照《合同法》有关条文执行。</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b/>
          <w:sz w:val="24"/>
        </w:rPr>
      </w:pPr>
      <w:r>
        <w:rPr>
          <w:rFonts w:hint="eastAsia" w:ascii="宋体" w:hAnsi="宋体" w:cs="宋体"/>
          <w:b/>
          <w:sz w:val="24"/>
        </w:rPr>
        <w:t>第十八条　合同的变更、终止与转让</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b/>
          <w:sz w:val="24"/>
        </w:rPr>
      </w:pPr>
      <w:r>
        <w:rPr>
          <w:rFonts w:hint="eastAsia" w:ascii="宋体" w:hAnsi="宋体" w:cs="宋体"/>
          <w:sz w:val="24"/>
        </w:rPr>
        <w:t xml:space="preserve">    2、乙方不得擅自转让（无进口资格的供应商委托进口货物除外）其应履行的合同义务。</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b/>
          <w:sz w:val="24"/>
        </w:rPr>
      </w:pPr>
      <w:r>
        <w:rPr>
          <w:rFonts w:hint="eastAsia" w:ascii="宋体" w:hAnsi="宋体" w:cs="宋体"/>
          <w:b/>
          <w:sz w:val="24"/>
        </w:rPr>
        <w:t>第十九条　签订本合同依据</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1、采购文件；</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2、乙方提供的投标（或应答）文件；</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 xml:space="preserve">    3、响应承诺书、售后服务承诺书；</w:t>
      </w:r>
    </w:p>
    <w:p>
      <w:pPr>
        <w:keepNext w:val="0"/>
        <w:keepLines w:val="0"/>
        <w:pageBreakBefore w:val="0"/>
        <w:widowControl w:val="0"/>
        <w:kinsoku/>
        <w:wordWrap/>
        <w:overflowPunct/>
        <w:topLinePunct w:val="0"/>
        <w:autoSpaceDE/>
        <w:autoSpaceDN/>
        <w:bidi w:val="0"/>
        <w:adjustRightInd/>
        <w:snapToGrid w:val="0"/>
        <w:spacing w:line="380" w:lineRule="exact"/>
        <w:ind w:firstLine="480"/>
        <w:textAlignment w:val="auto"/>
        <w:rPr>
          <w:rFonts w:ascii="宋体" w:hAnsi="宋体" w:cs="宋体"/>
          <w:b/>
          <w:sz w:val="24"/>
        </w:rPr>
      </w:pPr>
      <w:r>
        <w:rPr>
          <w:rFonts w:hint="eastAsia" w:ascii="宋体" w:hAnsi="宋体" w:cs="宋体"/>
          <w:sz w:val="24"/>
        </w:rPr>
        <w:t>4、成交通知书。</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b/>
          <w:sz w:val="24"/>
        </w:rPr>
        <w:t>第二十条　</w:t>
      </w:r>
      <w:r>
        <w:rPr>
          <w:rFonts w:hint="eastAsia" w:ascii="宋体" w:hAnsi="宋体" w:cs="宋体"/>
          <w:sz w:val="24"/>
        </w:rPr>
        <w:t>本合同一式陆份，具有同等法律效力，甲执</w:t>
      </w:r>
      <w:r>
        <w:rPr>
          <w:rFonts w:hint="eastAsia" w:ascii="宋体" w:hAnsi="宋体" w:cs="宋体"/>
          <w:sz w:val="24"/>
          <w:u w:val="single"/>
        </w:rPr>
        <w:t>叁</w:t>
      </w:r>
      <w:r>
        <w:rPr>
          <w:rFonts w:hint="eastAsia" w:ascii="宋体" w:hAnsi="宋体" w:cs="宋体"/>
          <w:sz w:val="24"/>
        </w:rPr>
        <w:t>份，乙方执</w:t>
      </w:r>
      <w:r>
        <w:rPr>
          <w:rFonts w:hint="eastAsia" w:ascii="宋体" w:hAnsi="宋体" w:cs="宋体"/>
          <w:sz w:val="24"/>
          <w:u w:val="single"/>
        </w:rPr>
        <w:t>贰</w:t>
      </w:r>
      <w:r>
        <w:rPr>
          <w:rFonts w:hint="eastAsia" w:ascii="宋体" w:hAnsi="宋体" w:cs="宋体"/>
          <w:sz w:val="24"/>
        </w:rPr>
        <w:t>份，采购代理机构执</w:t>
      </w:r>
      <w:r>
        <w:rPr>
          <w:rFonts w:hint="eastAsia" w:ascii="宋体" w:hAnsi="宋体" w:cs="宋体"/>
          <w:sz w:val="24"/>
          <w:u w:val="single"/>
        </w:rPr>
        <w:t>壹</w:t>
      </w:r>
      <w:r>
        <w:rPr>
          <w:rFonts w:hint="eastAsia" w:ascii="宋体" w:hAnsi="宋体" w:cs="宋体"/>
          <w:sz w:val="24"/>
        </w:rPr>
        <w:t xml:space="preserve">份（任何一方可根据需要另增加）。  </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sz w:val="24"/>
        </w:rPr>
      </w:pPr>
      <w:r>
        <w:rPr>
          <w:rFonts w:hint="eastAsia" w:ascii="宋体" w:hAnsi="宋体" w:cs="宋体"/>
          <w:sz w:val="24"/>
        </w:rPr>
        <w:t>本合同甲乙双方签字盖章后生效，自签订之日起两日内，采购人或采购代理机构应当将合同副本报同级财政部门备案。</w:t>
      </w:r>
    </w:p>
    <w:p>
      <w:pPr>
        <w:snapToGrid w:val="0"/>
        <w:spacing w:line="360" w:lineRule="auto"/>
        <w:rPr>
          <w:rFonts w:ascii="宋体" w:hAnsi="宋体"/>
          <w:szCs w:val="21"/>
        </w:rPr>
      </w:pPr>
    </w:p>
    <w:tbl>
      <w:tblPr>
        <w:tblStyle w:val="1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甲方（公章）</w:t>
            </w:r>
            <w:r>
              <w:rPr>
                <w:rFonts w:hint="eastAsia" w:ascii="宋体" w:hAnsi="宋体"/>
                <w:b/>
                <w:bCs/>
                <w:sz w:val="24"/>
              </w:rPr>
              <w:t xml:space="preserve">广西民族师范学院  </w:t>
            </w:r>
            <w:r>
              <w:rPr>
                <w:rFonts w:hint="eastAsia" w:ascii="宋体" w:hAnsi="宋体"/>
                <w:sz w:val="24"/>
              </w:rPr>
              <w:t xml:space="preserve">         </w:t>
            </w:r>
          </w:p>
          <w:p>
            <w:pPr>
              <w:snapToGrid w:val="0"/>
              <w:spacing w:line="360" w:lineRule="auto"/>
              <w:rPr>
                <w:rFonts w:ascii="宋体" w:hAnsi="宋体"/>
                <w:sz w:val="24"/>
              </w:rPr>
            </w:pPr>
          </w:p>
          <w:p>
            <w:pPr>
              <w:snapToGrid w:val="0"/>
              <w:spacing w:line="360" w:lineRule="auto"/>
              <w:ind w:firstLine="2400" w:firstLineChars="1000"/>
              <w:rPr>
                <w:rFonts w:ascii="宋体" w:hAnsi="宋体"/>
                <w:sz w:val="24"/>
              </w:rPr>
            </w:pPr>
            <w:r>
              <w:rPr>
                <w:rFonts w:hint="eastAsia" w:ascii="宋体" w:hAnsi="宋体"/>
                <w:sz w:val="24"/>
              </w:rPr>
              <w:t>年   月   日</w:t>
            </w:r>
          </w:p>
        </w:tc>
        <w:tc>
          <w:tcPr>
            <w:tcW w:w="4517" w:type="dxa"/>
            <w:vAlign w:val="center"/>
          </w:tcPr>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乙方（公章）           </w:t>
            </w:r>
          </w:p>
          <w:p>
            <w:pPr>
              <w:snapToGrid w:val="0"/>
              <w:spacing w:line="360" w:lineRule="auto"/>
              <w:rPr>
                <w:rFonts w:ascii="宋体" w:hAnsi="宋体"/>
                <w:sz w:val="24"/>
              </w:rPr>
            </w:pP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00" w:lineRule="exact"/>
              <w:rPr>
                <w:rFonts w:ascii="宋体" w:hAnsi="宋体"/>
                <w:sz w:val="24"/>
              </w:rPr>
            </w:pPr>
            <w:r>
              <w:rPr>
                <w:rFonts w:hint="eastAsia" w:ascii="宋体" w:hAnsi="宋体"/>
                <w:sz w:val="24"/>
              </w:rPr>
              <w:t>单位地址：崇左市江州区佛子路23号</w:t>
            </w:r>
          </w:p>
        </w:tc>
        <w:tc>
          <w:tcPr>
            <w:tcW w:w="4517" w:type="dxa"/>
            <w:vAlign w:val="center"/>
          </w:tcPr>
          <w:p>
            <w:pPr>
              <w:snapToGrid w:val="0"/>
              <w:spacing w:line="300" w:lineRule="exact"/>
              <w:rPr>
                <w:rFonts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300" w:lineRule="exact"/>
              <w:rPr>
                <w:rFonts w:ascii="宋体" w:hAnsi="宋体"/>
                <w:sz w:val="24"/>
              </w:rPr>
            </w:pPr>
            <w:r>
              <w:rPr>
                <w:rFonts w:hint="eastAsia" w:ascii="宋体" w:hAnsi="宋体"/>
                <w:sz w:val="24"/>
              </w:rPr>
              <w:t>法定代表人：</w:t>
            </w:r>
          </w:p>
        </w:tc>
        <w:tc>
          <w:tcPr>
            <w:tcW w:w="4517" w:type="dxa"/>
            <w:vAlign w:val="center"/>
          </w:tcPr>
          <w:p>
            <w:pPr>
              <w:snapToGrid w:val="0"/>
              <w:spacing w:line="300" w:lineRule="exact"/>
              <w:rPr>
                <w:rFonts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300" w:lineRule="exact"/>
              <w:rPr>
                <w:rFonts w:ascii="宋体" w:hAnsi="宋体"/>
                <w:sz w:val="24"/>
              </w:rPr>
            </w:pPr>
            <w:r>
              <w:rPr>
                <w:rFonts w:hint="eastAsia" w:ascii="宋体" w:hAnsi="宋体"/>
                <w:sz w:val="24"/>
              </w:rPr>
              <w:t>委托代理人：</w:t>
            </w:r>
          </w:p>
        </w:tc>
        <w:tc>
          <w:tcPr>
            <w:tcW w:w="4517" w:type="dxa"/>
            <w:vAlign w:val="center"/>
          </w:tcPr>
          <w:p>
            <w:pPr>
              <w:snapToGrid w:val="0"/>
              <w:spacing w:line="300" w:lineRule="exact"/>
              <w:rPr>
                <w:rFonts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00" w:lineRule="exact"/>
              <w:rPr>
                <w:rFonts w:ascii="宋体" w:hAnsi="宋体"/>
                <w:sz w:val="24"/>
              </w:rPr>
            </w:pPr>
            <w:r>
              <w:rPr>
                <w:rFonts w:hint="eastAsia" w:ascii="宋体" w:hAnsi="宋体"/>
                <w:sz w:val="24"/>
              </w:rPr>
              <w:t>电话：0771-</w:t>
            </w:r>
            <w:r>
              <w:rPr>
                <w:rFonts w:ascii="仿宋_GB2312" w:hAnsi="宋体" w:cs="仿宋_GB2312"/>
                <w:sz w:val="24"/>
              </w:rPr>
              <w:t>78</w:t>
            </w:r>
            <w:r>
              <w:rPr>
                <w:rFonts w:hint="eastAsia" w:ascii="仿宋_GB2312" w:hAnsi="宋体" w:cs="仿宋_GB2312"/>
                <w:sz w:val="24"/>
              </w:rPr>
              <w:t>7</w:t>
            </w:r>
            <w:r>
              <w:rPr>
                <w:rFonts w:ascii="仿宋_GB2312" w:hAnsi="宋体" w:cs="仿宋_GB2312"/>
                <w:sz w:val="24"/>
              </w:rPr>
              <w:t>0</w:t>
            </w:r>
            <w:r>
              <w:rPr>
                <w:rFonts w:hint="eastAsia" w:ascii="仿宋_GB2312" w:hAnsi="宋体" w:cs="仿宋_GB2312"/>
                <w:sz w:val="24"/>
              </w:rPr>
              <w:t>541</w:t>
            </w:r>
            <w:r>
              <w:rPr>
                <w:rFonts w:ascii="仿宋_GB2312" w:hAnsi="宋体" w:cs="仿宋_GB2312"/>
                <w:sz w:val="24"/>
              </w:rPr>
              <w:t xml:space="preserve">  </w:t>
            </w:r>
          </w:p>
        </w:tc>
        <w:tc>
          <w:tcPr>
            <w:tcW w:w="4517" w:type="dxa"/>
            <w:vAlign w:val="center"/>
          </w:tcPr>
          <w:p>
            <w:pPr>
              <w:snapToGrid w:val="0"/>
              <w:spacing w:line="300" w:lineRule="exact"/>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00" w:lineRule="exact"/>
              <w:rPr>
                <w:rFonts w:ascii="宋体" w:hAnsi="宋体"/>
                <w:sz w:val="24"/>
              </w:rPr>
            </w:pPr>
            <w:r>
              <w:rPr>
                <w:rFonts w:hint="eastAsia" w:ascii="宋体" w:hAnsi="宋体"/>
                <w:sz w:val="24"/>
              </w:rPr>
              <w:t>电子邮箱：</w:t>
            </w:r>
          </w:p>
        </w:tc>
        <w:tc>
          <w:tcPr>
            <w:tcW w:w="4517" w:type="dxa"/>
            <w:vAlign w:val="center"/>
          </w:tcPr>
          <w:p>
            <w:pPr>
              <w:snapToGrid w:val="0"/>
              <w:spacing w:line="300" w:lineRule="exact"/>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00" w:lineRule="exact"/>
              <w:rPr>
                <w:rFonts w:ascii="宋体" w:hAnsi="宋体"/>
                <w:sz w:val="24"/>
              </w:rPr>
            </w:pPr>
            <w:r>
              <w:rPr>
                <w:rFonts w:hint="eastAsia" w:ascii="宋体" w:hAnsi="宋体"/>
                <w:sz w:val="24"/>
              </w:rPr>
              <w:t>开户银行：建行崇左友谊大道支行</w:t>
            </w:r>
          </w:p>
        </w:tc>
        <w:tc>
          <w:tcPr>
            <w:tcW w:w="4517" w:type="dxa"/>
            <w:vAlign w:val="center"/>
          </w:tcPr>
          <w:p>
            <w:pPr>
              <w:snapToGrid w:val="0"/>
              <w:spacing w:line="300" w:lineRule="exact"/>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4516" w:type="dxa"/>
            <w:vAlign w:val="center"/>
          </w:tcPr>
          <w:p>
            <w:pPr>
              <w:snapToGrid w:val="0"/>
              <w:spacing w:line="300" w:lineRule="exact"/>
              <w:rPr>
                <w:rFonts w:ascii="宋体" w:hAnsi="宋体"/>
                <w:sz w:val="24"/>
              </w:rPr>
            </w:pPr>
            <w:r>
              <w:rPr>
                <w:rFonts w:hint="eastAsia" w:ascii="宋体" w:hAnsi="宋体"/>
                <w:sz w:val="24"/>
              </w:rPr>
              <w:t>纳税人识别号：12451400499001503X</w:t>
            </w:r>
          </w:p>
        </w:tc>
        <w:tc>
          <w:tcPr>
            <w:tcW w:w="4517" w:type="dxa"/>
            <w:vAlign w:val="center"/>
          </w:tcPr>
          <w:p>
            <w:pPr>
              <w:snapToGrid w:val="0"/>
              <w:spacing w:line="300" w:lineRule="exact"/>
              <w:rPr>
                <w:rFonts w:ascii="宋体" w:hAnsi="宋体"/>
                <w:sz w:val="24"/>
              </w:rPr>
            </w:pPr>
            <w:r>
              <w:rPr>
                <w:rFonts w:hint="eastAsia" w:ascii="宋体" w:hAnsi="宋体"/>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00" w:lineRule="exact"/>
              <w:rPr>
                <w:rFonts w:ascii="宋体" w:hAnsi="宋体"/>
                <w:sz w:val="24"/>
              </w:rPr>
            </w:pPr>
            <w:r>
              <w:rPr>
                <w:rFonts w:hint="eastAsia" w:ascii="宋体" w:hAnsi="宋体"/>
                <w:sz w:val="24"/>
              </w:rPr>
              <w:t>账号：</w:t>
            </w:r>
            <w:r>
              <w:rPr>
                <w:rFonts w:ascii="宋体" w:hAnsi="宋体"/>
                <w:sz w:val="24"/>
              </w:rPr>
              <w:t>45001598054059286666</w:t>
            </w:r>
          </w:p>
        </w:tc>
        <w:tc>
          <w:tcPr>
            <w:tcW w:w="4517" w:type="dxa"/>
            <w:vAlign w:val="center"/>
          </w:tcPr>
          <w:p>
            <w:pPr>
              <w:snapToGrid w:val="0"/>
              <w:spacing w:line="300" w:lineRule="exact"/>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00" w:lineRule="exact"/>
              <w:rPr>
                <w:rFonts w:ascii="宋体" w:hAnsi="宋体"/>
                <w:sz w:val="24"/>
              </w:rPr>
            </w:pPr>
            <w:r>
              <w:rPr>
                <w:rFonts w:hint="eastAsia" w:ascii="宋体" w:hAnsi="宋体"/>
                <w:sz w:val="24"/>
              </w:rPr>
              <w:t>邮政编码：532200</w:t>
            </w:r>
          </w:p>
        </w:tc>
        <w:tc>
          <w:tcPr>
            <w:tcW w:w="4517" w:type="dxa"/>
            <w:vAlign w:val="center"/>
          </w:tcPr>
          <w:p>
            <w:pPr>
              <w:snapToGrid w:val="0"/>
              <w:spacing w:line="300" w:lineRule="exact"/>
              <w:rPr>
                <w:rFonts w:ascii="宋体" w:hAnsi="宋体"/>
                <w:sz w:val="24"/>
              </w:rPr>
            </w:pPr>
            <w:r>
              <w:rPr>
                <w:rFonts w:hint="eastAsia" w:ascii="宋体" w:hAnsi="宋体"/>
                <w:sz w:val="24"/>
              </w:rPr>
              <w:t>邮政编码：</w:t>
            </w:r>
          </w:p>
        </w:tc>
      </w:tr>
    </w:tbl>
    <w:p>
      <w:pPr>
        <w:pStyle w:val="3"/>
        <w:ind w:firstLine="2241" w:firstLineChars="700"/>
        <w:jc w:val="both"/>
        <w:rPr>
          <w:rFonts w:ascii="方正小标宋_GBK" w:hAnsi="方正小标宋_GBK" w:eastAsia="方正小标宋_GBK"/>
        </w:rPr>
      </w:pPr>
      <w:bookmarkStart w:id="25" w:name="_Toc491248245"/>
      <w:r>
        <w:rPr>
          <w:rFonts w:hint="eastAsia" w:ascii="方正小标宋_GBK" w:hAnsi="方正小标宋_GBK" w:eastAsia="方正小标宋_GBK"/>
        </w:rPr>
        <w:t>第六章 响应文件格式</w:t>
      </w:r>
      <w:bookmarkEnd w:id="25"/>
    </w:p>
    <w:p>
      <w:pPr>
        <w:rPr>
          <w:b/>
          <w:sz w:val="30"/>
          <w:szCs w:val="30"/>
        </w:rPr>
      </w:pPr>
      <w:r>
        <w:rPr>
          <w:rFonts w:hint="eastAsia"/>
          <w:b/>
          <w:sz w:val="30"/>
          <w:szCs w:val="30"/>
        </w:rPr>
        <w:t>一、响应文件外包装封面及响应文件封面格式</w:t>
      </w:r>
    </w:p>
    <w:p/>
    <w:p>
      <w:pPr>
        <w:rPr>
          <w:b/>
        </w:rPr>
      </w:pPr>
      <w:r>
        <w:rPr>
          <w:rFonts w:hint="eastAsia"/>
          <w:b/>
        </w:rPr>
        <w:t xml:space="preserve">（一）响应文件的外包装封面格式： </w:t>
      </w:r>
    </w:p>
    <w:p/>
    <w:p/>
    <w:p/>
    <w:p>
      <w:pPr>
        <w:pStyle w:val="8"/>
        <w:spacing w:line="288" w:lineRule="auto"/>
        <w:jc w:val="center"/>
        <w:rPr>
          <w:rFonts w:hAnsi="宋体"/>
          <w:sz w:val="36"/>
          <w:szCs w:val="36"/>
        </w:rPr>
      </w:pPr>
    </w:p>
    <w:p>
      <w:pPr>
        <w:spacing w:line="600" w:lineRule="exact"/>
        <w:jc w:val="center"/>
        <w:rPr>
          <w:rFonts w:ascii="宋体" w:hAnsi="宋体"/>
          <w:sz w:val="72"/>
          <w:szCs w:val="72"/>
        </w:rPr>
      </w:pPr>
    </w:p>
    <w:p>
      <w:pPr>
        <w:jc w:val="center"/>
        <w:rPr>
          <w:rFonts w:ascii="宋体" w:hAnsi="宋体"/>
          <w:sz w:val="72"/>
          <w:szCs w:val="72"/>
        </w:rPr>
      </w:pPr>
      <w:r>
        <w:rPr>
          <w:rFonts w:hint="eastAsia" w:ascii="宋体" w:hAnsi="宋体"/>
          <w:sz w:val="72"/>
          <w:szCs w:val="72"/>
        </w:rPr>
        <w:t>响应文件</w:t>
      </w:r>
    </w:p>
    <w:p/>
    <w:p/>
    <w:p/>
    <w:p/>
    <w:p>
      <w:pPr>
        <w:ind w:firstLine="272" w:firstLineChars="85"/>
        <w:rPr>
          <w:rFonts w:ascii="宋体" w:hAnsi="宋体"/>
          <w:sz w:val="32"/>
          <w:szCs w:val="32"/>
        </w:rPr>
      </w:pPr>
      <w:r>
        <w:rPr>
          <w:rFonts w:hint="eastAsia" w:ascii="宋体" w:hAnsi="宋体"/>
          <w:sz w:val="32"/>
          <w:szCs w:val="32"/>
        </w:rPr>
        <w:t>项目名称：XXXXXXXXX</w:t>
      </w:r>
    </w:p>
    <w:p>
      <w:pPr>
        <w:ind w:firstLine="272" w:firstLineChars="85"/>
        <w:rPr>
          <w:rFonts w:ascii="宋体" w:hAnsi="宋体"/>
          <w:sz w:val="32"/>
          <w:szCs w:val="32"/>
        </w:rPr>
      </w:pPr>
      <w:r>
        <w:rPr>
          <w:rFonts w:hint="eastAsia" w:ascii="宋体" w:hAnsi="宋体"/>
          <w:sz w:val="32"/>
          <w:szCs w:val="32"/>
        </w:rPr>
        <w:t>项目编号：</w:t>
      </w:r>
    </w:p>
    <w:p>
      <w:pPr>
        <w:ind w:firstLine="272" w:firstLineChars="85"/>
        <w:rPr>
          <w:rFonts w:ascii="宋体" w:hAnsi="宋体"/>
          <w:sz w:val="32"/>
          <w:szCs w:val="32"/>
        </w:rPr>
      </w:pPr>
    </w:p>
    <w:p>
      <w:pPr>
        <w:ind w:firstLine="272" w:firstLineChars="85"/>
        <w:rPr>
          <w:rFonts w:ascii="宋体" w:hAnsi="宋体"/>
          <w:sz w:val="32"/>
          <w:szCs w:val="32"/>
        </w:rPr>
      </w:pPr>
    </w:p>
    <w:p>
      <w:pPr>
        <w:ind w:firstLine="272" w:firstLineChars="85"/>
        <w:rPr>
          <w:rFonts w:ascii="宋体" w:hAnsi="宋体"/>
          <w:sz w:val="32"/>
          <w:szCs w:val="32"/>
        </w:rPr>
      </w:pPr>
      <w:r>
        <w:rPr>
          <w:rFonts w:hint="eastAsia" w:ascii="宋体" w:hAnsi="宋体"/>
          <w:sz w:val="32"/>
          <w:szCs w:val="32"/>
        </w:rPr>
        <w:t>竞标人名称：</w:t>
      </w:r>
    </w:p>
    <w:p>
      <w:pPr>
        <w:ind w:firstLine="272" w:firstLineChars="85"/>
        <w:rPr>
          <w:rFonts w:ascii="宋体" w:hAnsi="宋体"/>
          <w:sz w:val="32"/>
          <w:szCs w:val="32"/>
        </w:rPr>
      </w:pPr>
      <w:r>
        <w:rPr>
          <w:rFonts w:hint="eastAsia" w:ascii="宋体" w:hAnsi="宋体"/>
          <w:sz w:val="32"/>
          <w:szCs w:val="32"/>
        </w:rPr>
        <w:t>竞标人地址：</w:t>
      </w:r>
    </w:p>
    <w:p>
      <w:pPr>
        <w:ind w:firstLine="272" w:firstLineChars="85"/>
        <w:rPr>
          <w:rFonts w:ascii="宋体" w:hAnsi="宋体"/>
          <w:sz w:val="32"/>
          <w:szCs w:val="32"/>
        </w:rPr>
      </w:pPr>
    </w:p>
    <w:p>
      <w:pPr>
        <w:ind w:firstLine="272" w:firstLineChars="85"/>
        <w:rPr>
          <w:rFonts w:ascii="宋体" w:hAnsi="宋体"/>
          <w:sz w:val="32"/>
          <w:szCs w:val="32"/>
        </w:rPr>
      </w:pPr>
    </w:p>
    <w:p>
      <w:pPr>
        <w:ind w:firstLine="272" w:firstLineChars="85"/>
        <w:jc w:val="center"/>
        <w:rPr>
          <w:rFonts w:ascii="宋体" w:hAnsi="宋体"/>
          <w:sz w:val="32"/>
          <w:szCs w:val="32"/>
        </w:rPr>
      </w:pPr>
      <w:r>
        <w:rPr>
          <w:rFonts w:hint="eastAsia" w:ascii="宋体" w:hAnsi="宋体"/>
          <w:sz w:val="32"/>
          <w:szCs w:val="32"/>
        </w:rPr>
        <w:t>在×年×月×日×时×分前不得启封（开标时才能启封）</w:t>
      </w:r>
    </w:p>
    <w:p>
      <w:pPr>
        <w:rPr>
          <w:b/>
        </w:rPr>
      </w:pPr>
      <w:r>
        <w:rPr>
          <w:b/>
        </w:rPr>
        <w:br w:type="page"/>
      </w:r>
    </w:p>
    <w:p>
      <w:pPr>
        <w:rPr>
          <w:b/>
        </w:rPr>
      </w:pPr>
      <w:r>
        <w:rPr>
          <w:rFonts w:hint="eastAsia"/>
          <w:b/>
        </w:rPr>
        <w:t xml:space="preserve">（二）响应文件封面格式： </w:t>
      </w:r>
    </w:p>
    <w:p>
      <w:pPr>
        <w:spacing w:line="440" w:lineRule="exact"/>
        <w:jc w:val="center"/>
        <w:rPr>
          <w:rFonts w:ascii="仿宋_GB2312" w:hAnsi="宋体" w:eastAsia="仿宋_GB2312"/>
          <w:b/>
          <w:sz w:val="32"/>
          <w:szCs w:val="32"/>
        </w:rPr>
      </w:pPr>
    </w:p>
    <w:p>
      <w:pPr>
        <w:spacing w:line="440" w:lineRule="exact"/>
        <w:jc w:val="center"/>
        <w:rPr>
          <w:rFonts w:ascii="仿宋_GB2312" w:hAnsi="宋体" w:eastAsia="仿宋_GB2312"/>
          <w:b/>
          <w:sz w:val="32"/>
          <w:szCs w:val="32"/>
        </w:rPr>
      </w:pPr>
    </w:p>
    <w:p>
      <w:pPr>
        <w:pStyle w:val="8"/>
        <w:spacing w:line="288" w:lineRule="auto"/>
        <w:ind w:firstLine="2160" w:firstLineChars="600"/>
        <w:rPr>
          <w:rFonts w:hAnsi="宋体"/>
          <w:sz w:val="36"/>
          <w:szCs w:val="36"/>
        </w:rPr>
      </w:pPr>
      <w:r>
        <w:rPr>
          <w:rFonts w:hint="eastAsia" w:hAnsi="宋体"/>
          <w:sz w:val="36"/>
          <w:szCs w:val="36"/>
        </w:rPr>
        <w:t xml:space="preserve">                        </w:t>
      </w:r>
      <w:r>
        <w:rPr>
          <w:rFonts w:hint="eastAsia" w:hAnsi="宋体"/>
          <w:sz w:val="36"/>
          <w:szCs w:val="36"/>
          <w:u w:val="single"/>
        </w:rPr>
        <w:t xml:space="preserve"> 正/副 </w:t>
      </w:r>
      <w:r>
        <w:rPr>
          <w:rFonts w:hint="eastAsia" w:hAnsi="宋体"/>
          <w:sz w:val="36"/>
          <w:szCs w:val="36"/>
        </w:rPr>
        <w:t>本</w:t>
      </w:r>
    </w:p>
    <w:p>
      <w:pPr>
        <w:pStyle w:val="8"/>
        <w:spacing w:line="288" w:lineRule="auto"/>
        <w:jc w:val="center"/>
        <w:rPr>
          <w:rFonts w:hAnsi="宋体"/>
          <w:sz w:val="36"/>
          <w:szCs w:val="36"/>
        </w:rPr>
      </w:pPr>
    </w:p>
    <w:p>
      <w:pPr>
        <w:pStyle w:val="8"/>
        <w:spacing w:line="288" w:lineRule="auto"/>
        <w:jc w:val="center"/>
        <w:rPr>
          <w:rFonts w:hAnsi="宋体"/>
          <w:sz w:val="36"/>
          <w:szCs w:val="36"/>
        </w:rPr>
      </w:pPr>
    </w:p>
    <w:p>
      <w:pPr>
        <w:pStyle w:val="8"/>
        <w:spacing w:line="288" w:lineRule="auto"/>
        <w:jc w:val="center"/>
        <w:rPr>
          <w:rFonts w:hAnsi="宋体"/>
          <w:sz w:val="36"/>
          <w:szCs w:val="36"/>
        </w:rPr>
      </w:pPr>
    </w:p>
    <w:p>
      <w:pPr>
        <w:pStyle w:val="8"/>
        <w:spacing w:line="288" w:lineRule="auto"/>
        <w:jc w:val="center"/>
        <w:rPr>
          <w:rFonts w:hAnsi="宋体"/>
          <w:sz w:val="36"/>
          <w:szCs w:val="36"/>
        </w:rPr>
      </w:pPr>
    </w:p>
    <w:p>
      <w:pPr>
        <w:pStyle w:val="8"/>
        <w:spacing w:line="288" w:lineRule="auto"/>
        <w:jc w:val="center"/>
        <w:rPr>
          <w:rFonts w:hAnsi="宋体"/>
          <w:sz w:val="72"/>
          <w:szCs w:val="72"/>
        </w:rPr>
      </w:pPr>
      <w:r>
        <w:rPr>
          <w:rFonts w:hint="eastAsia" w:hAnsi="宋体"/>
          <w:sz w:val="72"/>
          <w:szCs w:val="72"/>
        </w:rPr>
        <w:t>响应文件</w:t>
      </w:r>
    </w:p>
    <w:p>
      <w:pPr>
        <w:pStyle w:val="8"/>
        <w:spacing w:line="288" w:lineRule="auto"/>
        <w:jc w:val="center"/>
        <w:rPr>
          <w:rFonts w:hAnsi="宋体"/>
          <w:sz w:val="36"/>
          <w:szCs w:val="36"/>
        </w:rPr>
      </w:pPr>
    </w:p>
    <w:p>
      <w:pPr>
        <w:pStyle w:val="8"/>
        <w:spacing w:line="288" w:lineRule="auto"/>
        <w:jc w:val="center"/>
        <w:rPr>
          <w:rFonts w:hAnsi="宋体"/>
          <w:sz w:val="36"/>
          <w:szCs w:val="36"/>
        </w:rPr>
      </w:pPr>
    </w:p>
    <w:p>
      <w:pPr>
        <w:pStyle w:val="8"/>
        <w:spacing w:line="288" w:lineRule="auto"/>
        <w:ind w:firstLine="1600" w:firstLineChars="500"/>
        <w:rPr>
          <w:rFonts w:hAnsi="宋体"/>
          <w:sz w:val="32"/>
          <w:szCs w:val="32"/>
          <w:u w:val="single"/>
        </w:rPr>
      </w:pPr>
      <w:r>
        <w:rPr>
          <w:rFonts w:hint="eastAsia" w:hAnsi="宋体"/>
          <w:sz w:val="32"/>
          <w:szCs w:val="32"/>
        </w:rPr>
        <w:t>项目名称：</w:t>
      </w:r>
      <w:r>
        <w:rPr>
          <w:rFonts w:hint="eastAsia" w:hAnsi="宋体"/>
          <w:sz w:val="32"/>
          <w:szCs w:val="32"/>
          <w:u w:val="single"/>
        </w:rPr>
        <w:t xml:space="preserve">              </w:t>
      </w:r>
    </w:p>
    <w:p>
      <w:pPr>
        <w:pStyle w:val="8"/>
        <w:spacing w:line="288" w:lineRule="auto"/>
        <w:ind w:firstLine="2560" w:firstLineChars="800"/>
        <w:rPr>
          <w:rFonts w:hAnsi="宋体"/>
          <w:sz w:val="32"/>
          <w:szCs w:val="32"/>
          <w:u w:val="single"/>
        </w:rPr>
      </w:pPr>
      <w:r>
        <w:rPr>
          <w:rFonts w:hint="eastAsia" w:hAnsi="宋体"/>
          <w:sz w:val="32"/>
          <w:szCs w:val="32"/>
        </w:rPr>
        <w:t>项目编号：</w:t>
      </w:r>
      <w:r>
        <w:rPr>
          <w:rFonts w:hint="eastAsia" w:hAnsi="宋体"/>
          <w:sz w:val="32"/>
          <w:szCs w:val="32"/>
          <w:u w:val="single"/>
        </w:rPr>
        <w:t xml:space="preserve">               </w:t>
      </w:r>
    </w:p>
    <w:p>
      <w:pPr>
        <w:pStyle w:val="8"/>
        <w:spacing w:line="288" w:lineRule="auto"/>
        <w:ind w:firstLine="2560" w:firstLineChars="800"/>
        <w:rPr>
          <w:rFonts w:hAnsi="宋体"/>
          <w:sz w:val="32"/>
          <w:szCs w:val="32"/>
          <w:u w:val="single"/>
        </w:rPr>
      </w:pPr>
    </w:p>
    <w:p>
      <w:pPr>
        <w:pStyle w:val="8"/>
        <w:spacing w:line="288" w:lineRule="auto"/>
        <w:ind w:firstLine="2560" w:firstLineChars="800"/>
        <w:rPr>
          <w:rFonts w:hAnsi="宋体"/>
          <w:sz w:val="32"/>
          <w:szCs w:val="32"/>
          <w:u w:val="single"/>
        </w:rPr>
      </w:pPr>
    </w:p>
    <w:p>
      <w:pPr>
        <w:pStyle w:val="8"/>
        <w:spacing w:line="288" w:lineRule="auto"/>
        <w:ind w:firstLine="2560" w:firstLineChars="800"/>
        <w:rPr>
          <w:rFonts w:hAnsi="宋体"/>
          <w:sz w:val="32"/>
          <w:szCs w:val="32"/>
          <w:u w:val="single"/>
        </w:rPr>
      </w:pPr>
    </w:p>
    <w:p>
      <w:pPr>
        <w:pStyle w:val="8"/>
        <w:spacing w:line="288" w:lineRule="auto"/>
        <w:ind w:firstLine="2560" w:firstLineChars="800"/>
        <w:rPr>
          <w:rFonts w:hAnsi="宋体"/>
          <w:sz w:val="32"/>
          <w:szCs w:val="32"/>
          <w:u w:val="single"/>
        </w:rPr>
      </w:pPr>
    </w:p>
    <w:p>
      <w:pPr>
        <w:pStyle w:val="8"/>
        <w:spacing w:line="288" w:lineRule="auto"/>
        <w:ind w:firstLine="800" w:firstLineChars="250"/>
        <w:rPr>
          <w:rFonts w:hAnsi="宋体"/>
          <w:sz w:val="32"/>
          <w:szCs w:val="32"/>
          <w:u w:val="single"/>
        </w:rPr>
      </w:pPr>
      <w:r>
        <w:rPr>
          <w:rFonts w:hint="eastAsia" w:hAnsi="宋体"/>
          <w:sz w:val="32"/>
          <w:szCs w:val="32"/>
        </w:rPr>
        <w:t>竞标人：</w:t>
      </w:r>
      <w:r>
        <w:rPr>
          <w:rFonts w:hint="eastAsia" w:hAnsi="宋体"/>
          <w:sz w:val="32"/>
          <w:szCs w:val="32"/>
          <w:u w:val="single"/>
        </w:rPr>
        <w:t xml:space="preserve">                                       </w:t>
      </w:r>
    </w:p>
    <w:p>
      <w:pPr>
        <w:pStyle w:val="8"/>
        <w:spacing w:line="288" w:lineRule="auto"/>
        <w:ind w:firstLine="800" w:firstLineChars="250"/>
        <w:rPr>
          <w:rFonts w:hAnsi="宋体"/>
          <w:sz w:val="32"/>
          <w:szCs w:val="32"/>
        </w:rPr>
      </w:pPr>
      <w:r>
        <w:rPr>
          <w:rFonts w:hint="eastAsia" w:hAnsi="宋体"/>
          <w:sz w:val="32"/>
          <w:szCs w:val="32"/>
        </w:rPr>
        <w:t>法定代表人或其委托代理人：</w:t>
      </w:r>
      <w:r>
        <w:rPr>
          <w:rFonts w:hint="eastAsia" w:hAnsi="宋体"/>
          <w:sz w:val="32"/>
          <w:szCs w:val="32"/>
          <w:u w:val="single"/>
        </w:rPr>
        <w:t xml:space="preserve">                     </w:t>
      </w:r>
    </w:p>
    <w:p>
      <w:pPr>
        <w:pStyle w:val="8"/>
        <w:spacing w:line="288" w:lineRule="auto"/>
        <w:ind w:firstLine="480" w:firstLineChars="150"/>
        <w:rPr>
          <w:rFonts w:hAnsi="宋体"/>
          <w:sz w:val="32"/>
          <w:szCs w:val="32"/>
        </w:rPr>
      </w:pPr>
    </w:p>
    <w:p>
      <w:pPr>
        <w:pStyle w:val="8"/>
        <w:spacing w:line="288" w:lineRule="auto"/>
        <w:jc w:val="center"/>
        <w:rPr>
          <w:rFonts w:hAnsi="宋体"/>
          <w:sz w:val="32"/>
          <w:szCs w:val="32"/>
        </w:rPr>
      </w:pPr>
      <w:r>
        <w:rPr>
          <w:rFonts w:hint="eastAsia" w:hAnsi="宋体"/>
          <w:sz w:val="32"/>
          <w:szCs w:val="32"/>
        </w:rPr>
        <w:t>日期：</w:t>
      </w:r>
      <w:r>
        <w:rPr>
          <w:rFonts w:hint="eastAsia" w:hAnsi="宋体"/>
          <w:sz w:val="32"/>
          <w:szCs w:val="32"/>
          <w:u w:val="single"/>
        </w:rPr>
        <w:t xml:space="preserve">         </w:t>
      </w:r>
      <w:r>
        <w:rPr>
          <w:rFonts w:hint="eastAsia" w:hAnsi="宋体"/>
          <w:sz w:val="32"/>
          <w:szCs w:val="32"/>
        </w:rPr>
        <w:t>年</w:t>
      </w:r>
      <w:r>
        <w:rPr>
          <w:rFonts w:hint="eastAsia" w:hAnsi="宋体"/>
          <w:sz w:val="32"/>
          <w:szCs w:val="32"/>
          <w:u w:val="single"/>
        </w:rPr>
        <w:t xml:space="preserve">     </w:t>
      </w:r>
      <w:r>
        <w:rPr>
          <w:rFonts w:hint="eastAsia" w:hAnsi="宋体"/>
          <w:sz w:val="32"/>
          <w:szCs w:val="32"/>
        </w:rPr>
        <w:t>月</w:t>
      </w:r>
      <w:r>
        <w:rPr>
          <w:rFonts w:hint="eastAsia" w:hAnsi="宋体"/>
          <w:sz w:val="32"/>
          <w:szCs w:val="32"/>
          <w:u w:val="single"/>
        </w:rPr>
        <w:t xml:space="preserve">     </w:t>
      </w:r>
      <w:r>
        <w:rPr>
          <w:rFonts w:hint="eastAsia" w:hAnsi="宋体"/>
          <w:sz w:val="32"/>
          <w:szCs w:val="32"/>
        </w:rPr>
        <w:t>日</w:t>
      </w:r>
    </w:p>
    <w:p>
      <w:pPr>
        <w:spacing w:line="440" w:lineRule="exact"/>
        <w:jc w:val="center"/>
        <w:rPr>
          <w:rFonts w:ascii="仿宋_GB2312" w:hAnsi="宋体" w:eastAsia="仿宋_GB2312"/>
          <w:b/>
          <w:sz w:val="32"/>
          <w:szCs w:val="32"/>
        </w:rPr>
      </w:pPr>
    </w:p>
    <w:p>
      <w:pPr>
        <w:pStyle w:val="8"/>
        <w:tabs>
          <w:tab w:val="left" w:pos="7560"/>
          <w:tab w:val="left" w:pos="7920"/>
        </w:tabs>
        <w:spacing w:line="288" w:lineRule="auto"/>
        <w:jc w:val="center"/>
        <w:rPr>
          <w:sz w:val="36"/>
          <w:szCs w:val="36"/>
        </w:rPr>
      </w:pPr>
    </w:p>
    <w:p>
      <w:pPr>
        <w:pStyle w:val="8"/>
        <w:tabs>
          <w:tab w:val="left" w:pos="7560"/>
          <w:tab w:val="left" w:pos="7920"/>
        </w:tabs>
        <w:spacing w:line="288" w:lineRule="auto"/>
        <w:jc w:val="center"/>
        <w:rPr>
          <w:rFonts w:hAnsi="宋体"/>
          <w:b/>
          <w:bCs/>
          <w:sz w:val="36"/>
          <w:szCs w:val="36"/>
        </w:rPr>
      </w:pPr>
      <w:r>
        <w:rPr>
          <w:rFonts w:hint="eastAsia" w:hAnsi="宋体"/>
          <w:b/>
          <w:bCs/>
          <w:sz w:val="36"/>
          <w:szCs w:val="36"/>
        </w:rPr>
        <w:t>目   录</w:t>
      </w:r>
    </w:p>
    <w:p>
      <w:pPr>
        <w:pStyle w:val="8"/>
        <w:spacing w:line="288" w:lineRule="auto"/>
        <w:ind w:firstLine="1540" w:firstLineChars="550"/>
        <w:rPr>
          <w:rFonts w:hAnsi="宋体"/>
          <w:sz w:val="28"/>
          <w:szCs w:val="28"/>
        </w:rPr>
      </w:pPr>
    </w:p>
    <w:p>
      <w:pPr>
        <w:spacing w:line="440" w:lineRule="exact"/>
        <w:rPr>
          <w:rFonts w:ascii="仿宋_GB2312" w:hAnsi="宋体" w:eastAsia="仿宋_GB2312"/>
          <w:b/>
          <w:sz w:val="32"/>
          <w:szCs w:val="32"/>
        </w:rPr>
      </w:pPr>
    </w:p>
    <w:p>
      <w:pPr>
        <w:pStyle w:val="8"/>
        <w:tabs>
          <w:tab w:val="left" w:pos="8640"/>
        </w:tabs>
        <w:spacing w:line="288" w:lineRule="auto"/>
        <w:rPr>
          <w:rFonts w:hAnsi="宋体"/>
          <w:sz w:val="28"/>
          <w:szCs w:val="28"/>
        </w:rPr>
      </w:pPr>
      <w:r>
        <w:rPr>
          <w:rFonts w:hint="eastAsia" w:hAnsi="宋体"/>
          <w:sz w:val="28"/>
          <w:szCs w:val="28"/>
        </w:rPr>
        <w:t>一、价格文件</w:t>
      </w:r>
      <w:r>
        <w:rPr>
          <w:rFonts w:hint="eastAsia" w:hAnsi="宋体"/>
          <w:b/>
          <w:sz w:val="32"/>
          <w:szCs w:val="32"/>
        </w:rPr>
        <w:t>.......................................</w:t>
      </w:r>
    </w:p>
    <w:p>
      <w:pPr>
        <w:pStyle w:val="8"/>
        <w:spacing w:line="288" w:lineRule="auto"/>
        <w:ind w:firstLine="560" w:firstLineChars="200"/>
        <w:rPr>
          <w:rFonts w:hAnsi="宋体"/>
          <w:sz w:val="28"/>
          <w:szCs w:val="28"/>
        </w:rPr>
      </w:pPr>
      <w:r>
        <w:rPr>
          <w:rFonts w:hint="eastAsia" w:hAnsi="宋体"/>
          <w:sz w:val="28"/>
          <w:szCs w:val="28"/>
        </w:rPr>
        <w:t>报价表</w:t>
      </w:r>
      <w:r>
        <w:rPr>
          <w:rFonts w:hint="eastAsia" w:hAnsi="宋体"/>
          <w:b/>
          <w:sz w:val="32"/>
          <w:szCs w:val="32"/>
        </w:rPr>
        <w:t xml:space="preserve">......................................... </w:t>
      </w:r>
    </w:p>
    <w:p>
      <w:pPr>
        <w:pStyle w:val="8"/>
        <w:spacing w:line="288" w:lineRule="auto"/>
        <w:rPr>
          <w:rFonts w:hAnsi="宋体"/>
          <w:sz w:val="28"/>
          <w:szCs w:val="28"/>
        </w:rPr>
      </w:pPr>
      <w:r>
        <w:rPr>
          <w:rFonts w:hint="eastAsia" w:hAnsi="宋体"/>
          <w:sz w:val="28"/>
          <w:szCs w:val="28"/>
        </w:rPr>
        <w:t>二、商务技术文件</w:t>
      </w:r>
      <w:r>
        <w:rPr>
          <w:rFonts w:hint="eastAsia" w:hAnsi="宋体"/>
          <w:b/>
          <w:sz w:val="32"/>
          <w:szCs w:val="32"/>
        </w:rPr>
        <w:t>.................... ...............</w:t>
      </w:r>
    </w:p>
    <w:p>
      <w:pPr>
        <w:pStyle w:val="8"/>
        <w:spacing w:line="288" w:lineRule="auto"/>
        <w:ind w:firstLine="280" w:firstLineChars="100"/>
        <w:rPr>
          <w:rFonts w:hAnsi="宋体"/>
          <w:sz w:val="28"/>
          <w:szCs w:val="28"/>
        </w:rPr>
      </w:pPr>
      <w:r>
        <w:rPr>
          <w:rFonts w:hint="eastAsia" w:hAnsi="宋体"/>
          <w:sz w:val="28"/>
          <w:szCs w:val="28"/>
        </w:rPr>
        <w:t>（一）竞标函</w:t>
      </w:r>
      <w:r>
        <w:rPr>
          <w:rFonts w:hint="eastAsia" w:hAnsi="宋体"/>
          <w:b/>
          <w:sz w:val="32"/>
          <w:szCs w:val="32"/>
        </w:rPr>
        <w:t>.....................................</w:t>
      </w:r>
    </w:p>
    <w:p>
      <w:pPr>
        <w:pStyle w:val="8"/>
        <w:spacing w:line="288" w:lineRule="auto"/>
        <w:ind w:firstLine="280" w:firstLineChars="100"/>
        <w:rPr>
          <w:rFonts w:hAnsi="宋体"/>
          <w:sz w:val="28"/>
          <w:szCs w:val="28"/>
        </w:rPr>
      </w:pPr>
      <w:r>
        <w:rPr>
          <w:rFonts w:hint="eastAsia" w:hAnsi="宋体"/>
          <w:sz w:val="28"/>
          <w:szCs w:val="28"/>
        </w:rPr>
        <w:t>（二）技术响应偏离情况说明表</w:t>
      </w:r>
      <w:r>
        <w:rPr>
          <w:rFonts w:hint="eastAsia" w:hAnsi="宋体"/>
          <w:b/>
          <w:sz w:val="32"/>
          <w:szCs w:val="32"/>
        </w:rPr>
        <w:t>.......................</w:t>
      </w:r>
    </w:p>
    <w:p>
      <w:pPr>
        <w:pStyle w:val="8"/>
        <w:spacing w:line="288" w:lineRule="auto"/>
        <w:ind w:firstLine="280" w:firstLineChars="100"/>
        <w:rPr>
          <w:rFonts w:hAnsi="宋体"/>
          <w:sz w:val="28"/>
          <w:szCs w:val="28"/>
        </w:rPr>
      </w:pPr>
      <w:r>
        <w:rPr>
          <w:rFonts w:hint="eastAsia" w:hAnsi="宋体"/>
          <w:sz w:val="28"/>
          <w:szCs w:val="28"/>
        </w:rPr>
        <w:t>（三）竞标人售后服务承诺书</w:t>
      </w:r>
      <w:r>
        <w:rPr>
          <w:rFonts w:hint="eastAsia" w:hAnsi="宋体"/>
          <w:b/>
          <w:sz w:val="32"/>
          <w:szCs w:val="32"/>
        </w:rPr>
        <w:t xml:space="preserve">......................... </w:t>
      </w:r>
    </w:p>
    <w:p>
      <w:pPr>
        <w:pStyle w:val="8"/>
        <w:spacing w:line="288" w:lineRule="auto"/>
        <w:ind w:firstLine="280" w:firstLineChars="100"/>
        <w:rPr>
          <w:rFonts w:hAnsi="宋体"/>
          <w:sz w:val="28"/>
          <w:szCs w:val="28"/>
        </w:rPr>
      </w:pPr>
      <w:r>
        <w:rPr>
          <w:rFonts w:hint="eastAsia" w:hAnsi="宋体"/>
          <w:sz w:val="28"/>
          <w:szCs w:val="28"/>
        </w:rPr>
        <w:t>（四）竞标人资格证明文件</w:t>
      </w:r>
      <w:r>
        <w:rPr>
          <w:rFonts w:hint="eastAsia" w:hAnsi="宋体"/>
          <w:b/>
          <w:sz w:val="32"/>
          <w:szCs w:val="32"/>
        </w:rPr>
        <w:t>...........................</w:t>
      </w:r>
    </w:p>
    <w:p>
      <w:pPr>
        <w:pStyle w:val="8"/>
        <w:spacing w:line="288" w:lineRule="auto"/>
        <w:ind w:firstLine="280" w:firstLineChars="100"/>
        <w:rPr>
          <w:rFonts w:hAnsi="宋体"/>
          <w:sz w:val="28"/>
          <w:szCs w:val="28"/>
        </w:rPr>
      </w:pPr>
      <w:r>
        <w:rPr>
          <w:rFonts w:hint="eastAsia" w:hAnsi="宋体"/>
          <w:sz w:val="28"/>
          <w:szCs w:val="28"/>
        </w:rPr>
        <w:t>（五）货物合格和符合竞争性谈判文件规定的证明文件</w:t>
      </w:r>
      <w:r>
        <w:rPr>
          <w:rFonts w:hint="eastAsia" w:hAnsi="宋体"/>
          <w:b/>
          <w:sz w:val="32"/>
          <w:szCs w:val="32"/>
        </w:rPr>
        <w:t>......</w:t>
      </w: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sectPr>
          <w:pgSz w:w="11906" w:h="16838"/>
          <w:pgMar w:top="1440" w:right="1800" w:bottom="1440" w:left="1800" w:header="851" w:footer="992" w:gutter="0"/>
          <w:cols w:space="425" w:num="1"/>
          <w:docGrid w:type="lines" w:linePitch="312" w:charSpace="0"/>
        </w:sect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pStyle w:val="4"/>
        <w:jc w:val="center"/>
        <w:rPr>
          <w:rFonts w:ascii="仿宋_GB2312"/>
          <w:sz w:val="44"/>
          <w:szCs w:val="44"/>
        </w:rPr>
      </w:pPr>
      <w:bookmarkStart w:id="26" w:name="_Toc419359834"/>
      <w:bookmarkStart w:id="27" w:name="_Toc491248246"/>
      <w:bookmarkStart w:id="28" w:name="_Toc397585461"/>
      <w:r>
        <w:rPr>
          <w:rFonts w:hint="eastAsia" w:ascii="仿宋_GB2312"/>
          <w:sz w:val="44"/>
          <w:szCs w:val="44"/>
        </w:rPr>
        <w:t>一、价格文件</w:t>
      </w:r>
      <w:bookmarkEnd w:id="26"/>
      <w:bookmarkEnd w:id="27"/>
      <w:bookmarkEnd w:id="28"/>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p>
    <w:p>
      <w:pPr>
        <w:pStyle w:val="4"/>
        <w:rPr>
          <w:rFonts w:ascii="仿宋_GB2312"/>
        </w:rPr>
      </w:pPr>
      <w:bookmarkStart w:id="29" w:name="_Toc397585462"/>
      <w:r>
        <w:rPr>
          <w:rFonts w:ascii="仿宋_GB2312"/>
        </w:rPr>
        <w:br w:type="page"/>
      </w:r>
    </w:p>
    <w:p>
      <w:pPr>
        <w:pStyle w:val="4"/>
        <w:jc w:val="center"/>
        <w:rPr>
          <w:rFonts w:ascii="仿宋_GB2312"/>
        </w:rPr>
      </w:pPr>
      <w:bookmarkStart w:id="30" w:name="_Toc491248247"/>
      <w:bookmarkStart w:id="31" w:name="_Toc419359835"/>
      <w:r>
        <w:rPr>
          <w:rFonts w:hint="eastAsia" w:ascii="仿宋_GB2312"/>
        </w:rPr>
        <w:t>报  价  表</w:t>
      </w:r>
      <w:bookmarkEnd w:id="29"/>
      <w:bookmarkEnd w:id="30"/>
      <w:bookmarkEnd w:id="31"/>
    </w:p>
    <w:p>
      <w:pPr>
        <w:spacing w:line="440" w:lineRule="exact"/>
        <w:jc w:val="center"/>
        <w:rPr>
          <w:rFonts w:ascii="宋体" w:hAnsi="宋体"/>
          <w:b/>
          <w:szCs w:val="21"/>
        </w:rPr>
      </w:pPr>
    </w:p>
    <w:p>
      <w:pPr>
        <w:spacing w:line="440" w:lineRule="exact"/>
        <w:rPr>
          <w:rFonts w:ascii="宋体" w:hAnsi="宋体"/>
          <w:szCs w:val="21"/>
          <w:u w:val="single"/>
        </w:rPr>
      </w:pPr>
      <w:r>
        <w:rPr>
          <w:rFonts w:hint="eastAsia" w:ascii="宋体" w:hAnsi="宋体"/>
          <w:szCs w:val="21"/>
        </w:rPr>
        <w:t xml:space="preserve">    采购项目编号:</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rPr>
        <w:t xml:space="preserve">    采购项目名称及标段:</w:t>
      </w:r>
      <w:r>
        <w:rPr>
          <w:rFonts w:hint="eastAsia" w:ascii="宋体" w:hAnsi="宋体"/>
          <w:szCs w:val="21"/>
          <w:u w:val="single"/>
        </w:rPr>
        <w:t xml:space="preserve">                 </w:t>
      </w:r>
      <w:r>
        <w:rPr>
          <w:rFonts w:hint="eastAsia" w:ascii="宋体" w:hAnsi="宋体"/>
          <w:szCs w:val="21"/>
        </w:rPr>
        <w:t xml:space="preserve">    </w:t>
      </w:r>
    </w:p>
    <w:tbl>
      <w:tblPr>
        <w:tblStyle w:val="1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1"/>
        <w:gridCol w:w="1155"/>
        <w:gridCol w:w="674"/>
        <w:gridCol w:w="720"/>
        <w:gridCol w:w="2101"/>
        <w:gridCol w:w="765"/>
        <w:gridCol w:w="126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627" w:type="dxa"/>
            <w:tcBorders>
              <w:bottom w:val="single" w:color="auto" w:sz="4" w:space="0"/>
            </w:tcBorders>
            <w:vAlign w:val="center"/>
          </w:tcPr>
          <w:p>
            <w:pPr>
              <w:pStyle w:val="8"/>
              <w:spacing w:line="300" w:lineRule="exact"/>
              <w:jc w:val="center"/>
              <w:rPr>
                <w:rFonts w:hAnsi="宋体"/>
                <w:spacing w:val="-20"/>
              </w:rPr>
            </w:pPr>
            <w:r>
              <w:rPr>
                <w:rFonts w:hint="eastAsia" w:hAnsi="宋体"/>
                <w:spacing w:val="-20"/>
              </w:rPr>
              <w:t>序号</w:t>
            </w:r>
          </w:p>
        </w:tc>
        <w:tc>
          <w:tcPr>
            <w:tcW w:w="121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项目名称</w:t>
            </w:r>
          </w:p>
        </w:tc>
        <w:tc>
          <w:tcPr>
            <w:tcW w:w="115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品牌、型号规格</w:t>
            </w:r>
          </w:p>
        </w:tc>
        <w:tc>
          <w:tcPr>
            <w:tcW w:w="674"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w:t>
            </w:r>
            <w:r>
              <w:rPr>
                <w:rFonts w:hint="eastAsia" w:hAnsi="宋体"/>
              </w:rPr>
              <w:t>①</w:t>
            </w:r>
          </w:p>
        </w:tc>
        <w:tc>
          <w:tcPr>
            <w:tcW w:w="720"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单位</w:t>
            </w:r>
          </w:p>
        </w:tc>
        <w:tc>
          <w:tcPr>
            <w:tcW w:w="21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技术参数及性能配置</w:t>
            </w:r>
          </w:p>
        </w:tc>
        <w:tc>
          <w:tcPr>
            <w:tcW w:w="76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260" w:type="dxa"/>
            <w:tcBorders>
              <w:bottom w:val="single" w:color="auto" w:sz="4" w:space="0"/>
            </w:tcBorders>
            <w:vAlign w:val="center"/>
          </w:tcPr>
          <w:p>
            <w:pPr>
              <w:pStyle w:val="8"/>
              <w:spacing w:line="300" w:lineRule="exact"/>
              <w:jc w:val="center"/>
              <w:rPr>
                <w:rFonts w:hAnsi="宋体"/>
              </w:rPr>
            </w:pPr>
            <w:r>
              <w:rPr>
                <w:rFonts w:hint="eastAsia" w:hAnsi="宋体"/>
              </w:rPr>
              <w:t>单项合价</w:t>
            </w:r>
          </w:p>
          <w:p>
            <w:pPr>
              <w:pStyle w:val="8"/>
              <w:spacing w:line="300" w:lineRule="exact"/>
              <w:jc w:val="center"/>
              <w:rPr>
                <w:rFonts w:hAnsi="宋体"/>
              </w:rPr>
            </w:pPr>
            <w:r>
              <w:rPr>
                <w:rFonts w:hint="eastAsia" w:hAnsi="宋体"/>
              </w:rPr>
              <w:t>（元）</w:t>
            </w:r>
          </w:p>
          <w:p>
            <w:pPr>
              <w:pStyle w:val="8"/>
              <w:spacing w:line="300" w:lineRule="exact"/>
              <w:jc w:val="center"/>
              <w:rPr>
                <w:rFonts w:hAnsi="宋体"/>
              </w:rPr>
            </w:pPr>
            <w:r>
              <w:rPr>
                <w:rFonts w:hint="eastAsia" w:hAnsi="宋体"/>
              </w:rPr>
              <w:t>③</w:t>
            </w:r>
            <w:r>
              <w:rPr>
                <w:rFonts w:hAnsi="宋体"/>
              </w:rPr>
              <w:t>=</w:t>
            </w:r>
            <w:r>
              <w:rPr>
                <w:rFonts w:hint="eastAsia" w:hAnsi="宋体"/>
              </w:rPr>
              <w:t>①×②</w:t>
            </w:r>
          </w:p>
        </w:tc>
        <w:tc>
          <w:tcPr>
            <w:tcW w:w="907" w:type="dxa"/>
            <w:tcBorders>
              <w:bottom w:val="single" w:color="auto" w:sz="4" w:space="0"/>
            </w:tcBorders>
            <w:vAlign w:val="center"/>
          </w:tcPr>
          <w:p>
            <w:pPr>
              <w:pStyle w:val="8"/>
              <w:spacing w:line="300" w:lineRule="exact"/>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pPr>
              <w:spacing w:line="440" w:lineRule="exact"/>
              <w:jc w:val="center"/>
              <w:rPr>
                <w:rFonts w:ascii="宋体" w:hAnsi="宋体"/>
                <w:sz w:val="24"/>
              </w:rPr>
            </w:pPr>
            <w:r>
              <w:rPr>
                <w:rFonts w:hint="eastAsia" w:ascii="宋体" w:hAnsi="宋体"/>
                <w:sz w:val="24"/>
              </w:rPr>
              <w:t>1</w:t>
            </w:r>
          </w:p>
        </w:tc>
        <w:tc>
          <w:tcPr>
            <w:tcW w:w="1211" w:type="dxa"/>
            <w:vAlign w:val="center"/>
          </w:tcPr>
          <w:p>
            <w:pPr>
              <w:spacing w:line="440" w:lineRule="exact"/>
              <w:jc w:val="center"/>
              <w:rPr>
                <w:rFonts w:ascii="宋体" w:hAnsi="宋体"/>
              </w:rPr>
            </w:pPr>
          </w:p>
        </w:tc>
        <w:tc>
          <w:tcPr>
            <w:tcW w:w="1155" w:type="dxa"/>
            <w:vAlign w:val="center"/>
          </w:tcPr>
          <w:p>
            <w:pPr>
              <w:spacing w:line="440" w:lineRule="exact"/>
              <w:jc w:val="center"/>
              <w:rPr>
                <w:rFonts w:ascii="宋体" w:hAnsi="宋体"/>
              </w:rPr>
            </w:pPr>
          </w:p>
        </w:tc>
        <w:tc>
          <w:tcPr>
            <w:tcW w:w="674" w:type="dxa"/>
            <w:vAlign w:val="center"/>
          </w:tcPr>
          <w:p>
            <w:pPr>
              <w:pStyle w:val="8"/>
              <w:spacing w:line="440" w:lineRule="exact"/>
              <w:jc w:val="center"/>
              <w:rPr>
                <w:rFonts w:hAnsi="宋体"/>
              </w:rPr>
            </w:pPr>
          </w:p>
        </w:tc>
        <w:tc>
          <w:tcPr>
            <w:tcW w:w="720" w:type="dxa"/>
            <w:vAlign w:val="center"/>
          </w:tcPr>
          <w:p>
            <w:pPr>
              <w:pStyle w:val="8"/>
              <w:spacing w:line="440" w:lineRule="exact"/>
              <w:jc w:val="center"/>
              <w:rPr>
                <w:rFonts w:hAnsi="宋体"/>
              </w:rPr>
            </w:pPr>
          </w:p>
        </w:tc>
        <w:tc>
          <w:tcPr>
            <w:tcW w:w="2101" w:type="dxa"/>
            <w:vAlign w:val="center"/>
          </w:tcPr>
          <w:p>
            <w:pPr>
              <w:pStyle w:val="8"/>
              <w:spacing w:line="440" w:lineRule="exact"/>
              <w:jc w:val="center"/>
              <w:rPr>
                <w:rFonts w:hAnsi="宋体"/>
              </w:rPr>
            </w:pPr>
          </w:p>
        </w:tc>
        <w:tc>
          <w:tcPr>
            <w:tcW w:w="765" w:type="dxa"/>
            <w:vAlign w:val="center"/>
          </w:tcPr>
          <w:p>
            <w:pPr>
              <w:pStyle w:val="8"/>
              <w:spacing w:line="440" w:lineRule="exact"/>
              <w:jc w:val="center"/>
              <w:rPr>
                <w:rFonts w:hAnsi="宋体"/>
              </w:rPr>
            </w:pPr>
          </w:p>
        </w:tc>
        <w:tc>
          <w:tcPr>
            <w:tcW w:w="1260" w:type="dxa"/>
            <w:vAlign w:val="center"/>
          </w:tcPr>
          <w:p>
            <w:pPr>
              <w:pStyle w:val="8"/>
              <w:spacing w:line="440" w:lineRule="exact"/>
              <w:jc w:val="center"/>
              <w:rPr>
                <w:rFonts w:hAnsi="宋体"/>
              </w:rPr>
            </w:pPr>
          </w:p>
        </w:tc>
        <w:tc>
          <w:tcPr>
            <w:tcW w:w="907" w:type="dxa"/>
            <w:vAlign w:val="center"/>
          </w:tcPr>
          <w:p>
            <w:pPr>
              <w:pStyle w:val="8"/>
              <w:spacing w:line="440" w:lineRule="exact"/>
              <w:jc w:val="center"/>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pPr>
              <w:spacing w:line="440" w:lineRule="exact"/>
              <w:jc w:val="center"/>
              <w:rPr>
                <w:rFonts w:ascii="宋体" w:hAnsi="宋体"/>
                <w:sz w:val="24"/>
              </w:rPr>
            </w:pPr>
            <w:r>
              <w:rPr>
                <w:rFonts w:hint="eastAsia" w:ascii="宋体" w:hAnsi="宋体"/>
                <w:sz w:val="24"/>
              </w:rPr>
              <w:t>…</w:t>
            </w:r>
          </w:p>
        </w:tc>
        <w:tc>
          <w:tcPr>
            <w:tcW w:w="1211" w:type="dxa"/>
            <w:vAlign w:val="center"/>
          </w:tcPr>
          <w:p>
            <w:pPr>
              <w:spacing w:line="440" w:lineRule="exact"/>
              <w:jc w:val="center"/>
              <w:rPr>
                <w:rFonts w:ascii="宋体" w:hAnsi="宋体"/>
              </w:rPr>
            </w:pPr>
          </w:p>
        </w:tc>
        <w:tc>
          <w:tcPr>
            <w:tcW w:w="1155" w:type="dxa"/>
            <w:vAlign w:val="center"/>
          </w:tcPr>
          <w:p>
            <w:pPr>
              <w:spacing w:line="440" w:lineRule="exact"/>
              <w:jc w:val="center"/>
              <w:rPr>
                <w:rFonts w:ascii="宋体" w:hAnsi="宋体"/>
              </w:rPr>
            </w:pPr>
          </w:p>
        </w:tc>
        <w:tc>
          <w:tcPr>
            <w:tcW w:w="674" w:type="dxa"/>
            <w:vAlign w:val="center"/>
          </w:tcPr>
          <w:p>
            <w:pPr>
              <w:pStyle w:val="8"/>
              <w:spacing w:line="440" w:lineRule="exact"/>
              <w:rPr>
                <w:rFonts w:hAnsi="宋体"/>
              </w:rPr>
            </w:pPr>
          </w:p>
        </w:tc>
        <w:tc>
          <w:tcPr>
            <w:tcW w:w="720" w:type="dxa"/>
            <w:vAlign w:val="center"/>
          </w:tcPr>
          <w:p>
            <w:pPr>
              <w:pStyle w:val="8"/>
              <w:spacing w:line="440" w:lineRule="exact"/>
              <w:rPr>
                <w:rFonts w:hAnsi="宋体"/>
              </w:rPr>
            </w:pPr>
          </w:p>
        </w:tc>
        <w:tc>
          <w:tcPr>
            <w:tcW w:w="2101" w:type="dxa"/>
            <w:vAlign w:val="center"/>
          </w:tcPr>
          <w:p>
            <w:pPr>
              <w:pStyle w:val="8"/>
              <w:spacing w:line="440" w:lineRule="exact"/>
              <w:rPr>
                <w:rFonts w:hAnsi="宋体"/>
              </w:rPr>
            </w:pPr>
          </w:p>
        </w:tc>
        <w:tc>
          <w:tcPr>
            <w:tcW w:w="765" w:type="dxa"/>
            <w:vAlign w:val="center"/>
          </w:tcPr>
          <w:p>
            <w:pPr>
              <w:pStyle w:val="8"/>
              <w:spacing w:line="440" w:lineRule="exact"/>
              <w:rPr>
                <w:rFonts w:hAnsi="宋体"/>
              </w:rPr>
            </w:pPr>
          </w:p>
        </w:tc>
        <w:tc>
          <w:tcPr>
            <w:tcW w:w="1260" w:type="dxa"/>
            <w:vAlign w:val="center"/>
          </w:tcPr>
          <w:p>
            <w:pPr>
              <w:pStyle w:val="8"/>
              <w:spacing w:line="440" w:lineRule="exact"/>
              <w:rPr>
                <w:rFonts w:hAnsi="宋体"/>
              </w:rPr>
            </w:pPr>
          </w:p>
        </w:tc>
        <w:tc>
          <w:tcPr>
            <w:tcW w:w="907" w:type="dxa"/>
            <w:vAlign w:val="center"/>
          </w:tcPr>
          <w:p>
            <w:pPr>
              <w:pStyle w:val="8"/>
              <w:spacing w:line="440" w:lineRule="exact"/>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7" w:type="dxa"/>
            <w:vAlign w:val="center"/>
          </w:tcPr>
          <w:p>
            <w:pPr>
              <w:spacing w:line="440" w:lineRule="exact"/>
              <w:jc w:val="center"/>
              <w:rPr>
                <w:rFonts w:ascii="宋体" w:hAnsi="宋体"/>
                <w:sz w:val="24"/>
              </w:rPr>
            </w:pPr>
            <w:r>
              <w:rPr>
                <w:rFonts w:ascii="宋体" w:hAnsi="宋体"/>
                <w:sz w:val="24"/>
              </w:rPr>
              <w:t>N</w:t>
            </w:r>
          </w:p>
        </w:tc>
        <w:tc>
          <w:tcPr>
            <w:tcW w:w="1211" w:type="dxa"/>
            <w:vAlign w:val="center"/>
          </w:tcPr>
          <w:p>
            <w:pPr>
              <w:spacing w:line="440" w:lineRule="exact"/>
              <w:jc w:val="center"/>
              <w:rPr>
                <w:rFonts w:ascii="宋体" w:hAnsi="宋体"/>
              </w:rPr>
            </w:pPr>
          </w:p>
        </w:tc>
        <w:tc>
          <w:tcPr>
            <w:tcW w:w="1155" w:type="dxa"/>
            <w:vAlign w:val="center"/>
          </w:tcPr>
          <w:p>
            <w:pPr>
              <w:spacing w:line="440" w:lineRule="exact"/>
              <w:jc w:val="center"/>
              <w:rPr>
                <w:rFonts w:ascii="宋体" w:hAnsi="宋体"/>
              </w:rPr>
            </w:pPr>
          </w:p>
        </w:tc>
        <w:tc>
          <w:tcPr>
            <w:tcW w:w="674" w:type="dxa"/>
            <w:vAlign w:val="center"/>
          </w:tcPr>
          <w:p>
            <w:pPr>
              <w:pStyle w:val="8"/>
              <w:spacing w:line="440" w:lineRule="exact"/>
              <w:rPr>
                <w:rFonts w:hAnsi="宋体"/>
              </w:rPr>
            </w:pPr>
          </w:p>
        </w:tc>
        <w:tc>
          <w:tcPr>
            <w:tcW w:w="720" w:type="dxa"/>
            <w:vAlign w:val="center"/>
          </w:tcPr>
          <w:p>
            <w:pPr>
              <w:pStyle w:val="8"/>
              <w:spacing w:line="440" w:lineRule="exact"/>
              <w:rPr>
                <w:rFonts w:hAnsi="宋体"/>
              </w:rPr>
            </w:pPr>
          </w:p>
        </w:tc>
        <w:tc>
          <w:tcPr>
            <w:tcW w:w="2101" w:type="dxa"/>
            <w:vAlign w:val="center"/>
          </w:tcPr>
          <w:p>
            <w:pPr>
              <w:pStyle w:val="8"/>
              <w:spacing w:line="440" w:lineRule="exact"/>
              <w:rPr>
                <w:rFonts w:hAnsi="宋体"/>
              </w:rPr>
            </w:pPr>
          </w:p>
        </w:tc>
        <w:tc>
          <w:tcPr>
            <w:tcW w:w="765" w:type="dxa"/>
            <w:vAlign w:val="center"/>
          </w:tcPr>
          <w:p>
            <w:pPr>
              <w:pStyle w:val="8"/>
              <w:spacing w:line="440" w:lineRule="exact"/>
              <w:rPr>
                <w:rFonts w:hAnsi="宋体"/>
              </w:rPr>
            </w:pPr>
          </w:p>
        </w:tc>
        <w:tc>
          <w:tcPr>
            <w:tcW w:w="1260" w:type="dxa"/>
            <w:vAlign w:val="center"/>
          </w:tcPr>
          <w:p>
            <w:pPr>
              <w:pStyle w:val="8"/>
              <w:spacing w:line="440" w:lineRule="exact"/>
              <w:rPr>
                <w:rFonts w:hAnsi="宋体"/>
              </w:rPr>
            </w:pPr>
          </w:p>
        </w:tc>
        <w:tc>
          <w:tcPr>
            <w:tcW w:w="907" w:type="dxa"/>
            <w:vAlign w:val="center"/>
          </w:tcPr>
          <w:p>
            <w:pPr>
              <w:pStyle w:val="8"/>
              <w:spacing w:line="440" w:lineRule="exact"/>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20" w:type="dxa"/>
            <w:gridSpan w:val="9"/>
            <w:vAlign w:val="center"/>
          </w:tcPr>
          <w:p>
            <w:pPr>
              <w:pStyle w:val="8"/>
              <w:spacing w:line="440" w:lineRule="exact"/>
              <w:rPr>
                <w:rFonts w:hAnsi="宋体"/>
                <w:spacing w:val="-6"/>
              </w:rPr>
            </w:pPr>
            <w:r>
              <w:rPr>
                <w:rFonts w:hint="eastAsia" w:hAnsi="宋体"/>
                <w:spacing w:val="-6"/>
              </w:rPr>
              <w:t>总报价（人民币大写）：</w:t>
            </w:r>
            <w:r>
              <w:rPr>
                <w:rFonts w:hint="eastAsia" w:hAnsi="宋体"/>
                <w:spacing w:val="-6"/>
                <w:u w:val="single"/>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20" w:type="dxa"/>
            <w:gridSpan w:val="9"/>
            <w:vAlign w:val="center"/>
          </w:tcPr>
          <w:p>
            <w:pPr>
              <w:pStyle w:val="8"/>
              <w:spacing w:line="440" w:lineRule="exact"/>
              <w:rPr>
                <w:rFonts w:hAnsi="宋体"/>
                <w:spacing w:val="-6"/>
              </w:rPr>
            </w:pPr>
            <w:r>
              <w:rPr>
                <w:rFonts w:hint="eastAsia"/>
                <w:spacing w:val="-6"/>
              </w:rPr>
              <w:t>交付使用时间</w:t>
            </w:r>
            <w:r>
              <w:rPr>
                <w:rFonts w:hint="eastAsia" w:hAnsi="宋体"/>
                <w:spacing w:val="-6"/>
              </w:rPr>
              <w:t>：</w:t>
            </w:r>
            <w:r>
              <w:rPr>
                <w:rFonts w:hint="eastAsia" w:hAnsi="宋体"/>
              </w:rPr>
              <w:t>自合同签订之日</w:t>
            </w:r>
            <w:r>
              <w:rPr>
                <w:rFonts w:hint="eastAsia" w:hAnsi="宋体"/>
                <w:color w:val="FF0000"/>
              </w:rPr>
              <w:t>起</w:t>
            </w:r>
            <w:r>
              <w:rPr>
                <w:rFonts w:hint="eastAsia" w:hAnsi="宋体"/>
                <w:b/>
                <w:bCs/>
                <w:color w:val="FF0000"/>
                <w:u w:val="single"/>
              </w:rPr>
              <w:t xml:space="preserve"> 30 </w:t>
            </w:r>
            <w:r>
              <w:rPr>
                <w:rFonts w:hint="eastAsia" w:hAnsi="宋体"/>
                <w:color w:val="FF0000"/>
              </w:rPr>
              <w:t>日</w:t>
            </w:r>
            <w:r>
              <w:rPr>
                <w:rFonts w:hint="eastAsia" w:hAnsi="宋体"/>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20" w:type="dxa"/>
            <w:gridSpan w:val="9"/>
            <w:vAlign w:val="center"/>
          </w:tcPr>
          <w:p>
            <w:pPr>
              <w:pStyle w:val="8"/>
              <w:spacing w:line="440" w:lineRule="exact"/>
              <w:rPr>
                <w:rFonts w:hAnsi="宋体"/>
                <w:spacing w:val="-6"/>
              </w:rPr>
            </w:pPr>
            <w:r>
              <w:rPr>
                <w:rFonts w:hint="eastAsia"/>
                <w:spacing w:val="-6"/>
              </w:rPr>
              <w:t>交货地点：采购人指定地点</w:t>
            </w:r>
          </w:p>
        </w:tc>
      </w:tr>
    </w:tbl>
    <w:p>
      <w:pPr>
        <w:spacing w:line="440" w:lineRule="exact"/>
        <w:rPr>
          <w:rFonts w:ascii="宋体" w:hAnsi="宋体"/>
          <w:szCs w:val="21"/>
        </w:rPr>
      </w:pPr>
      <w:r>
        <w:rPr>
          <w:rFonts w:hint="eastAsia" w:ascii="宋体" w:hAnsi="宋体"/>
          <w:szCs w:val="21"/>
        </w:rPr>
        <w:t>注：1、所有价格均用人民币表示，单位为元，精确到个数位；</w:t>
      </w:r>
    </w:p>
    <w:p>
      <w:pPr>
        <w:pStyle w:val="8"/>
        <w:spacing w:line="440" w:lineRule="exact"/>
        <w:ind w:firstLine="420" w:firstLineChars="200"/>
        <w:rPr>
          <w:rFonts w:hAnsi="宋体"/>
        </w:rPr>
      </w:pPr>
      <w:r>
        <w:rPr>
          <w:rFonts w:hint="eastAsia" w:hAnsi="宋体"/>
          <w:bCs/>
        </w:rPr>
        <w:t>2、</w:t>
      </w:r>
      <w:r>
        <w:rPr>
          <w:rFonts w:hint="eastAsia" w:hAnsi="宋体"/>
        </w:rPr>
        <w:t>总报价指设备金额、随配附件、备品备件、工具、货物运抵指定交货地点的各种费用、装卸费、搬运费、安装及相关材料费、调试费、软件费、检验费、培训费、售后服务、税金、利息、环境还原恢复及其它所有成本费用的总和。</w:t>
      </w:r>
    </w:p>
    <w:p>
      <w:pPr>
        <w:pStyle w:val="8"/>
        <w:spacing w:line="440" w:lineRule="exact"/>
        <w:ind w:firstLine="420" w:firstLineChars="200"/>
        <w:rPr>
          <w:rFonts w:hAnsi="宋体"/>
        </w:rPr>
      </w:pPr>
    </w:p>
    <w:p>
      <w:pPr>
        <w:pStyle w:val="8"/>
        <w:spacing w:line="440" w:lineRule="exact"/>
        <w:ind w:firstLine="3675" w:firstLineChars="1750"/>
        <w:rPr>
          <w:rFonts w:hAnsi="宋体"/>
          <w:u w:val="single"/>
        </w:rPr>
      </w:pPr>
      <w:r>
        <w:rPr>
          <w:rFonts w:hint="eastAsia" w:hAnsi="宋体"/>
        </w:rPr>
        <w:t>法定代表人或法定代表人授权代表（签字）:</w:t>
      </w:r>
      <w:r>
        <w:rPr>
          <w:rFonts w:hint="eastAsia" w:hAnsi="宋体"/>
          <w:u w:val="single"/>
        </w:rPr>
        <w:t xml:space="preserve">              </w:t>
      </w:r>
    </w:p>
    <w:p>
      <w:pPr>
        <w:pStyle w:val="8"/>
        <w:spacing w:line="440" w:lineRule="exact"/>
        <w:ind w:firstLine="3675" w:firstLineChars="1750"/>
        <w:rPr>
          <w:rFonts w:hAnsi="宋体"/>
          <w:u w:val="single"/>
        </w:rPr>
      </w:pPr>
      <w:r>
        <w:rPr>
          <w:rFonts w:hint="eastAsia" w:hAnsi="宋体"/>
        </w:rPr>
        <w:t>谈判竞标人名称（公章）：</w:t>
      </w:r>
      <w:r>
        <w:rPr>
          <w:rFonts w:hint="eastAsia" w:hAnsi="宋体"/>
          <w:u w:val="single"/>
        </w:rPr>
        <w:t xml:space="preserve">             </w:t>
      </w:r>
    </w:p>
    <w:p>
      <w:pPr>
        <w:spacing w:line="440" w:lineRule="exact"/>
        <w:ind w:firstLine="3675" w:firstLineChars="1750"/>
        <w:rPr>
          <w:rFonts w:ascii="黑体" w:hAnsi="黑体" w:eastAsia="黑体" w:cs="黑体"/>
          <w:sz w:val="32"/>
          <w:szCs w:val="32"/>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bookmarkStart w:id="32" w:name="_Toc397585464"/>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8"/>
        <w:rPr>
          <w:rFonts w:ascii="仿宋_GB2312" w:hAnsi="宋体" w:eastAsia="仿宋_GB2312"/>
          <w:sz w:val="28"/>
          <w:szCs w:val="28"/>
        </w:rPr>
      </w:pPr>
    </w:p>
    <w:p>
      <w:pPr>
        <w:pStyle w:val="4"/>
        <w:jc w:val="center"/>
        <w:rPr>
          <w:rFonts w:ascii="黑体" w:hAnsi="黑体" w:cs="黑体"/>
        </w:rPr>
        <w:sectPr>
          <w:pgSz w:w="11906" w:h="16838"/>
          <w:pgMar w:top="1440" w:right="1800" w:bottom="1440" w:left="1800" w:header="851" w:footer="992" w:gutter="0"/>
          <w:cols w:space="425" w:num="1"/>
          <w:docGrid w:type="lines" w:linePitch="312" w:charSpace="0"/>
        </w:sectPr>
      </w:pPr>
      <w:bookmarkStart w:id="33" w:name="_Toc419359836"/>
      <w:bookmarkStart w:id="34" w:name="_Toc491248248"/>
      <w:bookmarkStart w:id="35" w:name="_Toc397585463"/>
      <w:r>
        <w:rPr>
          <w:rFonts w:hint="eastAsia" w:ascii="仿宋_GB2312"/>
          <w:sz w:val="44"/>
          <w:szCs w:val="44"/>
        </w:rPr>
        <w:t>二、商务技术文件</w:t>
      </w:r>
      <w:bookmarkEnd w:id="33"/>
      <w:bookmarkEnd w:id="34"/>
      <w:bookmarkEnd w:id="35"/>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（一）竞 标 函</w:t>
      </w:r>
      <w:bookmarkEnd w:id="32"/>
    </w:p>
    <w:p>
      <w:pPr>
        <w:spacing w:line="440" w:lineRule="exact"/>
        <w:jc w:val="center"/>
        <w:rPr>
          <w:rFonts w:ascii="宋体" w:hAnsi="宋体"/>
          <w:b/>
          <w:szCs w:val="21"/>
        </w:rPr>
      </w:pPr>
    </w:p>
    <w:p>
      <w:pPr>
        <w:pStyle w:val="8"/>
        <w:spacing w:line="440" w:lineRule="exact"/>
        <w:rPr>
          <w:rFonts w:hAnsi="宋体"/>
        </w:rPr>
      </w:pPr>
      <w:r>
        <w:rPr>
          <w:rFonts w:hint="eastAsia"/>
          <w:u w:val="single"/>
        </w:rPr>
        <w:t>广西坤珍建设项目管理咨询有限公司</w:t>
      </w:r>
      <w:r>
        <w:rPr>
          <w:rFonts w:hint="eastAsia" w:hAnsi="宋体"/>
        </w:rPr>
        <w:t>：</w:t>
      </w:r>
    </w:p>
    <w:p>
      <w:pPr>
        <w:pStyle w:val="8"/>
        <w:spacing w:line="440" w:lineRule="exact"/>
        <w:ind w:firstLine="480"/>
        <w:rPr>
          <w:rFonts w:hAnsi="宋体"/>
        </w:rPr>
      </w:pPr>
      <w:r>
        <w:rPr>
          <w:rFonts w:hint="eastAsia" w:hAnsi="宋体"/>
        </w:rPr>
        <w:t>依据贵方</w:t>
      </w:r>
      <w:r>
        <w:rPr>
          <w:rFonts w:hint="eastAsia" w:hAnsi="宋体"/>
          <w:u w:val="single"/>
        </w:rPr>
        <w:t>（项目名称及标段/文件编号）</w:t>
      </w:r>
      <w:r>
        <w:rPr>
          <w:rFonts w:hint="eastAsia" w:hAnsi="宋体"/>
        </w:rPr>
        <w:t>项目政府采购的谈判邀请，我方</w:t>
      </w:r>
      <w:r>
        <w:rPr>
          <w:rFonts w:hint="eastAsia" w:hAnsi="宋体"/>
          <w:u w:val="single"/>
        </w:rPr>
        <w:t>（姓名和职务）</w:t>
      </w:r>
      <w:r>
        <w:rPr>
          <w:rFonts w:hint="eastAsia" w:hAnsi="宋体"/>
        </w:rPr>
        <w:t>经正式授权并代表谈判竞标人</w:t>
      </w:r>
      <w:r>
        <w:rPr>
          <w:rFonts w:hint="eastAsia" w:hAnsi="宋体"/>
          <w:u w:val="single"/>
        </w:rPr>
        <w:t>（谈判竞标人名称、地址）</w:t>
      </w:r>
      <w:r>
        <w:rPr>
          <w:rFonts w:hint="eastAsia" w:hAnsi="宋体"/>
        </w:rPr>
        <w:t>提交下述响应文件正本</w:t>
      </w:r>
      <w:r>
        <w:rPr>
          <w:rFonts w:hint="eastAsia" w:hAnsi="宋体"/>
          <w:u w:val="single"/>
        </w:rPr>
        <w:t>一</w:t>
      </w:r>
      <w:r>
        <w:rPr>
          <w:rFonts w:hint="eastAsia" w:hAnsi="宋体"/>
        </w:rPr>
        <w:t>份、副本</w:t>
      </w:r>
      <w:r>
        <w:rPr>
          <w:rFonts w:hint="eastAsia" w:hAnsi="宋体"/>
          <w:u w:val="single"/>
        </w:rPr>
        <w:t xml:space="preserve"> 四 </w:t>
      </w:r>
      <w:r>
        <w:rPr>
          <w:rFonts w:hint="eastAsia" w:hAnsi="宋体"/>
        </w:rPr>
        <w:t>份。</w:t>
      </w:r>
    </w:p>
    <w:p>
      <w:pPr>
        <w:pStyle w:val="8"/>
        <w:spacing w:line="440" w:lineRule="exact"/>
        <w:ind w:firstLine="480"/>
        <w:rPr>
          <w:rFonts w:hAnsi="宋体"/>
        </w:rPr>
      </w:pPr>
      <w:r>
        <w:rPr>
          <w:rFonts w:hint="eastAsia" w:hAnsi="宋体"/>
        </w:rPr>
        <w:t>1. 报价表；</w:t>
      </w:r>
    </w:p>
    <w:p>
      <w:pPr>
        <w:pStyle w:val="8"/>
        <w:spacing w:line="440" w:lineRule="exact"/>
        <w:ind w:firstLine="480"/>
        <w:rPr>
          <w:rFonts w:hAnsi="宋体"/>
        </w:rPr>
      </w:pPr>
      <w:r>
        <w:rPr>
          <w:rFonts w:hint="eastAsia" w:hAnsi="宋体"/>
        </w:rPr>
        <w:t>2. 技术响应偏离情况说明表；</w:t>
      </w:r>
    </w:p>
    <w:p>
      <w:pPr>
        <w:pStyle w:val="8"/>
        <w:spacing w:line="440" w:lineRule="exact"/>
        <w:ind w:firstLine="480"/>
        <w:rPr>
          <w:rFonts w:hAnsi="宋体"/>
        </w:rPr>
      </w:pPr>
      <w:r>
        <w:rPr>
          <w:rFonts w:hint="eastAsia" w:hAnsi="宋体"/>
        </w:rPr>
        <w:t>3. 售后服务承诺书；</w:t>
      </w:r>
    </w:p>
    <w:p>
      <w:pPr>
        <w:pStyle w:val="8"/>
        <w:spacing w:line="440" w:lineRule="exact"/>
        <w:ind w:firstLine="480"/>
        <w:rPr>
          <w:rFonts w:hAnsi="宋体"/>
        </w:rPr>
      </w:pPr>
      <w:r>
        <w:rPr>
          <w:rFonts w:hint="eastAsia" w:hAnsi="宋体"/>
        </w:rPr>
        <w:t>4. 资格证明文件；</w:t>
      </w:r>
    </w:p>
    <w:p>
      <w:pPr>
        <w:pStyle w:val="8"/>
        <w:spacing w:line="440" w:lineRule="exact"/>
        <w:ind w:firstLine="480"/>
        <w:rPr>
          <w:rFonts w:hAnsi="宋体"/>
        </w:rPr>
      </w:pPr>
      <w:r>
        <w:rPr>
          <w:rFonts w:hint="eastAsia" w:hAnsi="宋体"/>
        </w:rPr>
        <w:t>5. 货物合格和符合谈判文件规定的证明文件；</w:t>
      </w:r>
    </w:p>
    <w:p>
      <w:pPr>
        <w:pStyle w:val="8"/>
        <w:spacing w:line="440" w:lineRule="exact"/>
        <w:ind w:firstLine="315" w:firstLineChars="150"/>
        <w:rPr>
          <w:rFonts w:hAnsi="宋体"/>
        </w:rPr>
      </w:pPr>
      <w:r>
        <w:rPr>
          <w:rFonts w:hint="eastAsia" w:hAnsi="宋体"/>
        </w:rPr>
        <w:t>在此，授权代表宣布同意如下：</w:t>
      </w:r>
    </w:p>
    <w:p>
      <w:pPr>
        <w:pStyle w:val="8"/>
        <w:spacing w:line="440" w:lineRule="exact"/>
        <w:ind w:firstLine="480"/>
        <w:rPr>
          <w:rFonts w:hAnsi="宋体"/>
        </w:rPr>
      </w:pPr>
      <w:r>
        <w:rPr>
          <w:rFonts w:hint="eastAsia" w:hAnsi="宋体"/>
        </w:rPr>
        <w:t>1. 将按竞争性谈判文件的约定履行合同责任和义务；</w:t>
      </w:r>
    </w:p>
    <w:p>
      <w:pPr>
        <w:pStyle w:val="8"/>
        <w:spacing w:line="440" w:lineRule="exact"/>
        <w:ind w:left="840" w:hanging="360"/>
        <w:rPr>
          <w:rFonts w:hAnsi="宋体"/>
        </w:rPr>
      </w:pPr>
      <w:r>
        <w:rPr>
          <w:rFonts w:hint="eastAsia" w:hAnsi="宋体"/>
        </w:rPr>
        <w:t>2. 已详细审查全部竞争性谈判文件，包括</w:t>
      </w:r>
      <w:r>
        <w:rPr>
          <w:rFonts w:hint="eastAsia" w:hAnsi="宋体"/>
          <w:u w:val="single"/>
        </w:rPr>
        <w:t xml:space="preserve"> （补遗文件） </w:t>
      </w:r>
      <w:r>
        <w:rPr>
          <w:rFonts w:hint="eastAsia" w:hAnsi="宋体"/>
        </w:rPr>
        <w:t>；我们完全理解并同意放弃</w:t>
      </w:r>
    </w:p>
    <w:p>
      <w:pPr>
        <w:pStyle w:val="8"/>
        <w:spacing w:line="440" w:lineRule="exact"/>
        <w:rPr>
          <w:rFonts w:hAnsi="宋体"/>
        </w:rPr>
      </w:pPr>
      <w:r>
        <w:rPr>
          <w:rFonts w:hint="eastAsia" w:hAnsi="宋体"/>
        </w:rPr>
        <w:t>对这方面有不明及误解的权力；</w:t>
      </w:r>
    </w:p>
    <w:p>
      <w:pPr>
        <w:pStyle w:val="8"/>
        <w:spacing w:line="440" w:lineRule="exact"/>
        <w:ind w:left="840" w:hanging="360"/>
        <w:rPr>
          <w:rFonts w:hAnsi="宋体"/>
        </w:rPr>
      </w:pPr>
      <w:r>
        <w:rPr>
          <w:rFonts w:hint="eastAsia" w:hAnsi="宋体"/>
        </w:rPr>
        <w:t>3. 同意提供按照贵方可能要求的与其谈判有关的一切数据或资料；</w:t>
      </w:r>
    </w:p>
    <w:p>
      <w:pPr>
        <w:pStyle w:val="8"/>
        <w:spacing w:line="440" w:lineRule="exact"/>
        <w:ind w:firstLine="480"/>
        <w:rPr>
          <w:rFonts w:hAnsi="宋体"/>
          <w:u w:val="single"/>
        </w:rPr>
      </w:pPr>
      <w:r>
        <w:rPr>
          <w:rFonts w:hint="eastAsia" w:hAnsi="宋体"/>
        </w:rPr>
        <w:t>4. 与本谈判有关的一切正式往来信函请寄：</w:t>
      </w:r>
      <w:r>
        <w:rPr>
          <w:rFonts w:hint="eastAsia" w:hAnsi="宋体"/>
          <w:u w:val="single"/>
        </w:rPr>
        <w:t xml:space="preserve">                       </w:t>
      </w:r>
    </w:p>
    <w:p>
      <w:pPr>
        <w:pStyle w:val="8"/>
        <w:spacing w:line="440" w:lineRule="exact"/>
        <w:ind w:firstLine="840"/>
        <w:rPr>
          <w:rFonts w:hAnsi="宋体"/>
        </w:rPr>
      </w:pPr>
      <w:r>
        <w:rPr>
          <w:rFonts w:hint="eastAsia" w:hAnsi="宋体"/>
        </w:rPr>
        <w:t>电话/传真：</w:t>
      </w:r>
      <w:r>
        <w:rPr>
          <w:rFonts w:hint="eastAsia" w:hAnsi="宋体"/>
          <w:u w:val="single"/>
        </w:rPr>
        <w:t xml:space="preserve">                        </w:t>
      </w:r>
      <w:r>
        <w:rPr>
          <w:rFonts w:hint="eastAsia" w:hAnsi="宋体"/>
        </w:rPr>
        <w:t xml:space="preserve"> 邮箱：</w:t>
      </w:r>
      <w:r>
        <w:rPr>
          <w:rFonts w:hint="eastAsia" w:hAnsi="宋体"/>
          <w:u w:val="single"/>
        </w:rPr>
        <w:t xml:space="preserve">             </w:t>
      </w:r>
      <w:r>
        <w:rPr>
          <w:rFonts w:hint="eastAsia" w:hAnsi="宋体"/>
        </w:rPr>
        <w:t xml:space="preserve">              </w:t>
      </w:r>
    </w:p>
    <w:p>
      <w:pPr>
        <w:pStyle w:val="8"/>
        <w:spacing w:line="440" w:lineRule="exact"/>
        <w:ind w:firstLine="840"/>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8"/>
        <w:spacing w:line="440" w:lineRule="exact"/>
        <w:ind w:firstLine="840"/>
        <w:rPr>
          <w:rFonts w:hAnsi="宋体"/>
          <w:u w:val="single"/>
        </w:rPr>
      </w:pPr>
      <w:r>
        <w:rPr>
          <w:rFonts w:hint="eastAsia" w:hAnsi="宋体"/>
        </w:rPr>
        <w:t>谈判竞标人或法定代表人授权代表签字：</w:t>
      </w:r>
      <w:r>
        <w:rPr>
          <w:rFonts w:hint="eastAsia" w:hAnsi="宋体"/>
          <w:u w:val="single"/>
        </w:rPr>
        <w:t xml:space="preserve">                       </w:t>
      </w:r>
    </w:p>
    <w:p>
      <w:pPr>
        <w:pStyle w:val="8"/>
        <w:spacing w:line="440" w:lineRule="exact"/>
        <w:ind w:firstLine="840"/>
        <w:rPr>
          <w:rFonts w:hAnsi="宋体"/>
        </w:rPr>
      </w:pPr>
      <w:r>
        <w:rPr>
          <w:rFonts w:hint="eastAsia" w:hAnsi="宋体"/>
        </w:rPr>
        <w:t>谈判竞标人名称（公章）：</w:t>
      </w:r>
      <w:r>
        <w:rPr>
          <w:rFonts w:hint="eastAsia" w:hAnsi="宋体"/>
          <w:u w:val="single"/>
        </w:rPr>
        <w:t xml:space="preserve">                                    </w:t>
      </w:r>
      <w:r>
        <w:rPr>
          <w:rFonts w:hint="eastAsia" w:hAnsi="宋体"/>
        </w:rPr>
        <w:t xml:space="preserve">                           </w:t>
      </w:r>
    </w:p>
    <w:p>
      <w:pPr>
        <w:pStyle w:val="8"/>
        <w:spacing w:line="440" w:lineRule="exact"/>
        <w:ind w:firstLine="840"/>
        <w:rPr>
          <w:rFonts w:hAnsi="宋体"/>
        </w:rPr>
      </w:pPr>
      <w:r>
        <w:rPr>
          <w:rFonts w:hint="eastAsia" w:hAnsi="宋体"/>
        </w:rPr>
        <w:t>开户银行：</w:t>
      </w:r>
      <w:r>
        <w:rPr>
          <w:rFonts w:hint="eastAsia" w:hAnsi="宋体"/>
          <w:u w:val="single"/>
        </w:rPr>
        <w:t xml:space="preserve">                         </w:t>
      </w:r>
      <w:r>
        <w:rPr>
          <w:rFonts w:hint="eastAsia" w:hAnsi="宋体"/>
        </w:rPr>
        <w:t xml:space="preserve">  帐号/行号：</w:t>
      </w:r>
      <w:r>
        <w:rPr>
          <w:rFonts w:hint="eastAsia" w:hAnsi="宋体"/>
          <w:u w:val="single"/>
        </w:rPr>
        <w:t xml:space="preserve">           </w:t>
      </w:r>
      <w:r>
        <w:rPr>
          <w:rFonts w:hint="eastAsia" w:hAnsi="宋体"/>
        </w:rPr>
        <w:t xml:space="preserve">                     </w:t>
      </w:r>
    </w:p>
    <w:p>
      <w:pPr>
        <w:pStyle w:val="4"/>
        <w:jc w:val="center"/>
      </w:pPr>
      <w:r>
        <w:rPr>
          <w:rFonts w:ascii="宋体" w:hAnsi="宋体" w:eastAsia="宋体"/>
          <w:b w:val="0"/>
          <w:bCs w:val="0"/>
          <w:sz w:val="21"/>
          <w:szCs w:val="21"/>
        </w:rPr>
        <w:br w:type="page"/>
      </w:r>
      <w:bookmarkStart w:id="36" w:name="_Toc419359837"/>
      <w:bookmarkStart w:id="37" w:name="_Toc491248249"/>
      <w:bookmarkStart w:id="38" w:name="_Toc397585465"/>
      <w:r>
        <w:rPr>
          <w:rFonts w:hint="eastAsia"/>
        </w:rPr>
        <w:t>（二）</w:t>
      </w:r>
      <w:r>
        <w:rPr>
          <w:rFonts w:hint="eastAsia" w:ascii="宋体" w:hAnsi="宋体"/>
          <w:b w:val="0"/>
        </w:rPr>
        <w:t>技术响应偏离情况说明表</w:t>
      </w:r>
      <w:bookmarkEnd w:id="36"/>
      <w:bookmarkEnd w:id="37"/>
      <w:bookmarkEnd w:id="38"/>
    </w:p>
    <w:p>
      <w:pPr>
        <w:spacing w:line="300" w:lineRule="auto"/>
        <w:jc w:val="center"/>
        <w:rPr>
          <w:rFonts w:ascii="宋体" w:hAnsi="宋体"/>
          <w:b/>
          <w:sz w:val="32"/>
          <w:szCs w:val="32"/>
        </w:rPr>
      </w:pPr>
    </w:p>
    <w:p>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5"/>
        <w:tblW w:w="955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643"/>
        <w:gridCol w:w="2765"/>
        <w:gridCol w:w="2182"/>
        <w:gridCol w:w="12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r>
              <w:rPr>
                <w:rFonts w:hint="eastAsia" w:ascii="宋体" w:hAnsi="宋体"/>
                <w:szCs w:val="21"/>
              </w:rPr>
              <w:t xml:space="preserve">                     </w:t>
            </w:r>
            <w:bookmarkStart w:id="39" w:name="_Toc419359838"/>
            <w:bookmarkStart w:id="40" w:name="_Toc397585466"/>
            <w:bookmarkStart w:id="41" w:name="_Toc491248250"/>
            <w:r>
              <w:rPr>
                <w:rFonts w:hint="eastAsia" w:ascii="宋体" w:hAnsi="宋体"/>
                <w:szCs w:val="21"/>
              </w:rPr>
              <w:t>序号</w:t>
            </w:r>
            <w:bookmarkEnd w:id="39"/>
            <w:bookmarkEnd w:id="40"/>
            <w:bookmarkEnd w:id="41"/>
          </w:p>
        </w:tc>
        <w:tc>
          <w:tcPr>
            <w:tcW w:w="2643" w:type="dxa"/>
            <w:vAlign w:val="center"/>
          </w:tcPr>
          <w:p>
            <w:pPr>
              <w:adjustRightInd w:val="0"/>
              <w:snapToGrid w:val="0"/>
              <w:spacing w:line="300" w:lineRule="auto"/>
              <w:jc w:val="center"/>
              <w:outlineLvl w:val="0"/>
              <w:rPr>
                <w:rFonts w:ascii="宋体" w:hAnsi="宋体"/>
                <w:szCs w:val="21"/>
              </w:rPr>
            </w:pPr>
            <w:bookmarkStart w:id="42" w:name="_Toc397585467"/>
            <w:bookmarkStart w:id="43" w:name="_Toc419359839"/>
            <w:bookmarkStart w:id="44" w:name="_Toc491248251"/>
            <w:r>
              <w:rPr>
                <w:rFonts w:hint="eastAsia" w:ascii="宋体" w:hAnsi="宋体"/>
                <w:szCs w:val="21"/>
              </w:rPr>
              <w:t>竞争性谈判文件要求</w:t>
            </w:r>
            <w:bookmarkEnd w:id="42"/>
            <w:bookmarkEnd w:id="43"/>
            <w:bookmarkEnd w:id="44"/>
          </w:p>
        </w:tc>
        <w:tc>
          <w:tcPr>
            <w:tcW w:w="2765" w:type="dxa"/>
            <w:vAlign w:val="center"/>
          </w:tcPr>
          <w:p>
            <w:pPr>
              <w:adjustRightInd w:val="0"/>
              <w:snapToGrid w:val="0"/>
              <w:spacing w:line="300" w:lineRule="auto"/>
              <w:jc w:val="center"/>
              <w:outlineLvl w:val="0"/>
              <w:rPr>
                <w:rFonts w:ascii="宋体" w:hAnsi="宋体"/>
                <w:szCs w:val="21"/>
              </w:rPr>
            </w:pPr>
            <w:bookmarkStart w:id="45" w:name="_Toc397585468"/>
            <w:bookmarkStart w:id="46" w:name="_Toc419359840"/>
            <w:bookmarkStart w:id="47" w:name="_Toc491248252"/>
            <w:r>
              <w:rPr>
                <w:rFonts w:hint="eastAsia" w:ascii="宋体" w:hAnsi="宋体"/>
                <w:szCs w:val="21"/>
              </w:rPr>
              <w:t>谈判响应文件具体响应</w:t>
            </w:r>
            <w:bookmarkEnd w:id="45"/>
            <w:bookmarkEnd w:id="46"/>
            <w:bookmarkEnd w:id="47"/>
          </w:p>
        </w:tc>
        <w:tc>
          <w:tcPr>
            <w:tcW w:w="2182" w:type="dxa"/>
            <w:vAlign w:val="center"/>
          </w:tcPr>
          <w:p>
            <w:pPr>
              <w:adjustRightInd w:val="0"/>
              <w:snapToGrid w:val="0"/>
              <w:spacing w:line="300" w:lineRule="auto"/>
              <w:jc w:val="center"/>
              <w:outlineLvl w:val="0"/>
              <w:rPr>
                <w:rFonts w:ascii="宋体" w:hAnsi="宋体"/>
                <w:szCs w:val="21"/>
              </w:rPr>
            </w:pPr>
            <w:bookmarkStart w:id="48" w:name="_Toc397585469"/>
            <w:bookmarkStart w:id="49" w:name="_Toc491248253"/>
            <w:bookmarkStart w:id="50" w:name="_Toc419359841"/>
            <w:r>
              <w:rPr>
                <w:rFonts w:hint="eastAsia" w:ascii="宋体" w:hAnsi="宋体"/>
                <w:szCs w:val="21"/>
              </w:rPr>
              <w:t>响应/偏离</w:t>
            </w:r>
            <w:bookmarkEnd w:id="48"/>
            <w:bookmarkEnd w:id="49"/>
            <w:bookmarkEnd w:id="50"/>
          </w:p>
        </w:tc>
        <w:tc>
          <w:tcPr>
            <w:tcW w:w="1260" w:type="dxa"/>
            <w:vAlign w:val="center"/>
          </w:tcPr>
          <w:p>
            <w:pPr>
              <w:adjustRightInd w:val="0"/>
              <w:snapToGrid w:val="0"/>
              <w:spacing w:line="300" w:lineRule="auto"/>
              <w:jc w:val="center"/>
              <w:outlineLvl w:val="0"/>
              <w:rPr>
                <w:rFonts w:ascii="宋体" w:hAnsi="宋体"/>
                <w:szCs w:val="21"/>
              </w:rPr>
            </w:pPr>
            <w:bookmarkStart w:id="51" w:name="_Toc491248254"/>
            <w:bookmarkStart w:id="52" w:name="_Toc419359842"/>
            <w:bookmarkStart w:id="53" w:name="_Toc397585470"/>
            <w:r>
              <w:rPr>
                <w:rFonts w:hint="eastAsia" w:ascii="宋体" w:hAnsi="宋体"/>
                <w:szCs w:val="21"/>
              </w:rPr>
              <w:t>说明</w:t>
            </w:r>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54" w:name="_Toc491248255"/>
            <w:bookmarkStart w:id="55" w:name="_Toc419359843"/>
            <w:bookmarkStart w:id="56" w:name="_Toc397585471"/>
            <w:r>
              <w:rPr>
                <w:rFonts w:hint="eastAsia" w:ascii="宋体" w:hAnsi="宋体"/>
                <w:szCs w:val="21"/>
              </w:rPr>
              <w:t>1</w:t>
            </w:r>
            <w:bookmarkEnd w:id="54"/>
            <w:bookmarkEnd w:id="55"/>
            <w:bookmarkEnd w:id="56"/>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vAlign w:val="center"/>
          </w:tcPr>
          <w:p>
            <w:pPr>
              <w:adjustRightInd w:val="0"/>
              <w:snapToGrid w:val="0"/>
              <w:spacing w:line="300" w:lineRule="auto"/>
              <w:jc w:val="center"/>
              <w:outlineLvl w:val="0"/>
              <w:rPr>
                <w:rFonts w:ascii="宋体" w:hAnsi="宋体"/>
                <w:szCs w:val="21"/>
              </w:rPr>
            </w:pPr>
          </w:p>
        </w:tc>
        <w:tc>
          <w:tcPr>
            <w:tcW w:w="12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57" w:name="_Toc419359844"/>
            <w:bookmarkStart w:id="58" w:name="_Toc491248256"/>
            <w:bookmarkStart w:id="59" w:name="_Toc397585472"/>
            <w:r>
              <w:rPr>
                <w:rFonts w:hint="eastAsia" w:ascii="宋体" w:hAnsi="宋体"/>
                <w:szCs w:val="21"/>
              </w:rPr>
              <w:t>2</w:t>
            </w:r>
            <w:bookmarkEnd w:id="57"/>
            <w:bookmarkEnd w:id="58"/>
            <w:bookmarkEnd w:id="59"/>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vAlign w:val="center"/>
          </w:tcPr>
          <w:p>
            <w:pPr>
              <w:adjustRightInd w:val="0"/>
              <w:snapToGrid w:val="0"/>
              <w:spacing w:line="300" w:lineRule="auto"/>
              <w:jc w:val="center"/>
              <w:outlineLvl w:val="0"/>
              <w:rPr>
                <w:rFonts w:ascii="宋体" w:hAnsi="宋体"/>
                <w:szCs w:val="21"/>
              </w:rPr>
            </w:pPr>
          </w:p>
        </w:tc>
        <w:tc>
          <w:tcPr>
            <w:tcW w:w="12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60" w:name="_Toc491248257"/>
            <w:bookmarkStart w:id="61" w:name="_Toc397585473"/>
            <w:bookmarkStart w:id="62" w:name="_Toc419359845"/>
            <w:r>
              <w:rPr>
                <w:rFonts w:hint="eastAsia" w:ascii="宋体" w:hAnsi="宋体"/>
                <w:szCs w:val="21"/>
              </w:rPr>
              <w:t>3</w:t>
            </w:r>
            <w:bookmarkEnd w:id="60"/>
            <w:bookmarkEnd w:id="61"/>
            <w:bookmarkEnd w:id="62"/>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vAlign w:val="center"/>
          </w:tcPr>
          <w:p>
            <w:pPr>
              <w:adjustRightInd w:val="0"/>
              <w:snapToGrid w:val="0"/>
              <w:spacing w:line="300" w:lineRule="auto"/>
              <w:jc w:val="center"/>
              <w:outlineLvl w:val="0"/>
              <w:rPr>
                <w:rFonts w:ascii="宋体" w:hAnsi="宋体"/>
                <w:szCs w:val="21"/>
              </w:rPr>
            </w:pPr>
          </w:p>
        </w:tc>
        <w:tc>
          <w:tcPr>
            <w:tcW w:w="12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63" w:name="_Toc419359846"/>
            <w:bookmarkStart w:id="64" w:name="_Toc397585474"/>
            <w:bookmarkStart w:id="65" w:name="_Toc491248258"/>
            <w:r>
              <w:rPr>
                <w:rFonts w:hint="eastAsia" w:ascii="宋体" w:hAnsi="宋体"/>
                <w:szCs w:val="21"/>
              </w:rPr>
              <w:t>4</w:t>
            </w:r>
            <w:bookmarkEnd w:id="63"/>
            <w:bookmarkEnd w:id="64"/>
            <w:bookmarkEnd w:id="65"/>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vAlign w:val="center"/>
          </w:tcPr>
          <w:p>
            <w:pPr>
              <w:adjustRightInd w:val="0"/>
              <w:snapToGrid w:val="0"/>
              <w:spacing w:line="300" w:lineRule="auto"/>
              <w:jc w:val="center"/>
              <w:outlineLvl w:val="0"/>
              <w:rPr>
                <w:rFonts w:ascii="宋体" w:hAnsi="宋体"/>
                <w:szCs w:val="21"/>
              </w:rPr>
            </w:pPr>
          </w:p>
        </w:tc>
        <w:tc>
          <w:tcPr>
            <w:tcW w:w="12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66" w:name="_Toc419359847"/>
            <w:bookmarkStart w:id="67" w:name="_Toc397585475"/>
            <w:bookmarkStart w:id="68" w:name="_Toc491248259"/>
            <w:r>
              <w:rPr>
                <w:rFonts w:hint="eastAsia" w:ascii="宋体" w:hAnsi="宋体"/>
                <w:szCs w:val="21"/>
              </w:rPr>
              <w:t>5</w:t>
            </w:r>
            <w:bookmarkEnd w:id="66"/>
            <w:bookmarkEnd w:id="67"/>
            <w:bookmarkEnd w:id="68"/>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vAlign w:val="center"/>
          </w:tcPr>
          <w:p>
            <w:pPr>
              <w:adjustRightInd w:val="0"/>
              <w:snapToGrid w:val="0"/>
              <w:spacing w:line="300" w:lineRule="auto"/>
              <w:jc w:val="center"/>
              <w:outlineLvl w:val="0"/>
              <w:rPr>
                <w:rFonts w:ascii="宋体" w:hAnsi="宋体"/>
                <w:szCs w:val="21"/>
              </w:rPr>
            </w:pPr>
          </w:p>
        </w:tc>
        <w:tc>
          <w:tcPr>
            <w:tcW w:w="12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adjustRightInd w:val="0"/>
              <w:snapToGrid w:val="0"/>
              <w:spacing w:line="300" w:lineRule="auto"/>
              <w:jc w:val="center"/>
              <w:outlineLvl w:val="0"/>
              <w:rPr>
                <w:rFonts w:ascii="宋体" w:hAnsi="宋体"/>
                <w:szCs w:val="21"/>
              </w:rPr>
            </w:pPr>
            <w:bookmarkStart w:id="69" w:name="_Toc419359848"/>
            <w:bookmarkStart w:id="70" w:name="_Toc397585476"/>
            <w:bookmarkStart w:id="71" w:name="_Toc491248260"/>
            <w:r>
              <w:rPr>
                <w:rFonts w:hint="eastAsia" w:ascii="宋体" w:hAnsi="宋体"/>
                <w:szCs w:val="21"/>
              </w:rPr>
              <w:t>…</w:t>
            </w:r>
            <w:bookmarkEnd w:id="69"/>
            <w:bookmarkEnd w:id="70"/>
            <w:bookmarkEnd w:id="71"/>
          </w:p>
        </w:tc>
        <w:tc>
          <w:tcPr>
            <w:tcW w:w="2643" w:type="dxa"/>
            <w:vAlign w:val="center"/>
          </w:tcPr>
          <w:p>
            <w:pPr>
              <w:adjustRightInd w:val="0"/>
              <w:snapToGrid w:val="0"/>
              <w:spacing w:line="300" w:lineRule="auto"/>
              <w:jc w:val="center"/>
              <w:outlineLvl w:val="0"/>
              <w:rPr>
                <w:rFonts w:ascii="宋体" w:hAnsi="宋体"/>
                <w:szCs w:val="21"/>
              </w:rPr>
            </w:pPr>
          </w:p>
        </w:tc>
        <w:tc>
          <w:tcPr>
            <w:tcW w:w="2765" w:type="dxa"/>
            <w:vAlign w:val="center"/>
          </w:tcPr>
          <w:p>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pPr>
              <w:adjustRightInd w:val="0"/>
              <w:snapToGrid w:val="0"/>
              <w:spacing w:line="300" w:lineRule="auto"/>
              <w:jc w:val="center"/>
              <w:outlineLvl w:val="0"/>
              <w:rPr>
                <w:rFonts w:ascii="宋体" w:hAnsi="宋体"/>
                <w:szCs w:val="21"/>
              </w:rPr>
            </w:pPr>
          </w:p>
        </w:tc>
      </w:tr>
    </w:tbl>
    <w:p>
      <w:pPr>
        <w:adjustRightInd w:val="0"/>
        <w:snapToGrid w:val="0"/>
        <w:spacing w:line="300" w:lineRule="auto"/>
        <w:rPr>
          <w:rFonts w:ascii="宋体" w:hAnsi="宋体"/>
          <w:szCs w:val="21"/>
        </w:rPr>
      </w:pPr>
    </w:p>
    <w:p>
      <w:pPr>
        <w:pStyle w:val="7"/>
        <w:spacing w:line="300" w:lineRule="auto"/>
        <w:ind w:firstLine="0" w:firstLineChars="0"/>
        <w:rPr>
          <w:rFonts w:ascii="宋体" w:hAnsi="宋体" w:eastAsia="宋体"/>
          <w:sz w:val="21"/>
          <w:szCs w:val="21"/>
        </w:rPr>
      </w:pPr>
      <w:r>
        <w:rPr>
          <w:rFonts w:hint="eastAsia" w:ascii="宋体" w:hAnsi="宋体" w:eastAsia="宋体"/>
          <w:sz w:val="21"/>
          <w:szCs w:val="21"/>
        </w:rPr>
        <w:t>说明：应对照竞争性谈判文件“第二章 采购项目需求”，逐条说明所提供货物和服务已对竞争性谈判文件要求的技术规格做出了实质性的响应，并申明与技术规格条文的响应和偏离。特别对有具体参数要求的指标，竞标人必须提供所供设备的具体参数值。如果仅注明“符合”、“满足”或简单复制竞争性谈判文件要求，将导致谈判被拒绝。</w:t>
      </w:r>
    </w:p>
    <w:p>
      <w:pPr>
        <w:pStyle w:val="8"/>
        <w:spacing w:line="300" w:lineRule="auto"/>
        <w:rPr>
          <w:rFonts w:hAnsi="宋体"/>
        </w:rPr>
      </w:pPr>
    </w:p>
    <w:p>
      <w:pPr>
        <w:pStyle w:val="8"/>
        <w:spacing w:line="300" w:lineRule="auto"/>
        <w:rPr>
          <w:rFonts w:hAnsi="宋体"/>
        </w:rPr>
      </w:pPr>
    </w:p>
    <w:p>
      <w:pPr>
        <w:pStyle w:val="8"/>
        <w:spacing w:line="300" w:lineRule="auto"/>
        <w:ind w:firstLine="5775" w:firstLineChars="2750"/>
        <w:rPr>
          <w:rFonts w:hAnsi="宋体"/>
        </w:rPr>
      </w:pPr>
      <w:r>
        <w:rPr>
          <w:rFonts w:hint="eastAsia" w:hAnsi="宋体"/>
        </w:rPr>
        <w:t>单位盖章:</w:t>
      </w:r>
      <w:r>
        <w:rPr>
          <w:rFonts w:hint="eastAsia" w:hAnsi="宋体"/>
          <w:u w:val="single"/>
        </w:rPr>
        <w:t xml:space="preserve">                </w:t>
      </w:r>
    </w:p>
    <w:p>
      <w:pPr>
        <w:pStyle w:val="8"/>
        <w:spacing w:line="300" w:lineRule="auto"/>
        <w:ind w:firstLine="5880" w:firstLineChars="2800"/>
        <w:rPr>
          <w:rFonts w:hAnsi="宋体"/>
          <w:u w:val="single"/>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4"/>
        <w:jc w:val="center"/>
      </w:pPr>
      <w:bookmarkStart w:id="72" w:name="_Toc397585477"/>
    </w:p>
    <w:p/>
    <w:p>
      <w:r>
        <w:br w:type="page"/>
      </w:r>
    </w:p>
    <w:p>
      <w:pPr>
        <w:pStyle w:val="4"/>
        <w:numPr>
          <w:ilvl w:val="0"/>
          <w:numId w:val="3"/>
        </w:numPr>
        <w:jc w:val="center"/>
      </w:pPr>
      <w:bookmarkStart w:id="73" w:name="_Toc491248261"/>
      <w:bookmarkStart w:id="74" w:name="_Toc419359849"/>
      <w:r>
        <w:rPr>
          <w:rFonts w:hint="eastAsia"/>
        </w:rPr>
        <w:t>竞标人售后服务承诺书</w:t>
      </w:r>
      <w:bookmarkEnd w:id="72"/>
      <w:bookmarkEnd w:id="73"/>
      <w:bookmarkEnd w:id="74"/>
    </w:p>
    <w:p>
      <w:pPr>
        <w:pStyle w:val="4"/>
        <w:jc w:val="center"/>
        <w:rPr>
          <w:sz w:val="21"/>
          <w:szCs w:val="21"/>
        </w:rPr>
      </w:pPr>
      <w:bookmarkStart w:id="75" w:name="_Toc419359850"/>
      <w:bookmarkStart w:id="76" w:name="_Toc491248262"/>
      <w:r>
        <w:rPr>
          <w:rFonts w:hint="eastAsia"/>
          <w:sz w:val="21"/>
          <w:szCs w:val="21"/>
        </w:rPr>
        <w:t>（由竞标人就《项目需求一览表》售后服务及要求自行填写）</w:t>
      </w:r>
      <w:bookmarkEnd w:id="75"/>
      <w:bookmarkEnd w:id="76"/>
    </w:p>
    <w:p/>
    <w:p/>
    <w:p>
      <w:r>
        <w:br w:type="page"/>
      </w:r>
    </w:p>
    <w:p>
      <w:pPr>
        <w:pStyle w:val="4"/>
        <w:jc w:val="center"/>
        <w:rPr>
          <w:rFonts w:hAnsi="宋体"/>
        </w:rPr>
      </w:pPr>
      <w:bookmarkStart w:id="77" w:name="_Toc397585478"/>
      <w:bookmarkStart w:id="78" w:name="_Toc491248263"/>
      <w:bookmarkStart w:id="79" w:name="_Toc419359851"/>
      <w:r>
        <w:rPr>
          <w:rFonts w:hint="eastAsia"/>
        </w:rPr>
        <w:t>（四）竞标人资格证明文件</w:t>
      </w:r>
      <w:bookmarkEnd w:id="77"/>
      <w:bookmarkEnd w:id="78"/>
      <w:bookmarkEnd w:id="79"/>
    </w:p>
    <w:p>
      <w:pPr>
        <w:jc w:val="center"/>
      </w:pPr>
      <w:r>
        <w:rPr>
          <w:rFonts w:hint="eastAsia"/>
        </w:rPr>
        <w:t>（按照第三章“竞标人须知”5.6.2中第（4）点要求提供，并相应添加目录，以便查找）</w:t>
      </w:r>
    </w:p>
    <w:p>
      <w:pPr>
        <w:jc w:val="center"/>
      </w:pPr>
    </w:p>
    <w:p>
      <w:pPr>
        <w:jc w:val="center"/>
      </w:pPr>
    </w:p>
    <w:p/>
    <w:p>
      <w:pPr>
        <w:jc w:val="center"/>
      </w:pPr>
    </w:p>
    <w:p>
      <w:pPr>
        <w:jc w:val="center"/>
      </w:pPr>
      <w:r>
        <w:rPr>
          <w:rFonts w:hint="eastAsia" w:ascii="仿宋_GB2312" w:hAnsi="宋体" w:eastAsia="仿宋_GB2312"/>
          <w:b/>
          <w:sz w:val="32"/>
          <w:szCs w:val="32"/>
        </w:rPr>
        <w:t>法定代表人授权委托书</w:t>
      </w:r>
    </w:p>
    <w:p>
      <w:pPr>
        <w:spacing w:line="440" w:lineRule="exact"/>
        <w:rPr>
          <w:rFonts w:ascii="宋体" w:hAnsi="宋体"/>
          <w:szCs w:val="21"/>
          <w:u w:val="single"/>
        </w:rPr>
      </w:pPr>
    </w:p>
    <w:p>
      <w:pPr>
        <w:spacing w:line="480" w:lineRule="auto"/>
        <w:rPr>
          <w:rFonts w:ascii="宋体" w:hAnsi="宋体"/>
          <w:szCs w:val="21"/>
          <w:u w:val="single"/>
        </w:rPr>
      </w:pPr>
      <w:r>
        <w:rPr>
          <w:rFonts w:hint="eastAsia"/>
          <w:u w:val="single"/>
        </w:rPr>
        <w:t>广西坤珍建设项目管理咨询有限公司</w:t>
      </w:r>
      <w:r>
        <w:rPr>
          <w:rFonts w:hint="eastAsia" w:ascii="宋体" w:hAnsi="宋体"/>
          <w:szCs w:val="21"/>
          <w:u w:val="single"/>
        </w:rPr>
        <w:t>：</w:t>
      </w:r>
    </w:p>
    <w:p>
      <w:pPr>
        <w:spacing w:line="48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 xml:space="preserve"> （项目名称及标段、项目编号）竞争性谈判 </w:t>
      </w:r>
      <w:r>
        <w:rPr>
          <w:rFonts w:hint="eastAsia" w:ascii="宋体" w:hAnsi="宋体"/>
          <w:szCs w:val="21"/>
        </w:rPr>
        <w:t>采购活动的竞标代表人，全权代表我公司处理在该项目活动中的一切事宜。代理期限从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pPr>
        <w:spacing w:line="480" w:lineRule="auto"/>
        <w:rPr>
          <w:rFonts w:ascii="宋体" w:hAnsi="宋体"/>
          <w:szCs w:val="21"/>
        </w:rPr>
      </w:pPr>
    </w:p>
    <w:p>
      <w:pPr>
        <w:spacing w:line="440" w:lineRule="exact"/>
        <w:ind w:firstLine="4410" w:firstLineChars="2100"/>
        <w:rPr>
          <w:rFonts w:ascii="宋体" w:hAnsi="宋体"/>
          <w:szCs w:val="21"/>
        </w:rPr>
      </w:pPr>
      <w:r>
        <w:rPr>
          <w:rFonts w:hint="eastAsia" w:ascii="宋体" w:hAnsi="宋体"/>
          <w:szCs w:val="21"/>
        </w:rPr>
        <w:t>竞标单位（</w:t>
      </w:r>
      <w:r>
        <w:rPr>
          <w:rFonts w:hint="eastAsia" w:hAnsi="宋体"/>
        </w:rPr>
        <w:t>公章</w:t>
      </w:r>
      <w:r>
        <w:rPr>
          <w:rFonts w:hint="eastAsia" w:ascii="宋体" w:hAnsi="宋体"/>
          <w:szCs w:val="21"/>
        </w:rPr>
        <w:t>）：</w:t>
      </w:r>
      <w:r>
        <w:rPr>
          <w:rFonts w:hint="eastAsia" w:ascii="宋体" w:hAnsi="宋体"/>
          <w:szCs w:val="21"/>
          <w:u w:val="single"/>
        </w:rPr>
        <w:t xml:space="preserve">                   </w:t>
      </w:r>
    </w:p>
    <w:p>
      <w:pPr>
        <w:spacing w:line="440" w:lineRule="exact"/>
        <w:ind w:firstLine="4410" w:firstLineChars="210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440" w:lineRule="exact"/>
        <w:ind w:firstLine="4410" w:firstLineChars="2100"/>
        <w:rPr>
          <w:rFonts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40" w:lineRule="exact"/>
        <w:ind w:firstLine="420" w:firstLineChars="200"/>
        <w:rPr>
          <w:rFonts w:ascii="宋体" w:hAnsi="宋体"/>
          <w:szCs w:val="21"/>
        </w:rPr>
      </w:pPr>
    </w:p>
    <w:p>
      <w:pPr>
        <w:adjustRightInd w:val="0"/>
        <w:snapToGrid w:val="0"/>
        <w:spacing w:line="440" w:lineRule="exact"/>
        <w:ind w:firstLine="420" w:firstLineChars="200"/>
        <w:rPr>
          <w:rFonts w:ascii="宋体" w:hAnsi="宋体"/>
          <w:szCs w:val="21"/>
        </w:rPr>
      </w:pPr>
      <w:r>
        <w:rPr>
          <w:rFonts w:hint="eastAsia" w:ascii="宋体" w:hAnsi="宋体"/>
          <w:szCs w:val="21"/>
        </w:rPr>
        <w:t>附：被授权人身份证（复印件）</w:t>
      </w:r>
    </w:p>
    <w:p>
      <w:pPr>
        <w:pStyle w:val="8"/>
        <w:spacing w:line="440" w:lineRule="exact"/>
        <w:rPr>
          <w:rFonts w:hAnsi="宋体"/>
        </w:rPr>
      </w:pPr>
      <w:r>
        <w:rPr>
          <w:rFonts w:hAnsi="宋体"/>
        </w:rPr>
        <w:br w:type="page"/>
      </w:r>
    </w:p>
    <w:p>
      <w:pPr>
        <w:pStyle w:val="4"/>
        <w:jc w:val="center"/>
      </w:pPr>
      <w:bookmarkStart w:id="80" w:name="_Toc491248264"/>
      <w:bookmarkStart w:id="81" w:name="_Toc419359852"/>
      <w:bookmarkStart w:id="82" w:name="_Toc397585479"/>
      <w:r>
        <w:rPr>
          <w:rFonts w:hint="eastAsia"/>
        </w:rPr>
        <w:t>（五）</w:t>
      </w:r>
      <w:r>
        <w:rPr>
          <w:rFonts w:hint="eastAsia"/>
          <w:sz w:val="28"/>
          <w:szCs w:val="28"/>
        </w:rPr>
        <w:t>货物合格和符合竞争性谈判文件规定的证明文件</w:t>
      </w:r>
      <w:bookmarkEnd w:id="80"/>
      <w:bookmarkEnd w:id="81"/>
      <w:bookmarkEnd w:id="82"/>
    </w:p>
    <w:p>
      <w:pPr>
        <w:pStyle w:val="8"/>
        <w:spacing w:line="440" w:lineRule="exact"/>
        <w:jc w:val="center"/>
        <w:rPr>
          <w:rFonts w:hAnsi="宋体"/>
        </w:rPr>
      </w:pPr>
      <w:r>
        <w:rPr>
          <w:rFonts w:hint="eastAsia"/>
        </w:rPr>
        <w:t>（按照第三章“竞标人须知” 5.6.2中第(5）点要求提供，并相应添加目录，以便查找）</w:t>
      </w:r>
    </w:p>
    <w:p>
      <w:pPr>
        <w:rPr>
          <w:szCs w:val="21"/>
        </w:rPr>
      </w:pPr>
    </w:p>
    <w:p>
      <w:pPr>
        <w:pStyle w:val="8"/>
        <w:spacing w:line="440" w:lineRule="exact"/>
        <w:rPr>
          <w:rFonts w:ascii="仿宋_GB2312" w:hAnsi="宋体" w:eastAsia="仿宋_GB2312"/>
          <w:b/>
          <w:kern w:val="0"/>
          <w:sz w:val="32"/>
          <w:szCs w:val="32"/>
        </w:rPr>
      </w:pPr>
    </w:p>
    <w:p>
      <w:pPr>
        <w:rPr>
          <w:b/>
          <w:bCs/>
          <w:sz w:val="28"/>
          <w:szCs w:val="28"/>
        </w:rPr>
      </w:pPr>
    </w:p>
    <w:p>
      <w:pPr>
        <w:rPr>
          <w:rFonts w:ascii="方正小标宋_GBK" w:hAnsi="仿宋" w:eastAsia="方正小标宋_GBK"/>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F1937"/>
    <w:multiLevelType w:val="multilevel"/>
    <w:tmpl w:val="194F1937"/>
    <w:lvl w:ilvl="0" w:tentative="0">
      <w:start w:val="1"/>
      <w:numFmt w:val="japaneseCounting"/>
      <w:lvlText w:val="第%1章"/>
      <w:lvlJc w:val="left"/>
      <w:pPr>
        <w:ind w:left="1845" w:hanging="18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2A23E0"/>
    <w:multiLevelType w:val="singleLevel"/>
    <w:tmpl w:val="552A23E0"/>
    <w:lvl w:ilvl="0" w:tentative="0">
      <w:start w:val="3"/>
      <w:numFmt w:val="chineseCounting"/>
      <w:suff w:val="nothing"/>
      <w:lvlText w:val="（%1）"/>
      <w:lvlJc w:val="left"/>
    </w:lvl>
  </w:abstractNum>
  <w:abstractNum w:abstractNumId="2">
    <w:nsid w:val="595374D3"/>
    <w:multiLevelType w:val="singleLevel"/>
    <w:tmpl w:val="595374D3"/>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79"/>
    <w:rsid w:val="000125B2"/>
    <w:rsid w:val="000236AB"/>
    <w:rsid w:val="00040EC7"/>
    <w:rsid w:val="000B5EC4"/>
    <w:rsid w:val="000D5A07"/>
    <w:rsid w:val="000D7CC3"/>
    <w:rsid w:val="001509C9"/>
    <w:rsid w:val="001668BB"/>
    <w:rsid w:val="001F2EFB"/>
    <w:rsid w:val="00231779"/>
    <w:rsid w:val="002357C2"/>
    <w:rsid w:val="002660C6"/>
    <w:rsid w:val="002A6B01"/>
    <w:rsid w:val="002E1B0E"/>
    <w:rsid w:val="0037268A"/>
    <w:rsid w:val="0038397A"/>
    <w:rsid w:val="00416CF5"/>
    <w:rsid w:val="004276BC"/>
    <w:rsid w:val="00527FE6"/>
    <w:rsid w:val="0055552E"/>
    <w:rsid w:val="00567896"/>
    <w:rsid w:val="005721FD"/>
    <w:rsid w:val="005917CD"/>
    <w:rsid w:val="005A16AF"/>
    <w:rsid w:val="005C5BBF"/>
    <w:rsid w:val="005E635A"/>
    <w:rsid w:val="005E6552"/>
    <w:rsid w:val="00616535"/>
    <w:rsid w:val="00625152"/>
    <w:rsid w:val="00673C3E"/>
    <w:rsid w:val="006C3B92"/>
    <w:rsid w:val="006C43CD"/>
    <w:rsid w:val="006D66EF"/>
    <w:rsid w:val="0070755F"/>
    <w:rsid w:val="00733EDF"/>
    <w:rsid w:val="00735CE3"/>
    <w:rsid w:val="00741DBA"/>
    <w:rsid w:val="00754FAE"/>
    <w:rsid w:val="007553A7"/>
    <w:rsid w:val="007D1CC5"/>
    <w:rsid w:val="0081116B"/>
    <w:rsid w:val="008D0E82"/>
    <w:rsid w:val="008E6844"/>
    <w:rsid w:val="008F0C82"/>
    <w:rsid w:val="008F440C"/>
    <w:rsid w:val="00910B70"/>
    <w:rsid w:val="009B0485"/>
    <w:rsid w:val="009B3963"/>
    <w:rsid w:val="00A72DA7"/>
    <w:rsid w:val="00B11B3C"/>
    <w:rsid w:val="00B45520"/>
    <w:rsid w:val="00BA2B86"/>
    <w:rsid w:val="00BD7239"/>
    <w:rsid w:val="00C00590"/>
    <w:rsid w:val="00C1799E"/>
    <w:rsid w:val="00C85555"/>
    <w:rsid w:val="00D019D3"/>
    <w:rsid w:val="00DA4621"/>
    <w:rsid w:val="00DE091E"/>
    <w:rsid w:val="00E55879"/>
    <w:rsid w:val="00E605EF"/>
    <w:rsid w:val="00E70E60"/>
    <w:rsid w:val="00E83B26"/>
    <w:rsid w:val="00EA3F78"/>
    <w:rsid w:val="00F00D8B"/>
    <w:rsid w:val="00FA47A5"/>
    <w:rsid w:val="00FA6BF3"/>
    <w:rsid w:val="00FD4396"/>
    <w:rsid w:val="010A7120"/>
    <w:rsid w:val="012532B1"/>
    <w:rsid w:val="01855BED"/>
    <w:rsid w:val="01E030F3"/>
    <w:rsid w:val="0237333A"/>
    <w:rsid w:val="02460362"/>
    <w:rsid w:val="025D4793"/>
    <w:rsid w:val="025D6726"/>
    <w:rsid w:val="029753EE"/>
    <w:rsid w:val="02D728E2"/>
    <w:rsid w:val="031524BB"/>
    <w:rsid w:val="03770072"/>
    <w:rsid w:val="03787ECA"/>
    <w:rsid w:val="03EC04D9"/>
    <w:rsid w:val="042C442F"/>
    <w:rsid w:val="043F5D74"/>
    <w:rsid w:val="048225EB"/>
    <w:rsid w:val="04875CB3"/>
    <w:rsid w:val="04D06063"/>
    <w:rsid w:val="04D06787"/>
    <w:rsid w:val="04EF0CE4"/>
    <w:rsid w:val="051B7C90"/>
    <w:rsid w:val="0546035D"/>
    <w:rsid w:val="05854332"/>
    <w:rsid w:val="05933672"/>
    <w:rsid w:val="059E505D"/>
    <w:rsid w:val="05B9677F"/>
    <w:rsid w:val="05C94A34"/>
    <w:rsid w:val="06500B46"/>
    <w:rsid w:val="066B3452"/>
    <w:rsid w:val="06CB73A6"/>
    <w:rsid w:val="06D7705A"/>
    <w:rsid w:val="07112663"/>
    <w:rsid w:val="074F6D33"/>
    <w:rsid w:val="07770106"/>
    <w:rsid w:val="07EC2F20"/>
    <w:rsid w:val="07F54317"/>
    <w:rsid w:val="080B20E4"/>
    <w:rsid w:val="082F0128"/>
    <w:rsid w:val="083D3D14"/>
    <w:rsid w:val="085950D1"/>
    <w:rsid w:val="086F1FBF"/>
    <w:rsid w:val="08747013"/>
    <w:rsid w:val="087B0D99"/>
    <w:rsid w:val="08E57039"/>
    <w:rsid w:val="08F13706"/>
    <w:rsid w:val="08FC7D81"/>
    <w:rsid w:val="090B3D5C"/>
    <w:rsid w:val="091E02B9"/>
    <w:rsid w:val="093F385D"/>
    <w:rsid w:val="09690D5D"/>
    <w:rsid w:val="09896C99"/>
    <w:rsid w:val="09A31221"/>
    <w:rsid w:val="09AB0569"/>
    <w:rsid w:val="09C6564B"/>
    <w:rsid w:val="0A1947EF"/>
    <w:rsid w:val="0A3A4E3F"/>
    <w:rsid w:val="0A78257F"/>
    <w:rsid w:val="0A83488E"/>
    <w:rsid w:val="0ABC52D6"/>
    <w:rsid w:val="0ABF3F89"/>
    <w:rsid w:val="0AD802BD"/>
    <w:rsid w:val="0AD915DA"/>
    <w:rsid w:val="0B4D70E1"/>
    <w:rsid w:val="0B5202E0"/>
    <w:rsid w:val="0B6A41B5"/>
    <w:rsid w:val="0B8F7626"/>
    <w:rsid w:val="0B966293"/>
    <w:rsid w:val="0B9777C0"/>
    <w:rsid w:val="0BC323DE"/>
    <w:rsid w:val="0BDB4766"/>
    <w:rsid w:val="0BFC1E9D"/>
    <w:rsid w:val="0C895082"/>
    <w:rsid w:val="0CAA1DFD"/>
    <w:rsid w:val="0CAE3A1D"/>
    <w:rsid w:val="0CBC0C68"/>
    <w:rsid w:val="0CBE7045"/>
    <w:rsid w:val="0CF13434"/>
    <w:rsid w:val="0CFF5487"/>
    <w:rsid w:val="0D3C6B91"/>
    <w:rsid w:val="0D6645B8"/>
    <w:rsid w:val="0D7859C2"/>
    <w:rsid w:val="0D8634B4"/>
    <w:rsid w:val="0DA16809"/>
    <w:rsid w:val="0DD42DEB"/>
    <w:rsid w:val="0E2264BF"/>
    <w:rsid w:val="0E283337"/>
    <w:rsid w:val="0E4E40EA"/>
    <w:rsid w:val="0E7627B3"/>
    <w:rsid w:val="0E765EB9"/>
    <w:rsid w:val="0E773AAE"/>
    <w:rsid w:val="0E8C3E25"/>
    <w:rsid w:val="0EA519C6"/>
    <w:rsid w:val="0EA556C1"/>
    <w:rsid w:val="0EBA58AB"/>
    <w:rsid w:val="0ED55869"/>
    <w:rsid w:val="0EDC2B4C"/>
    <w:rsid w:val="0F2B29FC"/>
    <w:rsid w:val="0F552B77"/>
    <w:rsid w:val="0FB356E2"/>
    <w:rsid w:val="0FC647C1"/>
    <w:rsid w:val="1045100D"/>
    <w:rsid w:val="10502F78"/>
    <w:rsid w:val="105430B9"/>
    <w:rsid w:val="106176E0"/>
    <w:rsid w:val="10BE4B41"/>
    <w:rsid w:val="10C543B8"/>
    <w:rsid w:val="10DA2DCB"/>
    <w:rsid w:val="10EC41FE"/>
    <w:rsid w:val="112F1EAB"/>
    <w:rsid w:val="113E3872"/>
    <w:rsid w:val="114F191D"/>
    <w:rsid w:val="11AE4C48"/>
    <w:rsid w:val="11AF10C2"/>
    <w:rsid w:val="11C42F57"/>
    <w:rsid w:val="11E81186"/>
    <w:rsid w:val="11FD3926"/>
    <w:rsid w:val="12332AC7"/>
    <w:rsid w:val="123B0D42"/>
    <w:rsid w:val="125E0BCD"/>
    <w:rsid w:val="134C6CCF"/>
    <w:rsid w:val="134E1361"/>
    <w:rsid w:val="137F3E6F"/>
    <w:rsid w:val="139468F0"/>
    <w:rsid w:val="13987824"/>
    <w:rsid w:val="139F463B"/>
    <w:rsid w:val="13D37970"/>
    <w:rsid w:val="13F90BCD"/>
    <w:rsid w:val="1453416C"/>
    <w:rsid w:val="14992954"/>
    <w:rsid w:val="149B7A6B"/>
    <w:rsid w:val="14BE7F2D"/>
    <w:rsid w:val="14D2201F"/>
    <w:rsid w:val="14E04C24"/>
    <w:rsid w:val="150B7F18"/>
    <w:rsid w:val="1551716C"/>
    <w:rsid w:val="1575135A"/>
    <w:rsid w:val="157A14EA"/>
    <w:rsid w:val="165B6C90"/>
    <w:rsid w:val="167264BF"/>
    <w:rsid w:val="16940B26"/>
    <w:rsid w:val="16AE50AE"/>
    <w:rsid w:val="16CD5241"/>
    <w:rsid w:val="16ED6653"/>
    <w:rsid w:val="17020D7F"/>
    <w:rsid w:val="17463A7A"/>
    <w:rsid w:val="17547FCA"/>
    <w:rsid w:val="179818F2"/>
    <w:rsid w:val="17AF43FF"/>
    <w:rsid w:val="17BD6267"/>
    <w:rsid w:val="17CA68C2"/>
    <w:rsid w:val="17F02FA3"/>
    <w:rsid w:val="186422D9"/>
    <w:rsid w:val="186B6025"/>
    <w:rsid w:val="18C151CC"/>
    <w:rsid w:val="18CE22CA"/>
    <w:rsid w:val="18F80C3F"/>
    <w:rsid w:val="191B6BE6"/>
    <w:rsid w:val="19247B6D"/>
    <w:rsid w:val="192A0772"/>
    <w:rsid w:val="198F0D78"/>
    <w:rsid w:val="19AF5912"/>
    <w:rsid w:val="19B9457F"/>
    <w:rsid w:val="19C874FD"/>
    <w:rsid w:val="19E10838"/>
    <w:rsid w:val="19EC119E"/>
    <w:rsid w:val="1A236AEE"/>
    <w:rsid w:val="1A496EBC"/>
    <w:rsid w:val="1A4B447E"/>
    <w:rsid w:val="1A701A29"/>
    <w:rsid w:val="1A793715"/>
    <w:rsid w:val="1A881F32"/>
    <w:rsid w:val="1AA0412B"/>
    <w:rsid w:val="1ADB5E9F"/>
    <w:rsid w:val="1B833453"/>
    <w:rsid w:val="1BAE3A73"/>
    <w:rsid w:val="1BC54F75"/>
    <w:rsid w:val="1BE10B7F"/>
    <w:rsid w:val="1BE70243"/>
    <w:rsid w:val="1C033A8F"/>
    <w:rsid w:val="1C270D4F"/>
    <w:rsid w:val="1C2A695C"/>
    <w:rsid w:val="1C4A5C30"/>
    <w:rsid w:val="1CB52DA6"/>
    <w:rsid w:val="1CC1534D"/>
    <w:rsid w:val="1CDA0DD1"/>
    <w:rsid w:val="1CF01149"/>
    <w:rsid w:val="1D591441"/>
    <w:rsid w:val="1D6403B6"/>
    <w:rsid w:val="1D730E77"/>
    <w:rsid w:val="1D93561A"/>
    <w:rsid w:val="1DC15DC0"/>
    <w:rsid w:val="1DD24161"/>
    <w:rsid w:val="1DF92176"/>
    <w:rsid w:val="1E134CCE"/>
    <w:rsid w:val="1E441C6C"/>
    <w:rsid w:val="1E57590B"/>
    <w:rsid w:val="1E59045A"/>
    <w:rsid w:val="1E885340"/>
    <w:rsid w:val="1EAA7ABE"/>
    <w:rsid w:val="1EAE3DDE"/>
    <w:rsid w:val="1EEF0CC5"/>
    <w:rsid w:val="1EFF3C69"/>
    <w:rsid w:val="1F105937"/>
    <w:rsid w:val="1F632D9A"/>
    <w:rsid w:val="1FA57933"/>
    <w:rsid w:val="1FC43364"/>
    <w:rsid w:val="1FE25603"/>
    <w:rsid w:val="1FE5775B"/>
    <w:rsid w:val="20097CEB"/>
    <w:rsid w:val="203B46ED"/>
    <w:rsid w:val="20515480"/>
    <w:rsid w:val="20685BC9"/>
    <w:rsid w:val="207F63F2"/>
    <w:rsid w:val="209A223D"/>
    <w:rsid w:val="209B0F05"/>
    <w:rsid w:val="20B5496D"/>
    <w:rsid w:val="20CB3CC8"/>
    <w:rsid w:val="20F65474"/>
    <w:rsid w:val="20FE1203"/>
    <w:rsid w:val="2112457B"/>
    <w:rsid w:val="211978CD"/>
    <w:rsid w:val="211F28B7"/>
    <w:rsid w:val="214D190D"/>
    <w:rsid w:val="216C07F2"/>
    <w:rsid w:val="21A83FBF"/>
    <w:rsid w:val="21B96F5A"/>
    <w:rsid w:val="21C94A01"/>
    <w:rsid w:val="21E74CB6"/>
    <w:rsid w:val="220C464B"/>
    <w:rsid w:val="221877C4"/>
    <w:rsid w:val="224B0755"/>
    <w:rsid w:val="225267B7"/>
    <w:rsid w:val="228F3791"/>
    <w:rsid w:val="22B15AB9"/>
    <w:rsid w:val="22C93EE2"/>
    <w:rsid w:val="22E66913"/>
    <w:rsid w:val="23227C8C"/>
    <w:rsid w:val="233A2703"/>
    <w:rsid w:val="233B5E73"/>
    <w:rsid w:val="233D2C1E"/>
    <w:rsid w:val="23520FA7"/>
    <w:rsid w:val="236D6F14"/>
    <w:rsid w:val="23797494"/>
    <w:rsid w:val="2388528C"/>
    <w:rsid w:val="23A217DB"/>
    <w:rsid w:val="23AE7D20"/>
    <w:rsid w:val="24664247"/>
    <w:rsid w:val="24D22D07"/>
    <w:rsid w:val="24E1040A"/>
    <w:rsid w:val="24E70C87"/>
    <w:rsid w:val="251C372C"/>
    <w:rsid w:val="25595311"/>
    <w:rsid w:val="256A39BE"/>
    <w:rsid w:val="257C0A88"/>
    <w:rsid w:val="25957383"/>
    <w:rsid w:val="25C16235"/>
    <w:rsid w:val="25D75E89"/>
    <w:rsid w:val="26001EAD"/>
    <w:rsid w:val="26047808"/>
    <w:rsid w:val="2625168A"/>
    <w:rsid w:val="264E3AD7"/>
    <w:rsid w:val="26A051A2"/>
    <w:rsid w:val="26C51ADD"/>
    <w:rsid w:val="26EC11C5"/>
    <w:rsid w:val="270B2E70"/>
    <w:rsid w:val="27115407"/>
    <w:rsid w:val="273B3301"/>
    <w:rsid w:val="275E6E2B"/>
    <w:rsid w:val="277518C8"/>
    <w:rsid w:val="27843AE2"/>
    <w:rsid w:val="27934ABA"/>
    <w:rsid w:val="27BE7D8E"/>
    <w:rsid w:val="27D219EC"/>
    <w:rsid w:val="27E46D4A"/>
    <w:rsid w:val="2805189D"/>
    <w:rsid w:val="28A047CE"/>
    <w:rsid w:val="29327BC1"/>
    <w:rsid w:val="294101B7"/>
    <w:rsid w:val="29660367"/>
    <w:rsid w:val="299533EF"/>
    <w:rsid w:val="299555EA"/>
    <w:rsid w:val="29B67AFA"/>
    <w:rsid w:val="2B0E7AC2"/>
    <w:rsid w:val="2B4F2A45"/>
    <w:rsid w:val="2B5615C7"/>
    <w:rsid w:val="2B62420E"/>
    <w:rsid w:val="2B8936AC"/>
    <w:rsid w:val="2B8D7C40"/>
    <w:rsid w:val="2BA324F0"/>
    <w:rsid w:val="2BCF19F5"/>
    <w:rsid w:val="2BE46921"/>
    <w:rsid w:val="2BF2085D"/>
    <w:rsid w:val="2BF627C5"/>
    <w:rsid w:val="2C092D5D"/>
    <w:rsid w:val="2C106D19"/>
    <w:rsid w:val="2C9E4EF8"/>
    <w:rsid w:val="2D365DB4"/>
    <w:rsid w:val="2D5C582D"/>
    <w:rsid w:val="2D89237E"/>
    <w:rsid w:val="2DA467EF"/>
    <w:rsid w:val="2DA8477F"/>
    <w:rsid w:val="2DC36227"/>
    <w:rsid w:val="2DDD5C7A"/>
    <w:rsid w:val="2DEF6615"/>
    <w:rsid w:val="2E470606"/>
    <w:rsid w:val="2E562D7A"/>
    <w:rsid w:val="2E907E23"/>
    <w:rsid w:val="2E9E7422"/>
    <w:rsid w:val="2EA2399B"/>
    <w:rsid w:val="2ED227F0"/>
    <w:rsid w:val="2F745DDF"/>
    <w:rsid w:val="2F822E1C"/>
    <w:rsid w:val="2F887CAF"/>
    <w:rsid w:val="2FA05566"/>
    <w:rsid w:val="2FDE1E84"/>
    <w:rsid w:val="303D58FE"/>
    <w:rsid w:val="305E2211"/>
    <w:rsid w:val="306B78B8"/>
    <w:rsid w:val="30814350"/>
    <w:rsid w:val="30A41EC0"/>
    <w:rsid w:val="30A524F5"/>
    <w:rsid w:val="30B63EC9"/>
    <w:rsid w:val="30D12A66"/>
    <w:rsid w:val="30D64D7B"/>
    <w:rsid w:val="314D7FC1"/>
    <w:rsid w:val="316E390B"/>
    <w:rsid w:val="31902985"/>
    <w:rsid w:val="319215B9"/>
    <w:rsid w:val="31D40262"/>
    <w:rsid w:val="31DA3340"/>
    <w:rsid w:val="31EE15C8"/>
    <w:rsid w:val="32013612"/>
    <w:rsid w:val="320E77E0"/>
    <w:rsid w:val="32164E01"/>
    <w:rsid w:val="32587239"/>
    <w:rsid w:val="325F6A3A"/>
    <w:rsid w:val="326A481A"/>
    <w:rsid w:val="32E15228"/>
    <w:rsid w:val="32F77050"/>
    <w:rsid w:val="332E2917"/>
    <w:rsid w:val="332E6899"/>
    <w:rsid w:val="33420389"/>
    <w:rsid w:val="33444887"/>
    <w:rsid w:val="33741683"/>
    <w:rsid w:val="337B5337"/>
    <w:rsid w:val="339D4536"/>
    <w:rsid w:val="33BB37E0"/>
    <w:rsid w:val="33F16B6C"/>
    <w:rsid w:val="33F309F5"/>
    <w:rsid w:val="33FD0487"/>
    <w:rsid w:val="34172750"/>
    <w:rsid w:val="34216B0B"/>
    <w:rsid w:val="34427A55"/>
    <w:rsid w:val="3451662E"/>
    <w:rsid w:val="34BC1C8D"/>
    <w:rsid w:val="34C64776"/>
    <w:rsid w:val="34CD6426"/>
    <w:rsid w:val="34E22741"/>
    <w:rsid w:val="34E42217"/>
    <w:rsid w:val="34E5123F"/>
    <w:rsid w:val="35284F2A"/>
    <w:rsid w:val="353B42E7"/>
    <w:rsid w:val="356F7B71"/>
    <w:rsid w:val="35734454"/>
    <w:rsid w:val="35A32F0D"/>
    <w:rsid w:val="35AE2EB4"/>
    <w:rsid w:val="35D427DB"/>
    <w:rsid w:val="35FA7575"/>
    <w:rsid w:val="364A5284"/>
    <w:rsid w:val="367138DB"/>
    <w:rsid w:val="37095A26"/>
    <w:rsid w:val="370E18D5"/>
    <w:rsid w:val="371205FD"/>
    <w:rsid w:val="37537406"/>
    <w:rsid w:val="3777682F"/>
    <w:rsid w:val="37837B96"/>
    <w:rsid w:val="37973BE7"/>
    <w:rsid w:val="37B46043"/>
    <w:rsid w:val="37B560AD"/>
    <w:rsid w:val="37DE0C8E"/>
    <w:rsid w:val="37E56D92"/>
    <w:rsid w:val="383255CF"/>
    <w:rsid w:val="383648E8"/>
    <w:rsid w:val="383B6D8E"/>
    <w:rsid w:val="385652F5"/>
    <w:rsid w:val="3866174B"/>
    <w:rsid w:val="38864FA3"/>
    <w:rsid w:val="38A77A79"/>
    <w:rsid w:val="38B6647D"/>
    <w:rsid w:val="38BE7C90"/>
    <w:rsid w:val="38D760BF"/>
    <w:rsid w:val="38E85698"/>
    <w:rsid w:val="38E934CE"/>
    <w:rsid w:val="3902722E"/>
    <w:rsid w:val="391D5D48"/>
    <w:rsid w:val="395E7F99"/>
    <w:rsid w:val="396331AE"/>
    <w:rsid w:val="39685FA5"/>
    <w:rsid w:val="39A31856"/>
    <w:rsid w:val="39AF0D8B"/>
    <w:rsid w:val="3A0338BD"/>
    <w:rsid w:val="3A036AEB"/>
    <w:rsid w:val="3A212D9E"/>
    <w:rsid w:val="3A2A742F"/>
    <w:rsid w:val="3A960060"/>
    <w:rsid w:val="3AA96E6A"/>
    <w:rsid w:val="3AD50432"/>
    <w:rsid w:val="3AD82902"/>
    <w:rsid w:val="3AF57AB9"/>
    <w:rsid w:val="3B223927"/>
    <w:rsid w:val="3B417CB5"/>
    <w:rsid w:val="3B603CF5"/>
    <w:rsid w:val="3B7B1816"/>
    <w:rsid w:val="3BAB7362"/>
    <w:rsid w:val="3BAC0681"/>
    <w:rsid w:val="3BB33398"/>
    <w:rsid w:val="3BC52511"/>
    <w:rsid w:val="3BDE3473"/>
    <w:rsid w:val="3BE6078B"/>
    <w:rsid w:val="3C12580D"/>
    <w:rsid w:val="3C376866"/>
    <w:rsid w:val="3CC11D2F"/>
    <w:rsid w:val="3CDF256C"/>
    <w:rsid w:val="3CFA0FEF"/>
    <w:rsid w:val="3D2A2128"/>
    <w:rsid w:val="3D3D0D3D"/>
    <w:rsid w:val="3D4F18D6"/>
    <w:rsid w:val="3D7B63EF"/>
    <w:rsid w:val="3DA314E2"/>
    <w:rsid w:val="3DED29B4"/>
    <w:rsid w:val="3DF36CDD"/>
    <w:rsid w:val="3DF91A24"/>
    <w:rsid w:val="3E03101E"/>
    <w:rsid w:val="3E2962EC"/>
    <w:rsid w:val="3E304E77"/>
    <w:rsid w:val="3E396848"/>
    <w:rsid w:val="3E406082"/>
    <w:rsid w:val="3E4D6B9F"/>
    <w:rsid w:val="3EAE6FA2"/>
    <w:rsid w:val="3F2E06A8"/>
    <w:rsid w:val="3F330092"/>
    <w:rsid w:val="3F3E4B57"/>
    <w:rsid w:val="3F42707D"/>
    <w:rsid w:val="3F576783"/>
    <w:rsid w:val="3F7B7E91"/>
    <w:rsid w:val="3F943459"/>
    <w:rsid w:val="3F9472B1"/>
    <w:rsid w:val="40336202"/>
    <w:rsid w:val="4045360E"/>
    <w:rsid w:val="40793792"/>
    <w:rsid w:val="40A001E4"/>
    <w:rsid w:val="4139401F"/>
    <w:rsid w:val="41575587"/>
    <w:rsid w:val="41706122"/>
    <w:rsid w:val="41726E3B"/>
    <w:rsid w:val="418974A8"/>
    <w:rsid w:val="41B32BE5"/>
    <w:rsid w:val="41B87FB9"/>
    <w:rsid w:val="420B1D82"/>
    <w:rsid w:val="420E4D04"/>
    <w:rsid w:val="421D0837"/>
    <w:rsid w:val="422469A6"/>
    <w:rsid w:val="422A7445"/>
    <w:rsid w:val="42356437"/>
    <w:rsid w:val="42643955"/>
    <w:rsid w:val="4278746D"/>
    <w:rsid w:val="428A4E7A"/>
    <w:rsid w:val="42E72F49"/>
    <w:rsid w:val="43045CA3"/>
    <w:rsid w:val="43145E49"/>
    <w:rsid w:val="43316B67"/>
    <w:rsid w:val="435A1790"/>
    <w:rsid w:val="4375399E"/>
    <w:rsid w:val="43830D8B"/>
    <w:rsid w:val="438B79A9"/>
    <w:rsid w:val="43C24587"/>
    <w:rsid w:val="44070233"/>
    <w:rsid w:val="442F1C2E"/>
    <w:rsid w:val="444A36F9"/>
    <w:rsid w:val="446B62CF"/>
    <w:rsid w:val="448D38FD"/>
    <w:rsid w:val="44917CE4"/>
    <w:rsid w:val="44B43914"/>
    <w:rsid w:val="451F4A1A"/>
    <w:rsid w:val="453572D1"/>
    <w:rsid w:val="45387202"/>
    <w:rsid w:val="45460781"/>
    <w:rsid w:val="455F763A"/>
    <w:rsid w:val="458E454F"/>
    <w:rsid w:val="459E1360"/>
    <w:rsid w:val="4672293B"/>
    <w:rsid w:val="46725F8E"/>
    <w:rsid w:val="468043AC"/>
    <w:rsid w:val="469078A0"/>
    <w:rsid w:val="46A73872"/>
    <w:rsid w:val="46C16FC2"/>
    <w:rsid w:val="46C66017"/>
    <w:rsid w:val="46F47E45"/>
    <w:rsid w:val="471068AE"/>
    <w:rsid w:val="472D25AE"/>
    <w:rsid w:val="474804CA"/>
    <w:rsid w:val="47600494"/>
    <w:rsid w:val="476216EC"/>
    <w:rsid w:val="47804A10"/>
    <w:rsid w:val="47862B0F"/>
    <w:rsid w:val="47A75F45"/>
    <w:rsid w:val="47BE341A"/>
    <w:rsid w:val="47D17B41"/>
    <w:rsid w:val="4827376A"/>
    <w:rsid w:val="48282311"/>
    <w:rsid w:val="483340B5"/>
    <w:rsid w:val="483A3E3D"/>
    <w:rsid w:val="487C0DCD"/>
    <w:rsid w:val="48B86248"/>
    <w:rsid w:val="48CE167F"/>
    <w:rsid w:val="48EE397F"/>
    <w:rsid w:val="490060C1"/>
    <w:rsid w:val="490A48E3"/>
    <w:rsid w:val="493A5AA8"/>
    <w:rsid w:val="493C3508"/>
    <w:rsid w:val="49BB6A7C"/>
    <w:rsid w:val="4A09346D"/>
    <w:rsid w:val="4A322A65"/>
    <w:rsid w:val="4A563BF3"/>
    <w:rsid w:val="4A5F5EA5"/>
    <w:rsid w:val="4AA93D2B"/>
    <w:rsid w:val="4AAD4E35"/>
    <w:rsid w:val="4ACE34E1"/>
    <w:rsid w:val="4ADE53CD"/>
    <w:rsid w:val="4AED3AD8"/>
    <w:rsid w:val="4B222918"/>
    <w:rsid w:val="4B2B5808"/>
    <w:rsid w:val="4B5F7AE1"/>
    <w:rsid w:val="4B624120"/>
    <w:rsid w:val="4B720D92"/>
    <w:rsid w:val="4B8A0E20"/>
    <w:rsid w:val="4BB112EB"/>
    <w:rsid w:val="4BC41F2B"/>
    <w:rsid w:val="4BF44215"/>
    <w:rsid w:val="4C004D76"/>
    <w:rsid w:val="4C082912"/>
    <w:rsid w:val="4C19710D"/>
    <w:rsid w:val="4C961CE9"/>
    <w:rsid w:val="4CBF4463"/>
    <w:rsid w:val="4D4935D0"/>
    <w:rsid w:val="4D7A05C3"/>
    <w:rsid w:val="4DF07D1D"/>
    <w:rsid w:val="4E7F51DA"/>
    <w:rsid w:val="4E87303C"/>
    <w:rsid w:val="4EA01489"/>
    <w:rsid w:val="4EEE4540"/>
    <w:rsid w:val="4F193BE0"/>
    <w:rsid w:val="4F231D60"/>
    <w:rsid w:val="4F6A54BA"/>
    <w:rsid w:val="4FA20DEE"/>
    <w:rsid w:val="4FEE3711"/>
    <w:rsid w:val="5007250F"/>
    <w:rsid w:val="5007391C"/>
    <w:rsid w:val="50144363"/>
    <w:rsid w:val="5017211E"/>
    <w:rsid w:val="50415626"/>
    <w:rsid w:val="50586F25"/>
    <w:rsid w:val="505A1964"/>
    <w:rsid w:val="50FD4FC8"/>
    <w:rsid w:val="51201B8E"/>
    <w:rsid w:val="5163798E"/>
    <w:rsid w:val="51B22569"/>
    <w:rsid w:val="51C66B64"/>
    <w:rsid w:val="51D97785"/>
    <w:rsid w:val="52040FBD"/>
    <w:rsid w:val="522E7DF5"/>
    <w:rsid w:val="52602F10"/>
    <w:rsid w:val="528C480B"/>
    <w:rsid w:val="529A0886"/>
    <w:rsid w:val="530317C1"/>
    <w:rsid w:val="532D7552"/>
    <w:rsid w:val="53464A7B"/>
    <w:rsid w:val="53881C7E"/>
    <w:rsid w:val="53EC1436"/>
    <w:rsid w:val="53F72329"/>
    <w:rsid w:val="5467377C"/>
    <w:rsid w:val="548E03FA"/>
    <w:rsid w:val="54BE0B12"/>
    <w:rsid w:val="54D640CB"/>
    <w:rsid w:val="54E34A58"/>
    <w:rsid w:val="55610F25"/>
    <w:rsid w:val="55675703"/>
    <w:rsid w:val="557729A2"/>
    <w:rsid w:val="55820B3E"/>
    <w:rsid w:val="559E56DA"/>
    <w:rsid w:val="55E36442"/>
    <w:rsid w:val="55E5289C"/>
    <w:rsid w:val="56127A59"/>
    <w:rsid w:val="561550C1"/>
    <w:rsid w:val="5636514E"/>
    <w:rsid w:val="564D10DD"/>
    <w:rsid w:val="565D4BAE"/>
    <w:rsid w:val="567A1E18"/>
    <w:rsid w:val="5681422A"/>
    <w:rsid w:val="56CE4CD7"/>
    <w:rsid w:val="572514CD"/>
    <w:rsid w:val="57267414"/>
    <w:rsid w:val="5729000B"/>
    <w:rsid w:val="57435B0E"/>
    <w:rsid w:val="578A55FE"/>
    <w:rsid w:val="5796443B"/>
    <w:rsid w:val="579F25CE"/>
    <w:rsid w:val="57AB11C8"/>
    <w:rsid w:val="57BD0BBC"/>
    <w:rsid w:val="57DE2F00"/>
    <w:rsid w:val="58603168"/>
    <w:rsid w:val="586B2962"/>
    <w:rsid w:val="58786520"/>
    <w:rsid w:val="589A6EF5"/>
    <w:rsid w:val="58B11AAA"/>
    <w:rsid w:val="58B6037E"/>
    <w:rsid w:val="58CA3946"/>
    <w:rsid w:val="58E204DB"/>
    <w:rsid w:val="591E521C"/>
    <w:rsid w:val="59256DAF"/>
    <w:rsid w:val="59651087"/>
    <w:rsid w:val="596D2C09"/>
    <w:rsid w:val="59954F14"/>
    <w:rsid w:val="59963427"/>
    <w:rsid w:val="59A276C6"/>
    <w:rsid w:val="59F92483"/>
    <w:rsid w:val="5A262DB5"/>
    <w:rsid w:val="5A936EB5"/>
    <w:rsid w:val="5ABF222D"/>
    <w:rsid w:val="5B420917"/>
    <w:rsid w:val="5B8F517E"/>
    <w:rsid w:val="5BA01B35"/>
    <w:rsid w:val="5C1B5675"/>
    <w:rsid w:val="5C273AA2"/>
    <w:rsid w:val="5CCB67F5"/>
    <w:rsid w:val="5CE0457E"/>
    <w:rsid w:val="5CF45EDD"/>
    <w:rsid w:val="5D0242BE"/>
    <w:rsid w:val="5D133491"/>
    <w:rsid w:val="5D2C5CE5"/>
    <w:rsid w:val="5D3E2D8E"/>
    <w:rsid w:val="5D493FCC"/>
    <w:rsid w:val="5D5F46CA"/>
    <w:rsid w:val="5D664780"/>
    <w:rsid w:val="5D695B96"/>
    <w:rsid w:val="5D6E3495"/>
    <w:rsid w:val="5D8361E9"/>
    <w:rsid w:val="5D9C4361"/>
    <w:rsid w:val="5D9E78C7"/>
    <w:rsid w:val="5D9F71F8"/>
    <w:rsid w:val="5DC136DB"/>
    <w:rsid w:val="5DE759FE"/>
    <w:rsid w:val="5DEE45B3"/>
    <w:rsid w:val="5DFA62CB"/>
    <w:rsid w:val="5E0358D5"/>
    <w:rsid w:val="5E247EA5"/>
    <w:rsid w:val="5E877E21"/>
    <w:rsid w:val="5E930C2C"/>
    <w:rsid w:val="5ED2212A"/>
    <w:rsid w:val="5ED74627"/>
    <w:rsid w:val="5F0C2BBE"/>
    <w:rsid w:val="5F1C745B"/>
    <w:rsid w:val="5F21516A"/>
    <w:rsid w:val="5F2471E0"/>
    <w:rsid w:val="5F3521F7"/>
    <w:rsid w:val="5F592BE0"/>
    <w:rsid w:val="5FBC6AF0"/>
    <w:rsid w:val="60136DC0"/>
    <w:rsid w:val="60283105"/>
    <w:rsid w:val="603137D1"/>
    <w:rsid w:val="6046677E"/>
    <w:rsid w:val="606A765F"/>
    <w:rsid w:val="6084566D"/>
    <w:rsid w:val="608514E8"/>
    <w:rsid w:val="60C17BA2"/>
    <w:rsid w:val="60E01ECB"/>
    <w:rsid w:val="61310801"/>
    <w:rsid w:val="613F53AD"/>
    <w:rsid w:val="61485F05"/>
    <w:rsid w:val="614942BC"/>
    <w:rsid w:val="616B244D"/>
    <w:rsid w:val="620C41DC"/>
    <w:rsid w:val="62122D45"/>
    <w:rsid w:val="621C6D64"/>
    <w:rsid w:val="621E3CB0"/>
    <w:rsid w:val="62E600D9"/>
    <w:rsid w:val="63473980"/>
    <w:rsid w:val="63A90DB8"/>
    <w:rsid w:val="64003FE3"/>
    <w:rsid w:val="64083477"/>
    <w:rsid w:val="64165E54"/>
    <w:rsid w:val="641C609F"/>
    <w:rsid w:val="642B0452"/>
    <w:rsid w:val="643B1BD5"/>
    <w:rsid w:val="64445AE1"/>
    <w:rsid w:val="64660A01"/>
    <w:rsid w:val="646658BC"/>
    <w:rsid w:val="647453C8"/>
    <w:rsid w:val="6497462A"/>
    <w:rsid w:val="6497730B"/>
    <w:rsid w:val="649D45AA"/>
    <w:rsid w:val="65373E0D"/>
    <w:rsid w:val="653C00A9"/>
    <w:rsid w:val="65565B36"/>
    <w:rsid w:val="659813BC"/>
    <w:rsid w:val="65A87507"/>
    <w:rsid w:val="65B853DF"/>
    <w:rsid w:val="65E65CD5"/>
    <w:rsid w:val="65EF32A9"/>
    <w:rsid w:val="660C1C4C"/>
    <w:rsid w:val="66270F56"/>
    <w:rsid w:val="66780BDB"/>
    <w:rsid w:val="668A3ADB"/>
    <w:rsid w:val="670A12C2"/>
    <w:rsid w:val="673E7B07"/>
    <w:rsid w:val="67567F59"/>
    <w:rsid w:val="675A2A80"/>
    <w:rsid w:val="67B218D8"/>
    <w:rsid w:val="67BA0654"/>
    <w:rsid w:val="67D86490"/>
    <w:rsid w:val="681746F4"/>
    <w:rsid w:val="68296C23"/>
    <w:rsid w:val="682D2970"/>
    <w:rsid w:val="683B0B1E"/>
    <w:rsid w:val="685E5135"/>
    <w:rsid w:val="686F57DC"/>
    <w:rsid w:val="687C2825"/>
    <w:rsid w:val="68830998"/>
    <w:rsid w:val="68873079"/>
    <w:rsid w:val="688B6EDB"/>
    <w:rsid w:val="68EA0FE7"/>
    <w:rsid w:val="690268D5"/>
    <w:rsid w:val="692124A2"/>
    <w:rsid w:val="69396ECE"/>
    <w:rsid w:val="694111A5"/>
    <w:rsid w:val="697725E7"/>
    <w:rsid w:val="698B0401"/>
    <w:rsid w:val="69E271C0"/>
    <w:rsid w:val="69E472E4"/>
    <w:rsid w:val="69F124F2"/>
    <w:rsid w:val="6A1767DD"/>
    <w:rsid w:val="6A3F3380"/>
    <w:rsid w:val="6A8A5EF4"/>
    <w:rsid w:val="6AB113AC"/>
    <w:rsid w:val="6B013733"/>
    <w:rsid w:val="6B1D4CF9"/>
    <w:rsid w:val="6B37490B"/>
    <w:rsid w:val="6B3E1B68"/>
    <w:rsid w:val="6B456650"/>
    <w:rsid w:val="6B685A6D"/>
    <w:rsid w:val="6B8361E5"/>
    <w:rsid w:val="6BBF10F8"/>
    <w:rsid w:val="6BC73B78"/>
    <w:rsid w:val="6C0670C9"/>
    <w:rsid w:val="6C5664CB"/>
    <w:rsid w:val="6C5B3C7E"/>
    <w:rsid w:val="6C604942"/>
    <w:rsid w:val="6C7A2467"/>
    <w:rsid w:val="6C7B394B"/>
    <w:rsid w:val="6CA40A93"/>
    <w:rsid w:val="6CB65F34"/>
    <w:rsid w:val="6CD400B9"/>
    <w:rsid w:val="6D044ECC"/>
    <w:rsid w:val="6D077916"/>
    <w:rsid w:val="6D222B30"/>
    <w:rsid w:val="6D2C69B4"/>
    <w:rsid w:val="6DB00098"/>
    <w:rsid w:val="6DC342D2"/>
    <w:rsid w:val="6DCB48F9"/>
    <w:rsid w:val="6DCE0FA9"/>
    <w:rsid w:val="6DD931FC"/>
    <w:rsid w:val="6E761F08"/>
    <w:rsid w:val="6EA71261"/>
    <w:rsid w:val="6EE32F35"/>
    <w:rsid w:val="6EEA0B4F"/>
    <w:rsid w:val="6EEC4FA1"/>
    <w:rsid w:val="6EF10504"/>
    <w:rsid w:val="6F1A2CEF"/>
    <w:rsid w:val="6F366108"/>
    <w:rsid w:val="6F766F36"/>
    <w:rsid w:val="6F893802"/>
    <w:rsid w:val="6FAA2342"/>
    <w:rsid w:val="6FAB6A9A"/>
    <w:rsid w:val="700559EC"/>
    <w:rsid w:val="7013690E"/>
    <w:rsid w:val="701D4A1B"/>
    <w:rsid w:val="70D53098"/>
    <w:rsid w:val="70EC4459"/>
    <w:rsid w:val="70F46D42"/>
    <w:rsid w:val="70F84F61"/>
    <w:rsid w:val="70F96640"/>
    <w:rsid w:val="71100690"/>
    <w:rsid w:val="7132044B"/>
    <w:rsid w:val="71320663"/>
    <w:rsid w:val="71373315"/>
    <w:rsid w:val="713D5E94"/>
    <w:rsid w:val="714F0C61"/>
    <w:rsid w:val="718F31DE"/>
    <w:rsid w:val="71AA6B7A"/>
    <w:rsid w:val="71AE6D5A"/>
    <w:rsid w:val="720C658D"/>
    <w:rsid w:val="72127AAC"/>
    <w:rsid w:val="723206CA"/>
    <w:rsid w:val="72595178"/>
    <w:rsid w:val="72617878"/>
    <w:rsid w:val="72D53B8F"/>
    <w:rsid w:val="730A2F90"/>
    <w:rsid w:val="73246267"/>
    <w:rsid w:val="733C4AEC"/>
    <w:rsid w:val="73505612"/>
    <w:rsid w:val="73795D75"/>
    <w:rsid w:val="737D0F13"/>
    <w:rsid w:val="738A116C"/>
    <w:rsid w:val="73C24DCF"/>
    <w:rsid w:val="73CD371D"/>
    <w:rsid w:val="73D91443"/>
    <w:rsid w:val="7417699D"/>
    <w:rsid w:val="742948CB"/>
    <w:rsid w:val="74791D2A"/>
    <w:rsid w:val="74A20763"/>
    <w:rsid w:val="75380936"/>
    <w:rsid w:val="754914C4"/>
    <w:rsid w:val="75541845"/>
    <w:rsid w:val="755A63E3"/>
    <w:rsid w:val="758F7443"/>
    <w:rsid w:val="759A6C2F"/>
    <w:rsid w:val="759B558D"/>
    <w:rsid w:val="75A253CE"/>
    <w:rsid w:val="75BE7ED2"/>
    <w:rsid w:val="75C9709B"/>
    <w:rsid w:val="75DD05A6"/>
    <w:rsid w:val="76274FE2"/>
    <w:rsid w:val="7662759B"/>
    <w:rsid w:val="76940257"/>
    <w:rsid w:val="76A31CAE"/>
    <w:rsid w:val="76D9127A"/>
    <w:rsid w:val="76DA0E7A"/>
    <w:rsid w:val="77425E42"/>
    <w:rsid w:val="77612CFC"/>
    <w:rsid w:val="778238FB"/>
    <w:rsid w:val="77916DB2"/>
    <w:rsid w:val="77BD1B1D"/>
    <w:rsid w:val="77EA43F1"/>
    <w:rsid w:val="78212DD9"/>
    <w:rsid w:val="78704F8D"/>
    <w:rsid w:val="78745EFA"/>
    <w:rsid w:val="78BA00D4"/>
    <w:rsid w:val="78ED0B2F"/>
    <w:rsid w:val="78F1738D"/>
    <w:rsid w:val="78F74D68"/>
    <w:rsid w:val="78FA66A5"/>
    <w:rsid w:val="78FF14C1"/>
    <w:rsid w:val="79204351"/>
    <w:rsid w:val="7936090F"/>
    <w:rsid w:val="79A41100"/>
    <w:rsid w:val="79B80762"/>
    <w:rsid w:val="79C85B8B"/>
    <w:rsid w:val="79D873E4"/>
    <w:rsid w:val="79EB3BE6"/>
    <w:rsid w:val="79EB7C1F"/>
    <w:rsid w:val="7A0F64A5"/>
    <w:rsid w:val="7A151D5F"/>
    <w:rsid w:val="7A2B2D6B"/>
    <w:rsid w:val="7A40517F"/>
    <w:rsid w:val="7A951DC3"/>
    <w:rsid w:val="7ACA45F3"/>
    <w:rsid w:val="7ACB4EA2"/>
    <w:rsid w:val="7AD13E63"/>
    <w:rsid w:val="7AF35769"/>
    <w:rsid w:val="7AFE4D0A"/>
    <w:rsid w:val="7B054D90"/>
    <w:rsid w:val="7B103792"/>
    <w:rsid w:val="7B59141E"/>
    <w:rsid w:val="7B782B87"/>
    <w:rsid w:val="7B7A574E"/>
    <w:rsid w:val="7B8F3DE0"/>
    <w:rsid w:val="7BFB59B5"/>
    <w:rsid w:val="7C293788"/>
    <w:rsid w:val="7C2A656F"/>
    <w:rsid w:val="7C443738"/>
    <w:rsid w:val="7C6B5E3E"/>
    <w:rsid w:val="7C6F0167"/>
    <w:rsid w:val="7CE70414"/>
    <w:rsid w:val="7CEF77E1"/>
    <w:rsid w:val="7CF82B77"/>
    <w:rsid w:val="7D067ED8"/>
    <w:rsid w:val="7D34178C"/>
    <w:rsid w:val="7D3B3795"/>
    <w:rsid w:val="7D4B31ED"/>
    <w:rsid w:val="7D6D7C3B"/>
    <w:rsid w:val="7DBC2638"/>
    <w:rsid w:val="7DEB4EAE"/>
    <w:rsid w:val="7DEC10CB"/>
    <w:rsid w:val="7DEF169C"/>
    <w:rsid w:val="7DFA12E6"/>
    <w:rsid w:val="7E1A511C"/>
    <w:rsid w:val="7E1A6231"/>
    <w:rsid w:val="7E4A2B09"/>
    <w:rsid w:val="7E6B0856"/>
    <w:rsid w:val="7E6F4290"/>
    <w:rsid w:val="7E76120E"/>
    <w:rsid w:val="7EDD543F"/>
    <w:rsid w:val="7EDE4077"/>
    <w:rsid w:val="7F132680"/>
    <w:rsid w:val="7F8536E0"/>
    <w:rsid w:val="7FB024C0"/>
    <w:rsid w:val="7FC90589"/>
    <w:rsid w:val="7FD5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b/>
      <w:bCs/>
      <w:kern w:val="44"/>
      <w:sz w:val="32"/>
      <w:szCs w:val="44"/>
    </w:rPr>
  </w:style>
  <w:style w:type="paragraph" w:styleId="4">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qFormat/>
    <w:uiPriority w:val="99"/>
    <w:rPr>
      <w:color w:val="0000FF"/>
      <w:u w:val="single"/>
    </w:rPr>
  </w:style>
  <w:style w:type="character" w:customStyle="1" w:styleId="20">
    <w:name w:val="font31"/>
    <w:basedOn w:val="17"/>
    <w:qFormat/>
    <w:uiPriority w:val="0"/>
    <w:rPr>
      <w:rFonts w:hint="eastAsia" w:ascii="宋体" w:hAnsi="宋体" w:eastAsia="宋体" w:cs="宋体"/>
      <w:color w:val="000000"/>
      <w:sz w:val="18"/>
      <w:szCs w:val="18"/>
      <w:u w:val="none"/>
      <w:vertAlign w:val="superscript"/>
    </w:rPr>
  </w:style>
  <w:style w:type="character" w:customStyle="1" w:styleId="21">
    <w:name w:val="font01"/>
    <w:basedOn w:val="17"/>
    <w:qFormat/>
    <w:uiPriority w:val="0"/>
    <w:rPr>
      <w:rFonts w:hint="default" w:ascii="Times New Roman" w:hAnsi="Times New Roman" w:cs="Times New Roman"/>
      <w:color w:val="000000"/>
      <w:sz w:val="20"/>
      <w:szCs w:val="20"/>
      <w:u w:val="none"/>
    </w:rPr>
  </w:style>
  <w:style w:type="character" w:customStyle="1" w:styleId="22">
    <w:name w:val="font11"/>
    <w:basedOn w:val="17"/>
    <w:qFormat/>
    <w:uiPriority w:val="0"/>
    <w:rPr>
      <w:rFonts w:hint="eastAsia" w:ascii="宋体" w:hAnsi="宋体" w:eastAsia="宋体" w:cs="宋体"/>
      <w:color w:val="000000"/>
      <w:sz w:val="20"/>
      <w:szCs w:val="20"/>
      <w:u w:val="none"/>
    </w:rPr>
  </w:style>
  <w:style w:type="character" w:customStyle="1" w:styleId="23">
    <w:name w:val="font41"/>
    <w:basedOn w:val="17"/>
    <w:qFormat/>
    <w:uiPriority w:val="0"/>
    <w:rPr>
      <w:rFonts w:hint="eastAsia" w:ascii="黑体" w:hAnsi="宋体" w:eastAsia="黑体" w:cs="黑体"/>
      <w:color w:val="000000"/>
      <w:sz w:val="20"/>
      <w:szCs w:val="20"/>
      <w:u w:val="none"/>
    </w:rPr>
  </w:style>
  <w:style w:type="character" w:customStyle="1" w:styleId="24">
    <w:name w:val="font71"/>
    <w:basedOn w:val="17"/>
    <w:qFormat/>
    <w:uiPriority w:val="0"/>
    <w:rPr>
      <w:rFonts w:hint="eastAsia" w:ascii="宋体" w:hAnsi="宋体" w:eastAsia="宋体" w:cs="宋体"/>
      <w:color w:val="000000"/>
      <w:sz w:val="18"/>
      <w:szCs w:val="18"/>
      <w:u w:val="none"/>
    </w:rPr>
  </w:style>
  <w:style w:type="character" w:customStyle="1" w:styleId="25">
    <w:name w:val="font51"/>
    <w:basedOn w:val="17"/>
    <w:qFormat/>
    <w:uiPriority w:val="0"/>
    <w:rPr>
      <w:rFonts w:hint="default" w:ascii="Times New Roman" w:hAnsi="Times New Roman" w:cs="Times New Roman"/>
      <w:color w:val="000000"/>
      <w:sz w:val="18"/>
      <w:szCs w:val="18"/>
      <w:u w:val="none"/>
    </w:rPr>
  </w:style>
  <w:style w:type="paragraph" w:styleId="26">
    <w:name w:val="List Paragraph"/>
    <w:basedOn w:val="1"/>
    <w:unhideWhenUsed/>
    <w:qFormat/>
    <w:uiPriority w:val="99"/>
    <w:pPr>
      <w:ind w:firstLine="420" w:firstLineChars="200"/>
    </w:pPr>
  </w:style>
  <w:style w:type="character" w:customStyle="1" w:styleId="27">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8">
    <w:name w:val="font61"/>
    <w:basedOn w:val="17"/>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6B6A7-0686-4298-BF58-8F865108E9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5018</Words>
  <Characters>28603</Characters>
  <Lines>238</Lines>
  <Paragraphs>67</Paragraphs>
  <TotalTime>61</TotalTime>
  <ScaleCrop>false</ScaleCrop>
  <LinksUpToDate>false</LinksUpToDate>
  <CharactersWithSpaces>33554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2020-12-14T09:21:00Z</cp:lastPrinted>
  <dcterms:modified xsi:type="dcterms:W3CDTF">2021-10-09T09:44:18Z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5186586EE12C43E08469BFEB26240BCC</vt:lpwstr>
  </property>
</Properties>
</file>