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bCs w:val="0"/>
          <w:sz w:val="30"/>
          <w:szCs w:val="30"/>
          <w:lang w:val="en-US" w:eastAsia="zh-CN"/>
        </w:rPr>
      </w:pPr>
      <w:r>
        <w:rPr>
          <w:rFonts w:hint="eastAsia" w:ascii="宋体" w:hAnsi="宋体" w:eastAsia="宋体" w:cs="宋体"/>
          <w:b/>
          <w:bCs w:val="0"/>
          <w:color w:val="auto"/>
          <w:sz w:val="30"/>
          <w:szCs w:val="30"/>
          <w:lang w:eastAsia="zh-CN"/>
        </w:rPr>
        <w:t>广西明诚项目管理有限公司</w:t>
      </w:r>
      <w:r>
        <w:rPr>
          <w:rFonts w:hint="eastAsia" w:ascii="宋体" w:hAnsi="宋体" w:cs="宋体"/>
          <w:b/>
          <w:bCs w:val="0"/>
          <w:color w:val="auto"/>
          <w:sz w:val="30"/>
          <w:szCs w:val="30"/>
          <w:lang w:val="en-US" w:eastAsia="zh-CN"/>
        </w:rPr>
        <w:t>关于</w:t>
      </w:r>
      <w:r>
        <w:rPr>
          <w:rFonts w:hint="eastAsia" w:ascii="宋体" w:hAnsi="宋体" w:eastAsia="宋体" w:cs="宋体"/>
          <w:b/>
          <w:bCs w:val="0"/>
          <w:color w:val="auto"/>
          <w:sz w:val="30"/>
          <w:szCs w:val="30"/>
        </w:rPr>
        <w:t>抢险救援设备及物资采购</w:t>
      </w:r>
      <w:r>
        <w:rPr>
          <w:rFonts w:hint="eastAsia" w:ascii="宋体" w:hAnsi="宋体" w:cs="宋体"/>
          <w:b/>
          <w:bCs w:val="0"/>
          <w:color w:val="auto"/>
          <w:sz w:val="30"/>
          <w:szCs w:val="30"/>
          <w:lang w:eastAsia="zh-CN"/>
        </w:rPr>
        <w:t>（</w:t>
      </w:r>
      <w:r>
        <w:rPr>
          <w:rFonts w:hint="eastAsia" w:ascii="宋体" w:hAnsi="宋体" w:eastAsia="宋体" w:cs="宋体"/>
          <w:b/>
          <w:bCs w:val="0"/>
          <w:color w:val="auto"/>
          <w:sz w:val="30"/>
          <w:szCs w:val="30"/>
        </w:rPr>
        <w:t>GLZC2021-C1-320001-GXMC</w:t>
      </w:r>
      <w:r>
        <w:rPr>
          <w:rFonts w:hint="eastAsia" w:ascii="宋体" w:hAnsi="宋体" w:cs="宋体"/>
          <w:b/>
          <w:bCs w:val="0"/>
          <w:color w:val="auto"/>
          <w:sz w:val="30"/>
          <w:szCs w:val="30"/>
          <w:lang w:eastAsia="zh-CN"/>
        </w:rPr>
        <w:t>）</w:t>
      </w:r>
      <w:r>
        <w:rPr>
          <w:rFonts w:hint="eastAsia" w:ascii="宋体" w:hAnsi="宋体" w:cs="宋体"/>
          <w:b/>
          <w:bCs w:val="0"/>
          <w:color w:val="auto"/>
          <w:sz w:val="30"/>
          <w:szCs w:val="30"/>
          <w:lang w:val="en-US" w:eastAsia="zh-CN"/>
        </w:rPr>
        <w:t>竞争性磋商公告</w:t>
      </w:r>
    </w:p>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Cs w:val="21"/>
        </w:rPr>
      </w:pPr>
      <w:bookmarkStart w:id="0" w:name="OLE_LINK1"/>
      <w:r>
        <w:rPr>
          <w:rFonts w:hint="eastAsia" w:ascii="宋体" w:hAnsi="宋体" w:eastAsia="宋体" w:cs="宋体"/>
          <w:b/>
          <w:bCs/>
          <w:color w:val="auto"/>
          <w:szCs w:val="21"/>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u w:val="single"/>
        </w:rPr>
        <w:t>抢险救援设备及物资采购</w:t>
      </w:r>
      <w:r>
        <w:rPr>
          <w:rFonts w:hint="eastAsia" w:ascii="宋体" w:hAnsi="宋体" w:eastAsia="宋体" w:cs="宋体"/>
          <w:color w:val="auto"/>
          <w:szCs w:val="21"/>
        </w:rPr>
        <w:t>项目的潜在供应商应在</w:t>
      </w:r>
      <w:r>
        <w:rPr>
          <w:rFonts w:hint="eastAsia" w:ascii="宋体" w:hAnsi="宋体" w:eastAsia="宋体" w:cs="宋体"/>
          <w:color w:val="auto"/>
          <w:sz w:val="21"/>
          <w:szCs w:val="21"/>
          <w:u w:val="single"/>
          <w:lang w:val="en-US" w:eastAsia="zh-CN"/>
        </w:rPr>
        <w:t>广西壮族自治区政府采购网（http://zfcg.gxzf.gov.cn/）、桂林政府采购网（http://zfcg.czj.guilin.gov.cn/）、桂林市公共资源交易中心平台（http://glggzy.org.cn）</w:t>
      </w:r>
      <w:r>
        <w:rPr>
          <w:rFonts w:hint="eastAsia" w:ascii="宋体" w:hAnsi="宋体" w:eastAsia="宋体" w:cs="宋体"/>
          <w:color w:val="auto"/>
          <w:sz w:val="21"/>
          <w:szCs w:val="21"/>
        </w:rPr>
        <w:t>获取采购文件，并于</w:t>
      </w:r>
      <w:r>
        <w:rPr>
          <w:rFonts w:hint="eastAsia" w:ascii="宋体" w:hAnsi="宋体" w:eastAsia="宋体" w:cs="宋体"/>
          <w:b w:val="0"/>
          <w:bCs/>
          <w:color w:val="auto"/>
          <w:sz w:val="21"/>
          <w:szCs w:val="21"/>
          <w:highlight w:val="none"/>
          <w:u w:val="single"/>
          <w:lang w:eastAsia="zh-CN"/>
        </w:rPr>
        <w:t>202</w:t>
      </w:r>
      <w:r>
        <w:rPr>
          <w:rFonts w:hint="eastAsia" w:ascii="宋体" w:hAnsi="宋体" w:eastAsia="宋体" w:cs="宋体"/>
          <w:b w:val="0"/>
          <w:bCs/>
          <w:color w:val="auto"/>
          <w:sz w:val="21"/>
          <w:szCs w:val="21"/>
          <w:highlight w:val="none"/>
          <w:u w:val="single"/>
          <w:lang w:val="en-US" w:eastAsia="zh-CN"/>
        </w:rPr>
        <w:t>1</w:t>
      </w:r>
      <w:r>
        <w:rPr>
          <w:rFonts w:hint="eastAsia" w:ascii="宋体" w:hAnsi="宋体" w:eastAsia="宋体" w:cs="宋体"/>
          <w:b w:val="0"/>
          <w:bCs/>
          <w:color w:val="auto"/>
          <w:sz w:val="21"/>
          <w:szCs w:val="21"/>
          <w:highlight w:val="none"/>
          <w:u w:val="single"/>
          <w:lang w:eastAsia="zh-CN"/>
        </w:rPr>
        <w:t>年</w:t>
      </w:r>
      <w:r>
        <w:rPr>
          <w:rFonts w:hint="eastAsia" w:ascii="宋体" w:hAnsi="宋体" w:eastAsia="宋体" w:cs="宋体"/>
          <w:b w:val="0"/>
          <w:bCs/>
          <w:color w:val="auto"/>
          <w:sz w:val="21"/>
          <w:szCs w:val="21"/>
          <w:highlight w:val="none"/>
          <w:u w:val="single"/>
          <w:lang w:val="en-US" w:eastAsia="zh-CN"/>
        </w:rPr>
        <w:t>1</w:t>
      </w:r>
      <w:r>
        <w:rPr>
          <w:rFonts w:hint="eastAsia" w:ascii="宋体" w:hAnsi="宋体" w:eastAsia="宋体" w:cs="宋体"/>
          <w:b w:val="0"/>
          <w:bCs/>
          <w:color w:val="auto"/>
          <w:sz w:val="21"/>
          <w:szCs w:val="21"/>
          <w:highlight w:val="none"/>
          <w:u w:val="single"/>
        </w:rPr>
        <w:t>月</w:t>
      </w:r>
      <w:r>
        <w:rPr>
          <w:rFonts w:hint="eastAsia" w:ascii="宋体" w:hAnsi="宋体" w:eastAsia="宋体" w:cs="宋体"/>
          <w:b w:val="0"/>
          <w:bCs/>
          <w:color w:val="auto"/>
          <w:sz w:val="21"/>
          <w:szCs w:val="21"/>
          <w:highlight w:val="none"/>
          <w:u w:val="single"/>
          <w:lang w:val="en-US" w:eastAsia="zh-CN"/>
        </w:rPr>
        <w:t>25</w:t>
      </w:r>
      <w:r>
        <w:rPr>
          <w:rFonts w:hint="eastAsia" w:ascii="宋体" w:hAnsi="宋体" w:eastAsia="宋体" w:cs="宋体"/>
          <w:b w:val="0"/>
          <w:bCs/>
          <w:color w:val="auto"/>
          <w:sz w:val="21"/>
          <w:szCs w:val="21"/>
          <w:highlight w:val="none"/>
          <w:u w:val="single"/>
        </w:rPr>
        <w:t>日</w:t>
      </w:r>
      <w:r>
        <w:rPr>
          <w:rFonts w:hint="eastAsia" w:ascii="宋体" w:hAnsi="宋体" w:eastAsia="宋体" w:cs="宋体"/>
          <w:b w:val="0"/>
          <w:bCs/>
          <w:color w:val="auto"/>
          <w:sz w:val="21"/>
          <w:szCs w:val="21"/>
          <w:highlight w:val="none"/>
          <w:u w:val="single"/>
          <w:lang w:val="en-US" w:eastAsia="zh-CN"/>
        </w:rPr>
        <w:t>上午9时00分起至9</w:t>
      </w:r>
      <w:r>
        <w:rPr>
          <w:rFonts w:hint="eastAsia" w:ascii="宋体" w:hAnsi="宋体" w:eastAsia="宋体" w:cs="宋体"/>
          <w:b w:val="0"/>
          <w:bCs/>
          <w:color w:val="auto"/>
          <w:sz w:val="21"/>
          <w:szCs w:val="21"/>
          <w:highlight w:val="none"/>
          <w:u w:val="single"/>
          <w:lang w:eastAsia="zh-CN"/>
        </w:rPr>
        <w:t>时</w:t>
      </w:r>
      <w:r>
        <w:rPr>
          <w:rFonts w:hint="eastAsia" w:ascii="宋体" w:hAnsi="宋体" w:eastAsia="宋体" w:cs="宋体"/>
          <w:b w:val="0"/>
          <w:bCs/>
          <w:color w:val="auto"/>
          <w:sz w:val="21"/>
          <w:szCs w:val="21"/>
          <w:highlight w:val="none"/>
          <w:u w:val="single"/>
          <w:lang w:val="en-US" w:eastAsia="zh-CN"/>
        </w:rPr>
        <w:t>30</w:t>
      </w:r>
      <w:r>
        <w:rPr>
          <w:rFonts w:hint="eastAsia" w:ascii="宋体" w:hAnsi="宋体" w:eastAsia="宋体" w:cs="宋体"/>
          <w:b w:val="0"/>
          <w:bCs/>
          <w:color w:val="auto"/>
          <w:sz w:val="21"/>
          <w:szCs w:val="21"/>
          <w:highlight w:val="none"/>
          <w:u w:val="single"/>
          <w:lang w:eastAsia="zh-CN"/>
        </w:rPr>
        <w:t>分</w:t>
      </w:r>
      <w:r>
        <w:rPr>
          <w:rFonts w:hint="eastAsia" w:ascii="宋体" w:hAnsi="宋体" w:eastAsia="宋体" w:cs="宋体"/>
          <w:b w:val="0"/>
          <w:bCs/>
          <w:color w:val="auto"/>
          <w:sz w:val="21"/>
          <w:szCs w:val="21"/>
          <w:highlight w:val="none"/>
          <w:u w:val="single"/>
          <w:lang w:val="en-US" w:eastAsia="zh-CN"/>
        </w:rPr>
        <w:t>止</w:t>
      </w:r>
      <w:r>
        <w:rPr>
          <w:rFonts w:hint="eastAsia" w:ascii="宋体" w:hAnsi="宋体" w:eastAsia="宋体" w:cs="宋体"/>
          <w:bCs/>
          <w:color w:val="auto"/>
          <w:sz w:val="21"/>
          <w:szCs w:val="21"/>
        </w:rPr>
        <w:t>（北京时间）提交响应文件</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Cs w:val="21"/>
        </w:rPr>
      </w:pPr>
      <w:bookmarkStart w:id="1" w:name="_Toc35393629"/>
      <w:bookmarkStart w:id="2" w:name="_Toc28359012"/>
      <w:bookmarkStart w:id="3" w:name="_Toc28359089"/>
      <w:bookmarkStart w:id="4" w:name="_Toc35393798"/>
      <w:r>
        <w:rPr>
          <w:rFonts w:hint="eastAsia" w:ascii="宋体" w:hAnsi="宋体" w:eastAsia="宋体" w:cs="宋体"/>
          <w:b/>
          <w:bCs/>
          <w:color w:val="auto"/>
          <w:szCs w:val="21"/>
        </w:rPr>
        <w:t>一、项目基本情况</w:t>
      </w:r>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w:t>
      </w:r>
      <w:r>
        <w:rPr>
          <w:rFonts w:hint="eastAsia" w:ascii="宋体" w:hAnsi="宋体" w:eastAsia="宋体" w:cs="宋体"/>
          <w:color w:val="auto"/>
          <w:szCs w:val="21"/>
        </w:rPr>
        <w:t>项目编号：GLZC2021-C1-320001-GXMC</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项目名称：抢险救援设备及物资采购</w:t>
      </w:r>
      <w:r>
        <w:rPr>
          <w:rFonts w:hint="eastAsia" w:ascii="宋体" w:hAnsi="宋体" w:eastAsia="宋体" w:cs="宋体"/>
          <w:color w:val="auto"/>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eastAsia="宋体" w:cs="宋体"/>
          <w:color w:val="auto"/>
          <w:szCs w:val="21"/>
        </w:rPr>
        <w:t>采购方式：竞争性磋商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eastAsia="宋体" w:cs="宋体"/>
          <w:color w:val="auto"/>
          <w:szCs w:val="21"/>
        </w:rPr>
        <w:t>预算金额：柒拾贰万玖仟陆佰捌拾元整（￥729680.00元）</w:t>
      </w:r>
      <w:bookmarkStart w:id="6" w:name="_GoBack"/>
      <w:bookmarkEnd w:id="6"/>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eastAsia="宋体" w:cs="宋体"/>
          <w:color w:val="auto"/>
          <w:szCs w:val="21"/>
        </w:rPr>
        <w:t>最高限价：柒拾贰万玖仟陆佰捌拾元整（￥729680.00元）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lang w:val="en-US" w:eastAsia="zh-CN"/>
        </w:rPr>
        <w:t>6.</w:t>
      </w:r>
      <w:r>
        <w:rPr>
          <w:rFonts w:hint="eastAsia" w:ascii="宋体" w:hAnsi="宋体" w:eastAsia="宋体" w:cs="宋体"/>
          <w:color w:val="auto"/>
          <w:szCs w:val="21"/>
        </w:rPr>
        <w:t>采购需求：</w:t>
      </w:r>
      <w:r>
        <w:rPr>
          <w:rFonts w:hint="eastAsia" w:ascii="宋体" w:hAnsi="宋体" w:eastAsia="宋体" w:cs="宋体"/>
          <w:color w:val="auto"/>
          <w:sz w:val="21"/>
          <w:szCs w:val="21"/>
          <w:highlight w:val="none"/>
          <w:u w:val="none"/>
        </w:rPr>
        <w:t>标的的名称、数量、简要技术需求或服务要求</w:t>
      </w:r>
    </w:p>
    <w:tbl>
      <w:tblPr>
        <w:tblStyle w:val="7"/>
        <w:tblW w:w="90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2861"/>
        <w:gridCol w:w="838"/>
        <w:gridCol w:w="839"/>
        <w:gridCol w:w="1523"/>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696" w:type="dxa"/>
            <w:noWrap w:val="0"/>
            <w:vAlign w:val="center"/>
          </w:tcPr>
          <w:p>
            <w:pPr>
              <w:widowControl/>
              <w:adjustRightInd w:val="0"/>
              <w:snapToGrid w:val="0"/>
              <w:spacing w:line="360" w:lineRule="exact"/>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序号</w:t>
            </w:r>
          </w:p>
        </w:tc>
        <w:tc>
          <w:tcPr>
            <w:tcW w:w="2861" w:type="dxa"/>
            <w:tcBorders>
              <w:right w:val="single" w:color="auto" w:sz="4" w:space="0"/>
            </w:tcBorders>
            <w:noWrap w:val="0"/>
            <w:vAlign w:val="center"/>
          </w:tcPr>
          <w:p>
            <w:pPr>
              <w:widowControl/>
              <w:adjustRightInd w:val="0"/>
              <w:snapToGrid w:val="0"/>
              <w:spacing w:line="36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货物名称</w:t>
            </w:r>
          </w:p>
        </w:tc>
        <w:tc>
          <w:tcPr>
            <w:tcW w:w="838" w:type="dxa"/>
            <w:tcBorders>
              <w:left w:val="single" w:color="auto" w:sz="4" w:space="0"/>
            </w:tcBorders>
            <w:noWrap w:val="0"/>
            <w:vAlign w:val="center"/>
          </w:tcPr>
          <w:p>
            <w:pPr>
              <w:widowControl/>
              <w:adjustRightInd w:val="0"/>
              <w:snapToGrid w:val="0"/>
              <w:spacing w:line="36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单位</w:t>
            </w:r>
          </w:p>
        </w:tc>
        <w:tc>
          <w:tcPr>
            <w:tcW w:w="839" w:type="dxa"/>
            <w:noWrap w:val="0"/>
            <w:vAlign w:val="center"/>
          </w:tcPr>
          <w:p>
            <w:pPr>
              <w:widowControl/>
              <w:adjustRightInd w:val="0"/>
              <w:snapToGrid w:val="0"/>
              <w:spacing w:line="36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数量</w:t>
            </w:r>
          </w:p>
        </w:tc>
        <w:tc>
          <w:tcPr>
            <w:tcW w:w="1523" w:type="dxa"/>
            <w:noWrap w:val="0"/>
            <w:vAlign w:val="center"/>
          </w:tcPr>
          <w:p>
            <w:pPr>
              <w:widowControl/>
              <w:adjustRightInd w:val="0"/>
              <w:snapToGrid w:val="0"/>
              <w:spacing w:line="360" w:lineRule="exact"/>
              <w:jc w:val="center"/>
              <w:rPr>
                <w:rFonts w:hint="default" w:ascii="宋体" w:hAnsi="宋体" w:eastAsia="宋体" w:cs="宋体"/>
                <w:b/>
                <w:bCs/>
                <w:color w:val="auto"/>
                <w:szCs w:val="21"/>
                <w:lang w:val="en-US" w:eastAsia="zh-CN"/>
              </w:rPr>
            </w:pPr>
            <w:r>
              <w:rPr>
                <w:rFonts w:hint="eastAsia" w:ascii="宋体" w:hAnsi="宋体" w:eastAsia="宋体" w:cs="宋体"/>
                <w:b/>
                <w:bCs/>
                <w:color w:val="auto"/>
                <w:sz w:val="21"/>
                <w:szCs w:val="21"/>
                <w:highlight w:val="none"/>
                <w:lang w:eastAsia="zh-CN"/>
              </w:rPr>
              <w:t>参考</w:t>
            </w:r>
            <w:r>
              <w:rPr>
                <w:rFonts w:hint="eastAsia" w:ascii="宋体" w:hAnsi="宋体" w:eastAsia="宋体" w:cs="宋体"/>
                <w:b/>
                <w:bCs/>
                <w:color w:val="auto"/>
                <w:szCs w:val="21"/>
                <w:lang w:val="en-US" w:eastAsia="zh-CN"/>
              </w:rPr>
              <w:t>单价（元）</w:t>
            </w:r>
          </w:p>
        </w:tc>
        <w:tc>
          <w:tcPr>
            <w:tcW w:w="2291" w:type="dxa"/>
            <w:noWrap w:val="0"/>
            <w:vAlign w:val="center"/>
          </w:tcPr>
          <w:p>
            <w:pPr>
              <w:widowControl/>
              <w:adjustRightInd w:val="0"/>
              <w:snapToGrid w:val="0"/>
              <w:spacing w:line="36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项目基本概况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jc w:val="center"/>
        </w:trPr>
        <w:tc>
          <w:tcPr>
            <w:tcW w:w="696"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1</w:t>
            </w:r>
          </w:p>
        </w:tc>
        <w:tc>
          <w:tcPr>
            <w:tcW w:w="2861" w:type="dxa"/>
            <w:tcBorders>
              <w:right w:val="single" w:color="auto" w:sz="4" w:space="0"/>
            </w:tcBorders>
            <w:noWrap w:val="0"/>
            <w:vAlign w:val="center"/>
          </w:tcPr>
          <w:p>
            <w:pPr>
              <w:spacing w:line="360" w:lineRule="exact"/>
              <w:jc w:val="center"/>
              <w:rPr>
                <w:rFonts w:hint="eastAsia" w:ascii="宋体" w:hAnsi="宋体" w:eastAsia="宋体" w:cs="宋体"/>
                <w:bCs/>
                <w:color w:val="auto"/>
                <w:kern w:val="0"/>
                <w:szCs w:val="21"/>
                <w:lang w:bidi="ar"/>
              </w:rPr>
            </w:pPr>
            <w:r>
              <w:rPr>
                <w:rFonts w:hint="eastAsia" w:ascii="宋体" w:hAnsi="宋体" w:eastAsia="宋体" w:cs="宋体"/>
                <w:color w:val="auto"/>
                <w:kern w:val="0"/>
                <w:szCs w:val="21"/>
              </w:rPr>
              <w:t>智能救生艇（智能救生圈）</w:t>
            </w:r>
          </w:p>
        </w:tc>
        <w:tc>
          <w:tcPr>
            <w:tcW w:w="838" w:type="dxa"/>
            <w:tcBorders>
              <w:left w:val="single" w:color="auto" w:sz="4" w:space="0"/>
            </w:tcBorders>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 xml:space="preserve">台 </w:t>
            </w:r>
          </w:p>
        </w:tc>
        <w:tc>
          <w:tcPr>
            <w:tcW w:w="839"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2</w:t>
            </w:r>
          </w:p>
        </w:tc>
        <w:tc>
          <w:tcPr>
            <w:tcW w:w="1523" w:type="dxa"/>
            <w:noWrap w:val="0"/>
            <w:vAlign w:val="center"/>
          </w:tcPr>
          <w:p>
            <w:pPr>
              <w:keepNext w:val="0"/>
              <w:keepLines w:val="0"/>
              <w:widowControl/>
              <w:suppressLineNumbers w:val="0"/>
              <w:jc w:val="center"/>
              <w:textAlignment w:val="center"/>
              <w:rPr>
                <w:rFonts w:hint="eastAsia" w:ascii="宋体" w:hAnsi="宋体" w:eastAsia="宋体" w:cs="宋体"/>
                <w:bCs/>
                <w:color w:val="auto"/>
                <w:kern w:val="0"/>
                <w:szCs w:val="21"/>
                <w:lang w:bidi="ar"/>
              </w:rPr>
            </w:pPr>
            <w:r>
              <w:rPr>
                <w:rFonts w:hint="eastAsia" w:ascii="宋体" w:hAnsi="宋体" w:eastAsia="宋体" w:cs="宋体"/>
                <w:i w:val="0"/>
                <w:color w:val="auto"/>
                <w:kern w:val="0"/>
                <w:sz w:val="20"/>
                <w:szCs w:val="20"/>
                <w:u w:val="none"/>
                <w:lang w:val="en-US" w:eastAsia="zh-CN" w:bidi="ar"/>
              </w:rPr>
              <w:t>42800</w:t>
            </w:r>
          </w:p>
        </w:tc>
        <w:tc>
          <w:tcPr>
            <w:tcW w:w="2291" w:type="dxa"/>
            <w:vMerge w:val="restart"/>
            <w:noWrap w:val="0"/>
            <w:vAlign w:val="center"/>
          </w:tcPr>
          <w:p>
            <w:pPr>
              <w:widowControl/>
              <w:spacing w:line="360" w:lineRule="exact"/>
              <w:jc w:val="center"/>
              <w:textAlignment w:val="cente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详见竞争性磋商文件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696"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2</w:t>
            </w:r>
          </w:p>
        </w:tc>
        <w:tc>
          <w:tcPr>
            <w:tcW w:w="2861" w:type="dxa"/>
            <w:tcBorders>
              <w:righ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冲锋舟</w:t>
            </w:r>
          </w:p>
        </w:tc>
        <w:tc>
          <w:tcPr>
            <w:tcW w:w="838" w:type="dxa"/>
            <w:tcBorders>
              <w:lef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艘</w:t>
            </w:r>
          </w:p>
        </w:tc>
        <w:tc>
          <w:tcPr>
            <w:tcW w:w="839"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3</w:t>
            </w:r>
          </w:p>
        </w:tc>
        <w:tc>
          <w:tcPr>
            <w:tcW w:w="1523" w:type="dxa"/>
            <w:noWrap w:val="0"/>
            <w:vAlign w:val="center"/>
          </w:tcPr>
          <w:p>
            <w:pPr>
              <w:keepNext w:val="0"/>
              <w:keepLines w:val="0"/>
              <w:widowControl/>
              <w:suppressLineNumbers w:val="0"/>
              <w:jc w:val="center"/>
              <w:textAlignment w:val="center"/>
              <w:rPr>
                <w:rFonts w:hint="eastAsia" w:ascii="宋体" w:hAnsi="宋体" w:eastAsia="宋体" w:cs="宋体"/>
                <w:bCs/>
                <w:color w:val="auto"/>
                <w:kern w:val="0"/>
                <w:szCs w:val="21"/>
                <w:lang w:bidi="ar"/>
              </w:rPr>
            </w:pPr>
            <w:r>
              <w:rPr>
                <w:rFonts w:hint="eastAsia" w:ascii="宋体" w:hAnsi="宋体" w:eastAsia="宋体" w:cs="宋体"/>
                <w:i w:val="0"/>
                <w:color w:val="auto"/>
                <w:kern w:val="0"/>
                <w:sz w:val="20"/>
                <w:szCs w:val="20"/>
                <w:u w:val="none"/>
                <w:lang w:val="en-US" w:eastAsia="zh-CN" w:bidi="ar"/>
              </w:rPr>
              <w:t>22600</w:t>
            </w:r>
          </w:p>
        </w:tc>
        <w:tc>
          <w:tcPr>
            <w:tcW w:w="2291" w:type="dxa"/>
            <w:vMerge w:val="continue"/>
            <w:noWrap w:val="0"/>
            <w:vAlign w:val="center"/>
          </w:tcPr>
          <w:p>
            <w:pPr>
              <w:widowControl/>
              <w:spacing w:line="360" w:lineRule="exact"/>
              <w:jc w:val="center"/>
              <w:textAlignment w:val="center"/>
              <w:rPr>
                <w:rFonts w:hint="eastAsia" w:ascii="宋体" w:hAnsi="宋体" w:eastAsia="宋体" w:cs="宋体"/>
                <w:color w:val="auto"/>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696"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3</w:t>
            </w:r>
          </w:p>
        </w:tc>
        <w:tc>
          <w:tcPr>
            <w:tcW w:w="2861" w:type="dxa"/>
            <w:tcBorders>
              <w:righ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拖车</w:t>
            </w:r>
          </w:p>
        </w:tc>
        <w:tc>
          <w:tcPr>
            <w:tcW w:w="838" w:type="dxa"/>
            <w:tcBorders>
              <w:lef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台</w:t>
            </w:r>
          </w:p>
        </w:tc>
        <w:tc>
          <w:tcPr>
            <w:tcW w:w="839"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3</w:t>
            </w:r>
          </w:p>
        </w:tc>
        <w:tc>
          <w:tcPr>
            <w:tcW w:w="1523" w:type="dxa"/>
            <w:noWrap w:val="0"/>
            <w:vAlign w:val="center"/>
          </w:tcPr>
          <w:p>
            <w:pPr>
              <w:keepNext w:val="0"/>
              <w:keepLines w:val="0"/>
              <w:widowControl/>
              <w:suppressLineNumbers w:val="0"/>
              <w:jc w:val="center"/>
              <w:textAlignment w:val="center"/>
              <w:rPr>
                <w:rFonts w:hint="eastAsia" w:ascii="宋体" w:hAnsi="宋体" w:eastAsia="宋体" w:cs="宋体"/>
                <w:bCs/>
                <w:color w:val="auto"/>
                <w:kern w:val="0"/>
                <w:szCs w:val="21"/>
                <w:lang w:bidi="ar"/>
              </w:rPr>
            </w:pPr>
            <w:r>
              <w:rPr>
                <w:rFonts w:hint="eastAsia" w:ascii="宋体" w:hAnsi="宋体" w:eastAsia="宋体" w:cs="宋体"/>
                <w:i w:val="0"/>
                <w:color w:val="auto"/>
                <w:kern w:val="0"/>
                <w:sz w:val="20"/>
                <w:szCs w:val="20"/>
                <w:u w:val="none"/>
                <w:lang w:val="en-US" w:eastAsia="zh-CN" w:bidi="ar"/>
              </w:rPr>
              <w:t>15800</w:t>
            </w:r>
          </w:p>
        </w:tc>
        <w:tc>
          <w:tcPr>
            <w:tcW w:w="2291" w:type="dxa"/>
            <w:vMerge w:val="continue"/>
            <w:noWrap w:val="0"/>
            <w:vAlign w:val="center"/>
          </w:tcPr>
          <w:p>
            <w:pPr>
              <w:widowControl/>
              <w:spacing w:line="360" w:lineRule="exact"/>
              <w:jc w:val="center"/>
              <w:textAlignment w:val="center"/>
              <w:rPr>
                <w:rFonts w:hint="eastAsia" w:ascii="宋体" w:hAnsi="宋体" w:eastAsia="宋体" w:cs="宋体"/>
                <w:color w:val="auto"/>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696"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4</w:t>
            </w:r>
          </w:p>
        </w:tc>
        <w:tc>
          <w:tcPr>
            <w:tcW w:w="2861" w:type="dxa"/>
            <w:tcBorders>
              <w:righ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橡皮艇</w:t>
            </w:r>
          </w:p>
        </w:tc>
        <w:tc>
          <w:tcPr>
            <w:tcW w:w="838" w:type="dxa"/>
            <w:tcBorders>
              <w:lef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艘</w:t>
            </w:r>
          </w:p>
        </w:tc>
        <w:tc>
          <w:tcPr>
            <w:tcW w:w="839"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2</w:t>
            </w:r>
          </w:p>
        </w:tc>
        <w:tc>
          <w:tcPr>
            <w:tcW w:w="1523" w:type="dxa"/>
            <w:noWrap w:val="0"/>
            <w:vAlign w:val="center"/>
          </w:tcPr>
          <w:p>
            <w:pPr>
              <w:keepNext w:val="0"/>
              <w:keepLines w:val="0"/>
              <w:widowControl/>
              <w:suppressLineNumbers w:val="0"/>
              <w:jc w:val="center"/>
              <w:textAlignment w:val="center"/>
              <w:rPr>
                <w:rFonts w:hint="eastAsia" w:ascii="宋体" w:hAnsi="宋体" w:eastAsia="宋体" w:cs="宋体"/>
                <w:bCs/>
                <w:color w:val="auto"/>
                <w:kern w:val="0"/>
                <w:szCs w:val="21"/>
                <w:lang w:bidi="ar"/>
              </w:rPr>
            </w:pPr>
            <w:r>
              <w:rPr>
                <w:rFonts w:hint="eastAsia" w:ascii="宋体" w:hAnsi="宋体" w:eastAsia="宋体" w:cs="宋体"/>
                <w:i w:val="0"/>
                <w:color w:val="auto"/>
                <w:kern w:val="0"/>
                <w:sz w:val="20"/>
                <w:szCs w:val="20"/>
                <w:u w:val="none"/>
                <w:lang w:val="en-US" w:eastAsia="zh-CN" w:bidi="ar"/>
              </w:rPr>
              <w:t>10300</w:t>
            </w:r>
          </w:p>
        </w:tc>
        <w:tc>
          <w:tcPr>
            <w:tcW w:w="2291" w:type="dxa"/>
            <w:vMerge w:val="continue"/>
            <w:noWrap w:val="0"/>
            <w:vAlign w:val="center"/>
          </w:tcPr>
          <w:p>
            <w:pPr>
              <w:widowControl/>
              <w:spacing w:line="360" w:lineRule="exact"/>
              <w:jc w:val="center"/>
              <w:textAlignment w:val="center"/>
              <w:rPr>
                <w:rFonts w:hint="eastAsia" w:ascii="宋体" w:hAnsi="宋体" w:eastAsia="宋体" w:cs="宋体"/>
                <w:color w:val="auto"/>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jc w:val="center"/>
        </w:trPr>
        <w:tc>
          <w:tcPr>
            <w:tcW w:w="696"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5</w:t>
            </w:r>
          </w:p>
        </w:tc>
        <w:tc>
          <w:tcPr>
            <w:tcW w:w="2861" w:type="dxa"/>
            <w:tcBorders>
              <w:righ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 xml:space="preserve"> 2冲程60马力</w:t>
            </w:r>
          </w:p>
        </w:tc>
        <w:tc>
          <w:tcPr>
            <w:tcW w:w="838" w:type="dxa"/>
            <w:tcBorders>
              <w:lef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台</w:t>
            </w:r>
          </w:p>
        </w:tc>
        <w:tc>
          <w:tcPr>
            <w:tcW w:w="839"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3</w:t>
            </w:r>
          </w:p>
        </w:tc>
        <w:tc>
          <w:tcPr>
            <w:tcW w:w="1523" w:type="dxa"/>
            <w:noWrap w:val="0"/>
            <w:vAlign w:val="center"/>
          </w:tcPr>
          <w:p>
            <w:pPr>
              <w:keepNext w:val="0"/>
              <w:keepLines w:val="0"/>
              <w:widowControl/>
              <w:suppressLineNumbers w:val="0"/>
              <w:jc w:val="center"/>
              <w:textAlignment w:val="center"/>
              <w:rPr>
                <w:rFonts w:hint="eastAsia" w:ascii="宋体" w:hAnsi="宋体" w:eastAsia="宋体" w:cs="宋体"/>
                <w:bCs/>
                <w:color w:val="auto"/>
                <w:kern w:val="0"/>
                <w:szCs w:val="21"/>
                <w:lang w:bidi="ar"/>
              </w:rPr>
            </w:pPr>
            <w:r>
              <w:rPr>
                <w:rFonts w:hint="eastAsia" w:ascii="宋体" w:hAnsi="宋体" w:eastAsia="宋体" w:cs="宋体"/>
                <w:i w:val="0"/>
                <w:color w:val="auto"/>
                <w:kern w:val="0"/>
                <w:sz w:val="20"/>
                <w:szCs w:val="20"/>
                <w:u w:val="none"/>
                <w:lang w:val="en-US" w:eastAsia="zh-CN" w:bidi="ar"/>
              </w:rPr>
              <w:t>49800</w:t>
            </w:r>
          </w:p>
        </w:tc>
        <w:tc>
          <w:tcPr>
            <w:tcW w:w="2291" w:type="dxa"/>
            <w:vMerge w:val="continue"/>
            <w:noWrap w:val="0"/>
            <w:vAlign w:val="center"/>
          </w:tcPr>
          <w:p>
            <w:pPr>
              <w:widowControl/>
              <w:spacing w:line="360" w:lineRule="exact"/>
              <w:jc w:val="center"/>
              <w:textAlignment w:val="center"/>
              <w:rPr>
                <w:rFonts w:hint="eastAsia" w:ascii="宋体" w:hAnsi="宋体" w:eastAsia="宋体" w:cs="宋体"/>
                <w:color w:val="auto"/>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696"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6</w:t>
            </w:r>
          </w:p>
        </w:tc>
        <w:tc>
          <w:tcPr>
            <w:tcW w:w="2861" w:type="dxa"/>
            <w:tcBorders>
              <w:righ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 xml:space="preserve"> 2冲程30马力</w:t>
            </w:r>
          </w:p>
        </w:tc>
        <w:tc>
          <w:tcPr>
            <w:tcW w:w="838" w:type="dxa"/>
            <w:tcBorders>
              <w:lef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台</w:t>
            </w:r>
          </w:p>
        </w:tc>
        <w:tc>
          <w:tcPr>
            <w:tcW w:w="839"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1</w:t>
            </w:r>
          </w:p>
        </w:tc>
        <w:tc>
          <w:tcPr>
            <w:tcW w:w="1523" w:type="dxa"/>
            <w:noWrap w:val="0"/>
            <w:vAlign w:val="center"/>
          </w:tcPr>
          <w:p>
            <w:pPr>
              <w:keepNext w:val="0"/>
              <w:keepLines w:val="0"/>
              <w:widowControl/>
              <w:suppressLineNumbers w:val="0"/>
              <w:jc w:val="center"/>
              <w:textAlignment w:val="center"/>
              <w:rPr>
                <w:rFonts w:hint="eastAsia" w:ascii="宋体" w:hAnsi="宋体" w:eastAsia="宋体" w:cs="宋体"/>
                <w:bCs/>
                <w:color w:val="auto"/>
                <w:kern w:val="0"/>
                <w:szCs w:val="21"/>
                <w:lang w:bidi="ar"/>
              </w:rPr>
            </w:pPr>
            <w:r>
              <w:rPr>
                <w:rFonts w:hint="eastAsia" w:ascii="宋体" w:hAnsi="宋体" w:eastAsia="宋体" w:cs="宋体"/>
                <w:i w:val="0"/>
                <w:color w:val="auto"/>
                <w:kern w:val="0"/>
                <w:sz w:val="20"/>
                <w:szCs w:val="20"/>
                <w:u w:val="none"/>
                <w:lang w:val="en-US" w:eastAsia="zh-CN" w:bidi="ar"/>
              </w:rPr>
              <w:t>28500</w:t>
            </w:r>
          </w:p>
        </w:tc>
        <w:tc>
          <w:tcPr>
            <w:tcW w:w="2291" w:type="dxa"/>
            <w:vMerge w:val="continue"/>
            <w:noWrap w:val="0"/>
            <w:vAlign w:val="center"/>
          </w:tcPr>
          <w:p>
            <w:pPr>
              <w:widowControl/>
              <w:spacing w:line="360" w:lineRule="exact"/>
              <w:jc w:val="center"/>
              <w:textAlignment w:val="center"/>
              <w:rPr>
                <w:rFonts w:hint="eastAsia" w:ascii="宋体" w:hAnsi="宋体" w:eastAsia="宋体" w:cs="宋体"/>
                <w:color w:val="auto"/>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696"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7</w:t>
            </w:r>
          </w:p>
        </w:tc>
        <w:tc>
          <w:tcPr>
            <w:tcW w:w="2861" w:type="dxa"/>
            <w:tcBorders>
              <w:righ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手持高音喇叭</w:t>
            </w:r>
          </w:p>
        </w:tc>
        <w:tc>
          <w:tcPr>
            <w:tcW w:w="838" w:type="dxa"/>
            <w:tcBorders>
              <w:lef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个</w:t>
            </w:r>
          </w:p>
        </w:tc>
        <w:tc>
          <w:tcPr>
            <w:tcW w:w="839"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100</w:t>
            </w:r>
          </w:p>
        </w:tc>
        <w:tc>
          <w:tcPr>
            <w:tcW w:w="1523" w:type="dxa"/>
            <w:noWrap w:val="0"/>
            <w:vAlign w:val="center"/>
          </w:tcPr>
          <w:p>
            <w:pPr>
              <w:keepNext w:val="0"/>
              <w:keepLines w:val="0"/>
              <w:widowControl/>
              <w:suppressLineNumbers w:val="0"/>
              <w:jc w:val="center"/>
              <w:textAlignment w:val="center"/>
              <w:rPr>
                <w:rFonts w:hint="eastAsia" w:ascii="宋体" w:hAnsi="宋体" w:eastAsia="宋体" w:cs="宋体"/>
                <w:bCs/>
                <w:color w:val="auto"/>
                <w:kern w:val="0"/>
                <w:szCs w:val="21"/>
                <w:lang w:bidi="ar"/>
              </w:rPr>
            </w:pPr>
            <w:r>
              <w:rPr>
                <w:rFonts w:hint="eastAsia" w:ascii="宋体" w:hAnsi="宋体" w:eastAsia="宋体" w:cs="宋体"/>
                <w:i w:val="0"/>
                <w:color w:val="auto"/>
                <w:kern w:val="0"/>
                <w:sz w:val="20"/>
                <w:szCs w:val="20"/>
                <w:u w:val="none"/>
                <w:lang w:val="en-US" w:eastAsia="zh-CN" w:bidi="ar"/>
              </w:rPr>
              <w:t>460</w:t>
            </w:r>
          </w:p>
        </w:tc>
        <w:tc>
          <w:tcPr>
            <w:tcW w:w="2291" w:type="dxa"/>
            <w:vMerge w:val="continue"/>
            <w:noWrap w:val="0"/>
            <w:vAlign w:val="center"/>
          </w:tcPr>
          <w:p>
            <w:pPr>
              <w:widowControl/>
              <w:spacing w:line="360" w:lineRule="exact"/>
              <w:jc w:val="center"/>
              <w:textAlignment w:val="center"/>
              <w:rPr>
                <w:rFonts w:hint="eastAsia" w:ascii="宋体" w:hAnsi="宋体" w:eastAsia="宋体" w:cs="宋体"/>
                <w:color w:val="auto"/>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696"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8</w:t>
            </w:r>
          </w:p>
        </w:tc>
        <w:tc>
          <w:tcPr>
            <w:tcW w:w="2861" w:type="dxa"/>
            <w:tcBorders>
              <w:righ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highlight w:val="none"/>
              </w:rPr>
              <w:t>手摇报警器</w:t>
            </w:r>
          </w:p>
        </w:tc>
        <w:tc>
          <w:tcPr>
            <w:tcW w:w="838" w:type="dxa"/>
            <w:tcBorders>
              <w:lef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个</w:t>
            </w:r>
          </w:p>
        </w:tc>
        <w:tc>
          <w:tcPr>
            <w:tcW w:w="839"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100</w:t>
            </w:r>
          </w:p>
        </w:tc>
        <w:tc>
          <w:tcPr>
            <w:tcW w:w="1523" w:type="dxa"/>
            <w:noWrap w:val="0"/>
            <w:vAlign w:val="center"/>
          </w:tcPr>
          <w:p>
            <w:pPr>
              <w:keepNext w:val="0"/>
              <w:keepLines w:val="0"/>
              <w:widowControl/>
              <w:suppressLineNumbers w:val="0"/>
              <w:jc w:val="center"/>
              <w:textAlignment w:val="center"/>
              <w:rPr>
                <w:rFonts w:hint="eastAsia" w:ascii="宋体" w:hAnsi="宋体" w:eastAsia="宋体" w:cs="宋体"/>
                <w:bCs/>
                <w:color w:val="auto"/>
                <w:kern w:val="0"/>
                <w:szCs w:val="21"/>
                <w:lang w:bidi="ar"/>
              </w:rPr>
            </w:pPr>
            <w:r>
              <w:rPr>
                <w:rFonts w:hint="eastAsia" w:ascii="宋体" w:hAnsi="宋体" w:eastAsia="宋体" w:cs="宋体"/>
                <w:i w:val="0"/>
                <w:color w:val="auto"/>
                <w:kern w:val="0"/>
                <w:sz w:val="20"/>
                <w:szCs w:val="20"/>
                <w:u w:val="none"/>
                <w:lang w:val="en-US" w:eastAsia="zh-CN" w:bidi="ar"/>
              </w:rPr>
              <w:t>250</w:t>
            </w:r>
          </w:p>
        </w:tc>
        <w:tc>
          <w:tcPr>
            <w:tcW w:w="2291" w:type="dxa"/>
            <w:vMerge w:val="continue"/>
            <w:noWrap w:val="0"/>
            <w:vAlign w:val="center"/>
          </w:tcPr>
          <w:p>
            <w:pPr>
              <w:widowControl/>
              <w:spacing w:line="360" w:lineRule="exact"/>
              <w:jc w:val="center"/>
              <w:textAlignment w:val="center"/>
              <w:rPr>
                <w:rFonts w:hint="eastAsia" w:ascii="宋体" w:hAnsi="宋体" w:eastAsia="宋体" w:cs="宋体"/>
                <w:color w:val="auto"/>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696"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9</w:t>
            </w:r>
          </w:p>
        </w:tc>
        <w:tc>
          <w:tcPr>
            <w:tcW w:w="2861" w:type="dxa"/>
            <w:tcBorders>
              <w:righ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手提防爆探照灯</w:t>
            </w:r>
          </w:p>
        </w:tc>
        <w:tc>
          <w:tcPr>
            <w:tcW w:w="838" w:type="dxa"/>
            <w:tcBorders>
              <w:lef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个</w:t>
            </w:r>
          </w:p>
        </w:tc>
        <w:tc>
          <w:tcPr>
            <w:tcW w:w="839"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90</w:t>
            </w:r>
          </w:p>
        </w:tc>
        <w:tc>
          <w:tcPr>
            <w:tcW w:w="1523" w:type="dxa"/>
            <w:noWrap w:val="0"/>
            <w:vAlign w:val="center"/>
          </w:tcPr>
          <w:p>
            <w:pPr>
              <w:keepNext w:val="0"/>
              <w:keepLines w:val="0"/>
              <w:widowControl/>
              <w:suppressLineNumbers w:val="0"/>
              <w:jc w:val="center"/>
              <w:textAlignment w:val="center"/>
              <w:rPr>
                <w:rFonts w:hint="eastAsia" w:ascii="宋体" w:hAnsi="宋体" w:eastAsia="宋体" w:cs="宋体"/>
                <w:bCs/>
                <w:color w:val="auto"/>
                <w:kern w:val="0"/>
                <w:szCs w:val="21"/>
                <w:lang w:bidi="ar"/>
              </w:rPr>
            </w:pPr>
            <w:r>
              <w:rPr>
                <w:rFonts w:hint="eastAsia" w:ascii="宋体" w:hAnsi="宋体" w:eastAsia="宋体" w:cs="宋体"/>
                <w:i w:val="0"/>
                <w:color w:val="auto"/>
                <w:kern w:val="0"/>
                <w:sz w:val="20"/>
                <w:szCs w:val="20"/>
                <w:u w:val="none"/>
                <w:lang w:val="en-US" w:eastAsia="zh-CN" w:bidi="ar"/>
              </w:rPr>
              <w:t>450</w:t>
            </w:r>
          </w:p>
        </w:tc>
        <w:tc>
          <w:tcPr>
            <w:tcW w:w="2291" w:type="dxa"/>
            <w:vMerge w:val="continue"/>
            <w:noWrap w:val="0"/>
            <w:vAlign w:val="center"/>
          </w:tcPr>
          <w:p>
            <w:pPr>
              <w:widowControl/>
              <w:spacing w:line="360" w:lineRule="exact"/>
              <w:jc w:val="center"/>
              <w:textAlignment w:val="center"/>
              <w:rPr>
                <w:rFonts w:hint="eastAsia" w:ascii="宋体" w:hAnsi="宋体" w:eastAsia="宋体" w:cs="宋体"/>
                <w:color w:val="auto"/>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696"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10</w:t>
            </w:r>
          </w:p>
        </w:tc>
        <w:tc>
          <w:tcPr>
            <w:tcW w:w="2861" w:type="dxa"/>
            <w:tcBorders>
              <w:righ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highlight w:val="none"/>
              </w:rPr>
              <w:t>头盔（含固态微型强光电筒）</w:t>
            </w:r>
          </w:p>
        </w:tc>
        <w:tc>
          <w:tcPr>
            <w:tcW w:w="838" w:type="dxa"/>
            <w:tcBorders>
              <w:lef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个</w:t>
            </w:r>
          </w:p>
        </w:tc>
        <w:tc>
          <w:tcPr>
            <w:tcW w:w="839"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212</w:t>
            </w:r>
          </w:p>
        </w:tc>
        <w:tc>
          <w:tcPr>
            <w:tcW w:w="1523" w:type="dxa"/>
            <w:noWrap w:val="0"/>
            <w:vAlign w:val="center"/>
          </w:tcPr>
          <w:p>
            <w:pPr>
              <w:keepNext w:val="0"/>
              <w:keepLines w:val="0"/>
              <w:widowControl/>
              <w:suppressLineNumbers w:val="0"/>
              <w:jc w:val="center"/>
              <w:textAlignment w:val="center"/>
              <w:rPr>
                <w:rFonts w:hint="eastAsia" w:ascii="宋体" w:hAnsi="宋体" w:eastAsia="宋体" w:cs="宋体"/>
                <w:bCs/>
                <w:color w:val="auto"/>
                <w:kern w:val="0"/>
                <w:szCs w:val="21"/>
                <w:lang w:bidi="ar"/>
              </w:rPr>
            </w:pPr>
            <w:r>
              <w:rPr>
                <w:rFonts w:hint="eastAsia" w:ascii="宋体" w:hAnsi="宋体" w:eastAsia="宋体" w:cs="宋体"/>
                <w:i w:val="0"/>
                <w:color w:val="auto"/>
                <w:kern w:val="0"/>
                <w:sz w:val="20"/>
                <w:szCs w:val="20"/>
                <w:u w:val="none"/>
                <w:lang w:val="en-US" w:eastAsia="zh-CN" w:bidi="ar"/>
              </w:rPr>
              <w:t>540</w:t>
            </w:r>
          </w:p>
        </w:tc>
        <w:tc>
          <w:tcPr>
            <w:tcW w:w="2291" w:type="dxa"/>
            <w:vMerge w:val="continue"/>
            <w:noWrap w:val="0"/>
            <w:vAlign w:val="center"/>
          </w:tcPr>
          <w:p>
            <w:pPr>
              <w:widowControl/>
              <w:spacing w:line="360" w:lineRule="exact"/>
              <w:jc w:val="center"/>
              <w:textAlignment w:val="center"/>
              <w:rPr>
                <w:rFonts w:hint="eastAsia" w:ascii="宋体" w:hAnsi="宋体" w:eastAsia="宋体" w:cs="宋体"/>
                <w:color w:val="auto"/>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696"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11</w:t>
            </w:r>
          </w:p>
        </w:tc>
        <w:tc>
          <w:tcPr>
            <w:tcW w:w="2861" w:type="dxa"/>
            <w:tcBorders>
              <w:righ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迷彩作训鞋</w:t>
            </w:r>
          </w:p>
        </w:tc>
        <w:tc>
          <w:tcPr>
            <w:tcW w:w="838" w:type="dxa"/>
            <w:tcBorders>
              <w:lef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双</w:t>
            </w:r>
          </w:p>
        </w:tc>
        <w:tc>
          <w:tcPr>
            <w:tcW w:w="839"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180</w:t>
            </w:r>
          </w:p>
        </w:tc>
        <w:tc>
          <w:tcPr>
            <w:tcW w:w="1523" w:type="dxa"/>
            <w:noWrap w:val="0"/>
            <w:vAlign w:val="center"/>
          </w:tcPr>
          <w:p>
            <w:pPr>
              <w:keepNext w:val="0"/>
              <w:keepLines w:val="0"/>
              <w:widowControl/>
              <w:suppressLineNumbers w:val="0"/>
              <w:jc w:val="center"/>
              <w:textAlignment w:val="center"/>
              <w:rPr>
                <w:rFonts w:hint="eastAsia" w:ascii="宋体" w:hAnsi="宋体" w:eastAsia="宋体" w:cs="宋体"/>
                <w:bCs/>
                <w:color w:val="auto"/>
                <w:kern w:val="0"/>
                <w:szCs w:val="21"/>
                <w:lang w:bidi="ar"/>
              </w:rPr>
            </w:pPr>
            <w:r>
              <w:rPr>
                <w:rFonts w:hint="eastAsia" w:ascii="宋体" w:hAnsi="宋体" w:eastAsia="宋体" w:cs="宋体"/>
                <w:i w:val="0"/>
                <w:color w:val="auto"/>
                <w:kern w:val="0"/>
                <w:sz w:val="20"/>
                <w:szCs w:val="20"/>
                <w:u w:val="none"/>
                <w:lang w:val="en-US" w:eastAsia="zh-CN" w:bidi="ar"/>
              </w:rPr>
              <w:t>55</w:t>
            </w:r>
          </w:p>
        </w:tc>
        <w:tc>
          <w:tcPr>
            <w:tcW w:w="2291" w:type="dxa"/>
            <w:vMerge w:val="continue"/>
            <w:noWrap w:val="0"/>
            <w:vAlign w:val="center"/>
          </w:tcPr>
          <w:p>
            <w:pPr>
              <w:widowControl/>
              <w:spacing w:line="360" w:lineRule="exact"/>
              <w:jc w:val="center"/>
              <w:textAlignment w:val="center"/>
              <w:rPr>
                <w:rFonts w:hint="eastAsia" w:ascii="宋体" w:hAnsi="宋体" w:eastAsia="宋体" w:cs="宋体"/>
                <w:color w:val="auto"/>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696"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12</w:t>
            </w:r>
          </w:p>
        </w:tc>
        <w:tc>
          <w:tcPr>
            <w:tcW w:w="2861" w:type="dxa"/>
            <w:tcBorders>
              <w:righ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迷彩作训服</w:t>
            </w:r>
          </w:p>
        </w:tc>
        <w:tc>
          <w:tcPr>
            <w:tcW w:w="838" w:type="dxa"/>
            <w:tcBorders>
              <w:lef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套</w:t>
            </w:r>
          </w:p>
        </w:tc>
        <w:tc>
          <w:tcPr>
            <w:tcW w:w="839"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180</w:t>
            </w:r>
          </w:p>
        </w:tc>
        <w:tc>
          <w:tcPr>
            <w:tcW w:w="1523" w:type="dxa"/>
            <w:noWrap w:val="0"/>
            <w:vAlign w:val="center"/>
          </w:tcPr>
          <w:p>
            <w:pPr>
              <w:keepNext w:val="0"/>
              <w:keepLines w:val="0"/>
              <w:widowControl/>
              <w:suppressLineNumbers w:val="0"/>
              <w:jc w:val="center"/>
              <w:textAlignment w:val="center"/>
              <w:rPr>
                <w:rFonts w:hint="eastAsia" w:ascii="宋体" w:hAnsi="宋体" w:eastAsia="宋体" w:cs="宋体"/>
                <w:bCs/>
                <w:color w:val="auto"/>
                <w:kern w:val="0"/>
                <w:szCs w:val="21"/>
                <w:lang w:bidi="ar"/>
              </w:rPr>
            </w:pPr>
            <w:r>
              <w:rPr>
                <w:rFonts w:hint="eastAsia" w:ascii="宋体" w:hAnsi="宋体" w:eastAsia="宋体" w:cs="宋体"/>
                <w:i w:val="0"/>
                <w:color w:val="auto"/>
                <w:kern w:val="0"/>
                <w:sz w:val="20"/>
                <w:szCs w:val="20"/>
                <w:u w:val="none"/>
                <w:lang w:val="en-US" w:eastAsia="zh-CN" w:bidi="ar"/>
              </w:rPr>
              <w:t>230</w:t>
            </w:r>
          </w:p>
        </w:tc>
        <w:tc>
          <w:tcPr>
            <w:tcW w:w="2291" w:type="dxa"/>
            <w:vMerge w:val="continue"/>
            <w:noWrap w:val="0"/>
            <w:vAlign w:val="center"/>
          </w:tcPr>
          <w:p>
            <w:pPr>
              <w:widowControl/>
              <w:spacing w:line="360" w:lineRule="exact"/>
              <w:jc w:val="center"/>
              <w:textAlignment w:val="center"/>
              <w:rPr>
                <w:rFonts w:hint="eastAsia" w:ascii="宋体" w:hAnsi="宋体" w:eastAsia="宋体" w:cs="宋体"/>
                <w:color w:val="auto"/>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696"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13</w:t>
            </w:r>
          </w:p>
        </w:tc>
        <w:tc>
          <w:tcPr>
            <w:tcW w:w="2861" w:type="dxa"/>
            <w:tcBorders>
              <w:righ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背包</w:t>
            </w:r>
          </w:p>
        </w:tc>
        <w:tc>
          <w:tcPr>
            <w:tcW w:w="838" w:type="dxa"/>
            <w:tcBorders>
              <w:lef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个</w:t>
            </w:r>
          </w:p>
        </w:tc>
        <w:tc>
          <w:tcPr>
            <w:tcW w:w="839"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180</w:t>
            </w:r>
          </w:p>
        </w:tc>
        <w:tc>
          <w:tcPr>
            <w:tcW w:w="1523" w:type="dxa"/>
            <w:noWrap w:val="0"/>
            <w:vAlign w:val="center"/>
          </w:tcPr>
          <w:p>
            <w:pPr>
              <w:keepNext w:val="0"/>
              <w:keepLines w:val="0"/>
              <w:widowControl/>
              <w:suppressLineNumbers w:val="0"/>
              <w:jc w:val="center"/>
              <w:textAlignment w:val="center"/>
              <w:rPr>
                <w:rFonts w:hint="eastAsia" w:ascii="宋体" w:hAnsi="宋体" w:eastAsia="宋体" w:cs="宋体"/>
                <w:bCs/>
                <w:color w:val="auto"/>
                <w:kern w:val="0"/>
                <w:szCs w:val="21"/>
                <w:lang w:bidi="ar"/>
              </w:rPr>
            </w:pPr>
            <w:r>
              <w:rPr>
                <w:rFonts w:hint="eastAsia" w:ascii="宋体" w:hAnsi="宋体" w:eastAsia="宋体" w:cs="宋体"/>
                <w:i w:val="0"/>
                <w:color w:val="auto"/>
                <w:kern w:val="0"/>
                <w:sz w:val="20"/>
                <w:szCs w:val="20"/>
                <w:u w:val="none"/>
                <w:lang w:val="en-US" w:eastAsia="zh-CN" w:bidi="ar"/>
              </w:rPr>
              <w:t>165</w:t>
            </w:r>
          </w:p>
        </w:tc>
        <w:tc>
          <w:tcPr>
            <w:tcW w:w="2291" w:type="dxa"/>
            <w:vMerge w:val="continue"/>
            <w:noWrap w:val="0"/>
            <w:vAlign w:val="center"/>
          </w:tcPr>
          <w:p>
            <w:pPr>
              <w:widowControl/>
              <w:spacing w:line="360" w:lineRule="exact"/>
              <w:jc w:val="center"/>
              <w:textAlignment w:val="center"/>
              <w:rPr>
                <w:rFonts w:hint="eastAsia" w:ascii="宋体" w:hAnsi="宋体" w:eastAsia="宋体" w:cs="宋体"/>
                <w:color w:val="auto"/>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696"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14</w:t>
            </w:r>
          </w:p>
        </w:tc>
        <w:tc>
          <w:tcPr>
            <w:tcW w:w="2861" w:type="dxa"/>
            <w:tcBorders>
              <w:righ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手套</w:t>
            </w:r>
          </w:p>
        </w:tc>
        <w:tc>
          <w:tcPr>
            <w:tcW w:w="838" w:type="dxa"/>
            <w:tcBorders>
              <w:left w:val="single" w:color="auto" w:sz="4" w:space="0"/>
            </w:tcBorders>
            <w:noWrap w:val="0"/>
            <w:vAlign w:val="center"/>
          </w:tcPr>
          <w:p>
            <w:pPr>
              <w:widowControl/>
              <w:spacing w:line="360" w:lineRule="exact"/>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rPr>
              <w:t>双</w:t>
            </w:r>
          </w:p>
        </w:tc>
        <w:tc>
          <w:tcPr>
            <w:tcW w:w="839" w:type="dxa"/>
            <w:noWrap w:val="0"/>
            <w:vAlign w:val="center"/>
          </w:tcPr>
          <w:p>
            <w:pPr>
              <w:widowControl/>
              <w:spacing w:line="360" w:lineRule="exact"/>
              <w:jc w:val="center"/>
              <w:textAlignment w:val="center"/>
              <w:rPr>
                <w:rFonts w:hint="eastAsia" w:ascii="宋体" w:hAnsi="宋体" w:eastAsia="宋体" w:cs="宋体"/>
                <w:bCs/>
                <w:color w:val="auto"/>
                <w:kern w:val="0"/>
                <w:szCs w:val="21"/>
                <w:lang w:bidi="ar"/>
              </w:rPr>
            </w:pPr>
            <w:r>
              <w:rPr>
                <w:rFonts w:hint="eastAsia" w:ascii="宋体" w:hAnsi="宋体" w:eastAsia="宋体" w:cs="宋体"/>
                <w:bCs/>
                <w:color w:val="auto"/>
                <w:kern w:val="0"/>
                <w:szCs w:val="21"/>
                <w:lang w:bidi="ar"/>
              </w:rPr>
              <w:t>180</w:t>
            </w:r>
          </w:p>
        </w:tc>
        <w:tc>
          <w:tcPr>
            <w:tcW w:w="1523" w:type="dxa"/>
            <w:noWrap w:val="0"/>
            <w:vAlign w:val="center"/>
          </w:tcPr>
          <w:p>
            <w:pPr>
              <w:keepNext w:val="0"/>
              <w:keepLines w:val="0"/>
              <w:widowControl/>
              <w:suppressLineNumbers w:val="0"/>
              <w:jc w:val="center"/>
              <w:textAlignment w:val="center"/>
              <w:rPr>
                <w:rFonts w:hint="eastAsia" w:ascii="宋体" w:hAnsi="宋体" w:eastAsia="宋体" w:cs="宋体"/>
                <w:bCs/>
                <w:color w:val="auto"/>
                <w:kern w:val="0"/>
                <w:szCs w:val="21"/>
                <w:lang w:bidi="ar"/>
              </w:rPr>
            </w:pPr>
            <w:r>
              <w:rPr>
                <w:rFonts w:hint="eastAsia" w:ascii="宋体" w:hAnsi="宋体" w:eastAsia="宋体" w:cs="宋体"/>
                <w:i w:val="0"/>
                <w:color w:val="auto"/>
                <w:kern w:val="0"/>
                <w:sz w:val="20"/>
                <w:szCs w:val="20"/>
                <w:u w:val="none"/>
                <w:lang w:val="en-US" w:eastAsia="zh-CN" w:bidi="ar"/>
              </w:rPr>
              <w:t>130</w:t>
            </w:r>
          </w:p>
        </w:tc>
        <w:tc>
          <w:tcPr>
            <w:tcW w:w="2291" w:type="dxa"/>
            <w:vMerge w:val="continue"/>
            <w:noWrap w:val="0"/>
            <w:vAlign w:val="center"/>
          </w:tcPr>
          <w:p>
            <w:pPr>
              <w:widowControl/>
              <w:spacing w:line="360" w:lineRule="exact"/>
              <w:jc w:val="center"/>
              <w:textAlignment w:val="center"/>
              <w:rPr>
                <w:rFonts w:hint="eastAsia" w:ascii="宋体" w:hAnsi="宋体" w:eastAsia="宋体" w:cs="宋体"/>
                <w:color w:val="auto"/>
                <w:kern w:val="0"/>
                <w:szCs w:val="21"/>
                <w:lang w:bidi="ar"/>
              </w:rPr>
            </w:pPr>
          </w:p>
        </w:tc>
      </w:tr>
    </w:tbl>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color w:val="auto"/>
          <w:spacing w:val="0"/>
          <w:sz w:val="21"/>
          <w:szCs w:val="21"/>
        </w:rPr>
      </w:pPr>
      <w:r>
        <w:rPr>
          <w:rFonts w:hint="eastAsia" w:ascii="宋体" w:hAnsi="宋体" w:eastAsia="宋体" w:cs="宋体"/>
          <w:b w:val="0"/>
          <w:color w:val="auto"/>
          <w:spacing w:val="0"/>
          <w:sz w:val="21"/>
          <w:szCs w:val="21"/>
        </w:rPr>
        <w:t xml:space="preserve">  </w:t>
      </w:r>
      <w:r>
        <w:rPr>
          <w:rFonts w:hint="eastAsia" w:ascii="宋体" w:hAnsi="宋体" w:eastAsia="宋体" w:cs="宋体"/>
          <w:b w:val="0"/>
          <w:color w:val="auto"/>
          <w:spacing w:val="0"/>
          <w:sz w:val="21"/>
          <w:szCs w:val="21"/>
          <w:lang w:val="en-US" w:eastAsia="zh-CN"/>
        </w:rPr>
        <w:t xml:space="preserve">  7.</w:t>
      </w:r>
      <w:r>
        <w:rPr>
          <w:rFonts w:hint="eastAsia" w:ascii="宋体" w:hAnsi="宋体" w:eastAsia="宋体" w:cs="宋体"/>
          <w:b w:val="0"/>
          <w:color w:val="auto"/>
          <w:spacing w:val="0"/>
          <w:sz w:val="21"/>
          <w:szCs w:val="21"/>
        </w:rPr>
        <w:t>合同履行期限：</w:t>
      </w:r>
      <w:r>
        <w:rPr>
          <w:rFonts w:hint="eastAsia" w:ascii="宋体" w:hAnsi="宋体" w:eastAsia="宋体" w:cs="宋体"/>
          <w:b w:val="0"/>
          <w:color w:val="auto"/>
          <w:spacing w:val="0"/>
          <w:sz w:val="21"/>
          <w:szCs w:val="21"/>
          <w:highlight w:val="none"/>
          <w:u w:val="single"/>
        </w:rPr>
        <w:t xml:space="preserve">自签订合同之日起 </w:t>
      </w:r>
      <w:r>
        <w:rPr>
          <w:rFonts w:hint="eastAsia" w:ascii="宋体" w:hAnsi="宋体" w:eastAsia="宋体" w:cs="宋体"/>
          <w:b w:val="0"/>
          <w:color w:val="auto"/>
          <w:spacing w:val="0"/>
          <w:sz w:val="21"/>
          <w:szCs w:val="21"/>
          <w:highlight w:val="none"/>
          <w:u w:val="single"/>
          <w:lang w:val="en-US" w:eastAsia="zh-CN"/>
        </w:rPr>
        <w:t>1</w:t>
      </w:r>
      <w:r>
        <w:rPr>
          <w:rFonts w:hint="eastAsia" w:ascii="宋体" w:hAnsi="宋体" w:eastAsia="宋体" w:cs="宋体"/>
          <w:b w:val="0"/>
          <w:color w:val="auto"/>
          <w:spacing w:val="0"/>
          <w:sz w:val="21"/>
          <w:szCs w:val="21"/>
          <w:highlight w:val="none"/>
          <w:u w:val="single"/>
        </w:rPr>
        <w:t>5天内交货并安装调试合格交付使用。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lang w:val="en-US" w:eastAsia="zh-CN"/>
        </w:rPr>
        <w:t>8.</w:t>
      </w:r>
      <w:r>
        <w:rPr>
          <w:rFonts w:hint="eastAsia" w:ascii="宋体" w:hAnsi="宋体" w:eastAsia="宋体" w:cs="宋体"/>
          <w:color w:val="auto"/>
          <w:szCs w:val="21"/>
        </w:rPr>
        <w:t>本项目</w:t>
      </w:r>
      <w:r>
        <w:rPr>
          <w:rFonts w:hint="eastAsia" w:ascii="宋体" w:hAnsi="宋体" w:eastAsia="宋体" w:cs="宋体"/>
          <w:b/>
          <w:bCs/>
          <w:color w:val="auto"/>
          <w:szCs w:val="21"/>
          <w:u w:val="single"/>
          <w:lang w:val="en-US" w:eastAsia="zh-CN"/>
        </w:rPr>
        <w:t>不</w:t>
      </w:r>
      <w:r>
        <w:rPr>
          <w:rFonts w:hint="eastAsia" w:ascii="宋体" w:hAnsi="宋体" w:eastAsia="宋体" w:cs="宋体"/>
          <w:b/>
          <w:bCs/>
          <w:color w:val="auto"/>
          <w:szCs w:val="21"/>
          <w:u w:val="single"/>
        </w:rPr>
        <w:t>接受</w:t>
      </w:r>
      <w:r>
        <w:rPr>
          <w:rFonts w:hint="eastAsia" w:ascii="宋体" w:hAnsi="宋体" w:eastAsia="宋体" w:cs="宋体"/>
          <w:color w:val="auto"/>
          <w:szCs w:val="21"/>
        </w:rPr>
        <w:t>联合体</w:t>
      </w:r>
      <w:r>
        <w:rPr>
          <w:rFonts w:hint="eastAsia" w:ascii="宋体" w:hAnsi="宋体" w:eastAsia="宋体" w:cs="宋体"/>
          <w:b w:val="0"/>
          <w:bCs w:val="0"/>
          <w:color w:val="auto"/>
          <w:kern w:val="2"/>
          <w:sz w:val="21"/>
          <w:szCs w:val="24"/>
          <w:highlight w:val="none"/>
          <w:lang w:val="en-US" w:eastAsia="zh-CN" w:bidi="ar-SA"/>
        </w:rPr>
        <w:t>磋商</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Cs w:val="21"/>
        </w:rPr>
      </w:pPr>
      <w:r>
        <w:rPr>
          <w:rFonts w:hint="eastAsia" w:ascii="宋体" w:hAnsi="宋体" w:eastAsia="宋体" w:cs="宋体"/>
          <w:b/>
          <w:bCs/>
          <w:color w:val="auto"/>
          <w:szCs w:val="21"/>
        </w:rPr>
        <w:t>二、申请人的资格要求：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1.满足《中华人民共和国政府采购法》第二十二条规定</w:t>
      </w:r>
      <w:r>
        <w:rPr>
          <w:rFonts w:hint="eastAsia" w:ascii="宋体" w:hAnsi="宋体" w:eastAsia="宋体" w:cs="宋体"/>
          <w:color w:val="auto"/>
          <w:szCs w:val="21"/>
          <w:lang w:eastAsia="zh-CN"/>
        </w:rPr>
        <w:t>，</w:t>
      </w:r>
      <w:r>
        <w:rPr>
          <w:rFonts w:hint="eastAsia" w:ascii="宋体" w:hAnsi="宋体" w:cs="宋体"/>
          <w:color w:val="auto"/>
          <w:sz w:val="21"/>
          <w:szCs w:val="21"/>
          <w:highlight w:val="none"/>
          <w:lang w:eastAsia="zh-CN"/>
        </w:rPr>
        <w:t>具备合法资格</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2.落实政府采购政策需满足的资格要求：无。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3.本项目的特定资格要求：无。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kern w:val="0"/>
          <w:szCs w:val="21"/>
        </w:rPr>
      </w:pPr>
      <w:r>
        <w:rPr>
          <w:rFonts w:hint="eastAsia" w:ascii="宋体" w:hAnsi="宋体" w:eastAsia="宋体" w:cs="宋体"/>
          <w:color w:val="auto"/>
          <w:szCs w:val="21"/>
        </w:rPr>
        <w:t>4.</w:t>
      </w:r>
      <w:r>
        <w:rPr>
          <w:rFonts w:hint="eastAsia" w:ascii="宋体" w:hAnsi="宋体" w:eastAsia="宋体" w:cs="宋体"/>
          <w:color w:val="auto"/>
          <w:kern w:val="0"/>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9"/>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szCs w:val="21"/>
        </w:rPr>
      </w:pPr>
      <w:r>
        <w:rPr>
          <w:rFonts w:hint="eastAsia" w:ascii="宋体" w:hAnsi="宋体" w:eastAsia="宋体" w:cs="宋体"/>
          <w:color w:val="auto"/>
          <w:szCs w:val="21"/>
        </w:rPr>
        <w:t>5.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Cs w:val="21"/>
        </w:rPr>
      </w:pPr>
      <w:r>
        <w:rPr>
          <w:rFonts w:hint="eastAsia" w:ascii="宋体" w:hAnsi="宋体" w:eastAsia="宋体" w:cs="宋体"/>
          <w:b/>
          <w:bCs/>
          <w:color w:val="auto"/>
          <w:szCs w:val="21"/>
        </w:rPr>
        <w:t>三、获取</w:t>
      </w:r>
      <w:r>
        <w:rPr>
          <w:rFonts w:hint="eastAsia" w:ascii="宋体" w:hAnsi="宋体" w:eastAsia="宋体" w:cs="宋体"/>
          <w:b/>
          <w:bCs/>
          <w:color w:val="auto"/>
          <w:szCs w:val="21"/>
          <w:lang w:val="en-US" w:eastAsia="zh-CN"/>
        </w:rPr>
        <w:t>竞争性磋商</w:t>
      </w:r>
      <w:r>
        <w:rPr>
          <w:rFonts w:hint="eastAsia" w:ascii="宋体" w:hAnsi="宋体" w:eastAsia="宋体" w:cs="宋体"/>
          <w:b/>
          <w:bCs/>
          <w:color w:val="auto"/>
          <w:szCs w:val="21"/>
        </w:rPr>
        <w:t>文件</w:t>
      </w:r>
    </w:p>
    <w:p>
      <w:pPr>
        <w:keepNext w:val="0"/>
        <w:keepLines w:val="0"/>
        <w:pageBreakBefore w:val="0"/>
        <w:widowControl w:val="0"/>
        <w:kinsoku/>
        <w:wordWrap/>
        <w:overflowPunct/>
        <w:topLinePunct w:val="0"/>
        <w:autoSpaceDE/>
        <w:autoSpaceDN/>
        <w:bidi w:val="0"/>
        <w:adjustRightInd/>
        <w:snapToGrid/>
        <w:spacing w:line="400" w:lineRule="exact"/>
        <w:ind w:firstLine="426"/>
        <w:textAlignment w:val="auto"/>
        <w:rPr>
          <w:rFonts w:hint="eastAsia" w:ascii="宋体" w:hAnsi="宋体" w:eastAsia="宋体" w:cs="宋体"/>
          <w:color w:val="auto"/>
          <w:szCs w:val="21"/>
        </w:rPr>
      </w:pPr>
      <w:r>
        <w:rPr>
          <w:rFonts w:hint="eastAsia" w:ascii="宋体" w:hAnsi="宋体" w:eastAsia="宋体" w:cs="宋体"/>
          <w:b/>
          <w:bCs/>
          <w:color w:val="auto"/>
          <w:szCs w:val="21"/>
          <w:lang w:val="en-US" w:eastAsia="zh-CN"/>
        </w:rPr>
        <w:t>时间：</w:t>
      </w:r>
      <w:r>
        <w:rPr>
          <w:rFonts w:hint="eastAsia" w:ascii="宋体" w:hAnsi="宋体" w:eastAsia="宋体" w:cs="宋体"/>
          <w:b w:val="0"/>
          <w:bCs w:val="0"/>
          <w:color w:val="auto"/>
          <w:szCs w:val="21"/>
          <w:u w:val="single"/>
          <w:lang w:val="en-US" w:eastAsia="zh-CN"/>
        </w:rPr>
        <w:t>20</w:t>
      </w:r>
      <w:r>
        <w:rPr>
          <w:rFonts w:hint="eastAsia" w:ascii="宋体" w:hAnsi="宋体" w:eastAsia="宋体" w:cs="宋体"/>
          <w:color w:val="auto"/>
          <w:szCs w:val="21"/>
          <w:u w:val="single"/>
        </w:rPr>
        <w:t>2</w:t>
      </w:r>
      <w:r>
        <w:rPr>
          <w:rFonts w:hint="eastAsia" w:ascii="宋体" w:hAnsi="宋体" w:eastAsia="宋体" w:cs="宋体"/>
          <w:color w:val="auto"/>
          <w:szCs w:val="21"/>
          <w:u w:val="single"/>
          <w:lang w:val="en-US" w:eastAsia="zh-CN"/>
        </w:rPr>
        <w:t>1</w:t>
      </w:r>
      <w:r>
        <w:rPr>
          <w:rFonts w:hint="eastAsia" w:ascii="宋体" w:hAnsi="宋体" w:eastAsia="宋体" w:cs="宋体"/>
          <w:color w:val="auto"/>
          <w:szCs w:val="21"/>
          <w:u w:val="single"/>
        </w:rPr>
        <w:t>年1月</w:t>
      </w:r>
      <w:r>
        <w:rPr>
          <w:rFonts w:hint="eastAsia" w:ascii="宋体" w:hAnsi="宋体" w:eastAsia="宋体" w:cs="宋体"/>
          <w:color w:val="auto"/>
          <w:szCs w:val="21"/>
          <w:u w:val="single"/>
          <w:lang w:val="en-US" w:eastAsia="zh-CN"/>
        </w:rPr>
        <w:t>14</w:t>
      </w:r>
      <w:r>
        <w:rPr>
          <w:rFonts w:hint="eastAsia" w:ascii="宋体" w:hAnsi="宋体" w:eastAsia="宋体" w:cs="宋体"/>
          <w:color w:val="auto"/>
          <w:szCs w:val="21"/>
          <w:u w:val="single"/>
        </w:rPr>
        <w:t>日至202</w:t>
      </w:r>
      <w:r>
        <w:rPr>
          <w:rFonts w:hint="eastAsia" w:ascii="宋体" w:hAnsi="宋体" w:eastAsia="宋体" w:cs="宋体"/>
          <w:color w:val="auto"/>
          <w:szCs w:val="21"/>
          <w:u w:val="single"/>
          <w:lang w:val="en-US" w:eastAsia="zh-CN"/>
        </w:rPr>
        <w:t>1</w:t>
      </w:r>
      <w:r>
        <w:rPr>
          <w:rFonts w:hint="eastAsia" w:ascii="宋体" w:hAnsi="宋体" w:eastAsia="宋体" w:cs="宋体"/>
          <w:color w:val="auto"/>
          <w:szCs w:val="21"/>
          <w:u w:val="single"/>
        </w:rPr>
        <w:t>年</w:t>
      </w:r>
      <w:r>
        <w:rPr>
          <w:rFonts w:hint="eastAsia" w:ascii="宋体" w:hAnsi="宋体" w:eastAsia="宋体" w:cs="宋体"/>
          <w:color w:val="auto"/>
          <w:szCs w:val="21"/>
          <w:u w:val="single"/>
          <w:lang w:val="en-US" w:eastAsia="zh-CN"/>
        </w:rPr>
        <w:t>1</w:t>
      </w:r>
      <w:r>
        <w:rPr>
          <w:rFonts w:hint="eastAsia" w:ascii="宋体" w:hAnsi="宋体" w:eastAsia="宋体" w:cs="宋体"/>
          <w:color w:val="auto"/>
          <w:szCs w:val="21"/>
          <w:u w:val="single"/>
        </w:rPr>
        <w:t>月</w:t>
      </w:r>
      <w:r>
        <w:rPr>
          <w:rFonts w:hint="eastAsia" w:ascii="宋体" w:hAnsi="宋体" w:eastAsia="宋体" w:cs="宋体"/>
          <w:color w:val="auto"/>
          <w:szCs w:val="21"/>
          <w:u w:val="single"/>
          <w:lang w:val="en-US" w:eastAsia="zh-CN"/>
        </w:rPr>
        <w:t>24</w:t>
      </w:r>
      <w:r>
        <w:rPr>
          <w:rFonts w:hint="eastAsia" w:ascii="宋体" w:hAnsi="宋体" w:eastAsia="宋体" w:cs="宋体"/>
          <w:color w:val="auto"/>
          <w:szCs w:val="21"/>
          <w:u w:val="single"/>
        </w:rPr>
        <w:t>日</w:t>
      </w:r>
      <w:r>
        <w:rPr>
          <w:rFonts w:hint="eastAsia" w:ascii="宋体" w:hAnsi="宋体" w:eastAsia="宋体" w:cs="宋体"/>
          <w:color w:val="auto"/>
          <w:kern w:val="2"/>
          <w:sz w:val="21"/>
          <w:szCs w:val="21"/>
          <w:highlight w:val="none"/>
          <w:u w:val="single"/>
          <w:lang w:val="en-US" w:eastAsia="zh-CN" w:bidi="ar-SA"/>
        </w:rPr>
        <w:t>23点59分止。</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color w:val="auto"/>
          <w:szCs w:val="21"/>
        </w:rPr>
      </w:pPr>
      <w:r>
        <w:rPr>
          <w:rFonts w:hint="eastAsia" w:ascii="宋体" w:hAnsi="宋体" w:eastAsia="宋体" w:cs="宋体"/>
          <w:b/>
          <w:bCs/>
          <w:color w:val="auto"/>
          <w:szCs w:val="21"/>
          <w:lang w:val="en-US" w:eastAsia="zh-CN"/>
        </w:rPr>
        <w:t>地点：</w:t>
      </w:r>
      <w:r>
        <w:rPr>
          <w:rFonts w:hint="eastAsia" w:ascii="宋体" w:hAnsi="宋体" w:eastAsia="宋体" w:cs="宋体"/>
          <w:color w:val="auto"/>
          <w:szCs w:val="21"/>
        </w:rPr>
        <w:t>潜在供应商登陆</w:t>
      </w:r>
      <w:r>
        <w:rPr>
          <w:rFonts w:hint="eastAsia" w:ascii="宋体" w:hAnsi="宋体" w:eastAsia="宋体" w:cs="宋体"/>
          <w:color w:val="auto"/>
          <w:szCs w:val="21"/>
          <w:u w:val="single"/>
        </w:rPr>
        <w:t>http://zfcg.czj.guilin.gov.cn/（桂林政府采购网）、http://glggzy.org.cn/gxglzbw/（桂林市公共资源交易中心网）、http://zfcg.gxzf.gov.cn/（广西壮族自治区政府采购网），</w:t>
      </w:r>
      <w:r>
        <w:rPr>
          <w:rFonts w:hint="eastAsia" w:ascii="宋体" w:hAnsi="宋体" w:eastAsia="宋体" w:cs="宋体"/>
          <w:color w:val="auto"/>
          <w:szCs w:val="21"/>
        </w:rPr>
        <w:t>从网上下载竞争性</w:t>
      </w:r>
      <w:r>
        <w:rPr>
          <w:rFonts w:hint="eastAsia" w:ascii="宋体" w:hAnsi="宋体" w:eastAsia="宋体" w:cs="宋体"/>
          <w:color w:val="auto"/>
          <w:szCs w:val="21"/>
          <w:lang w:val="en-US" w:eastAsia="zh-CN"/>
        </w:rPr>
        <w:t>磋商</w:t>
      </w:r>
      <w:r>
        <w:rPr>
          <w:rFonts w:hint="eastAsia" w:ascii="宋体" w:hAnsi="宋体" w:eastAsia="宋体" w:cs="宋体"/>
          <w:color w:val="auto"/>
          <w:szCs w:val="21"/>
        </w:rPr>
        <w:t>文件电子版，并根据竞争性</w:t>
      </w:r>
      <w:r>
        <w:rPr>
          <w:rFonts w:hint="eastAsia" w:ascii="宋体" w:hAnsi="宋体" w:eastAsia="宋体" w:cs="宋体"/>
          <w:color w:val="auto"/>
          <w:szCs w:val="21"/>
          <w:lang w:val="en-US" w:eastAsia="zh-CN"/>
        </w:rPr>
        <w:t>磋商</w:t>
      </w:r>
      <w:r>
        <w:rPr>
          <w:rFonts w:hint="eastAsia" w:ascii="宋体" w:hAnsi="宋体" w:eastAsia="宋体" w:cs="宋体"/>
          <w:color w:val="auto"/>
          <w:szCs w:val="21"/>
        </w:rPr>
        <w:t>文件规定的响应文件递交截止时间和地点直接提交响应文件参与</w:t>
      </w:r>
      <w:r>
        <w:rPr>
          <w:rFonts w:hint="eastAsia" w:ascii="宋体" w:hAnsi="宋体" w:eastAsia="宋体" w:cs="宋体"/>
          <w:color w:val="auto"/>
          <w:szCs w:val="21"/>
          <w:lang w:val="en-US" w:eastAsia="zh-CN"/>
        </w:rPr>
        <w:t>磋商</w:t>
      </w:r>
      <w:r>
        <w:rPr>
          <w:rFonts w:hint="eastAsia" w:ascii="宋体" w:hAnsi="宋体" w:eastAsia="宋体" w:cs="宋体"/>
          <w:color w:val="auto"/>
          <w:szCs w:val="21"/>
        </w:rPr>
        <w:t>。</w:t>
      </w:r>
    </w:p>
    <w:p>
      <w:pPr>
        <w:pStyle w:val="3"/>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auto"/>
          <w:spacing w:val="0"/>
          <w:kern w:val="2"/>
          <w:sz w:val="21"/>
          <w:szCs w:val="21"/>
          <w:highlight w:val="none"/>
          <w:lang w:val="en-US" w:eastAsia="zh-CN" w:bidi="ar-SA"/>
        </w:rPr>
      </w:pPr>
      <w:r>
        <w:rPr>
          <w:rFonts w:hint="eastAsia" w:ascii="宋体" w:hAnsi="宋体" w:eastAsia="宋体" w:cs="宋体"/>
          <w:b/>
          <w:bCs/>
          <w:color w:val="auto"/>
          <w:spacing w:val="0"/>
          <w:kern w:val="2"/>
          <w:sz w:val="21"/>
          <w:szCs w:val="21"/>
          <w:highlight w:val="none"/>
          <w:lang w:val="en-US" w:eastAsia="zh-CN" w:bidi="ar-SA"/>
        </w:rPr>
        <w:t>注：</w:t>
      </w:r>
    </w:p>
    <w:p>
      <w:pPr>
        <w:pStyle w:val="3"/>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auto"/>
          <w:spacing w:val="0"/>
          <w:kern w:val="2"/>
          <w:sz w:val="21"/>
          <w:szCs w:val="21"/>
          <w:highlight w:val="none"/>
          <w:lang w:val="en-US" w:eastAsia="zh-CN" w:bidi="ar-SA"/>
        </w:rPr>
      </w:pPr>
      <w:r>
        <w:rPr>
          <w:rFonts w:hint="eastAsia" w:ascii="宋体" w:hAnsi="宋体" w:eastAsia="宋体" w:cs="宋体"/>
          <w:b/>
          <w:bCs/>
          <w:color w:val="auto"/>
          <w:spacing w:val="0"/>
          <w:kern w:val="2"/>
          <w:sz w:val="21"/>
          <w:szCs w:val="21"/>
          <w:highlight w:val="none"/>
          <w:lang w:val="en-US" w:eastAsia="zh-CN" w:bidi="ar-SA"/>
        </w:rPr>
        <w:t>1.已获取竞争性磋商文件的供应商不等于符合本项目的供应商资格条件。</w:t>
      </w:r>
    </w:p>
    <w:p>
      <w:pPr>
        <w:pStyle w:val="3"/>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b/>
          <w:bCs/>
          <w:color w:val="auto"/>
          <w:highlight w:val="none"/>
        </w:rPr>
      </w:pPr>
      <w:r>
        <w:rPr>
          <w:rFonts w:hint="eastAsia" w:ascii="宋体" w:hAnsi="宋体" w:eastAsia="宋体" w:cs="宋体"/>
          <w:b/>
          <w:bCs/>
          <w:color w:val="auto"/>
          <w:spacing w:val="0"/>
          <w:kern w:val="2"/>
          <w:sz w:val="21"/>
          <w:szCs w:val="21"/>
          <w:highlight w:val="none"/>
          <w:lang w:val="en-US" w:eastAsia="zh-CN" w:bidi="ar-SA"/>
        </w:rPr>
        <w:t>2.为避免供应商不良诚信记录的发生及配合采购单位政府采购项目执行和备案，未在政采云注册的供应商可在获取招标文件后登录政采云进行注册，如在操作过程中遇到问题或者需要技术支持，请致电政采云客服热线：400-881-7190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Cs w:val="21"/>
        </w:rPr>
      </w:pPr>
      <w:r>
        <w:rPr>
          <w:rFonts w:hint="eastAsia" w:ascii="宋体" w:hAnsi="宋体" w:eastAsia="宋体" w:cs="宋体"/>
          <w:b/>
          <w:color w:val="auto"/>
          <w:szCs w:val="21"/>
        </w:rPr>
        <w:t>四、响应文件</w:t>
      </w:r>
      <w:r>
        <w:rPr>
          <w:rFonts w:hint="eastAsia" w:ascii="宋体" w:hAnsi="宋体" w:eastAsia="宋体" w:cs="宋体"/>
          <w:b/>
          <w:color w:val="auto"/>
          <w:szCs w:val="21"/>
          <w:lang w:val="en-US" w:eastAsia="zh-CN"/>
        </w:rPr>
        <w:t>提</w:t>
      </w:r>
      <w:r>
        <w:rPr>
          <w:rFonts w:hint="eastAsia" w:ascii="宋体" w:hAnsi="宋体" w:eastAsia="宋体" w:cs="宋体"/>
          <w:b/>
          <w:color w:val="auto"/>
          <w:szCs w:val="21"/>
        </w:rPr>
        <w:t>交</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Cs/>
          <w:color w:val="auto"/>
          <w:szCs w:val="21"/>
        </w:rPr>
      </w:pPr>
      <w:r>
        <w:rPr>
          <w:rFonts w:hint="eastAsia" w:ascii="宋体" w:hAnsi="宋体" w:eastAsia="宋体" w:cs="宋体"/>
          <w:b/>
          <w:bCs w:val="0"/>
          <w:color w:val="auto"/>
          <w:szCs w:val="21"/>
        </w:rPr>
        <w:t>截止时间：</w:t>
      </w:r>
      <w:bookmarkStart w:id="5" w:name="_Hlk43737920"/>
      <w:r>
        <w:rPr>
          <w:rFonts w:hint="eastAsia" w:ascii="宋体" w:hAnsi="宋体" w:eastAsia="宋体" w:cs="宋体"/>
          <w:bCs/>
          <w:color w:val="auto"/>
          <w:szCs w:val="21"/>
          <w:u w:val="single"/>
        </w:rPr>
        <w:t>202</w:t>
      </w:r>
      <w:r>
        <w:rPr>
          <w:rFonts w:hint="eastAsia" w:ascii="宋体" w:hAnsi="宋体" w:eastAsia="宋体" w:cs="宋体"/>
          <w:bCs/>
          <w:color w:val="auto"/>
          <w:szCs w:val="21"/>
          <w:u w:val="single"/>
          <w:lang w:val="en-US" w:eastAsia="zh-CN"/>
        </w:rPr>
        <w:t>1</w:t>
      </w:r>
      <w:r>
        <w:rPr>
          <w:rFonts w:hint="eastAsia" w:ascii="宋体" w:hAnsi="宋体" w:eastAsia="宋体" w:cs="宋体"/>
          <w:bCs/>
          <w:color w:val="auto"/>
          <w:szCs w:val="21"/>
          <w:u w:val="single"/>
        </w:rPr>
        <w:t>年1月</w:t>
      </w:r>
      <w:r>
        <w:rPr>
          <w:rFonts w:hint="eastAsia" w:ascii="宋体" w:hAnsi="宋体" w:eastAsia="宋体" w:cs="宋体"/>
          <w:bCs/>
          <w:color w:val="auto"/>
          <w:szCs w:val="21"/>
          <w:u w:val="single"/>
          <w:lang w:val="en-US" w:eastAsia="zh-CN"/>
        </w:rPr>
        <w:t>25</w:t>
      </w:r>
      <w:r>
        <w:rPr>
          <w:rFonts w:hint="eastAsia" w:ascii="宋体" w:hAnsi="宋体" w:eastAsia="宋体" w:cs="宋体"/>
          <w:bCs/>
          <w:color w:val="auto"/>
          <w:szCs w:val="21"/>
          <w:u w:val="single"/>
        </w:rPr>
        <w:t>日</w:t>
      </w:r>
      <w:r>
        <w:rPr>
          <w:rFonts w:hint="eastAsia" w:ascii="宋体" w:hAnsi="宋体" w:eastAsia="宋体" w:cs="宋体"/>
          <w:bCs/>
          <w:color w:val="auto"/>
          <w:szCs w:val="21"/>
          <w:u w:val="single"/>
          <w:lang w:val="en-US" w:eastAsia="zh-CN"/>
        </w:rPr>
        <w:t>上午9时00分起至9</w:t>
      </w:r>
      <w:r>
        <w:rPr>
          <w:rFonts w:hint="eastAsia" w:ascii="宋体" w:hAnsi="宋体" w:eastAsia="宋体" w:cs="宋体"/>
          <w:bCs/>
          <w:color w:val="auto"/>
          <w:szCs w:val="21"/>
          <w:u w:val="single"/>
        </w:rPr>
        <w:t>时</w:t>
      </w:r>
      <w:r>
        <w:rPr>
          <w:rFonts w:hint="eastAsia" w:ascii="宋体" w:hAnsi="宋体" w:eastAsia="宋体" w:cs="宋体"/>
          <w:bCs/>
          <w:color w:val="auto"/>
          <w:szCs w:val="21"/>
          <w:u w:val="single"/>
          <w:lang w:val="en-US" w:eastAsia="zh-CN"/>
        </w:rPr>
        <w:t>30</w:t>
      </w:r>
      <w:r>
        <w:rPr>
          <w:rFonts w:hint="eastAsia" w:ascii="宋体" w:hAnsi="宋体" w:eastAsia="宋体" w:cs="宋体"/>
          <w:bCs/>
          <w:color w:val="auto"/>
          <w:szCs w:val="21"/>
          <w:u w:val="single"/>
        </w:rPr>
        <w:t>分</w:t>
      </w:r>
      <w:r>
        <w:rPr>
          <w:rFonts w:hint="eastAsia" w:ascii="宋体" w:hAnsi="宋体" w:eastAsia="宋体" w:cs="宋体"/>
          <w:bCs/>
          <w:color w:val="auto"/>
          <w:szCs w:val="21"/>
          <w:u w:val="single"/>
          <w:lang w:val="en-US" w:eastAsia="zh-CN"/>
        </w:rPr>
        <w:t>止</w:t>
      </w:r>
      <w:r>
        <w:rPr>
          <w:rFonts w:hint="eastAsia" w:ascii="宋体" w:hAnsi="宋体" w:eastAsia="宋体" w:cs="宋体"/>
          <w:bCs/>
          <w:color w:val="auto"/>
          <w:szCs w:val="21"/>
          <w:u w:val="single"/>
        </w:rPr>
        <w:t>（北京时间）</w:t>
      </w:r>
      <w:bookmarkEnd w:id="5"/>
      <w:r>
        <w:rPr>
          <w:rFonts w:hint="eastAsia" w:ascii="宋体" w:hAnsi="宋体" w:eastAsia="宋体" w:cs="宋体"/>
          <w:color w:val="auto"/>
          <w:szCs w:val="21"/>
          <w:u w:val="single"/>
        </w:rPr>
        <w:t>。</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Cs/>
          <w:color w:val="auto"/>
          <w:szCs w:val="21"/>
          <w:highlight w:val="none"/>
          <w:u w:val="single"/>
        </w:rPr>
      </w:pPr>
      <w:r>
        <w:rPr>
          <w:rFonts w:hint="eastAsia" w:ascii="宋体" w:hAnsi="宋体" w:eastAsia="宋体" w:cs="宋体"/>
          <w:b/>
          <w:bCs w:val="0"/>
          <w:color w:val="auto"/>
          <w:szCs w:val="21"/>
          <w:highlight w:val="none"/>
        </w:rPr>
        <w:t>地点：</w:t>
      </w:r>
      <w:r>
        <w:rPr>
          <w:rFonts w:hint="eastAsia" w:ascii="宋体" w:hAnsi="宋体" w:eastAsia="宋体" w:cs="宋体"/>
          <w:color w:val="auto"/>
          <w:highlight w:val="none"/>
          <w:u w:val="single"/>
        </w:rPr>
        <w:t>供应商在递交响应文件截止时间前,将响应文件密封提交至</w:t>
      </w:r>
      <w:r>
        <w:rPr>
          <w:rFonts w:hint="eastAsia" w:ascii="宋体" w:hAnsi="宋体" w:eastAsia="宋体" w:cs="宋体"/>
          <w:bCs/>
          <w:color w:val="auto"/>
          <w:szCs w:val="21"/>
          <w:highlight w:val="none"/>
          <w:u w:val="single"/>
        </w:rPr>
        <w:t>桂林市公共资源交易中心</w:t>
      </w:r>
      <w:r>
        <w:rPr>
          <w:rFonts w:hint="eastAsia" w:ascii="宋体" w:hAnsi="宋体" w:eastAsia="宋体" w:cs="宋体"/>
          <w:bCs/>
          <w:color w:val="auto"/>
          <w:szCs w:val="21"/>
          <w:highlight w:val="none"/>
          <w:u w:val="single"/>
          <w:lang w:val="en-US" w:eastAsia="zh-CN"/>
        </w:rPr>
        <w:t xml:space="preserve"> </w:t>
      </w:r>
      <w:r>
        <w:rPr>
          <w:rFonts w:hint="eastAsia" w:ascii="宋体" w:hAnsi="宋体" w:eastAsia="宋体" w:cs="宋体"/>
          <w:b/>
          <w:bCs w:val="0"/>
          <w:color w:val="auto"/>
          <w:szCs w:val="21"/>
          <w:highlight w:val="none"/>
          <w:u w:val="single"/>
          <w:lang w:val="en-US" w:eastAsia="zh-CN"/>
        </w:rPr>
        <w:t xml:space="preserve">9 </w:t>
      </w:r>
      <w:r>
        <w:rPr>
          <w:rFonts w:hint="eastAsia" w:ascii="宋体" w:hAnsi="宋体" w:eastAsia="宋体" w:cs="宋体"/>
          <w:bCs/>
          <w:color w:val="auto"/>
          <w:szCs w:val="21"/>
          <w:highlight w:val="none"/>
          <w:u w:val="single"/>
        </w:rPr>
        <w:t>号开标室（广西桂林市临桂区西城中路69号创业大厦西辅楼4楼北区），逾期送达的或未按照采购文件要求密封的响应文件将予以拒收。</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Cs w:val="21"/>
        </w:rPr>
      </w:pPr>
      <w:r>
        <w:rPr>
          <w:rFonts w:hint="eastAsia" w:ascii="宋体" w:hAnsi="宋体" w:eastAsia="宋体" w:cs="宋体"/>
          <w:b/>
          <w:color w:val="auto"/>
          <w:szCs w:val="21"/>
        </w:rPr>
        <w:t>五、开启</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Cs/>
          <w:color w:val="auto"/>
          <w:szCs w:val="21"/>
        </w:rPr>
      </w:pPr>
      <w:r>
        <w:rPr>
          <w:rFonts w:hint="eastAsia" w:ascii="宋体" w:hAnsi="宋体" w:eastAsia="宋体" w:cs="宋体"/>
          <w:b/>
          <w:bCs w:val="0"/>
          <w:color w:val="auto"/>
          <w:szCs w:val="21"/>
        </w:rPr>
        <w:t>时间：</w:t>
      </w:r>
      <w:r>
        <w:rPr>
          <w:rFonts w:hint="eastAsia" w:ascii="宋体" w:hAnsi="宋体" w:eastAsia="宋体" w:cs="宋体"/>
          <w:b w:val="0"/>
          <w:bCs/>
          <w:color w:val="auto"/>
          <w:szCs w:val="21"/>
          <w:u w:val="single"/>
          <w:lang w:val="en-US" w:eastAsia="zh-CN"/>
        </w:rPr>
        <w:t>2021年1月</w:t>
      </w:r>
      <w:r>
        <w:rPr>
          <w:rFonts w:hint="eastAsia" w:ascii="宋体" w:hAnsi="宋体" w:eastAsia="宋体" w:cs="宋体"/>
          <w:bCs/>
          <w:color w:val="auto"/>
          <w:szCs w:val="21"/>
          <w:u w:val="single"/>
          <w:lang w:val="en-US" w:eastAsia="zh-CN"/>
        </w:rPr>
        <w:t>25</w:t>
      </w:r>
      <w:r>
        <w:rPr>
          <w:rFonts w:hint="eastAsia" w:ascii="宋体" w:hAnsi="宋体" w:eastAsia="宋体" w:cs="宋体"/>
          <w:b w:val="0"/>
          <w:bCs/>
          <w:color w:val="auto"/>
          <w:szCs w:val="21"/>
          <w:u w:val="single"/>
          <w:lang w:val="en-US" w:eastAsia="zh-CN"/>
        </w:rPr>
        <w:t>日上午9时30分截标后</w:t>
      </w:r>
      <w:r>
        <w:rPr>
          <w:rFonts w:hint="eastAsia" w:ascii="宋体" w:hAnsi="宋体" w:eastAsia="宋体" w:cs="宋体"/>
          <w:bCs/>
          <w:color w:val="auto"/>
          <w:szCs w:val="21"/>
          <w:u w:val="single"/>
        </w:rPr>
        <w:t>（北京时间）</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Cs/>
          <w:color w:val="auto"/>
          <w:szCs w:val="21"/>
          <w:u w:val="single"/>
        </w:rPr>
      </w:pPr>
      <w:r>
        <w:rPr>
          <w:rFonts w:hint="eastAsia" w:ascii="宋体" w:hAnsi="宋体" w:eastAsia="宋体" w:cs="宋体"/>
          <w:b/>
          <w:bCs w:val="0"/>
          <w:color w:val="auto"/>
          <w:szCs w:val="21"/>
        </w:rPr>
        <w:t>地点：</w:t>
      </w:r>
      <w:r>
        <w:rPr>
          <w:rFonts w:hint="eastAsia" w:ascii="宋体" w:hAnsi="宋体" w:eastAsia="宋体" w:cs="宋体"/>
          <w:bCs/>
          <w:color w:val="auto"/>
          <w:szCs w:val="21"/>
          <w:u w:val="single"/>
        </w:rPr>
        <w:t>桂林市公共资源交易中心评标室（广西桂林市临桂区西城中路69号创业大厦西辅楼4楼北区）。</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Cs w:val="21"/>
        </w:rPr>
      </w:pPr>
      <w:r>
        <w:rPr>
          <w:rFonts w:hint="eastAsia" w:ascii="宋体" w:hAnsi="宋体" w:eastAsia="宋体" w:cs="宋体"/>
          <w:b/>
          <w:color w:val="auto"/>
          <w:szCs w:val="21"/>
        </w:rPr>
        <w:t>六、公告期限</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Cs w:val="21"/>
        </w:rPr>
        <w:t>自本公告发布之日起</w:t>
      </w:r>
      <w:r>
        <w:rPr>
          <w:rFonts w:hint="eastAsia" w:ascii="宋体" w:hAnsi="宋体" w:eastAsia="宋体" w:cs="宋体"/>
          <w:bCs/>
          <w:color w:val="auto"/>
          <w:szCs w:val="21"/>
          <w:lang w:val="en-US" w:eastAsia="zh-CN"/>
        </w:rPr>
        <w:t>5</w:t>
      </w:r>
      <w:r>
        <w:rPr>
          <w:rFonts w:hint="eastAsia" w:ascii="宋体" w:hAnsi="宋体" w:eastAsia="宋体" w:cs="宋体"/>
          <w:bCs/>
          <w:color w:val="auto"/>
          <w:szCs w:val="21"/>
        </w:rPr>
        <w:t>个工作日。</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Cs w:val="21"/>
        </w:rPr>
      </w:pPr>
      <w:r>
        <w:rPr>
          <w:rFonts w:hint="eastAsia" w:ascii="宋体" w:hAnsi="宋体" w:eastAsia="宋体" w:cs="宋体"/>
          <w:b/>
          <w:color w:val="auto"/>
          <w:szCs w:val="21"/>
        </w:rPr>
        <w:t>七、其他补充事宜</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Cs w:val="21"/>
        </w:rPr>
      </w:pPr>
      <w:r>
        <w:rPr>
          <w:rFonts w:hint="eastAsia" w:ascii="宋体" w:hAnsi="宋体" w:eastAsia="宋体" w:cs="宋体"/>
          <w:color w:val="auto"/>
          <w:szCs w:val="21"/>
        </w:rPr>
        <w:t>1、本项目</w:t>
      </w:r>
      <w:r>
        <w:rPr>
          <w:rFonts w:hint="eastAsia" w:ascii="宋体" w:hAnsi="宋体" w:eastAsia="宋体" w:cs="宋体"/>
          <w:bCs/>
          <w:color w:val="auto"/>
          <w:szCs w:val="21"/>
        </w:rPr>
        <w:t>需要落实的政府采购政策：</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szCs w:val="21"/>
          <w:highlight w:val="none"/>
        </w:rPr>
        <w:t>《政府采购促进中小企业发展管理办法》（财库﹝2020﹞46号）。</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 xml:space="preserve">（2）《关于政府采购支持监狱企业发展有关问题的通知》（财库[2014]68号）。 </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（3）《关于促进残疾人就业政府采购政策的通知》（财库[2017]141号）。</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424" w:firstLineChars="202"/>
        <w:textAlignment w:val="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（4）《关于我区政府采购支持监狱企业发展有关问题的通知》（桂财采[2015]24号）。</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落实强制采购节能产品、鼓励节能政策：根据《国务院办公厅关于建立政府强制采购节能产品制度的通知》（国办发[2007]51 号）和《关于印发节能产品政府采购品目清单的通知》（财库〔2019〕19 号） 的规定，属于强制采购的产品，予以强制采购。属于非强制采购的产品，在技术、服务等指标同等条件下</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予以优先采购。</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本项目非专门面向中小微企业采购。</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Cs w:val="21"/>
        </w:rPr>
        <w:t>2、</w:t>
      </w:r>
      <w:r>
        <w:rPr>
          <w:rFonts w:hint="eastAsia" w:ascii="宋体" w:hAnsi="宋体" w:eastAsia="宋体" w:cs="宋体"/>
          <w:color w:val="auto"/>
          <w:szCs w:val="21"/>
        </w:rPr>
        <w:t>信息公告发布媒体</w:t>
      </w:r>
      <w:r>
        <w:rPr>
          <w:rFonts w:hint="eastAsia" w:ascii="宋体" w:hAnsi="宋体" w:eastAsia="宋体" w:cs="宋体"/>
          <w:bCs/>
          <w:color w:val="auto"/>
          <w:szCs w:val="21"/>
        </w:rPr>
        <w:t>：</w:t>
      </w:r>
    </w:p>
    <w:p>
      <w:pPr>
        <w:pStyle w:val="10"/>
        <w:keepNext w:val="0"/>
        <w:keepLines w:val="0"/>
        <w:pageBreakBefore w:val="0"/>
        <w:kinsoku/>
        <w:wordWrap/>
        <w:overflowPunct/>
        <w:topLinePunct w:val="0"/>
        <w:bidi w:val="0"/>
        <w:adjustRightInd/>
        <w:snapToGrid/>
        <w:spacing w:line="400" w:lineRule="exact"/>
        <w:ind w:firstLine="42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桂林市公共资源交易中心网（http://glggzy.org.cn/）</w:t>
      </w:r>
    </w:p>
    <w:p>
      <w:pPr>
        <w:keepNext w:val="0"/>
        <w:keepLines w:val="0"/>
        <w:pageBreakBefore w:val="0"/>
        <w:kinsoku/>
        <w:wordWrap/>
        <w:overflowPunct/>
        <w:topLinePunct w:val="0"/>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桂林市政府采购网（</w:t>
      </w:r>
      <w:r>
        <w:rPr>
          <w:rFonts w:hint="eastAsia" w:ascii="宋体" w:hAnsi="宋体" w:eastAsia="宋体" w:cs="宋体"/>
          <w:b w:val="0"/>
          <w:bCs w:val="0"/>
          <w:color w:val="auto"/>
          <w:kern w:val="2"/>
          <w:sz w:val="21"/>
          <w:szCs w:val="24"/>
          <w:highlight w:val="none"/>
          <w:lang w:val="en-US" w:eastAsia="zh-CN" w:bidi="ar-SA"/>
        </w:rPr>
        <w:t>http://zfcg.czj.guilin.gov.cn/</w:t>
      </w:r>
      <w:r>
        <w:rPr>
          <w:rFonts w:hint="eastAsia" w:ascii="宋体" w:hAnsi="宋体" w:eastAsia="宋体" w:cs="宋体"/>
          <w:color w:val="auto"/>
          <w:szCs w:val="21"/>
          <w:highlight w:val="none"/>
        </w:rPr>
        <w:t>）</w:t>
      </w:r>
    </w:p>
    <w:p>
      <w:pPr>
        <w:pStyle w:val="10"/>
        <w:keepNext w:val="0"/>
        <w:keepLines w:val="0"/>
        <w:pageBreakBefore w:val="0"/>
        <w:kinsoku/>
        <w:wordWrap/>
        <w:overflowPunct/>
        <w:topLinePunct w:val="0"/>
        <w:bidi w:val="0"/>
        <w:adjustRightInd/>
        <w:snapToGrid/>
        <w:spacing w:line="400" w:lineRule="exact"/>
        <w:ind w:firstLine="42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广西壮族自治区政府采购网（http://zfcg.gxzf.gov.cn/）</w:t>
      </w:r>
    </w:p>
    <w:p>
      <w:pPr>
        <w:pStyle w:val="10"/>
        <w:keepNext w:val="0"/>
        <w:keepLines w:val="0"/>
        <w:pageBreakBefore w:val="0"/>
        <w:kinsoku/>
        <w:wordWrap/>
        <w:overflowPunct/>
        <w:topLinePunct w:val="0"/>
        <w:bidi w:val="0"/>
        <w:adjustRightInd/>
        <w:snapToGrid/>
        <w:spacing w:line="400" w:lineRule="exact"/>
        <w:ind w:firstLine="42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中国政府采购网（http://www.ccgp.gov.cn/）</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Cs w:val="21"/>
        </w:rPr>
      </w:pPr>
      <w:r>
        <w:rPr>
          <w:rFonts w:hint="eastAsia" w:ascii="宋体" w:hAnsi="宋体" w:eastAsia="宋体" w:cs="宋体"/>
          <w:b/>
          <w:color w:val="auto"/>
          <w:szCs w:val="21"/>
        </w:rPr>
        <w:t>八、凡对本次采购提出询问，请按以下方式联系。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Cs w:val="21"/>
        </w:rPr>
        <w:t>1.采购人信息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Cs w:val="21"/>
        </w:rPr>
        <w:t>名    称：</w:t>
      </w:r>
      <w:r>
        <w:rPr>
          <w:rFonts w:hint="eastAsia" w:ascii="宋体" w:hAnsi="宋体" w:eastAsia="宋体" w:cs="宋体"/>
          <w:color w:val="auto"/>
          <w:szCs w:val="21"/>
        </w:rPr>
        <w:t>恭城瑶族自治县应急管理局</w:t>
      </w:r>
    </w:p>
    <w:p>
      <w:pPr>
        <w:keepNext w:val="0"/>
        <w:keepLines w:val="0"/>
        <w:pageBreakBefore w:val="0"/>
        <w:widowControl w:val="0"/>
        <w:kinsoku/>
        <w:wordWrap/>
        <w:overflowPunct/>
        <w:topLinePunct w:val="0"/>
        <w:autoSpaceDE/>
        <w:autoSpaceDN/>
        <w:bidi w:val="0"/>
        <w:adjustRightInd/>
        <w:snapToGrid/>
        <w:spacing w:line="400" w:lineRule="exact"/>
        <w:ind w:firstLine="336" w:firstLineChars="160"/>
        <w:textAlignment w:val="auto"/>
        <w:rPr>
          <w:rFonts w:hint="eastAsia" w:ascii="宋体" w:hAnsi="宋体" w:eastAsia="宋体" w:cs="宋体"/>
          <w:bCs/>
          <w:color w:val="auto"/>
          <w:szCs w:val="21"/>
        </w:rPr>
      </w:pPr>
      <w:r>
        <w:rPr>
          <w:rFonts w:hint="eastAsia" w:ascii="宋体" w:hAnsi="宋体" w:eastAsia="宋体" w:cs="宋体"/>
          <w:bCs/>
          <w:color w:val="auto"/>
          <w:szCs w:val="21"/>
        </w:rPr>
        <w:t xml:space="preserve"> 地    址：</w:t>
      </w:r>
      <w:r>
        <w:rPr>
          <w:rFonts w:hint="eastAsia" w:ascii="宋体" w:hAnsi="宋体" w:eastAsia="宋体" w:cs="宋体"/>
          <w:color w:val="auto"/>
          <w:szCs w:val="21"/>
          <w:shd w:val="clear" w:color="auto" w:fill="FFFFFF"/>
        </w:rPr>
        <w:t>恭城县滨江苑一区1号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Cs w:val="21"/>
        </w:rPr>
        <w:t>联系方式：</w:t>
      </w:r>
      <w:r>
        <w:rPr>
          <w:rFonts w:hint="eastAsia" w:ascii="宋体" w:hAnsi="宋体" w:eastAsia="宋体" w:cs="宋体"/>
          <w:color w:val="auto"/>
          <w:szCs w:val="21"/>
        </w:rPr>
        <w:t>0773-</w:t>
      </w:r>
      <w:r>
        <w:rPr>
          <w:rFonts w:hint="eastAsia" w:ascii="宋体" w:hAnsi="宋体" w:eastAsia="宋体" w:cs="宋体"/>
          <w:color w:val="auto"/>
          <w:szCs w:val="21"/>
          <w:shd w:val="clear" w:color="auto" w:fill="FFFFFF"/>
        </w:rPr>
        <w:t>8359526</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Cs w:val="21"/>
        </w:rPr>
        <w:t>2.采购代理机构信息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Cs w:val="21"/>
          <w:lang w:eastAsia="zh-CN"/>
        </w:rPr>
      </w:pPr>
      <w:r>
        <w:rPr>
          <w:rFonts w:hint="eastAsia" w:ascii="宋体" w:hAnsi="宋体" w:eastAsia="宋体" w:cs="宋体"/>
          <w:bCs/>
          <w:color w:val="auto"/>
          <w:szCs w:val="21"/>
        </w:rPr>
        <w:t>名    称：</w:t>
      </w:r>
      <w:r>
        <w:rPr>
          <w:rFonts w:hint="eastAsia" w:ascii="宋体" w:hAnsi="宋体" w:eastAsia="宋体" w:cs="宋体"/>
          <w:bCs/>
          <w:color w:val="auto"/>
          <w:szCs w:val="21"/>
          <w:lang w:eastAsia="zh-CN"/>
        </w:rPr>
        <w:t xml:space="preserve"> 广西明诚项目管理有限公司</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Cs w:val="21"/>
        </w:rPr>
        <w:t>地　　址：</w:t>
      </w:r>
      <w:r>
        <w:rPr>
          <w:rFonts w:hint="eastAsia" w:ascii="宋体" w:hAnsi="宋体" w:eastAsia="宋体" w:cs="宋体"/>
          <w:color w:val="auto"/>
          <w:szCs w:val="21"/>
          <w:highlight w:val="none"/>
        </w:rPr>
        <w:t>广西桂林市七星区朝阳山庄19栋</w:t>
      </w:r>
      <w:r>
        <w:rPr>
          <w:rFonts w:hint="eastAsia" w:ascii="宋体" w:hAnsi="宋体" w:eastAsia="宋体" w:cs="宋体"/>
          <w:bCs/>
          <w:color w:val="auto"/>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Cs w:val="21"/>
        </w:rPr>
        <w:t>联系方式：</w:t>
      </w:r>
      <w:r>
        <w:rPr>
          <w:rFonts w:hint="eastAsia" w:ascii="宋体" w:hAnsi="宋体" w:eastAsia="宋体" w:cs="宋体"/>
          <w:color w:val="auto"/>
          <w:szCs w:val="21"/>
          <w:highlight w:val="none"/>
        </w:rPr>
        <w:t>0773-2838777</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Cs w:val="21"/>
        </w:rPr>
        <w:t>3.项目联系方式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Cs w:val="21"/>
          <w:lang w:val="en-US" w:eastAsia="zh-CN"/>
        </w:rPr>
      </w:pPr>
      <w:r>
        <w:rPr>
          <w:rFonts w:hint="eastAsia" w:ascii="宋体" w:hAnsi="宋体" w:eastAsia="宋体" w:cs="宋体"/>
          <w:bCs/>
          <w:color w:val="auto"/>
          <w:szCs w:val="21"/>
        </w:rPr>
        <w:t>项目联系人：</w:t>
      </w:r>
      <w:r>
        <w:rPr>
          <w:rFonts w:hint="eastAsia" w:ascii="宋体" w:hAnsi="宋体" w:eastAsia="宋体" w:cs="宋体"/>
          <w:bCs/>
          <w:color w:val="auto"/>
          <w:szCs w:val="21"/>
          <w:lang w:val="en-US" w:eastAsia="zh-CN"/>
        </w:rPr>
        <w:t>卢艳</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电　　 话：0773-2838777</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val="en-US" w:eastAsia="zh-CN"/>
        </w:rPr>
        <w:t>4.政府采购监督管理机构：</w:t>
      </w:r>
      <w:r>
        <w:rPr>
          <w:rFonts w:hint="eastAsia" w:ascii="宋体" w:hAnsi="宋体" w:eastAsia="宋体" w:cs="宋体"/>
          <w:color w:val="auto"/>
          <w:szCs w:val="21"/>
          <w:highlight w:val="none"/>
        </w:rPr>
        <w:t xml:space="preserve">恭城瑶族自治县政府采购办公室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联系</w:t>
      </w:r>
      <w:r>
        <w:rPr>
          <w:rFonts w:hint="eastAsia" w:ascii="宋体" w:hAnsi="宋体" w:eastAsia="宋体" w:cs="宋体"/>
          <w:color w:val="auto"/>
          <w:szCs w:val="21"/>
          <w:highlight w:val="none"/>
        </w:rPr>
        <w:t>电话：</w:t>
      </w:r>
      <w:r>
        <w:rPr>
          <w:rFonts w:hint="eastAsia" w:ascii="宋体" w:hAnsi="宋体" w:eastAsia="宋体" w:cs="宋体"/>
          <w:color w:val="auto"/>
          <w:kern w:val="0"/>
          <w:szCs w:val="21"/>
          <w:highlight w:val="none"/>
        </w:rPr>
        <w:t>0773-8212104</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Cs/>
          <w:color w:val="auto"/>
          <w:szCs w:val="21"/>
          <w:lang w:eastAsia="zh-CN"/>
        </w:rPr>
      </w:pPr>
      <w:r>
        <w:rPr>
          <w:rFonts w:hint="eastAsia" w:ascii="宋体" w:hAnsi="宋体" w:eastAsia="宋体" w:cs="宋体"/>
          <w:bCs/>
          <w:color w:val="auto"/>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bCs/>
          <w:color w:val="auto"/>
          <w:szCs w:val="21"/>
          <w:lang w:val="en-US" w:eastAsia="zh-CN"/>
        </w:rPr>
      </w:pPr>
      <w:r>
        <w:rPr>
          <w:rFonts w:hint="eastAsia" w:ascii="宋体" w:hAnsi="宋体" w:eastAsia="宋体" w:cs="宋体"/>
          <w:bCs/>
          <w:color w:val="auto"/>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eastAsia="宋体" w:cs="宋体"/>
          <w:bCs/>
          <w:color w:val="auto"/>
          <w:szCs w:val="21"/>
          <w:lang w:eastAsia="zh-CN"/>
        </w:rPr>
      </w:pPr>
      <w:r>
        <w:rPr>
          <w:rFonts w:hint="eastAsia" w:ascii="宋体" w:hAnsi="宋体" w:eastAsia="宋体" w:cs="宋体"/>
          <w:bCs/>
          <w:color w:val="auto"/>
          <w:szCs w:val="21"/>
          <w:lang w:val="en-US" w:eastAsia="zh-CN"/>
        </w:rPr>
        <w:t xml:space="preserve">                        </w:t>
      </w:r>
      <w:r>
        <w:rPr>
          <w:rFonts w:hint="eastAsia" w:ascii="宋体" w:hAnsi="宋体" w:eastAsia="宋体" w:cs="宋体"/>
          <w:bCs/>
          <w:color w:val="auto"/>
          <w:szCs w:val="21"/>
          <w:lang w:eastAsia="zh-CN"/>
        </w:rPr>
        <w:t>广西明诚项目管理有限公司</w:t>
      </w:r>
    </w:p>
    <w:p>
      <w:pPr>
        <w:pStyle w:val="11"/>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202</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年1月</w:t>
      </w: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rPr>
        <w:t>日</w:t>
      </w:r>
    </w:p>
    <w:bookmarkEnd w:id="0"/>
    <w:p/>
    <w:sectPr>
      <w:footerReference r:id="rId3"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208C8"/>
    <w:rsid w:val="18A20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widowControl w:val="0"/>
      <w:spacing w:before="260" w:beforeAutospacing="0" w:after="260" w:afterAutospacing="0" w:line="412" w:lineRule="auto"/>
      <w:outlineLvl w:val="1"/>
    </w:pPr>
    <w:rPr>
      <w:rFonts w:ascii="Arial" w:hAnsi="Arial" w:eastAsia="黑体"/>
      <w:b/>
      <w:sz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0"/>
    <w:rPr>
      <w:rFonts w:ascii="金山简黑体" w:hAnsi="Courier New" w:eastAsia="金山简黑体"/>
      <w:b/>
      <w:spacing w:val="-8"/>
      <w:sz w:val="4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widowControl/>
      <w:spacing w:before="100" w:beforeAutospacing="1" w:after="100" w:afterAutospacing="1"/>
      <w:jc w:val="left"/>
    </w:pPr>
    <w:rPr>
      <w:rFonts w:ascii="宋体" w:cs="宋体"/>
      <w:kern w:val="0"/>
      <w:sz w:val="24"/>
      <w:lang w:bidi="ar-SA"/>
    </w:rPr>
  </w:style>
  <w:style w:type="paragraph" w:customStyle="1" w:styleId="9">
    <w:name w:val="首行缩进"/>
    <w:basedOn w:val="1"/>
    <w:qFormat/>
    <w:uiPriority w:val="0"/>
    <w:pPr>
      <w:ind w:firstLine="480" w:firstLineChars="200"/>
    </w:pPr>
  </w:style>
  <w:style w:type="paragraph" w:customStyle="1" w:styleId="10">
    <w:name w:val="段"/>
    <w:next w:val="1"/>
    <w:qFormat/>
    <w:uiPriority w:val="99"/>
    <w:pPr>
      <w:autoSpaceDE w:val="0"/>
      <w:autoSpaceDN w:val="0"/>
      <w:ind w:firstLine="200"/>
      <w:jc w:val="both"/>
    </w:pPr>
    <w:rPr>
      <w:rFonts w:ascii="宋体" w:hAnsi="宋体" w:eastAsia="宋体" w:cs="Times New Roman"/>
      <w:sz w:val="21"/>
      <w:szCs w:val="21"/>
      <w:lang w:val="en-US" w:eastAsia="zh-CN" w:bidi="ar-SA"/>
    </w:rPr>
  </w:style>
  <w:style w:type="paragraph" w:customStyle="1" w:styleId="11">
    <w:name w:val="my正文"/>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2021-01-14T03:58:00Z</dcterms:created>
  <dc:creator>芹子</dc:creator>
  <cp:lastModifiedBy>芹子</cp:lastModifiedBy>
  <dcterms:modified xsi:type="dcterms:W3CDTF">2021-01-14T04:05:47Z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