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8"/>
          <w:szCs w:val="28"/>
        </w:rPr>
      </w:pPr>
      <w:r>
        <w:rPr>
          <w:rFonts w:hint="eastAsia" w:ascii="宋体" w:hAnsi="宋体" w:cs="宋体"/>
          <w:b/>
          <w:color w:val="auto"/>
          <w:sz w:val="28"/>
          <w:szCs w:val="28"/>
        </w:rPr>
        <w:t>广西明诚项目管理有限公司</w:t>
      </w:r>
      <w:r>
        <w:rPr>
          <w:rFonts w:hint="eastAsia" w:ascii="宋体" w:hAnsi="宋体" w:cs="宋体"/>
          <w:b/>
          <w:color w:val="auto"/>
          <w:sz w:val="28"/>
          <w:szCs w:val="28"/>
          <w:lang w:val="en-US" w:eastAsia="zh-CN"/>
        </w:rPr>
        <w:t>关于</w:t>
      </w:r>
      <w:r>
        <w:rPr>
          <w:rFonts w:hint="eastAsia" w:ascii="宋体" w:hAnsi="宋体" w:cs="宋体"/>
          <w:b/>
          <w:color w:val="auto"/>
          <w:sz w:val="28"/>
          <w:szCs w:val="28"/>
        </w:rPr>
        <w:t>全州县公共实训基地实训设备采购</w:t>
      </w:r>
      <w:r>
        <w:rPr>
          <w:rFonts w:hint="eastAsia" w:ascii="宋体" w:hAnsi="宋体" w:cs="宋体"/>
          <w:b/>
          <w:color w:val="auto"/>
          <w:sz w:val="28"/>
          <w:szCs w:val="28"/>
          <w:lang w:eastAsia="zh-CN"/>
        </w:rPr>
        <w:t>（</w:t>
      </w:r>
      <w:r>
        <w:rPr>
          <w:rFonts w:hint="eastAsia" w:ascii="宋体" w:hAnsi="宋体" w:cs="宋体"/>
          <w:b/>
          <w:color w:val="auto"/>
          <w:sz w:val="28"/>
          <w:szCs w:val="28"/>
        </w:rPr>
        <w:t>GLZC2020-G1-240067-GXMC</w:t>
      </w:r>
      <w:r>
        <w:rPr>
          <w:rFonts w:hint="eastAsia" w:ascii="宋体" w:hAnsi="宋体" w:cs="宋体"/>
          <w:b/>
          <w:color w:val="auto"/>
          <w:sz w:val="28"/>
          <w:szCs w:val="28"/>
          <w:lang w:eastAsia="zh-CN"/>
        </w:rPr>
        <w:t>）</w:t>
      </w:r>
      <w:r>
        <w:rPr>
          <w:rFonts w:hint="eastAsia" w:ascii="宋体" w:hAnsi="宋体" w:cs="宋体"/>
          <w:b/>
          <w:color w:val="auto"/>
          <w:sz w:val="28"/>
          <w:szCs w:val="28"/>
        </w:rPr>
        <w:t>公开招标公告</w:t>
      </w:r>
    </w:p>
    <w:p>
      <w:pPr>
        <w:pStyle w:val="2"/>
        <w:rPr>
          <w:rFonts w:hint="eastAsia"/>
          <w:color w:val="auto"/>
          <w:lang w:val="en-US" w:eastAsia="zh-CN"/>
        </w:rPr>
      </w:pPr>
      <w:bookmarkStart w:id="0" w:name="_GoBack"/>
      <w:bookmarkEnd w:id="0"/>
    </w:p>
    <w:tbl>
      <w:tblPr>
        <w:tblStyle w:val="8"/>
        <w:tblW w:w="969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9690" w:type="dxa"/>
            <w:noWrap w:val="0"/>
            <w:vAlign w:val="top"/>
          </w:tcPr>
          <w:p>
            <w:pPr>
              <w:keepNext w:val="0"/>
              <w:keepLines w:val="0"/>
              <w:pageBreakBefore w:val="0"/>
              <w:widowControl w:val="0"/>
              <w:kinsoku/>
              <w:overflowPunct/>
              <w:topLinePunct w:val="0"/>
              <w:autoSpaceDE/>
              <w:autoSpaceDN/>
              <w:bidi w:val="0"/>
              <w:adjustRightInd/>
              <w:snapToGrid/>
              <w:spacing w:line="380" w:lineRule="exact"/>
              <w:jc w:val="left"/>
              <w:textAlignment w:val="auto"/>
              <w:rPr>
                <w:rFonts w:hint="eastAsia" w:ascii="宋体" w:hAnsi="宋体" w:cs="宋体"/>
                <w:b/>
                <w:bCs/>
                <w:color w:val="auto"/>
                <w:sz w:val="24"/>
              </w:rPr>
            </w:pPr>
            <w:r>
              <w:rPr>
                <w:rFonts w:hint="eastAsia" w:ascii="宋体" w:hAnsi="宋体" w:cs="宋体"/>
                <w:b/>
                <w:bCs/>
                <w:color w:val="auto"/>
                <w:sz w:val="24"/>
              </w:rPr>
              <w:t>项目概况</w:t>
            </w:r>
          </w:p>
          <w:p>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u w:val="single"/>
              </w:rPr>
              <w:t>全州县公共实训基地实训设备采购</w:t>
            </w:r>
            <w:r>
              <w:rPr>
                <w:rFonts w:hint="eastAsia" w:ascii="宋体" w:hAnsi="宋体" w:cs="宋体"/>
                <w:color w:val="auto"/>
                <w:szCs w:val="21"/>
              </w:rPr>
              <w:t>招标项目的潜在投标人应在http://zfcg.czj.guilin.gov.cn/（桂林市政府采购网）或</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"http://www.glggzy.org.cn/" </w:instrText>
            </w:r>
            <w:r>
              <w:rPr>
                <w:rFonts w:hint="eastAsia" w:ascii="宋体" w:hAnsi="宋体" w:cs="宋体"/>
                <w:color w:val="auto"/>
                <w:szCs w:val="21"/>
              </w:rPr>
              <w:fldChar w:fldCharType="separate"/>
            </w:r>
            <w:r>
              <w:rPr>
                <w:rFonts w:hint="eastAsia" w:ascii="宋体" w:hAnsi="宋体" w:cs="宋体"/>
                <w:color w:val="auto"/>
                <w:szCs w:val="21"/>
              </w:rPr>
              <w:t>http://glggzy.org.cn/gxglzbw/</w:t>
            </w:r>
            <w:r>
              <w:rPr>
                <w:rFonts w:hint="eastAsia" w:ascii="宋体" w:hAnsi="宋体" w:cs="宋体"/>
                <w:color w:val="auto"/>
                <w:szCs w:val="21"/>
              </w:rPr>
              <w:fldChar w:fldCharType="end"/>
            </w:r>
            <w:r>
              <w:rPr>
                <w:rFonts w:hint="eastAsia" w:ascii="宋体" w:hAnsi="宋体" w:cs="宋体"/>
                <w:color w:val="auto"/>
                <w:szCs w:val="21"/>
              </w:rPr>
              <w:t>（桂林市公共资源交易中心网）免费下载获取招标文件，并于</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w:t>
            </w:r>
            <w:r>
              <w:rPr>
                <w:rFonts w:hint="eastAsia" w:ascii="宋体" w:hAnsi="宋体" w:cs="宋体"/>
                <w:color w:val="auto"/>
                <w:szCs w:val="21"/>
                <w:lang w:val="en-US" w:eastAsia="zh-CN"/>
              </w:rPr>
              <w:t>10</w:t>
            </w:r>
            <w:r>
              <w:rPr>
                <w:rFonts w:hint="eastAsia" w:ascii="宋体" w:hAnsi="宋体" w:cs="宋体"/>
                <w:color w:val="auto"/>
                <w:szCs w:val="21"/>
              </w:rPr>
              <w:t>点</w:t>
            </w:r>
            <w:r>
              <w:rPr>
                <w:rFonts w:hint="eastAsia" w:ascii="宋体" w:hAnsi="宋体" w:cs="宋体"/>
                <w:color w:val="auto"/>
                <w:szCs w:val="21"/>
                <w:lang w:val="en-US" w:eastAsia="zh-CN"/>
              </w:rPr>
              <w:t>30</w:t>
            </w:r>
            <w:r>
              <w:rPr>
                <w:rFonts w:hint="eastAsia" w:ascii="宋体" w:hAnsi="宋体" w:cs="宋体"/>
                <w:color w:val="auto"/>
                <w:szCs w:val="21"/>
              </w:rPr>
              <w:t>分</w:t>
            </w:r>
            <w:r>
              <w:rPr>
                <w:rFonts w:hint="eastAsia" w:ascii="宋体" w:hAnsi="宋体" w:cs="宋体"/>
                <w:color w:val="auto"/>
                <w:szCs w:val="21"/>
              </w:rPr>
              <w:t>（</w:t>
            </w:r>
            <w:r>
              <w:rPr>
                <w:rFonts w:hint="eastAsia" w:ascii="宋体" w:hAnsi="宋体" w:cs="宋体"/>
                <w:color w:val="auto"/>
                <w:szCs w:val="21"/>
              </w:rPr>
              <w:t>北京时间）前递交投标文件。</w:t>
            </w:r>
          </w:p>
        </w:tc>
      </w:tr>
    </w:tbl>
    <w:p>
      <w:pPr>
        <w:keepNext w:val="0"/>
        <w:keepLines w:val="0"/>
        <w:pageBreakBefore w:val="0"/>
        <w:widowControl w:val="0"/>
        <w:kinsoku/>
        <w:wordWrap/>
        <w:overflowPunct/>
        <w:topLinePunct w:val="0"/>
        <w:autoSpaceDE/>
        <w:autoSpaceDN/>
        <w:bidi w:val="0"/>
        <w:adjustRightInd/>
        <w:snapToGrid/>
        <w:spacing w:line="380" w:lineRule="exact"/>
        <w:ind w:firstLine="211" w:firstLineChars="100"/>
        <w:jc w:val="left"/>
        <w:textAlignment w:val="auto"/>
        <w:rPr>
          <w:rFonts w:hint="eastAsia" w:ascii="宋体" w:hAnsi="宋体" w:cs="宋体"/>
          <w:b/>
          <w:bCs/>
          <w:color w:val="auto"/>
          <w:szCs w:val="21"/>
        </w:rPr>
      </w:pPr>
      <w:r>
        <w:rPr>
          <w:rFonts w:hint="eastAsia" w:ascii="宋体" w:hAnsi="宋体" w:cs="宋体"/>
          <w:b/>
          <w:bCs/>
          <w:color w:val="auto"/>
          <w:szCs w:val="21"/>
        </w:rPr>
        <w:t>一、项目基本情况</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宋体" w:hAnsi="宋体" w:cs="宋体"/>
          <w:color w:val="auto"/>
          <w:szCs w:val="21"/>
        </w:rPr>
      </w:pPr>
      <w:r>
        <w:rPr>
          <w:rFonts w:hint="eastAsia" w:ascii="宋体" w:hAnsi="宋体" w:cs="宋体"/>
          <w:color w:val="auto"/>
          <w:szCs w:val="21"/>
        </w:rPr>
        <w:t>1.项目编号：GLZC2020-G1-240067-GXMC</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宋体" w:hAnsi="宋体" w:cs="宋体"/>
          <w:color w:val="auto"/>
          <w:szCs w:val="21"/>
        </w:rPr>
      </w:pPr>
      <w:r>
        <w:rPr>
          <w:rFonts w:hint="eastAsia" w:ascii="宋体" w:hAnsi="宋体" w:cs="宋体"/>
          <w:color w:val="auto"/>
          <w:szCs w:val="21"/>
        </w:rPr>
        <w:t>2.项目名称：全州县公共实训基地实训设备采购</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ascii="宋体" w:hAnsi="宋体" w:cs="宋体"/>
          <w:color w:val="auto"/>
          <w:szCs w:val="21"/>
        </w:rPr>
      </w:pPr>
      <w:r>
        <w:rPr>
          <w:rFonts w:hint="eastAsia" w:ascii="宋体" w:hAnsi="宋体" w:cs="宋体"/>
          <w:color w:val="auto"/>
          <w:szCs w:val="21"/>
        </w:rPr>
        <w:t>3.采购方式：公开招标</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宋体" w:hAnsi="宋体" w:cs="宋体"/>
          <w:color w:val="auto"/>
          <w:szCs w:val="21"/>
        </w:rPr>
      </w:pPr>
      <w:r>
        <w:rPr>
          <w:rFonts w:hint="eastAsia" w:ascii="宋体" w:hAnsi="宋体" w:cs="宋体"/>
          <w:color w:val="auto"/>
          <w:szCs w:val="21"/>
        </w:rPr>
        <w:t>4.预算金额（人民币）：柒佰捌万零柒仟柒佰玖拾元（￥7807790.00）</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ascii="宋体" w:hAnsi="宋体" w:cs="宋体"/>
          <w:color w:val="auto"/>
          <w:szCs w:val="21"/>
        </w:rPr>
      </w:pPr>
      <w:r>
        <w:rPr>
          <w:rFonts w:hint="eastAsia" w:ascii="宋体" w:hAnsi="宋体" w:cs="宋体"/>
          <w:color w:val="auto"/>
          <w:szCs w:val="21"/>
        </w:rPr>
        <w:t>5.采购需求：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462"/>
        <w:gridCol w:w="1114"/>
        <w:gridCol w:w="1141"/>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pStyle w:val="10"/>
              <w:spacing w:line="40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序号</w:t>
            </w:r>
          </w:p>
        </w:tc>
        <w:tc>
          <w:tcPr>
            <w:tcW w:w="3462" w:type="dxa"/>
            <w:noWrap w:val="0"/>
            <w:vAlign w:val="center"/>
          </w:tcPr>
          <w:p>
            <w:pPr>
              <w:pStyle w:val="10"/>
              <w:spacing w:line="40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货物名称</w:t>
            </w:r>
          </w:p>
        </w:tc>
        <w:tc>
          <w:tcPr>
            <w:tcW w:w="1114" w:type="dxa"/>
            <w:noWrap w:val="0"/>
            <w:vAlign w:val="center"/>
          </w:tcPr>
          <w:p>
            <w:pPr>
              <w:pStyle w:val="10"/>
              <w:spacing w:line="40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数量</w:t>
            </w:r>
          </w:p>
        </w:tc>
        <w:tc>
          <w:tcPr>
            <w:tcW w:w="1141"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单位</w:t>
            </w:r>
          </w:p>
        </w:tc>
        <w:tc>
          <w:tcPr>
            <w:tcW w:w="2545" w:type="dxa"/>
            <w:noWrap w:val="0"/>
            <w:vAlign w:val="center"/>
          </w:tcPr>
          <w:p>
            <w:pPr>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563" w:type="dxa"/>
            <w:gridSpan w:val="4"/>
            <w:noWrap w:val="0"/>
            <w:vAlign w:val="center"/>
          </w:tcPr>
          <w:p>
            <w:pPr>
              <w:tabs>
                <w:tab w:val="left" w:pos="298"/>
              </w:tabs>
              <w:spacing w:line="400" w:lineRule="exac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一、汽车修理培训室</w:t>
            </w:r>
          </w:p>
        </w:tc>
        <w:tc>
          <w:tcPr>
            <w:tcW w:w="25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如需进一步了解详细内容，详见招标文件。</w:t>
            </w:r>
          </w:p>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全车电器系统综合实训台1</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全车电器系统综合实训台2</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全车电器系统综合实训台3</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自动空调实训台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手动空调实训台1</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手动空调实训台2</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点火系统示教板</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充电系统示教板</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启动系统示教板</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灯光仪表系统示教板</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安全气囊示教板</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数据传输网络系统示教板</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防盗系统示教板</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倒车雷达系统示教板</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雨刮系统示教板</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电动车窗中控锁系统示教板</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3462" w:type="dxa"/>
            <w:noWrap w:val="0"/>
            <w:vAlign w:val="center"/>
          </w:tcPr>
          <w:p>
            <w:pPr>
              <w:tabs>
                <w:tab w:val="left" w:pos="411"/>
              </w:tabs>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rPr>
              <w:t>发动机电控系统示教板</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电子燃油喷射系统示教板</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汽车综合底盘系统实训台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"http://www.aiav.com.cn/q/2851.html" </w:instrText>
            </w:r>
            <w:r>
              <w:rPr>
                <w:rFonts w:hint="eastAsia" w:ascii="宋体" w:hAnsi="宋体" w:eastAsia="宋体" w:cs="宋体"/>
                <w:color w:val="auto"/>
                <w:sz w:val="21"/>
                <w:szCs w:val="21"/>
              </w:rPr>
              <w:fldChar w:fldCharType="separate"/>
            </w:r>
            <w:r>
              <w:rPr>
                <w:rFonts w:hint="eastAsia" w:ascii="宋体" w:hAnsi="宋体" w:eastAsia="宋体" w:cs="宋体"/>
                <w:color w:val="auto"/>
                <w:kern w:val="0"/>
                <w:sz w:val="21"/>
                <w:szCs w:val="21"/>
              </w:rPr>
              <w:t>汽车电控悬架实训台</w:t>
            </w:r>
            <w:r>
              <w:rPr>
                <w:rFonts w:hint="eastAsia" w:ascii="宋体" w:hAnsi="宋体" w:eastAsia="宋体" w:cs="宋体"/>
                <w:color w:val="auto"/>
                <w:kern w:val="0"/>
                <w:sz w:val="21"/>
                <w:szCs w:val="21"/>
              </w:rPr>
              <w:fldChar w:fldCharType="end"/>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无极变速器解剖展示台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后驱手动变速器解剖展示台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拉维拉式自动变速器解剖展示台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双离合器自动变速器解剖展示台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自动变速器拆装实训台含专用工具</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后驱手动变速器拆装实训台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手动波箱解剖展示台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手动波箱拆装实训台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双离合自动变速器拆装实训台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无极变速器拆装实训台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自动变速器拆装台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手动变速器演示台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差速器拆装实训台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自动变速器检测排故实训台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ABS实训台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发动机拆装翻转实训台1</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37</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发动机拆装翻转实训台2</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38</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发动机拆装翻转架实训台3</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39</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发动机拆装翻转架实训台4</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柴油发动机（含翻转架）</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41</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发动机运行实训台1</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42</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发动机运行实训台2</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43</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发动机运行实训台3</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44</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发动机运行实训台4</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高压共轨柴油机实训台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46</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缸内直喷发动机运行实训台</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47</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三维仿真实验室安全管理系统</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●48</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电路分析系统</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49</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汽油机气缸压力表</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柴油机气缸压力表</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汽油机点火正时灯</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全车系燃油压力测试仪</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53</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气门座圈修复器</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54</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量缸表(内径百分表)</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工具车</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辆</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56</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零件车</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辆</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57</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汽车故障诊断仪</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58</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网格式零件车</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59</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万用表</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试灯</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蓄电池</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62</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充电机</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63</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货架</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64</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拆胎机</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65</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平衡机</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66</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自动充气机</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67</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扩胎机</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68</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卧顶</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69</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小风炮</w:t>
            </w:r>
          </w:p>
        </w:tc>
        <w:tc>
          <w:tcPr>
            <w:tcW w:w="1114" w:type="dxa"/>
            <w:noWrap w:val="0"/>
            <w:vAlign w:val="center"/>
          </w:tcPr>
          <w:p>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把</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十字轮胎扳手</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把</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71</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润滑膏</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盒</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72</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平衡块</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桶</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73</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胶片</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盒</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74</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胶水</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瓶</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120件组套工具</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76</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预置扭力扳手</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77</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56件套组合工具</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78</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指针式扭力扳手</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79</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活塞环压缩器</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厚薄规</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81</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游标卡尺</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82</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千分尺套件</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83</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V型铁</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84</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量缸表</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85</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气门研磨机</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86</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气门弹簧压缩器</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87</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百分表及磁性表座</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88</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吹尘枪</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89</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实训室装饰及电气安装</w:t>
            </w:r>
          </w:p>
        </w:tc>
        <w:tc>
          <w:tcPr>
            <w:tcW w:w="1114" w:type="dxa"/>
            <w:noWrap w:val="0"/>
            <w:vAlign w:val="center"/>
          </w:tcPr>
          <w:p>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563" w:type="dxa"/>
            <w:gridSpan w:val="4"/>
            <w:noWrap w:val="0"/>
            <w:vAlign w:val="center"/>
          </w:tcPr>
          <w:p>
            <w:pPr>
              <w:spacing w:line="24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kern w:val="0"/>
                <w:sz w:val="21"/>
                <w:szCs w:val="21"/>
              </w:rPr>
              <w:t>数控铣工培训室</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●90</w:t>
            </w:r>
          </w:p>
        </w:tc>
        <w:tc>
          <w:tcPr>
            <w:tcW w:w="3462" w:type="dxa"/>
            <w:noWrap w:val="0"/>
            <w:vAlign w:val="center"/>
          </w:tcPr>
          <w:p>
            <w:pPr>
              <w:widowControl/>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加工中心</w:t>
            </w:r>
          </w:p>
        </w:tc>
        <w:tc>
          <w:tcPr>
            <w:tcW w:w="1114"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91</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数控铣床</w:t>
            </w:r>
          </w:p>
        </w:tc>
        <w:tc>
          <w:tcPr>
            <w:tcW w:w="1114"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92</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永磁变频螺杆式空压机</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加工中心刀具管理车</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加工中心刀量具</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95</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锁刀座平台</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96</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教学电脑</w:t>
            </w:r>
          </w:p>
        </w:tc>
        <w:tc>
          <w:tcPr>
            <w:tcW w:w="1114"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97</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实训室装饰及电气安装</w:t>
            </w:r>
          </w:p>
        </w:tc>
        <w:tc>
          <w:tcPr>
            <w:tcW w:w="1114"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63" w:type="dxa"/>
            <w:gridSpan w:val="4"/>
            <w:noWrap w:val="0"/>
            <w:vAlign w:val="center"/>
          </w:tcPr>
          <w:p>
            <w:pPr>
              <w:spacing w:line="24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三、</w:t>
            </w:r>
            <w:r>
              <w:rPr>
                <w:rFonts w:hint="eastAsia" w:ascii="宋体" w:hAnsi="宋体" w:eastAsia="宋体" w:cs="宋体"/>
                <w:b/>
                <w:bCs/>
                <w:color w:val="auto"/>
                <w:kern w:val="0"/>
                <w:sz w:val="21"/>
                <w:szCs w:val="21"/>
              </w:rPr>
              <w:t>数控车床培训室</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98</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数控车床</w:t>
            </w:r>
          </w:p>
        </w:tc>
        <w:tc>
          <w:tcPr>
            <w:tcW w:w="1114" w:type="dxa"/>
            <w:noWrap w:val="0"/>
            <w:vAlign w:val="center"/>
          </w:tcPr>
          <w:p>
            <w:pPr>
              <w:adjustRightInd w:val="0"/>
              <w:snapToGrid w:val="0"/>
              <w:spacing w:line="240" w:lineRule="atLeas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7</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99</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数控车床工具车</w:t>
            </w:r>
          </w:p>
        </w:tc>
        <w:tc>
          <w:tcPr>
            <w:tcW w:w="1114" w:type="dxa"/>
            <w:noWrap w:val="0"/>
            <w:vAlign w:val="center"/>
          </w:tcPr>
          <w:p>
            <w:pPr>
              <w:adjustRightInd w:val="0"/>
              <w:snapToGrid w:val="0"/>
              <w:spacing w:line="240" w:lineRule="atLeas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7</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数控车床刀量具</w:t>
            </w:r>
          </w:p>
        </w:tc>
        <w:tc>
          <w:tcPr>
            <w:tcW w:w="1114" w:type="dxa"/>
            <w:noWrap w:val="0"/>
            <w:vAlign w:val="center"/>
          </w:tcPr>
          <w:p>
            <w:pPr>
              <w:adjustRightInd w:val="0"/>
              <w:snapToGrid w:val="0"/>
              <w:spacing w:line="240" w:lineRule="atLeas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7</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101</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教学电脑</w:t>
            </w:r>
          </w:p>
        </w:tc>
        <w:tc>
          <w:tcPr>
            <w:tcW w:w="1114" w:type="dxa"/>
            <w:noWrap w:val="0"/>
            <w:vAlign w:val="center"/>
          </w:tcPr>
          <w:p>
            <w:pPr>
              <w:adjustRightInd w:val="0"/>
              <w:snapToGrid w:val="0"/>
              <w:spacing w:line="240" w:lineRule="atLeas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102</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实训室装饰及电气安装</w:t>
            </w:r>
          </w:p>
        </w:tc>
        <w:tc>
          <w:tcPr>
            <w:tcW w:w="1114" w:type="dxa"/>
            <w:noWrap w:val="0"/>
            <w:vAlign w:val="center"/>
          </w:tcPr>
          <w:p>
            <w:pPr>
              <w:adjustRightInd w:val="0"/>
              <w:snapToGrid w:val="0"/>
              <w:spacing w:line="240" w:lineRule="atLeas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563" w:type="dxa"/>
            <w:gridSpan w:val="4"/>
            <w:noWrap w:val="0"/>
            <w:vAlign w:val="center"/>
          </w:tcPr>
          <w:p>
            <w:pPr>
              <w:spacing w:line="24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四、</w:t>
            </w:r>
            <w:r>
              <w:rPr>
                <w:rFonts w:hint="eastAsia" w:ascii="宋体" w:hAnsi="宋体" w:eastAsia="宋体" w:cs="宋体"/>
                <w:b/>
                <w:bCs/>
                <w:color w:val="auto"/>
                <w:kern w:val="0"/>
                <w:sz w:val="21"/>
                <w:szCs w:val="21"/>
              </w:rPr>
              <w:t>焊工培训室</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净化器</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激光焊机</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1</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探伤仪</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1</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逆变直流弧焊机</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10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逆变直流氩弧焊机</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10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等离子切割机</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半自动气体保护焊机</w:t>
            </w:r>
          </w:p>
        </w:tc>
        <w:tc>
          <w:tcPr>
            <w:tcW w:w="1114"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焊接检验尺</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10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把</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氧气表</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氩气表</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二氧化碳表</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氧气管</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3</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卷</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乙炔管</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3</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卷</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乙炔表</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型材切割机</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台式砂轮机</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磨光机（手持式）</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焊条</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包</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CO2焊焊丝</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20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卷</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氧气瓶</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氩气瓶</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瓶</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二氧化碳瓶</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乙炔瓶</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焊工手套</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20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双</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面罩</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20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护目镜片（有色）</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20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片</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护目镜片（无色）</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20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片</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手工电弧焊焊钳</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20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把</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CO2焊焊枪</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把</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CO2焊枪嘴</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10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砂轮片</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50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片</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砂轮片</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箱</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地线夹</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20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焊把线</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卷</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焊接工作台</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10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张</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零件柜</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6</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辅材货架</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6</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个</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离心风机</w:t>
            </w:r>
          </w:p>
        </w:tc>
        <w:tc>
          <w:tcPr>
            <w:tcW w:w="1114" w:type="dxa"/>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141</w:t>
            </w:r>
          </w:p>
        </w:tc>
        <w:tc>
          <w:tcPr>
            <w:tcW w:w="3462" w:type="dxa"/>
            <w:noWrap w:val="0"/>
            <w:vAlign w:val="center"/>
          </w:tcPr>
          <w:p>
            <w:pPr>
              <w:widowControl/>
              <w:ind w:left="0" w:leftChars="-51" w:right="-107" w:rightChars="-51" w:hanging="107" w:hangingChars="51"/>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风机电线、开关</w:t>
            </w:r>
          </w:p>
        </w:tc>
        <w:tc>
          <w:tcPr>
            <w:tcW w:w="1114"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142</w:t>
            </w:r>
          </w:p>
        </w:tc>
        <w:tc>
          <w:tcPr>
            <w:tcW w:w="3462" w:type="dxa"/>
            <w:noWrap w:val="0"/>
            <w:vAlign w:val="center"/>
          </w:tcPr>
          <w:p>
            <w:pPr>
              <w:widowControl/>
              <w:ind w:left="0" w:leftChars="-51" w:right="-107" w:rightChars="-51" w:hanging="107" w:hangingChars="51"/>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风机进风软接出风防雨罩</w:t>
            </w:r>
          </w:p>
        </w:tc>
        <w:tc>
          <w:tcPr>
            <w:tcW w:w="1114"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143</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五金辅材及密封</w:t>
            </w:r>
          </w:p>
        </w:tc>
        <w:tc>
          <w:tcPr>
            <w:tcW w:w="1114"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144</w:t>
            </w:r>
          </w:p>
        </w:tc>
        <w:tc>
          <w:tcPr>
            <w:tcW w:w="346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焊工操作工位</w:t>
            </w:r>
          </w:p>
        </w:tc>
        <w:tc>
          <w:tcPr>
            <w:tcW w:w="1114"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位</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145</w:t>
            </w:r>
          </w:p>
        </w:tc>
        <w:tc>
          <w:tcPr>
            <w:tcW w:w="3462" w:type="dxa"/>
            <w:noWrap w:val="0"/>
            <w:vAlign w:val="center"/>
          </w:tcPr>
          <w:p>
            <w:pPr>
              <w:widowControl/>
              <w:ind w:left="0" w:leftChars="-51" w:right="-107" w:rightChars="-51" w:hanging="107" w:hangingChars="51"/>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焊接通风管道</w:t>
            </w:r>
          </w:p>
        </w:tc>
        <w:tc>
          <w:tcPr>
            <w:tcW w:w="1114" w:type="dxa"/>
            <w:noWrap w:val="0"/>
            <w:vAlign w:val="center"/>
          </w:tcPr>
          <w:p>
            <w:pPr>
              <w:pStyle w:val="3"/>
              <w:ind w:firstLine="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146</w:t>
            </w:r>
          </w:p>
        </w:tc>
        <w:tc>
          <w:tcPr>
            <w:tcW w:w="3462" w:type="dxa"/>
            <w:noWrap w:val="0"/>
            <w:vAlign w:val="center"/>
          </w:tcPr>
          <w:p>
            <w:pPr>
              <w:widowControl/>
              <w:ind w:right="-105" w:rightChars="-5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吸烟管及罩</w:t>
            </w:r>
          </w:p>
        </w:tc>
        <w:tc>
          <w:tcPr>
            <w:tcW w:w="1114" w:type="dxa"/>
            <w:noWrap w:val="0"/>
            <w:vAlign w:val="center"/>
          </w:tcPr>
          <w:p>
            <w:pPr>
              <w:pStyle w:val="7"/>
              <w:spacing w:before="0" w:beforeAutospacing="0" w:after="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147</w:t>
            </w:r>
          </w:p>
        </w:tc>
        <w:tc>
          <w:tcPr>
            <w:tcW w:w="3462" w:type="dxa"/>
            <w:noWrap w:val="0"/>
            <w:vAlign w:val="center"/>
          </w:tcPr>
          <w:p>
            <w:pPr>
              <w:widowControl/>
              <w:ind w:right="-105" w:rightChars="-5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实训室装饰及电气安装</w:t>
            </w:r>
          </w:p>
        </w:tc>
        <w:tc>
          <w:tcPr>
            <w:tcW w:w="1114" w:type="dxa"/>
            <w:noWrap w:val="0"/>
            <w:vAlign w:val="center"/>
          </w:tcPr>
          <w:p>
            <w:pPr>
              <w:pStyle w:val="7"/>
              <w:spacing w:before="0" w:beforeAutospacing="0" w:after="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563" w:type="dxa"/>
            <w:gridSpan w:val="4"/>
            <w:noWrap w:val="0"/>
            <w:vAlign w:val="center"/>
          </w:tcPr>
          <w:p>
            <w:pPr>
              <w:spacing w:line="24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五、</w:t>
            </w:r>
            <w:r>
              <w:rPr>
                <w:rFonts w:hint="eastAsia" w:ascii="宋体" w:hAnsi="宋体" w:eastAsia="宋体" w:cs="宋体"/>
                <w:b/>
                <w:bCs/>
                <w:color w:val="auto"/>
                <w:kern w:val="0"/>
                <w:sz w:val="21"/>
                <w:szCs w:val="21"/>
              </w:rPr>
              <w:t>电工实训室</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148</w:t>
            </w:r>
          </w:p>
        </w:tc>
        <w:tc>
          <w:tcPr>
            <w:tcW w:w="3462" w:type="dxa"/>
            <w:noWrap w:val="0"/>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初级维修电工实训装置</w:t>
            </w:r>
          </w:p>
        </w:tc>
        <w:tc>
          <w:tcPr>
            <w:tcW w:w="1114" w:type="dxa"/>
            <w:noWrap w:val="0"/>
            <w:vAlign w:val="center"/>
          </w:tcPr>
          <w:p>
            <w:pPr>
              <w:adjustRightInd w:val="0"/>
              <w:snapToGrid w:val="0"/>
              <w:spacing w:line="240" w:lineRule="atLeas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●149</w:t>
            </w:r>
          </w:p>
        </w:tc>
        <w:tc>
          <w:tcPr>
            <w:tcW w:w="3462"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中级维修电工实训装置</w:t>
            </w:r>
          </w:p>
        </w:tc>
        <w:tc>
          <w:tcPr>
            <w:tcW w:w="1114" w:type="dxa"/>
            <w:noWrap w:val="0"/>
            <w:vAlign w:val="center"/>
          </w:tcPr>
          <w:p>
            <w:pPr>
              <w:adjustRightInd w:val="0"/>
              <w:snapToGrid w:val="0"/>
              <w:spacing w:line="240" w:lineRule="atLeas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3462" w:type="dxa"/>
            <w:noWrap w:val="0"/>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电工维修仿真软件</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151</w:t>
            </w:r>
          </w:p>
        </w:tc>
        <w:tc>
          <w:tcPr>
            <w:tcW w:w="3462" w:type="dxa"/>
            <w:noWrap w:val="0"/>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教学电脑</w:t>
            </w:r>
          </w:p>
        </w:tc>
        <w:tc>
          <w:tcPr>
            <w:tcW w:w="1114" w:type="dxa"/>
            <w:noWrap w:val="0"/>
            <w:vAlign w:val="center"/>
          </w:tcPr>
          <w:p>
            <w:pPr>
              <w:adjustRightInd w:val="0"/>
              <w:snapToGrid w:val="0"/>
              <w:spacing w:line="240" w:lineRule="atLeas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20</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实训室装饰及电气安装</w:t>
            </w:r>
          </w:p>
        </w:tc>
        <w:tc>
          <w:tcPr>
            <w:tcW w:w="1114" w:type="dxa"/>
            <w:noWrap w:val="0"/>
            <w:vAlign w:val="center"/>
          </w:tcPr>
          <w:p>
            <w:pPr>
              <w:adjustRightInd w:val="0"/>
              <w:snapToGrid w:val="0"/>
              <w:spacing w:line="240" w:lineRule="atLeas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563" w:type="dxa"/>
            <w:gridSpan w:val="4"/>
            <w:noWrap w:val="0"/>
            <w:vAlign w:val="center"/>
          </w:tcPr>
          <w:p>
            <w:pPr>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b/>
                <w:bCs/>
                <w:color w:val="auto"/>
                <w:kern w:val="0"/>
                <w:sz w:val="21"/>
                <w:szCs w:val="21"/>
              </w:rPr>
              <w:t>六、钳工实训室</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153</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钳工实训台</w:t>
            </w:r>
          </w:p>
        </w:tc>
        <w:tc>
          <w:tcPr>
            <w:tcW w:w="1114" w:type="dxa"/>
            <w:noWrap w:val="0"/>
            <w:vAlign w:val="center"/>
          </w:tcPr>
          <w:p>
            <w:pPr>
              <w:widowControl/>
              <w:jc w:val="center"/>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4</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154</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工具台</w:t>
            </w:r>
          </w:p>
        </w:tc>
        <w:tc>
          <w:tcPr>
            <w:tcW w:w="1114" w:type="dxa"/>
            <w:noWrap w:val="0"/>
            <w:vAlign w:val="center"/>
          </w:tcPr>
          <w:p>
            <w:pPr>
              <w:widowControl/>
              <w:jc w:val="center"/>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张</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155</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台钻桌</w:t>
            </w:r>
          </w:p>
        </w:tc>
        <w:tc>
          <w:tcPr>
            <w:tcW w:w="1114" w:type="dxa"/>
            <w:noWrap w:val="0"/>
            <w:vAlign w:val="center"/>
          </w:tcPr>
          <w:p>
            <w:pPr>
              <w:widowControl/>
              <w:jc w:val="center"/>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156</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钳工配套设备</w:t>
            </w:r>
          </w:p>
        </w:tc>
        <w:tc>
          <w:tcPr>
            <w:tcW w:w="1114" w:type="dxa"/>
            <w:noWrap w:val="0"/>
            <w:vAlign w:val="center"/>
          </w:tcPr>
          <w:p>
            <w:pPr>
              <w:adjustRightInd w:val="0"/>
              <w:snapToGrid w:val="0"/>
              <w:spacing w:line="240" w:lineRule="atLeas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157</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钳工配套工具</w:t>
            </w:r>
          </w:p>
        </w:tc>
        <w:tc>
          <w:tcPr>
            <w:tcW w:w="1114" w:type="dxa"/>
            <w:noWrap w:val="0"/>
            <w:vAlign w:val="center"/>
          </w:tcPr>
          <w:p>
            <w:pPr>
              <w:adjustRightInd w:val="0"/>
              <w:snapToGrid w:val="0"/>
              <w:spacing w:line="240" w:lineRule="atLeas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4</w:t>
            </w:r>
          </w:p>
        </w:tc>
        <w:tc>
          <w:tcPr>
            <w:tcW w:w="1141" w:type="dxa"/>
            <w:noWrap w:val="0"/>
            <w:vAlign w:val="center"/>
          </w:tcPr>
          <w:p>
            <w:pPr>
              <w:adjustRightInd w:val="0"/>
              <w:snapToGrid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工具展示墙</w:t>
            </w:r>
          </w:p>
        </w:tc>
        <w:tc>
          <w:tcPr>
            <w:tcW w:w="1114" w:type="dxa"/>
            <w:noWrap w:val="0"/>
            <w:vAlign w:val="center"/>
          </w:tcPr>
          <w:p>
            <w:pPr>
              <w:widowControl/>
              <w:adjustRightInd w:val="0"/>
              <w:snapToGrid w:val="0"/>
              <w:spacing w:line="240" w:lineRule="atLeas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adjustRightInd w:val="0"/>
              <w:snapToGrid w:val="0"/>
              <w:spacing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装配钳工仿真软件</w:t>
            </w:r>
          </w:p>
        </w:tc>
        <w:tc>
          <w:tcPr>
            <w:tcW w:w="1114" w:type="dxa"/>
            <w:noWrap w:val="0"/>
            <w:vAlign w:val="center"/>
          </w:tcPr>
          <w:p>
            <w:pPr>
              <w:widowControl/>
              <w:adjustRightInd w:val="0"/>
              <w:snapToGrid w:val="0"/>
              <w:spacing w:line="240" w:lineRule="atLeas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adjustRightInd w:val="0"/>
              <w:snapToGrid w:val="0"/>
              <w:spacing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160</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教学示范仪</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161</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教学直播示范系统</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162</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钳工工艺学示教陈列柜</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163</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文化墙</w:t>
            </w:r>
          </w:p>
        </w:tc>
        <w:tc>
          <w:tcPr>
            <w:tcW w:w="1114" w:type="dxa"/>
            <w:noWrap w:val="0"/>
            <w:vAlign w:val="center"/>
          </w:tcPr>
          <w:p>
            <w:pPr>
              <w:widowControl/>
              <w:jc w:val="center"/>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164</w:t>
            </w:r>
          </w:p>
        </w:tc>
        <w:tc>
          <w:tcPr>
            <w:tcW w:w="346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实训室装饰及电气安装</w:t>
            </w:r>
          </w:p>
        </w:tc>
        <w:tc>
          <w:tcPr>
            <w:tcW w:w="1114" w:type="dxa"/>
            <w:noWrap w:val="0"/>
            <w:vAlign w:val="center"/>
          </w:tcPr>
          <w:p>
            <w:pPr>
              <w:widowControl/>
              <w:jc w:val="center"/>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63" w:type="dxa"/>
            <w:gridSpan w:val="4"/>
            <w:noWrap w:val="0"/>
            <w:vAlign w:val="center"/>
          </w:tcPr>
          <w:p>
            <w:pPr>
              <w:spacing w:line="240" w:lineRule="exact"/>
              <w:jc w:val="left"/>
              <w:rPr>
                <w:rFonts w:hint="eastAsia" w:ascii="宋体" w:hAnsi="宋体" w:eastAsia="宋体" w:cs="宋体"/>
                <w:color w:val="auto"/>
                <w:sz w:val="21"/>
                <w:szCs w:val="21"/>
              </w:rPr>
            </w:pPr>
            <w:r>
              <w:rPr>
                <w:rFonts w:hint="eastAsia" w:ascii="宋体" w:hAnsi="宋体" w:eastAsia="宋体" w:cs="宋体"/>
                <w:b/>
                <w:bCs/>
                <w:color w:val="auto"/>
                <w:kern w:val="0"/>
                <w:sz w:val="21"/>
                <w:szCs w:val="21"/>
              </w:rPr>
              <w:t>七、保育员培训室</w:t>
            </w:r>
          </w:p>
        </w:tc>
        <w:tc>
          <w:tcPr>
            <w:tcW w:w="2545" w:type="dxa"/>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63" w:type="dxa"/>
            <w:gridSpan w:val="4"/>
            <w:noWrap w:val="0"/>
            <w:vAlign w:val="center"/>
          </w:tcPr>
          <w:p>
            <w:pPr>
              <w:spacing w:line="240" w:lineRule="exact"/>
              <w:jc w:val="left"/>
              <w:rPr>
                <w:rFonts w:hint="eastAsia" w:ascii="宋体" w:hAnsi="宋体" w:eastAsia="宋体" w:cs="宋体"/>
                <w:color w:val="auto"/>
                <w:sz w:val="21"/>
                <w:szCs w:val="21"/>
              </w:rPr>
            </w:pPr>
            <w:r>
              <w:rPr>
                <w:rFonts w:hint="eastAsia" w:ascii="宋体" w:hAnsi="宋体" w:eastAsia="宋体" w:cs="宋体"/>
                <w:b/>
                <w:bCs/>
                <w:color w:val="auto"/>
                <w:kern w:val="0"/>
                <w:sz w:val="21"/>
                <w:szCs w:val="21"/>
              </w:rPr>
              <w:t>（一）婴儿护理设备</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婴儿奶瓶组</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对</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奶瓶刷</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奶粉</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罐</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尿不湿</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141" w:type="dxa"/>
            <w:noWrap w:val="0"/>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箱</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婴儿衣服</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170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婴儿床</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171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幼儿模型男婴</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172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幼儿模型女婴</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173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储物箱（大号）</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174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储物箱（小号）</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175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浴盆</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176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浴架</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177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水桶</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178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婴儿浴巾</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w:t>
            </w:r>
          </w:p>
        </w:tc>
        <w:tc>
          <w:tcPr>
            <w:tcW w:w="1141" w:type="dxa"/>
            <w:noWrap w:val="0"/>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条</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179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婴儿抚触按摩油</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瓶</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180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婴儿爽身粉</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盒</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181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婴儿沐浴露、洗发水</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182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辅食制作套装</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喂药器套装</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3" w:type="dxa"/>
            <w:gridSpan w:val="4"/>
            <w:noWrap w:val="0"/>
            <w:vAlign w:val="center"/>
          </w:tcPr>
          <w:p>
            <w:pPr>
              <w:spacing w:line="24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kern w:val="0"/>
                <w:sz w:val="21"/>
                <w:szCs w:val="21"/>
              </w:rPr>
              <w:t>体检设备</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46"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184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儿童身高体重秤健康秤</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185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坐高测量仪</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186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电子婴儿秤</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187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量床</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张</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188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电子血压计</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189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医用水银血压计+双管听诊器</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190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红外耳温计</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191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对数视力表及灯箱</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63" w:type="dxa"/>
            <w:gridSpan w:val="4"/>
            <w:noWrap w:val="0"/>
            <w:vAlign w:val="center"/>
          </w:tcPr>
          <w:p>
            <w:pPr>
              <w:spacing w:line="240" w:lineRule="exact"/>
              <w:jc w:val="left"/>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（三）</w:t>
            </w:r>
            <w:r>
              <w:rPr>
                <w:rFonts w:hint="eastAsia" w:ascii="宋体" w:hAnsi="宋体" w:eastAsia="宋体" w:cs="宋体"/>
                <w:b/>
                <w:bCs/>
                <w:color w:val="auto"/>
                <w:kern w:val="0"/>
                <w:sz w:val="21"/>
                <w:szCs w:val="21"/>
              </w:rPr>
              <w:t>常用医</w:t>
            </w:r>
            <w:r>
              <w:rPr>
                <w:rFonts w:hint="eastAsia" w:ascii="宋体" w:hAnsi="宋体" w:eastAsia="宋体" w:cs="宋体"/>
                <w:b/>
                <w:bCs/>
                <w:color w:val="auto"/>
                <w:kern w:val="0"/>
                <w:sz w:val="21"/>
                <w:szCs w:val="21"/>
                <w:lang w:eastAsia="zh-CN"/>
              </w:rPr>
              <w:t>务用品</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192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储物柜</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193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模型收纳柜</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194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教具柜</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195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止血带</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条</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196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医用纱布卷弹性绷带</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条</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197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医用脱脂棉</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w:t>
            </w:r>
          </w:p>
        </w:tc>
        <w:tc>
          <w:tcPr>
            <w:tcW w:w="1141" w:type="dxa"/>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袋</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198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酒精棉球消毒棉球</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瓶</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199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三角巾急救包</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橡皮膏</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剪刀</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把</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镊子</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把</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弯盘</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听诊器</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医用手电筒</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综合急救箱</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小苏打</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包</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84消毒液</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141" w:type="dxa"/>
            <w:noWrap w:val="0"/>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箱</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牙镜</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210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压舌板</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包</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211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软皮尺</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212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不锈钢托盘</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563" w:type="dxa"/>
            <w:gridSpan w:val="4"/>
            <w:noWrap w:val="0"/>
            <w:vAlign w:val="center"/>
          </w:tcPr>
          <w:p>
            <w:pPr>
              <w:spacing w:line="24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（四）</w:t>
            </w:r>
            <w:r>
              <w:rPr>
                <w:rFonts w:hint="eastAsia" w:ascii="宋体" w:hAnsi="宋体" w:eastAsia="宋体" w:cs="宋体"/>
                <w:b/>
                <w:bCs/>
                <w:color w:val="auto"/>
                <w:kern w:val="0"/>
                <w:sz w:val="21"/>
                <w:szCs w:val="21"/>
              </w:rPr>
              <w:t>科普教具</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牙保健模型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儿童乳牙替换牙齿模型口腔模型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耳解剖模型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眼球解剖模型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人体骨骼模型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鼻腔解剖模型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心脏解剖模型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人体躯干专业模型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人体呼吸系统模型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肾脏解剖模型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立体皮肤模型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八大系统挂图</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婴儿抚触、被动操、主被动操挂图</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医学人体解剖挂图一套12张</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血型遗传规律表</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儿童生长发育对照表</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合理膳食营养搭配图</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预防接种疫苗挂图</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小儿海氏急救模型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新生儿头颅模型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婴儿骨骼模型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高级婴儿复苏模拟人</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规章制度板</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智慧黑板</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智能笔</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音箱、无线话筒</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幼儿教室装修</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563" w:type="dxa"/>
            <w:gridSpan w:val="4"/>
            <w:noWrap w:val="0"/>
            <w:vAlign w:val="center"/>
          </w:tcPr>
          <w:p>
            <w:pPr>
              <w:spacing w:line="24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（五）</w:t>
            </w:r>
            <w:r>
              <w:rPr>
                <w:rFonts w:hint="eastAsia" w:ascii="宋体" w:hAnsi="宋体" w:eastAsia="宋体" w:cs="宋体"/>
                <w:b/>
                <w:bCs/>
                <w:color w:val="auto"/>
                <w:kern w:val="0"/>
                <w:sz w:val="21"/>
                <w:szCs w:val="21"/>
              </w:rPr>
              <w:t>育婴师培训室</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240</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婴儿抚触按摩台</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241</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婴儿奶瓶组</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对</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242</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奶瓶刷</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243</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奶粉</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罐</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244</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尿不湿</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箱</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245</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婴儿衣服</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246</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婴儿床</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247</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海绵床垫</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248</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床单枕套</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249</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婴儿凉席</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张</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250</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婴儿枕头</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251</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婴儿毯</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252</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婴儿被/睡袋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253</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婴儿床蚊帐</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254</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防湿尿垫</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255</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婴儿床吊挂玩具</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256</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婴幼儿柔湿巾</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包</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257</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幼儿模型男婴</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258</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幼儿模型女婴</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259</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智能婴儿模型</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260</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储物箱（大号）</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261</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储物箱（小号）</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262</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浴盆</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263</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浴架</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264</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水桶</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265</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婴儿浴巾</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266</w:t>
            </w:r>
          </w:p>
        </w:tc>
        <w:tc>
          <w:tcPr>
            <w:tcW w:w="3462" w:type="dxa"/>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婴儿抚触按摩油</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瓶</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267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护臀霜</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支</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268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婴儿爽身粉</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盒</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269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婴儿沐浴露、洗发水</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270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牙床训练器</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271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新生儿指甲剪</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272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消毒柜</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273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紫外线杀菌灯</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274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清洁配件</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275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喂药器套装</w:t>
            </w:r>
          </w:p>
        </w:tc>
        <w:tc>
          <w:tcPr>
            <w:tcW w:w="1114"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276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鞣酸软膏</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支</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277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护臀霜</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支</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278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奶瓶夹</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279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立体布书</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280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布书</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281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爬行毯</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4</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282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游泳池</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283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游泳趴圈</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284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温度计</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285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电子婴儿秤</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restart"/>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286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量床</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张</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287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额温枪</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288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红外耳温计</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289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止血带</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条</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290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医用纱布卷弹性绷带</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条</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291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医用脱脂棉</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袋</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292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酒精棉球消毒棉球</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瓶</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293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三角巾急救包</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294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橡皮膏</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295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剪刀</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把</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296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镊子</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把</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297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弯盘</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298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听诊器</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299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医用手电筒</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综合急救箱</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牙镜</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压舌板</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包</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软皮尺</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不锈钢托盘</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5</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305</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婴儿抚触、被动操、主被动操挂图</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306</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医学人体解剖挂图一套12张</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307</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血型遗传规律表</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308</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儿童生长发育对照表</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309</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合理膳食营养搭配图</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310</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预防接种疫苗挂图</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311</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标准洗手法挂图</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张</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312</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新生儿头颅模型</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313</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婴儿骨骼模型</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314</w:t>
            </w:r>
          </w:p>
        </w:tc>
        <w:tc>
          <w:tcPr>
            <w:tcW w:w="3462"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小儿海氏急救模型</w:t>
            </w:r>
          </w:p>
        </w:tc>
        <w:tc>
          <w:tcPr>
            <w:tcW w:w="1114"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315</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高级婴儿复苏模拟人</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316</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自动膳食配餐软件</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317</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辅食制作套装</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318</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微波炉</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319</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多功能料理机</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320</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电子秤</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321</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实训凳</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322</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实训桌</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323</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储物柜</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324</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规章制度板</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325</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智慧黑板</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326</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智能笔</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327</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音箱、无线话筒</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328</w:t>
            </w:r>
          </w:p>
        </w:tc>
        <w:tc>
          <w:tcPr>
            <w:tcW w:w="3462"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幼儿教室装修</w:t>
            </w:r>
          </w:p>
        </w:tc>
        <w:tc>
          <w:tcPr>
            <w:tcW w:w="1114"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41" w:type="dxa"/>
            <w:noWrap w:val="0"/>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w:t>
            </w:r>
          </w:p>
        </w:tc>
        <w:tc>
          <w:tcPr>
            <w:tcW w:w="2545" w:type="dxa"/>
            <w:vMerge w:val="continue"/>
            <w:noWrap w:val="0"/>
            <w:vAlign w:val="center"/>
          </w:tcPr>
          <w:p>
            <w:pPr>
              <w:widowControl/>
              <w:jc w:val="center"/>
              <w:textAlignment w:val="center"/>
              <w:rPr>
                <w:rFonts w:hint="eastAsia" w:ascii="宋体" w:hAnsi="宋体" w:eastAsia="宋体" w:cs="宋体"/>
                <w:color w:val="auto"/>
                <w:kern w:val="0"/>
                <w:sz w:val="21"/>
                <w:szCs w:val="21"/>
                <w:lang w:bidi="ar"/>
              </w:rPr>
            </w:pPr>
          </w:p>
        </w:tc>
      </w:tr>
    </w:tbl>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6.合同履行期限：</w:t>
      </w:r>
      <w:r>
        <w:rPr>
          <w:rFonts w:hint="eastAsia" w:ascii="宋体" w:hAnsi="宋体" w:cs="宋体"/>
          <w:color w:val="auto"/>
          <w:szCs w:val="21"/>
          <w:highlight w:val="none"/>
        </w:rPr>
        <w:t>自合同签订之日起至中标供应商承诺免费保修期满。</w:t>
      </w:r>
    </w:p>
    <w:p>
      <w:pPr>
        <w:keepNext w:val="0"/>
        <w:keepLines w:val="0"/>
        <w:pageBreakBefore w:val="0"/>
        <w:widowControl w:val="0"/>
        <w:kinsoku/>
        <w:wordWrap/>
        <w:overflowPunct/>
        <w:topLinePunct w:val="0"/>
        <w:autoSpaceDE/>
        <w:autoSpaceDN/>
        <w:bidi w:val="0"/>
        <w:adjustRightInd/>
        <w:snapToGrid/>
        <w:spacing w:line="380" w:lineRule="exact"/>
        <w:ind w:firstLine="211" w:firstLineChars="100"/>
        <w:textAlignment w:val="auto"/>
        <w:rPr>
          <w:rFonts w:hint="eastAsia" w:ascii="宋体" w:hAnsi="宋体" w:cs="宋体"/>
          <w:b/>
          <w:bCs/>
          <w:color w:val="auto"/>
          <w:szCs w:val="21"/>
        </w:rPr>
      </w:pPr>
      <w:r>
        <w:rPr>
          <w:rFonts w:hint="eastAsia" w:ascii="宋体" w:hAnsi="宋体" w:cs="宋体"/>
          <w:b/>
          <w:bCs/>
          <w:color w:val="auto"/>
          <w:szCs w:val="21"/>
        </w:rPr>
        <w:t>二、</w:t>
      </w:r>
      <w:r>
        <w:rPr>
          <w:rFonts w:hint="eastAsia" w:ascii="宋体" w:hAnsi="宋体" w:cs="宋体"/>
          <w:b/>
          <w:bCs/>
          <w:color w:val="auto"/>
          <w:szCs w:val="21"/>
          <w:lang w:val="en-US" w:eastAsia="zh-CN"/>
        </w:rPr>
        <w:t>申请</w:t>
      </w:r>
      <w:r>
        <w:rPr>
          <w:rFonts w:hint="eastAsia" w:ascii="宋体" w:hAnsi="宋体" w:cs="宋体"/>
          <w:b/>
          <w:bCs/>
          <w:color w:val="auto"/>
          <w:szCs w:val="21"/>
        </w:rPr>
        <w:t>人的资格要求：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1.满足《中华人民共和国政府采购法》第二十二条规定</w:t>
      </w:r>
      <w:r>
        <w:rPr>
          <w:rFonts w:hint="eastAsia" w:ascii="宋体" w:hAnsi="宋体" w:cs="宋体"/>
          <w:color w:val="auto"/>
          <w:szCs w:val="21"/>
          <w:lang w:eastAsia="zh-CN"/>
        </w:rPr>
        <w:t>，</w:t>
      </w:r>
      <w:r>
        <w:rPr>
          <w:rFonts w:hint="eastAsia"/>
          <w:color w:val="auto"/>
          <w:szCs w:val="21"/>
        </w:rPr>
        <w:t>具备合法资格的供应商；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本项目的特定资格要求：无；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szCs w:val="21"/>
          <w:lang w:val="en-US" w:eastAsia="zh-CN"/>
        </w:rPr>
        <w:t>；</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auto"/>
          <w:szCs w:val="21"/>
          <w:lang w:val="en-US" w:eastAsia="zh-CN"/>
        </w:rPr>
        <w:t>；</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.本项目</w:t>
      </w:r>
      <w:r>
        <w:rPr>
          <w:rFonts w:hint="eastAsia" w:ascii="宋体" w:hAnsi="宋体" w:cs="宋体"/>
          <w:b/>
          <w:bCs/>
          <w:color w:val="auto"/>
          <w:szCs w:val="21"/>
          <w:u w:val="single"/>
        </w:rPr>
        <w:t>不接受</w:t>
      </w:r>
      <w:r>
        <w:rPr>
          <w:rFonts w:hint="eastAsia" w:ascii="宋体" w:hAnsi="宋体" w:cs="宋体"/>
          <w:color w:val="auto"/>
          <w:szCs w:val="21"/>
        </w:rPr>
        <w:t>联合体投标。</w:t>
      </w:r>
    </w:p>
    <w:p>
      <w:pPr>
        <w:keepNext w:val="0"/>
        <w:keepLines w:val="0"/>
        <w:pageBreakBefore w:val="0"/>
        <w:kinsoku/>
        <w:wordWrap/>
        <w:overflowPunct/>
        <w:topLinePunct w:val="0"/>
        <w:bidi w:val="0"/>
        <w:adjustRightInd/>
        <w:snapToGrid/>
        <w:spacing w:line="380" w:lineRule="exact"/>
        <w:ind w:firstLine="211" w:firstLineChars="100"/>
        <w:textAlignment w:val="auto"/>
        <w:rPr>
          <w:rFonts w:hint="eastAsia" w:ascii="宋体" w:hAnsi="宋体" w:cs="宋体"/>
          <w:b/>
          <w:bCs/>
          <w:color w:val="auto"/>
          <w:szCs w:val="21"/>
        </w:rPr>
      </w:pPr>
      <w:r>
        <w:rPr>
          <w:rFonts w:hint="eastAsia" w:ascii="宋体" w:hAnsi="宋体" w:cs="宋体"/>
          <w:b/>
          <w:bCs/>
          <w:color w:val="auto"/>
          <w:szCs w:val="21"/>
        </w:rPr>
        <w:t>三、获取招标文件：</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1.时间：</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12</w:t>
      </w:r>
      <w:r>
        <w:rPr>
          <w:rFonts w:hint="eastAsia" w:ascii="宋体" w:hAnsi="宋体" w:cs="宋体"/>
          <w:color w:val="auto"/>
          <w:szCs w:val="21"/>
          <w:u w:val="single"/>
        </w:rPr>
        <w:t>月</w:t>
      </w:r>
      <w:r>
        <w:rPr>
          <w:rFonts w:hint="eastAsia" w:ascii="宋体" w:hAnsi="宋体" w:cs="宋体"/>
          <w:color w:val="auto"/>
          <w:szCs w:val="21"/>
          <w:u w:val="single"/>
          <w:lang w:val="en-US" w:eastAsia="zh-CN"/>
        </w:rPr>
        <w:t>25</w:t>
      </w:r>
      <w:r>
        <w:rPr>
          <w:rFonts w:hint="eastAsia" w:ascii="宋体" w:hAnsi="宋体" w:cs="宋体"/>
          <w:color w:val="auto"/>
          <w:szCs w:val="21"/>
          <w:u w:val="single"/>
        </w:rPr>
        <w:t>日至202</w:t>
      </w:r>
      <w:r>
        <w:rPr>
          <w:rFonts w:hint="eastAsia" w:ascii="宋体" w:hAnsi="宋体" w:cs="宋体"/>
          <w:color w:val="auto"/>
          <w:szCs w:val="21"/>
          <w:u w:val="single"/>
          <w:lang w:val="en-US" w:eastAsia="zh-CN"/>
        </w:rPr>
        <w:t>1</w:t>
      </w:r>
      <w:r>
        <w:rPr>
          <w:rFonts w:hint="eastAsia" w:ascii="宋体" w:hAnsi="宋体" w:cs="宋体"/>
          <w:color w:val="auto"/>
          <w:szCs w:val="21"/>
          <w:u w:val="single"/>
        </w:rPr>
        <w:t>年</w:t>
      </w:r>
      <w:r>
        <w:rPr>
          <w:rFonts w:hint="eastAsia" w:ascii="宋体" w:hAnsi="宋体" w:cs="宋体"/>
          <w:color w:val="auto"/>
          <w:szCs w:val="21"/>
          <w:u w:val="single"/>
          <w:lang w:val="en-US" w:eastAsia="zh-CN"/>
        </w:rPr>
        <w:t>1</w:t>
      </w:r>
      <w:r>
        <w:rPr>
          <w:rFonts w:hint="eastAsia" w:ascii="宋体" w:hAnsi="宋体" w:cs="宋体"/>
          <w:color w:val="auto"/>
          <w:szCs w:val="21"/>
          <w:u w:val="single"/>
        </w:rPr>
        <w:t>月</w:t>
      </w:r>
      <w:r>
        <w:rPr>
          <w:rFonts w:hint="eastAsia" w:ascii="宋体" w:hAnsi="宋体" w:cs="宋体"/>
          <w:color w:val="auto"/>
          <w:szCs w:val="21"/>
          <w:u w:val="single"/>
          <w:lang w:val="en-US" w:eastAsia="zh-CN"/>
        </w:rPr>
        <w:t>14</w:t>
      </w:r>
      <w:r>
        <w:rPr>
          <w:rFonts w:hint="eastAsia" w:ascii="宋体" w:hAnsi="宋体" w:cs="宋体"/>
          <w:color w:val="auto"/>
          <w:szCs w:val="21"/>
          <w:u w:val="single"/>
        </w:rPr>
        <w:t>日。</w:t>
      </w:r>
    </w:p>
    <w:p>
      <w:pPr>
        <w:pStyle w:val="11"/>
        <w:keepNext w:val="0"/>
        <w:keepLines w:val="0"/>
        <w:pageBreakBefore w:val="0"/>
        <w:kinsoku/>
        <w:wordWrap/>
        <w:overflowPunct/>
        <w:topLinePunct w:val="0"/>
        <w:bidi w:val="0"/>
        <w:adjustRightInd/>
        <w:snapToGrid/>
        <w:spacing w:line="380" w:lineRule="exact"/>
        <w:ind w:firstLine="420" w:firstLineChars="200"/>
        <w:textAlignment w:val="auto"/>
        <w:rPr>
          <w:rFonts w:hint="eastAsia"/>
          <w:color w:val="auto"/>
        </w:rPr>
      </w:pPr>
      <w:r>
        <w:rPr>
          <w:rFonts w:hint="eastAsia" w:hAnsi="宋体" w:cs="宋体"/>
          <w:color w:val="auto"/>
          <w:szCs w:val="21"/>
        </w:rPr>
        <w:t>2.地点：潜在供应商登陆桂林市公共资源交易中心网（http://glggzy.org.cn/gxglzbw/）或桂林市政府采购网（http://zfcg.czj.guilin.gov.cn/），从网上免费下载招标文件电子版；并根据招标文件规定的投标截止时间和地点直接提交投标文件参与投标。</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3.方式：网上下载。</w:t>
      </w:r>
    </w:p>
    <w:p>
      <w:pPr>
        <w:pStyle w:val="11"/>
        <w:keepNext w:val="0"/>
        <w:keepLines w:val="0"/>
        <w:pageBreakBefore w:val="0"/>
        <w:kinsoku/>
        <w:wordWrap/>
        <w:overflowPunct/>
        <w:topLinePunct w:val="0"/>
        <w:bidi w:val="0"/>
        <w:adjustRightInd/>
        <w:snapToGrid/>
        <w:spacing w:line="380" w:lineRule="exact"/>
        <w:ind w:firstLine="420" w:firstLineChars="200"/>
        <w:textAlignment w:val="auto"/>
        <w:rPr>
          <w:rFonts w:hint="eastAsia"/>
          <w:color w:val="auto"/>
        </w:rPr>
      </w:pPr>
      <w:r>
        <w:rPr>
          <w:rFonts w:hint="eastAsia"/>
          <w:color w:val="auto"/>
        </w:rPr>
        <w:t>4.售价：0元。</w:t>
      </w:r>
    </w:p>
    <w:p>
      <w:pPr>
        <w:keepNext w:val="0"/>
        <w:keepLines w:val="0"/>
        <w:pageBreakBefore w:val="0"/>
        <w:kinsoku/>
        <w:wordWrap/>
        <w:overflowPunct/>
        <w:topLinePunct w:val="0"/>
        <w:bidi w:val="0"/>
        <w:adjustRightInd/>
        <w:snapToGrid/>
        <w:spacing w:line="380" w:lineRule="exact"/>
        <w:ind w:firstLine="211" w:firstLineChars="100"/>
        <w:textAlignment w:val="auto"/>
        <w:rPr>
          <w:rFonts w:hint="eastAsia" w:ascii="宋体" w:hAnsi="宋体" w:cs="宋体"/>
          <w:b/>
          <w:bCs/>
          <w:color w:val="auto"/>
          <w:szCs w:val="21"/>
        </w:rPr>
      </w:pPr>
      <w:r>
        <w:rPr>
          <w:rFonts w:hint="eastAsia" w:ascii="宋体" w:hAnsi="宋体" w:cs="宋体"/>
          <w:b/>
          <w:bCs/>
          <w:color w:val="auto"/>
          <w:szCs w:val="21"/>
        </w:rPr>
        <w:t>注：</w:t>
      </w:r>
    </w:p>
    <w:p>
      <w:pPr>
        <w:keepNext w:val="0"/>
        <w:keepLines w:val="0"/>
        <w:pageBreakBefore w:val="0"/>
        <w:kinsoku/>
        <w:wordWrap/>
        <w:overflowPunct/>
        <w:topLinePunct w:val="0"/>
        <w:bidi w:val="0"/>
        <w:adjustRightInd/>
        <w:snapToGrid/>
        <w:spacing w:line="380" w:lineRule="exact"/>
        <w:ind w:firstLine="422" w:firstLineChars="200"/>
        <w:textAlignment w:val="auto"/>
        <w:rPr>
          <w:rFonts w:hint="eastAsia" w:ascii="宋体" w:hAnsi="宋体" w:cs="宋体"/>
          <w:b/>
          <w:bCs/>
          <w:color w:val="auto"/>
          <w:szCs w:val="21"/>
        </w:rPr>
      </w:pPr>
      <w:r>
        <w:rPr>
          <w:rFonts w:hint="eastAsia" w:ascii="宋体" w:hAnsi="宋体" w:cs="宋体"/>
          <w:b/>
          <w:bCs/>
          <w:color w:val="auto"/>
          <w:szCs w:val="21"/>
        </w:rPr>
        <w:t>(1)已获取招标文件的供应商不等于符合本项目的供应商资格条件。</w:t>
      </w:r>
    </w:p>
    <w:p>
      <w:pPr>
        <w:keepNext w:val="0"/>
        <w:keepLines w:val="0"/>
        <w:pageBreakBefore w:val="0"/>
        <w:kinsoku/>
        <w:wordWrap/>
        <w:overflowPunct/>
        <w:topLinePunct w:val="0"/>
        <w:bidi w:val="0"/>
        <w:adjustRightInd/>
        <w:snapToGrid/>
        <w:spacing w:line="380" w:lineRule="exact"/>
        <w:ind w:firstLine="422" w:firstLineChars="200"/>
        <w:textAlignment w:val="auto"/>
        <w:rPr>
          <w:rFonts w:hint="eastAsia" w:ascii="宋体" w:hAnsi="宋体" w:cs="宋体"/>
          <w:b/>
          <w:bCs/>
          <w:color w:val="auto"/>
          <w:szCs w:val="21"/>
        </w:rPr>
      </w:pPr>
      <w:r>
        <w:rPr>
          <w:rFonts w:hint="eastAsia" w:ascii="宋体" w:hAnsi="宋体" w:cs="宋体"/>
          <w:b/>
          <w:bCs/>
          <w:color w:val="auto"/>
          <w:szCs w:val="21"/>
        </w:rPr>
        <w:t>(2)为配合采购人进行政府采购项目执行和备案，未在政采云注册的供应商可在获取</w:t>
      </w:r>
      <w:r>
        <w:rPr>
          <w:rFonts w:hint="eastAsia" w:ascii="宋体" w:hAnsi="宋体" w:cs="宋体"/>
          <w:b/>
          <w:bCs/>
          <w:color w:val="auto"/>
          <w:szCs w:val="21"/>
          <w:lang w:val="en-US" w:eastAsia="zh-CN"/>
        </w:rPr>
        <w:t>招标</w:t>
      </w:r>
      <w:r>
        <w:rPr>
          <w:rFonts w:hint="eastAsia" w:ascii="宋体" w:hAnsi="宋体" w:cs="宋体"/>
          <w:b/>
          <w:bCs/>
          <w:color w:val="auto"/>
          <w:szCs w:val="21"/>
        </w:rPr>
        <w:t>文件后登录政采云进行注册，如在操作过程中遇到问题或者需要技术支持，请致电政采云客服热线：400-881-7190。</w:t>
      </w:r>
    </w:p>
    <w:p>
      <w:pPr>
        <w:keepNext w:val="0"/>
        <w:keepLines w:val="0"/>
        <w:pageBreakBefore w:val="0"/>
        <w:kinsoku/>
        <w:wordWrap/>
        <w:overflowPunct/>
        <w:topLinePunct w:val="0"/>
        <w:bidi w:val="0"/>
        <w:adjustRightInd/>
        <w:snapToGrid/>
        <w:spacing w:line="380" w:lineRule="exact"/>
        <w:ind w:firstLine="211" w:firstLineChars="100"/>
        <w:textAlignment w:val="auto"/>
        <w:rPr>
          <w:rFonts w:hint="eastAsia" w:ascii="宋体" w:hAnsi="宋体" w:cs="宋体"/>
          <w:b/>
          <w:bCs/>
          <w:color w:val="auto"/>
          <w:szCs w:val="21"/>
        </w:rPr>
      </w:pPr>
      <w:r>
        <w:rPr>
          <w:rFonts w:hint="eastAsia" w:ascii="宋体" w:hAnsi="宋体" w:cs="宋体"/>
          <w:b/>
          <w:bCs/>
          <w:color w:val="auto"/>
          <w:szCs w:val="21"/>
        </w:rPr>
        <w:t>四、提交投标文件截止时间、开标时间和地点：</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1.提交投标文件截止时间、开标时间：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1</w:t>
      </w:r>
      <w:r>
        <w:rPr>
          <w:rFonts w:hint="eastAsia" w:ascii="宋体" w:hAnsi="宋体" w:cs="宋体"/>
          <w:color w:val="auto"/>
          <w:szCs w:val="21"/>
          <w:u w:val="single"/>
        </w:rPr>
        <w:t>年</w:t>
      </w:r>
      <w:r>
        <w:rPr>
          <w:rFonts w:hint="eastAsia" w:ascii="宋体" w:hAnsi="宋体" w:cs="宋体"/>
          <w:color w:val="auto"/>
          <w:szCs w:val="21"/>
          <w:u w:val="single"/>
          <w:lang w:val="en-US" w:eastAsia="zh-CN"/>
        </w:rPr>
        <w:t>1</w:t>
      </w:r>
      <w:r>
        <w:rPr>
          <w:rFonts w:hint="eastAsia" w:ascii="宋体" w:hAnsi="宋体" w:cs="宋体"/>
          <w:color w:val="auto"/>
          <w:szCs w:val="21"/>
          <w:u w:val="single"/>
        </w:rPr>
        <w:t>月</w:t>
      </w:r>
      <w:r>
        <w:rPr>
          <w:rFonts w:hint="eastAsia" w:ascii="宋体" w:hAnsi="宋体" w:cs="宋体"/>
          <w:color w:val="auto"/>
          <w:szCs w:val="21"/>
          <w:u w:val="single"/>
          <w:lang w:val="en-US" w:eastAsia="zh-CN"/>
        </w:rPr>
        <w:t>15</w:t>
      </w:r>
      <w:r>
        <w:rPr>
          <w:rFonts w:hint="eastAsia" w:ascii="宋体" w:hAnsi="宋体" w:cs="宋体"/>
          <w:color w:val="auto"/>
          <w:szCs w:val="21"/>
          <w:u w:val="single"/>
        </w:rPr>
        <w:t>日</w:t>
      </w:r>
      <w:r>
        <w:rPr>
          <w:rFonts w:hint="eastAsia" w:ascii="宋体" w:hAnsi="宋体" w:cs="宋体"/>
          <w:color w:val="auto"/>
          <w:szCs w:val="21"/>
          <w:u w:val="single"/>
          <w:lang w:val="en-US" w:eastAsia="zh-CN"/>
        </w:rPr>
        <w:t>10</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w:t>
      </w:r>
      <w:r>
        <w:rPr>
          <w:rFonts w:hint="eastAsia" w:ascii="宋体" w:hAnsi="宋体" w:cs="宋体"/>
          <w:color w:val="auto"/>
          <w:szCs w:val="21"/>
          <w:u w:val="single"/>
        </w:rPr>
        <w:t>（北京时间）</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2.提交投标文件地点：投标人应于</w:t>
      </w:r>
      <w:r>
        <w:rPr>
          <w:rFonts w:hint="eastAsia" w:ascii="宋体" w:hAnsi="宋体" w:cs="宋体"/>
          <w:color w:val="auto"/>
          <w:szCs w:val="21"/>
          <w:u w:val="single"/>
        </w:rPr>
        <w:t>202</w:t>
      </w:r>
      <w:r>
        <w:rPr>
          <w:rFonts w:hint="eastAsia" w:ascii="宋体" w:hAnsi="宋体" w:cs="宋体"/>
          <w:color w:val="auto"/>
          <w:szCs w:val="21"/>
          <w:u w:val="single"/>
          <w:lang w:val="en-US" w:eastAsia="zh-CN"/>
        </w:rPr>
        <w:t>1</w:t>
      </w:r>
      <w:r>
        <w:rPr>
          <w:rFonts w:hint="eastAsia" w:ascii="宋体" w:hAnsi="宋体" w:cs="宋体"/>
          <w:color w:val="auto"/>
          <w:szCs w:val="21"/>
          <w:u w:val="single"/>
        </w:rPr>
        <w:t>年</w:t>
      </w:r>
      <w:r>
        <w:rPr>
          <w:rFonts w:hint="eastAsia" w:ascii="宋体" w:hAnsi="宋体" w:cs="宋体"/>
          <w:color w:val="auto"/>
          <w:szCs w:val="21"/>
          <w:u w:val="single"/>
          <w:lang w:val="en-US" w:eastAsia="zh-CN"/>
        </w:rPr>
        <w:t>1</w:t>
      </w:r>
      <w:r>
        <w:rPr>
          <w:rFonts w:hint="eastAsia" w:ascii="宋体" w:hAnsi="宋体" w:cs="宋体"/>
          <w:color w:val="auto"/>
          <w:szCs w:val="21"/>
          <w:u w:val="single"/>
        </w:rPr>
        <w:t>月</w:t>
      </w:r>
      <w:r>
        <w:rPr>
          <w:rFonts w:hint="eastAsia" w:ascii="宋体" w:hAnsi="宋体" w:cs="宋体"/>
          <w:color w:val="auto"/>
          <w:szCs w:val="21"/>
          <w:u w:val="single"/>
          <w:lang w:val="en-US" w:eastAsia="zh-CN"/>
        </w:rPr>
        <w:t>15</w:t>
      </w:r>
      <w:r>
        <w:rPr>
          <w:rFonts w:hint="eastAsia" w:ascii="宋体" w:hAnsi="宋体" w:cs="宋体"/>
          <w:color w:val="auto"/>
          <w:szCs w:val="21"/>
          <w:u w:val="single"/>
        </w:rPr>
        <w:t>日上午</w:t>
      </w:r>
      <w:r>
        <w:rPr>
          <w:rFonts w:hint="eastAsia" w:ascii="宋体" w:hAnsi="宋体" w:cs="宋体"/>
          <w:color w:val="auto"/>
          <w:szCs w:val="21"/>
          <w:u w:val="single"/>
          <w:lang w:val="en-US" w:eastAsia="zh-CN"/>
        </w:rPr>
        <w:t>10</w:t>
      </w:r>
      <w:r>
        <w:rPr>
          <w:rFonts w:hint="eastAsia" w:ascii="宋体" w:hAnsi="宋体" w:cs="宋体"/>
          <w:color w:val="auto"/>
          <w:szCs w:val="21"/>
          <w:u w:val="single"/>
        </w:rPr>
        <w:t>时</w:t>
      </w:r>
      <w:r>
        <w:rPr>
          <w:rFonts w:hint="eastAsia" w:ascii="宋体" w:hAnsi="宋体" w:cs="宋体"/>
          <w:color w:val="auto"/>
          <w:szCs w:val="21"/>
          <w:u w:val="single"/>
          <w:lang w:val="en-US" w:eastAsia="zh-CN"/>
        </w:rPr>
        <w:t>00</w:t>
      </w:r>
      <w:r>
        <w:rPr>
          <w:rFonts w:hint="eastAsia" w:ascii="宋体" w:hAnsi="宋体" w:cs="宋体"/>
          <w:color w:val="auto"/>
          <w:szCs w:val="21"/>
          <w:u w:val="single"/>
        </w:rPr>
        <w:t>分至</w:t>
      </w:r>
      <w:r>
        <w:rPr>
          <w:rFonts w:hint="eastAsia" w:ascii="宋体" w:hAnsi="宋体" w:cs="宋体"/>
          <w:color w:val="auto"/>
          <w:szCs w:val="21"/>
          <w:u w:val="single"/>
          <w:lang w:val="en-US" w:eastAsia="zh-CN"/>
        </w:rPr>
        <w:t>10</w:t>
      </w:r>
      <w:r>
        <w:rPr>
          <w:rFonts w:hint="eastAsia" w:ascii="宋体" w:hAnsi="宋体" w:cs="宋体"/>
          <w:color w:val="auto"/>
          <w:szCs w:val="21"/>
          <w:u w:val="single"/>
        </w:rPr>
        <w:t>时</w:t>
      </w:r>
      <w:r>
        <w:rPr>
          <w:rFonts w:hint="eastAsia" w:ascii="宋体" w:hAnsi="宋体" w:cs="宋体"/>
          <w:color w:val="auto"/>
          <w:szCs w:val="21"/>
          <w:u w:val="single"/>
          <w:lang w:val="en-US" w:eastAsia="zh-CN"/>
        </w:rPr>
        <w:t>30</w:t>
      </w:r>
      <w:r>
        <w:rPr>
          <w:rFonts w:hint="eastAsia" w:ascii="宋体" w:hAnsi="宋体" w:cs="宋体"/>
          <w:color w:val="auto"/>
          <w:szCs w:val="21"/>
          <w:u w:val="single"/>
        </w:rPr>
        <w:t>分止</w:t>
      </w:r>
      <w:r>
        <w:rPr>
          <w:rFonts w:hint="eastAsia" w:ascii="宋体" w:hAnsi="宋体" w:cs="宋体"/>
          <w:color w:val="auto"/>
          <w:szCs w:val="21"/>
          <w:u w:val="single"/>
        </w:rPr>
        <w:t>，将投标文件密封提交至全州县公共资源交易中心</w:t>
      </w:r>
      <w:r>
        <w:rPr>
          <w:rFonts w:hint="eastAsia" w:ascii="宋体" w:hAnsi="宋体" w:cs="宋体"/>
          <w:color w:val="auto"/>
          <w:szCs w:val="21"/>
          <w:u w:val="single"/>
        </w:rPr>
        <w:t>第</w:t>
      </w:r>
      <w:r>
        <w:rPr>
          <w:rFonts w:hint="eastAsia" w:ascii="宋体" w:hAnsi="宋体" w:cs="宋体"/>
          <w:color w:val="auto"/>
          <w:szCs w:val="21"/>
          <w:u w:val="single"/>
          <w:lang w:val="en-US" w:eastAsia="zh-CN"/>
        </w:rPr>
        <w:t>三</w:t>
      </w:r>
      <w:r>
        <w:rPr>
          <w:rFonts w:hint="eastAsia" w:ascii="宋体" w:hAnsi="宋体" w:cs="宋体"/>
          <w:color w:val="auto"/>
          <w:szCs w:val="21"/>
          <w:u w:val="single"/>
        </w:rPr>
        <w:t>开标</w:t>
      </w:r>
      <w:r>
        <w:rPr>
          <w:rFonts w:hint="eastAsia" w:ascii="宋体" w:hAnsi="宋体" w:cs="宋体"/>
          <w:color w:val="auto"/>
          <w:szCs w:val="21"/>
          <w:u w:val="single"/>
          <w:lang w:val="en-US" w:eastAsia="zh-CN"/>
        </w:rPr>
        <w:t>室</w:t>
      </w:r>
      <w:r>
        <w:rPr>
          <w:rFonts w:hint="eastAsia" w:ascii="宋体" w:hAnsi="宋体" w:cs="宋体"/>
          <w:color w:val="auto"/>
          <w:szCs w:val="21"/>
          <w:u w:val="single"/>
        </w:rPr>
        <w:t>（全州县城北新区桂北大道步行街25栋二楼），逾期送达的或未按照招标文件要求密封的投标文件将予以拒收。</w:t>
      </w:r>
    </w:p>
    <w:p>
      <w:pPr>
        <w:keepNext w:val="0"/>
        <w:keepLines w:val="0"/>
        <w:pageBreakBefore w:val="0"/>
        <w:kinsoku/>
        <w:wordWrap/>
        <w:overflowPunct/>
        <w:topLinePunct w:val="0"/>
        <w:bidi w:val="0"/>
        <w:adjustRightInd/>
        <w:snapToGrid/>
        <w:spacing w:line="380" w:lineRule="exact"/>
        <w:ind w:firstLine="211" w:firstLineChars="100"/>
        <w:textAlignment w:val="auto"/>
        <w:rPr>
          <w:rFonts w:hint="eastAsia" w:ascii="宋体" w:hAnsi="宋体" w:cs="宋体"/>
          <w:color w:val="auto"/>
          <w:szCs w:val="21"/>
        </w:rPr>
      </w:pPr>
      <w:r>
        <w:rPr>
          <w:rFonts w:hint="eastAsia" w:ascii="宋体" w:hAnsi="宋体" w:cs="宋体"/>
          <w:b/>
          <w:bCs/>
          <w:color w:val="auto"/>
          <w:szCs w:val="21"/>
        </w:rPr>
        <w:t>五、公告期限：</w:t>
      </w:r>
      <w:r>
        <w:rPr>
          <w:rFonts w:hint="eastAsia" w:ascii="宋体" w:hAnsi="宋体" w:cs="宋体"/>
          <w:color w:val="auto"/>
          <w:szCs w:val="21"/>
        </w:rPr>
        <w:t>自本公告发布之日起5个工作日。</w:t>
      </w:r>
    </w:p>
    <w:p>
      <w:pPr>
        <w:keepNext w:val="0"/>
        <w:keepLines w:val="0"/>
        <w:pageBreakBefore w:val="0"/>
        <w:kinsoku/>
        <w:wordWrap/>
        <w:overflowPunct/>
        <w:topLinePunct w:val="0"/>
        <w:bidi w:val="0"/>
        <w:adjustRightInd/>
        <w:snapToGrid/>
        <w:spacing w:line="380" w:lineRule="exact"/>
        <w:ind w:firstLine="211" w:firstLineChars="100"/>
        <w:textAlignment w:val="auto"/>
        <w:rPr>
          <w:rFonts w:hint="eastAsia" w:ascii="宋体" w:hAnsi="宋体" w:cs="宋体"/>
          <w:b/>
          <w:bCs/>
          <w:color w:val="auto"/>
          <w:szCs w:val="21"/>
        </w:rPr>
      </w:pPr>
      <w:r>
        <w:rPr>
          <w:rFonts w:hint="eastAsia" w:ascii="宋体" w:hAnsi="宋体" w:cs="宋体"/>
          <w:b/>
          <w:bCs/>
          <w:color w:val="auto"/>
          <w:szCs w:val="21"/>
        </w:rPr>
        <w:t>六、其他补充事宜：</w:t>
      </w:r>
    </w:p>
    <w:p>
      <w:pPr>
        <w:pStyle w:val="11"/>
        <w:keepNext w:val="0"/>
        <w:keepLines w:val="0"/>
        <w:pageBreakBefore w:val="0"/>
        <w:kinsoku/>
        <w:wordWrap/>
        <w:overflowPunct/>
        <w:topLinePunct w:val="0"/>
        <w:bidi w:val="0"/>
        <w:adjustRightInd/>
        <w:snapToGrid/>
        <w:spacing w:line="380" w:lineRule="exact"/>
        <w:ind w:firstLine="420" w:firstLineChars="200"/>
        <w:textAlignment w:val="auto"/>
        <w:rPr>
          <w:rFonts w:hint="eastAsia" w:hAnsi="宋体" w:eastAsia="宋体" w:cs="宋体"/>
          <w:b/>
          <w:bCs/>
          <w:color w:val="auto"/>
          <w:highlight w:val="cyan"/>
          <w:u w:val="none"/>
          <w:lang w:eastAsia="zh-CN"/>
        </w:rPr>
      </w:pPr>
      <w:r>
        <w:rPr>
          <w:rFonts w:hint="eastAsia" w:hAnsi="宋体" w:cs="宋体"/>
          <w:color w:val="auto"/>
          <w:szCs w:val="21"/>
          <w:u w:val="none"/>
        </w:rPr>
        <w:t>1.投标人可以由法定代表人、负责人、自然人或其委托代理人出席开标会议</w:t>
      </w:r>
      <w:r>
        <w:rPr>
          <w:rFonts w:hint="eastAsia" w:hAnsi="宋体" w:cs="宋体"/>
          <w:b/>
          <w:bCs/>
          <w:color w:val="auto"/>
          <w:szCs w:val="21"/>
          <w:highlight w:val="none"/>
          <w:u w:val="none"/>
          <w:lang w:eastAsia="zh-CN"/>
        </w:rPr>
        <w:t>（携带本人身份证原件，委托代理人出席应携带单位授权委托书原件）。</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rPr>
      </w:pPr>
      <w:r>
        <w:rPr>
          <w:rFonts w:hint="eastAsia" w:ascii="宋体" w:hAnsi="宋体" w:cs="宋体"/>
          <w:color w:val="auto"/>
        </w:rPr>
        <w:t>2.本项目需要落实的政府采购政策：</w:t>
      </w:r>
    </w:p>
    <w:p>
      <w:pPr>
        <w:keepNext w:val="0"/>
        <w:keepLines w:val="0"/>
        <w:pageBreakBefore w:val="0"/>
        <w:kinsoku/>
        <w:wordWrap/>
        <w:overflowPunct/>
        <w:topLinePunct w:val="0"/>
        <w:bidi w:val="0"/>
        <w:adjustRightInd/>
        <w:snapToGrid/>
        <w:spacing w:line="400" w:lineRule="exact"/>
        <w:ind w:firstLine="420" w:firstLineChars="200"/>
        <w:textAlignment w:val="auto"/>
        <w:rPr>
          <w:rFonts w:ascii="宋体" w:hAnsi="宋体" w:cs="宋体"/>
          <w:color w:val="auto"/>
        </w:rPr>
      </w:pPr>
      <w:r>
        <w:rPr>
          <w:rFonts w:hint="eastAsia" w:ascii="宋体" w:hAnsi="宋体" w:cs="宋体"/>
          <w:color w:val="auto"/>
        </w:rPr>
        <w:t>（1）《政府采购促进中小企业发展暂行办法》（财库[2011]181号）；</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rPr>
      </w:pPr>
      <w:r>
        <w:rPr>
          <w:rFonts w:hint="eastAsia" w:ascii="宋体" w:hAnsi="宋体" w:cs="宋体"/>
          <w:color w:val="auto"/>
        </w:rPr>
        <w:t>（2）《关于政府采购支持监狱企业发展有关问题的通知》（财库[2014]68号）；</w:t>
      </w:r>
    </w:p>
    <w:p>
      <w:pPr>
        <w:keepNext w:val="0"/>
        <w:keepLines w:val="0"/>
        <w:pageBreakBefore w:val="0"/>
        <w:kinsoku/>
        <w:wordWrap/>
        <w:overflowPunct/>
        <w:topLinePunct w:val="0"/>
        <w:bidi w:val="0"/>
        <w:adjustRightInd/>
        <w:snapToGrid/>
        <w:spacing w:line="400" w:lineRule="exact"/>
        <w:ind w:firstLine="420" w:firstLineChars="200"/>
        <w:textAlignment w:val="auto"/>
        <w:rPr>
          <w:rFonts w:ascii="宋体" w:hAnsi="宋体" w:cs="宋体"/>
          <w:color w:val="auto"/>
        </w:rPr>
      </w:pPr>
      <w:r>
        <w:rPr>
          <w:rFonts w:hint="eastAsia" w:ascii="宋体" w:hAnsi="宋体" w:cs="宋体"/>
          <w:color w:val="auto"/>
        </w:rPr>
        <w:t>（3）《关于促进残疾人就业政府采购政策的通知》（财库[2017]141号）；</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rPr>
      </w:pPr>
      <w:r>
        <w:rPr>
          <w:rFonts w:hint="eastAsia" w:ascii="宋体" w:hAnsi="宋体" w:cs="宋体"/>
          <w:color w:val="auto"/>
        </w:rPr>
        <w:t>（4）落实强制采购节能产品、鼓励节能政策：根据《国务院办公厅关于建立政府强制采购节能产品制度的通知》（国办发[2007]51号）和《关于印发节能产品政府采购品目清单的通知》（财库〔2019〕19 号）的规定，属于强制采购的产品，予以强制采购。属于非强制采购的产品，在技术、服务等指标同等条件下，予以优先采购；</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rPr>
      </w:pPr>
      <w:r>
        <w:rPr>
          <w:rFonts w:hint="eastAsia" w:ascii="宋体" w:hAnsi="宋体" w:cs="宋体"/>
          <w:color w:val="auto"/>
        </w:rPr>
        <w:t>（5）《广西壮族自治区人民政府办公厅关于印发招标采购促进广西工业产品产销对接实施细则的通知》（桂政办发【2015】78号）；</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rPr>
      </w:pPr>
      <w:r>
        <w:rPr>
          <w:rFonts w:hint="eastAsia" w:ascii="宋体" w:hAnsi="宋体" w:cs="宋体"/>
          <w:color w:val="auto"/>
        </w:rPr>
        <w:t>（6）本项目不是专门针对中小微企业的政府采购项目。</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rPr>
      </w:pPr>
      <w:r>
        <w:rPr>
          <w:rFonts w:hint="eastAsia" w:ascii="宋体" w:hAnsi="宋体" w:cs="宋体"/>
          <w:color w:val="auto"/>
        </w:rPr>
        <w:t>3.</w:t>
      </w:r>
      <w:r>
        <w:rPr>
          <w:rFonts w:hint="eastAsia" w:ascii="宋体" w:hAnsi="宋体" w:cs="宋体"/>
          <w:color w:val="auto"/>
          <w:lang w:val="en-US" w:eastAsia="zh-CN"/>
        </w:rPr>
        <w:t>本项目</w:t>
      </w:r>
      <w:r>
        <w:rPr>
          <w:rFonts w:hint="eastAsia" w:ascii="宋体" w:hAnsi="宋体" w:cs="宋体"/>
          <w:color w:val="auto"/>
        </w:rPr>
        <w:t>信息公告发布媒体：</w:t>
      </w:r>
    </w:p>
    <w:p>
      <w:pPr>
        <w:pStyle w:val="11"/>
        <w:keepNext w:val="0"/>
        <w:keepLines w:val="0"/>
        <w:pageBreakBefore w:val="0"/>
        <w:kinsoku/>
        <w:wordWrap/>
        <w:overflowPunct/>
        <w:topLinePunct w:val="0"/>
        <w:bidi w:val="0"/>
        <w:adjustRightInd/>
        <w:snapToGrid/>
        <w:spacing w:line="380" w:lineRule="exact"/>
        <w:ind w:firstLine="420"/>
        <w:textAlignment w:val="auto"/>
        <w:rPr>
          <w:rFonts w:hint="eastAsia" w:hAnsi="宋体" w:cs="宋体"/>
          <w:color w:val="auto"/>
          <w:szCs w:val="21"/>
        </w:rPr>
      </w:pPr>
      <w:r>
        <w:rPr>
          <w:rFonts w:hint="eastAsia" w:hAnsi="宋体" w:cs="宋体"/>
          <w:color w:val="auto"/>
          <w:szCs w:val="21"/>
        </w:rPr>
        <w:t>桂林市公共资源交易中心网（http://glggzy.org.cn/gxglzbw/）</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桂林市政府采购网（http://zfcg.czj.guilin.gov.cn/）</w:t>
      </w:r>
    </w:p>
    <w:p>
      <w:pPr>
        <w:pStyle w:val="11"/>
        <w:keepNext w:val="0"/>
        <w:keepLines w:val="0"/>
        <w:pageBreakBefore w:val="0"/>
        <w:kinsoku/>
        <w:wordWrap/>
        <w:overflowPunct/>
        <w:topLinePunct w:val="0"/>
        <w:bidi w:val="0"/>
        <w:adjustRightInd/>
        <w:snapToGrid/>
        <w:spacing w:line="380" w:lineRule="exact"/>
        <w:ind w:firstLine="420"/>
        <w:textAlignment w:val="auto"/>
        <w:rPr>
          <w:rFonts w:hint="eastAsia" w:hAnsi="宋体" w:cs="宋体"/>
          <w:color w:val="auto"/>
          <w:szCs w:val="21"/>
        </w:rPr>
      </w:pPr>
      <w:r>
        <w:rPr>
          <w:rFonts w:hint="eastAsia" w:hAnsi="宋体" w:cs="宋体"/>
          <w:color w:val="auto"/>
          <w:szCs w:val="21"/>
        </w:rPr>
        <w:t>广西壮族自治区政府采购网（http://zfcg.gxzf.gov.cn/）</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中国政府采购网（http://www.ccgp.gov.cn/）</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rPr>
      </w:pPr>
      <w:r>
        <w:rPr>
          <w:rFonts w:hint="eastAsia" w:ascii="宋体" w:hAnsi="宋体" w:cs="宋体"/>
          <w:color w:val="auto"/>
          <w:szCs w:val="21"/>
        </w:rPr>
        <w:t>全州县人民政府网（http://www.glqz.gov.cn/）</w:t>
      </w:r>
      <w:r>
        <w:rPr>
          <w:rFonts w:hint="eastAsia" w:ascii="宋体" w:hAnsi="宋体" w:cs="宋体"/>
          <w:color w:val="auto"/>
        </w:rPr>
        <w:t>。</w:t>
      </w:r>
    </w:p>
    <w:p>
      <w:pPr>
        <w:keepNext w:val="0"/>
        <w:keepLines w:val="0"/>
        <w:pageBreakBefore w:val="0"/>
        <w:kinsoku/>
        <w:wordWrap/>
        <w:overflowPunct/>
        <w:topLinePunct w:val="0"/>
        <w:bidi w:val="0"/>
        <w:adjustRightInd/>
        <w:snapToGrid/>
        <w:spacing w:line="380" w:lineRule="exact"/>
        <w:ind w:firstLine="211" w:firstLineChars="100"/>
        <w:textAlignment w:val="auto"/>
        <w:rPr>
          <w:rFonts w:hint="eastAsia" w:ascii="宋体" w:hAnsi="宋体" w:cs="宋体"/>
          <w:b/>
          <w:bCs/>
          <w:color w:val="auto"/>
          <w:szCs w:val="21"/>
        </w:rPr>
      </w:pPr>
      <w:r>
        <w:rPr>
          <w:rFonts w:hint="eastAsia" w:ascii="宋体" w:hAnsi="宋体" w:cs="宋体"/>
          <w:b/>
          <w:bCs/>
          <w:color w:val="auto"/>
          <w:szCs w:val="21"/>
        </w:rPr>
        <w:t>七、对本次招标提出询问，请按以下方式联系。</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1.采购人信息：</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名 称：全州县人力资源和社会保障局</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地址：桂林市全州县全州镇江南路8号</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联系方式：王先生　　0773-4827692　　　 </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2.采购代理机构信息：</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名 称：广西明诚项目管理有限公司</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地　址：广西桂林市七星区朝阳山庄19栋</w:t>
      </w:r>
    </w:p>
    <w:p>
      <w:pPr>
        <w:keepNext w:val="0"/>
        <w:keepLines w:val="0"/>
        <w:pageBreakBefore w:val="0"/>
        <w:kinsoku/>
        <w:wordWrap/>
        <w:overflowPunct/>
        <w:topLinePunct w:val="0"/>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联系方式： 0773-2838777</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3.项目联系方式：</w:t>
      </w:r>
    </w:p>
    <w:p>
      <w:pPr>
        <w:keepNext w:val="0"/>
        <w:keepLines w:val="0"/>
        <w:pageBreakBefore w:val="0"/>
        <w:kinsoku/>
        <w:wordWrap/>
        <w:overflowPunct/>
        <w:topLinePunct w:val="0"/>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项目联系人：卢艳</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电　话：0773-2838777　</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4.政府采购监督管理部门：</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全州县国有资金投资项目招标投标管理办公室    电话：0773-4828117</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全州县政府采购管理办公室                    电话：0773-4814807</w:t>
      </w:r>
    </w:p>
    <w:p>
      <w:pPr>
        <w:keepNext w:val="0"/>
        <w:keepLines w:val="0"/>
        <w:pageBreakBefore w:val="0"/>
        <w:kinsoku/>
        <w:wordWrap/>
        <w:overflowPunct/>
        <w:topLinePunct w:val="0"/>
        <w:bidi w:val="0"/>
        <w:adjustRightInd/>
        <w:snapToGrid/>
        <w:spacing w:line="380" w:lineRule="exact"/>
        <w:ind w:firstLine="210" w:firstLineChars="100"/>
        <w:textAlignment w:val="auto"/>
        <w:rPr>
          <w:rFonts w:ascii="宋体" w:hAnsi="宋体" w:cs="宋体"/>
          <w:color w:val="auto"/>
          <w:szCs w:val="21"/>
        </w:rPr>
      </w:pPr>
    </w:p>
    <w:p>
      <w:pPr>
        <w:keepNext w:val="0"/>
        <w:keepLines w:val="0"/>
        <w:pageBreakBefore w:val="0"/>
        <w:kinsoku/>
        <w:wordWrap/>
        <w:overflowPunct/>
        <w:topLinePunct w:val="0"/>
        <w:bidi w:val="0"/>
        <w:adjustRightInd/>
        <w:snapToGrid/>
        <w:spacing w:line="38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   </w:t>
      </w:r>
      <w:r>
        <w:rPr>
          <w:rFonts w:hint="eastAsia"/>
          <w:color w:val="auto"/>
          <w:szCs w:val="21"/>
        </w:rPr>
        <w:t xml:space="preserve">   </w:t>
      </w:r>
      <w:r>
        <w:rPr>
          <w:rFonts w:hint="eastAsia" w:ascii="宋体" w:hAnsi="宋体" w:cs="宋体"/>
          <w:color w:val="auto"/>
          <w:szCs w:val="21"/>
        </w:rPr>
        <w:t>                                     </w:t>
      </w:r>
    </w:p>
    <w:p>
      <w:pPr>
        <w:keepNext w:val="0"/>
        <w:keepLines w:val="0"/>
        <w:pageBreakBefore w:val="0"/>
        <w:kinsoku/>
        <w:wordWrap/>
        <w:overflowPunct/>
        <w:topLinePunct w:val="0"/>
        <w:bidi w:val="0"/>
        <w:adjustRightInd/>
        <w:snapToGrid/>
        <w:spacing w:line="38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                                                广西明诚项目管理有限公司</w:t>
      </w:r>
    </w:p>
    <w:p>
      <w:pPr>
        <w:keepNext w:val="0"/>
        <w:keepLines w:val="0"/>
        <w:pageBreakBefore w:val="0"/>
        <w:kinsoku/>
        <w:wordWrap/>
        <w:overflowPunct/>
        <w:topLinePunct w:val="0"/>
        <w:bidi w:val="0"/>
        <w:adjustRightInd/>
        <w:snapToGrid/>
        <w:spacing w:line="380" w:lineRule="exact"/>
        <w:ind w:right="420" w:firstLine="5880" w:firstLineChars="2800"/>
        <w:textAlignment w:val="auto"/>
        <w:rPr>
          <w:rFonts w:hint="eastAsia" w:ascii="宋体" w:hAnsi="宋体" w:cs="宋体"/>
          <w:color w:val="auto"/>
          <w:szCs w:val="21"/>
        </w:rPr>
      </w:pPr>
      <w:r>
        <w:rPr>
          <w:rFonts w:hint="eastAsia" w:ascii="宋体" w:hAnsi="宋体" w:cs="宋体"/>
          <w:color w:val="auto"/>
          <w:szCs w:val="21"/>
        </w:rPr>
        <w:t xml:space="preserve"> 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p>
    <w:p>
      <w:pPr>
        <w:rPr>
          <w:rFonts w:hint="default"/>
          <w:color w:val="auto"/>
          <w:lang w:val="en-US" w:eastAsia="zh-CN"/>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36204"/>
    <w:rsid w:val="4573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80" w:lineRule="exact"/>
    </w:pPr>
    <w:rPr>
      <w:sz w:val="24"/>
    </w:rPr>
  </w:style>
  <w:style w:type="paragraph" w:styleId="3">
    <w:name w:val="Normal Indent"/>
    <w:basedOn w:val="1"/>
    <w:next w:val="4"/>
    <w:uiPriority w:val="0"/>
    <w:pPr>
      <w:ind w:firstLine="420"/>
    </w:pPr>
    <w:rPr>
      <w:szCs w:val="20"/>
    </w:rPr>
  </w:style>
  <w:style w:type="paragraph" w:styleId="4">
    <w:name w:val="Document Map"/>
    <w:basedOn w:val="1"/>
    <w:qFormat/>
    <w:uiPriority w:val="99"/>
    <w:pPr>
      <w:shd w:val="clear" w:color="auto" w:fill="00008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1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段"/>
    <w:next w:val="1"/>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2020-12-25T04:37:00Z</dcterms:created>
  <dc:creator>章鱼</dc:creator>
  <cp:lastModifiedBy>章鱼</cp:lastModifiedBy>
  <dcterms:modified xsi:type="dcterms:W3CDTF">2020-12-25T04:51:06Z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