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b/>
          <w:bCs/>
          <w:color w:val="auto"/>
          <w:spacing w:val="-6"/>
          <w:sz w:val="28"/>
          <w:szCs w:val="28"/>
          <w:highlight w:val="none"/>
        </w:rPr>
      </w:pPr>
      <w:bookmarkStart w:id="0" w:name="_Toc14318"/>
      <w:r>
        <w:rPr>
          <w:rFonts w:hint="eastAsia" w:ascii="宋体" w:hAnsi="宋体"/>
          <w:b/>
          <w:bCs/>
          <w:color w:val="auto"/>
          <w:spacing w:val="-6"/>
          <w:sz w:val="28"/>
          <w:szCs w:val="28"/>
          <w:highlight w:val="none"/>
        </w:rPr>
        <w:t>广西明诚项目管理有限公司</w:t>
      </w:r>
      <w:r>
        <w:rPr>
          <w:rFonts w:hint="eastAsia" w:ascii="宋体" w:hAnsi="宋体"/>
          <w:b/>
          <w:bCs/>
          <w:color w:val="auto"/>
          <w:spacing w:val="-6"/>
          <w:sz w:val="28"/>
          <w:szCs w:val="28"/>
          <w:highlight w:val="none"/>
          <w:lang w:val="en-US" w:eastAsia="zh-CN"/>
        </w:rPr>
        <w:t>关于</w:t>
      </w:r>
      <w:r>
        <w:rPr>
          <w:rFonts w:hint="eastAsia" w:ascii="宋体" w:hAnsi="宋体"/>
          <w:b/>
          <w:bCs/>
          <w:color w:val="auto"/>
          <w:spacing w:val="-6"/>
          <w:sz w:val="28"/>
          <w:szCs w:val="28"/>
          <w:highlight w:val="none"/>
        </w:rPr>
        <w:t>兴安县2020年公共卫生体系建设和重大疫情防控救治体系建设能力项目</w:t>
      </w:r>
      <w:r>
        <w:rPr>
          <w:rFonts w:hint="eastAsia" w:ascii="宋体" w:hAnsi="宋体"/>
          <w:b/>
          <w:bCs/>
          <w:color w:val="auto"/>
          <w:spacing w:val="-6"/>
          <w:sz w:val="28"/>
          <w:szCs w:val="28"/>
          <w:highlight w:val="none"/>
        </w:rPr>
        <w:t xml:space="preserve">GLZC2020-J1-250058-GXMC-B（重） </w:t>
      </w:r>
      <w:bookmarkStart w:id="19" w:name="_GoBack"/>
      <w:r>
        <w:rPr>
          <w:rFonts w:hint="eastAsia"/>
          <w:b/>
          <w:bCs/>
          <w:color w:val="auto"/>
          <w:spacing w:val="-6"/>
          <w:sz w:val="28"/>
          <w:szCs w:val="28"/>
          <w:highlight w:val="none"/>
        </w:rPr>
        <w:t>竞争性谈判公告</w:t>
      </w:r>
      <w:bookmarkEnd w:id="0"/>
      <w:bookmarkEnd w:id="19"/>
    </w:p>
    <w:p>
      <w:pPr>
        <w:pBdr>
          <w:top w:val="single" w:color="auto" w:sz="4" w:space="1"/>
          <w:left w:val="single" w:color="auto" w:sz="4" w:space="4"/>
          <w:bottom w:val="single" w:color="auto" w:sz="4" w:space="1"/>
          <w:right w:val="single" w:color="auto" w:sz="4" w:space="4"/>
        </w:pBdr>
        <w:spacing w:line="400" w:lineRule="exact"/>
        <w:rPr>
          <w:rFonts w:hint="eastAsia" w:ascii="宋体" w:hAnsi="宋体"/>
          <w:color w:val="auto"/>
          <w:highlight w:val="none"/>
        </w:rPr>
      </w:pPr>
      <w:bookmarkStart w:id="1" w:name="_Hlk37430271"/>
      <w:r>
        <w:rPr>
          <w:rFonts w:hint="eastAsia" w:ascii="宋体" w:hAnsi="宋体"/>
          <w:color w:val="auto"/>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宋体" w:hAnsi="宋体"/>
          <w:color w:val="auto"/>
          <w:highlight w:val="none"/>
        </w:rPr>
      </w:pPr>
      <w:r>
        <w:rPr>
          <w:rFonts w:hint="eastAsia" w:ascii="宋体" w:hAnsi="宋体"/>
          <w:color w:val="auto"/>
          <w:highlight w:val="none"/>
          <w:u w:val="single"/>
        </w:rPr>
        <w:t>兴安县2020年公共卫生体系建设和重大疫情防控救治体系建设能力项目</w:t>
      </w:r>
      <w:r>
        <w:rPr>
          <w:rFonts w:hint="eastAsia" w:ascii="宋体" w:hAnsi="宋体"/>
          <w:color w:val="auto"/>
          <w:highlight w:val="none"/>
        </w:rPr>
        <w:t>的潜在供应商应在</w:t>
      </w:r>
      <w:r>
        <w:rPr>
          <w:rFonts w:hint="eastAsia" w:ascii="宋体" w:hAnsi="宋体"/>
          <w:color w:val="auto"/>
          <w:highlight w:val="none"/>
          <w:u w:val="single"/>
        </w:rPr>
        <w:t>http://zfcg.czj.guilin.gov.cn/（桂林政府采购网）、http://glggzy.org.cn/gxglzbw/（桂林市公共资源交易中心网）、http://zfcg.gxzf.gov.cn/（广西壮族自治区政府采购网）</w:t>
      </w:r>
      <w:r>
        <w:rPr>
          <w:rFonts w:hint="eastAsia" w:ascii="宋体" w:hAnsi="宋体"/>
          <w:color w:val="auto"/>
          <w:highlight w:val="none"/>
        </w:rPr>
        <w:t>获取竞争性谈判文件，并于</w:t>
      </w:r>
      <w:r>
        <w:rPr>
          <w:rFonts w:hint="eastAsia" w:ascii="宋体" w:hAnsi="宋体"/>
          <w:color w:val="auto"/>
          <w:highlight w:val="none"/>
          <w:u w:val="single"/>
        </w:rPr>
        <w:t>2020年</w:t>
      </w:r>
      <w:r>
        <w:rPr>
          <w:rFonts w:hint="eastAsia" w:ascii="宋体" w:hAnsi="宋体"/>
          <w:color w:val="auto"/>
          <w:highlight w:val="none"/>
          <w:u w:val="single"/>
          <w:lang w:val="en-US" w:eastAsia="zh-CN"/>
        </w:rPr>
        <w:t>12</w:t>
      </w:r>
      <w:r>
        <w:rPr>
          <w:rFonts w:hint="eastAsia" w:ascii="宋体" w:hAnsi="宋体"/>
          <w:color w:val="auto"/>
          <w:highlight w:val="none"/>
          <w:u w:val="single"/>
        </w:rPr>
        <w:t>月</w:t>
      </w:r>
      <w:r>
        <w:rPr>
          <w:rFonts w:hint="eastAsia" w:ascii="宋体" w:hAnsi="宋体"/>
          <w:color w:val="auto"/>
          <w:highlight w:val="none"/>
          <w:u w:val="single"/>
          <w:lang w:val="en-US" w:eastAsia="zh-CN"/>
        </w:rPr>
        <w:t>15</w:t>
      </w:r>
      <w:r>
        <w:rPr>
          <w:rFonts w:hint="eastAsia" w:ascii="宋体" w:hAnsi="宋体"/>
          <w:color w:val="auto"/>
          <w:highlight w:val="none"/>
          <w:u w:val="single"/>
        </w:rPr>
        <w:t>日上午</w:t>
      </w:r>
      <w:r>
        <w:rPr>
          <w:rFonts w:hint="eastAsia" w:ascii="宋体" w:hAnsi="宋体"/>
          <w:color w:val="auto"/>
          <w:highlight w:val="none"/>
          <w:u w:val="single"/>
          <w:lang w:val="en-US" w:eastAsia="zh-CN"/>
        </w:rPr>
        <w:t>10</w:t>
      </w:r>
      <w:r>
        <w:rPr>
          <w:rFonts w:hint="eastAsia" w:ascii="宋体" w:hAnsi="宋体"/>
          <w:color w:val="auto"/>
          <w:highlight w:val="none"/>
          <w:u w:val="single"/>
        </w:rPr>
        <w:t>时</w:t>
      </w:r>
      <w:r>
        <w:rPr>
          <w:rFonts w:hint="eastAsia" w:ascii="宋体" w:hAnsi="宋体"/>
          <w:color w:val="auto"/>
          <w:highlight w:val="none"/>
          <w:u w:val="single"/>
          <w:lang w:val="en-US" w:eastAsia="zh-CN"/>
        </w:rPr>
        <w:t>00</w:t>
      </w:r>
      <w:r>
        <w:rPr>
          <w:rFonts w:hint="eastAsia" w:ascii="宋体" w:hAnsi="宋体"/>
          <w:color w:val="auto"/>
          <w:highlight w:val="none"/>
          <w:u w:val="single"/>
        </w:rPr>
        <w:t>分起至</w:t>
      </w:r>
      <w:r>
        <w:rPr>
          <w:rFonts w:hint="eastAsia" w:ascii="宋体" w:hAnsi="宋体"/>
          <w:color w:val="auto"/>
          <w:highlight w:val="none"/>
          <w:u w:val="single"/>
          <w:lang w:val="en-US" w:eastAsia="zh-CN"/>
        </w:rPr>
        <w:t>10</w:t>
      </w:r>
      <w:r>
        <w:rPr>
          <w:rFonts w:hint="eastAsia" w:ascii="宋体" w:hAnsi="宋体"/>
          <w:color w:val="auto"/>
          <w:highlight w:val="none"/>
          <w:u w:val="single"/>
        </w:rPr>
        <w:t>时</w:t>
      </w:r>
      <w:r>
        <w:rPr>
          <w:rFonts w:hint="eastAsia" w:ascii="宋体" w:hAnsi="宋体"/>
          <w:color w:val="auto"/>
          <w:highlight w:val="none"/>
          <w:u w:val="single"/>
          <w:lang w:val="en-US" w:eastAsia="zh-CN"/>
        </w:rPr>
        <w:t>30</w:t>
      </w:r>
      <w:r>
        <w:rPr>
          <w:rFonts w:hint="eastAsia" w:ascii="宋体" w:hAnsi="宋体"/>
          <w:color w:val="auto"/>
          <w:highlight w:val="none"/>
          <w:u w:val="single"/>
        </w:rPr>
        <w:t>分止</w:t>
      </w:r>
      <w:r>
        <w:rPr>
          <w:rFonts w:hint="eastAsia" w:ascii="宋体" w:hAnsi="宋体"/>
          <w:color w:val="auto"/>
          <w:highlight w:val="none"/>
        </w:rPr>
        <w:t>（北京</w:t>
      </w:r>
      <w:r>
        <w:rPr>
          <w:rFonts w:hint="eastAsia" w:ascii="宋体" w:hAnsi="宋体"/>
          <w:bCs/>
          <w:color w:val="auto"/>
          <w:highlight w:val="none"/>
        </w:rPr>
        <w:t>时间，下同）提交响应文件</w:t>
      </w:r>
      <w:r>
        <w:rPr>
          <w:rFonts w:hint="eastAsia" w:ascii="宋体" w:hAnsi="宋体"/>
          <w:color w:val="auto"/>
          <w:highlight w:val="none"/>
        </w:rPr>
        <w:t>。</w:t>
      </w:r>
    </w:p>
    <w:p>
      <w:pPr>
        <w:spacing w:line="400" w:lineRule="exact"/>
        <w:rPr>
          <w:rFonts w:hint="eastAsia" w:ascii="宋体" w:hAnsi="宋体"/>
          <w:b/>
          <w:color w:val="auto"/>
          <w:szCs w:val="21"/>
          <w:highlight w:val="none"/>
        </w:rPr>
      </w:pPr>
      <w:bookmarkStart w:id="2" w:name="_Toc44405619"/>
      <w:bookmarkStart w:id="3" w:name="_Toc44229878"/>
      <w:r>
        <w:rPr>
          <w:rFonts w:hint="eastAsia"/>
          <w:b/>
          <w:bCs/>
          <w:color w:val="auto"/>
          <w:highlight w:val="none"/>
        </w:rPr>
        <w:t>一、项目基本情况</w:t>
      </w:r>
      <w:bookmarkEnd w:id="2"/>
      <w:bookmarkEnd w:id="3"/>
    </w:p>
    <w:p>
      <w:pPr>
        <w:spacing w:line="400" w:lineRule="exact"/>
        <w:ind w:firstLine="420" w:firstLineChars="200"/>
        <w:rPr>
          <w:rFonts w:ascii="宋体" w:hAnsi="宋体"/>
          <w:color w:val="auto"/>
          <w:highlight w:val="none"/>
        </w:rPr>
      </w:pPr>
      <w:r>
        <w:rPr>
          <w:rFonts w:hint="eastAsia" w:ascii="宋体" w:hAnsi="宋体"/>
          <w:color w:val="auto"/>
          <w:highlight w:val="none"/>
        </w:rPr>
        <w:t>1.项目名称：兴安县2020年公共卫生体系建设和重大疫情防控救治体系建设能力项目</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2.项目编号：</w:t>
      </w:r>
      <w:r>
        <w:rPr>
          <w:rFonts w:hint="eastAsia" w:ascii="宋体" w:hAnsi="宋体"/>
          <w:color w:val="auto"/>
          <w:szCs w:val="21"/>
          <w:highlight w:val="none"/>
        </w:rPr>
        <w:t xml:space="preserve">GLZC2020-J1-250058-GXMC-B（重）            </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3.采购方式：竞争性谈判</w:t>
      </w:r>
    </w:p>
    <w:p>
      <w:pPr>
        <w:spacing w:line="400" w:lineRule="exact"/>
        <w:ind w:firstLine="420" w:firstLineChars="200"/>
        <w:rPr>
          <w:rFonts w:hint="eastAsia" w:ascii="宋体" w:hAnsi="宋体"/>
          <w:b w:val="0"/>
          <w:bCs/>
          <w:color w:val="auto"/>
          <w:highlight w:val="none"/>
          <w:lang w:val="en-US" w:eastAsia="zh-CN"/>
        </w:rPr>
      </w:pPr>
      <w:r>
        <w:rPr>
          <w:rFonts w:hint="eastAsia" w:ascii="宋体" w:hAnsi="宋体"/>
          <w:b w:val="0"/>
          <w:bCs/>
          <w:color w:val="auto"/>
          <w:highlight w:val="none"/>
        </w:rPr>
        <w:t>4.</w:t>
      </w:r>
      <w:r>
        <w:rPr>
          <w:rFonts w:hint="eastAsia" w:ascii="宋体" w:hAnsi="宋体"/>
          <w:b w:val="0"/>
          <w:bCs/>
          <w:color w:val="auto"/>
          <w:highlight w:val="none"/>
          <w:lang w:val="en-US" w:eastAsia="zh-CN"/>
        </w:rPr>
        <w:t>总</w:t>
      </w:r>
      <w:r>
        <w:rPr>
          <w:rFonts w:hint="eastAsia" w:ascii="宋体" w:hAnsi="宋体"/>
          <w:b w:val="0"/>
          <w:bCs/>
          <w:color w:val="auto"/>
          <w:highlight w:val="none"/>
        </w:rPr>
        <w:t>预算金额（人民币）：</w:t>
      </w:r>
      <w:r>
        <w:rPr>
          <w:rFonts w:hint="eastAsia" w:ascii="宋体" w:hAnsi="宋体"/>
          <w:b w:val="0"/>
          <w:bCs/>
          <w:color w:val="auto"/>
          <w:highlight w:val="none"/>
          <w:lang w:val="en-US" w:eastAsia="zh-CN"/>
        </w:rPr>
        <w:t>陆拾伍万壹仟肆佰元整（</w:t>
      </w:r>
      <w:r>
        <w:rPr>
          <w:rFonts w:hint="default" w:ascii="Arial" w:hAnsi="Arial" w:cs="Arial"/>
          <w:b w:val="0"/>
          <w:bCs/>
          <w:color w:val="auto"/>
          <w:highlight w:val="none"/>
          <w:lang w:val="en-US" w:eastAsia="zh-CN"/>
        </w:rPr>
        <w:t>¥</w:t>
      </w:r>
      <w:r>
        <w:rPr>
          <w:rFonts w:hint="eastAsia" w:ascii="宋体" w:hAnsi="宋体"/>
          <w:b w:val="0"/>
          <w:bCs/>
          <w:color w:val="auto"/>
          <w:highlight w:val="none"/>
          <w:lang w:val="en-US" w:eastAsia="zh-CN"/>
        </w:rPr>
        <w:t>651400.00）</w:t>
      </w:r>
    </w:p>
    <w:p>
      <w:pPr>
        <w:spacing w:line="400" w:lineRule="exact"/>
        <w:ind w:firstLine="420" w:firstLineChars="200"/>
        <w:rPr>
          <w:rFonts w:hint="eastAsia" w:ascii="宋体" w:hAnsi="宋体"/>
          <w:color w:val="auto"/>
          <w:highlight w:val="none"/>
          <w:lang w:val="en-US" w:eastAsia="zh-CN"/>
        </w:rPr>
      </w:pPr>
      <w:r>
        <w:rPr>
          <w:rFonts w:hint="eastAsia" w:ascii="宋体" w:hAnsi="宋体"/>
          <w:color w:val="auto"/>
          <w:highlight w:val="none"/>
        </w:rPr>
        <w:t>5.采购需求：</w:t>
      </w:r>
    </w:p>
    <w:tbl>
      <w:tblPr>
        <w:tblStyle w:val="5"/>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173"/>
        <w:gridCol w:w="645"/>
        <w:gridCol w:w="753"/>
        <w:gridCol w:w="1150"/>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90" w:type="dxa"/>
            <w:noWrap w:val="0"/>
            <w:vAlign w:val="center"/>
          </w:tcPr>
          <w:p>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3173" w:type="dxa"/>
            <w:noWrap w:val="0"/>
            <w:vAlign w:val="center"/>
          </w:tcPr>
          <w:p>
            <w:pPr>
              <w:spacing w:line="420" w:lineRule="exact"/>
              <w:jc w:val="center"/>
              <w:rPr>
                <w:rFonts w:hint="eastAsia" w:ascii="宋体" w:hAnsi="宋体" w:cs="宋体"/>
                <w:b/>
                <w:bCs/>
                <w:color w:val="auto"/>
                <w:kern w:val="0"/>
                <w:szCs w:val="21"/>
                <w:highlight w:val="none"/>
                <w:lang w:bidi="zh-CN"/>
              </w:rPr>
            </w:pPr>
            <w:r>
              <w:rPr>
                <w:rFonts w:hint="eastAsia" w:ascii="宋体" w:hAnsi="宋体" w:cs="宋体"/>
                <w:b/>
                <w:bCs/>
                <w:color w:val="auto"/>
                <w:kern w:val="0"/>
                <w:szCs w:val="21"/>
                <w:highlight w:val="none"/>
                <w:lang w:bidi="zh-CN"/>
              </w:rPr>
              <w:t>货物名称</w:t>
            </w:r>
          </w:p>
        </w:tc>
        <w:tc>
          <w:tcPr>
            <w:tcW w:w="645" w:type="dxa"/>
            <w:noWrap w:val="0"/>
            <w:vAlign w:val="center"/>
          </w:tcPr>
          <w:p>
            <w:pPr>
              <w:spacing w:line="420" w:lineRule="exact"/>
              <w:jc w:val="center"/>
              <w:rPr>
                <w:rFonts w:hint="eastAsia" w:ascii="宋体" w:hAnsi="宋体" w:cs="宋体"/>
                <w:b/>
                <w:bCs/>
                <w:color w:val="auto"/>
                <w:kern w:val="0"/>
                <w:szCs w:val="21"/>
                <w:highlight w:val="none"/>
                <w:lang w:bidi="zh-CN"/>
              </w:rPr>
            </w:pPr>
            <w:r>
              <w:rPr>
                <w:rFonts w:hint="eastAsia" w:ascii="宋体" w:hAnsi="宋体" w:cs="宋体"/>
                <w:b/>
                <w:bCs/>
                <w:color w:val="auto"/>
                <w:kern w:val="0"/>
                <w:szCs w:val="21"/>
                <w:highlight w:val="none"/>
                <w:lang w:bidi="zh-CN"/>
              </w:rPr>
              <w:t>数量</w:t>
            </w:r>
          </w:p>
        </w:tc>
        <w:tc>
          <w:tcPr>
            <w:tcW w:w="753" w:type="dxa"/>
            <w:noWrap w:val="0"/>
            <w:vAlign w:val="center"/>
          </w:tcPr>
          <w:p>
            <w:pPr>
              <w:spacing w:line="420" w:lineRule="exact"/>
              <w:jc w:val="center"/>
              <w:rPr>
                <w:rFonts w:hint="eastAsia" w:ascii="宋体" w:hAnsi="宋体" w:cs="宋体"/>
                <w:b/>
                <w:bCs/>
                <w:color w:val="auto"/>
                <w:kern w:val="0"/>
                <w:szCs w:val="21"/>
                <w:highlight w:val="none"/>
                <w:lang w:bidi="zh-CN"/>
              </w:rPr>
            </w:pPr>
            <w:r>
              <w:rPr>
                <w:rFonts w:hint="eastAsia" w:ascii="宋体" w:hAnsi="宋体" w:cs="宋体"/>
                <w:b/>
                <w:bCs/>
                <w:color w:val="auto"/>
                <w:kern w:val="0"/>
                <w:szCs w:val="21"/>
                <w:highlight w:val="none"/>
                <w:lang w:bidi="zh-CN"/>
              </w:rPr>
              <w:t>单位</w:t>
            </w:r>
          </w:p>
        </w:tc>
        <w:tc>
          <w:tcPr>
            <w:tcW w:w="1150" w:type="dxa"/>
            <w:noWrap w:val="0"/>
            <w:vAlign w:val="center"/>
          </w:tcPr>
          <w:p>
            <w:pPr>
              <w:spacing w:line="420" w:lineRule="exact"/>
              <w:jc w:val="center"/>
              <w:rPr>
                <w:rFonts w:hint="eastAsia" w:ascii="宋体" w:hAnsi="宋体" w:cs="宋体"/>
                <w:b/>
                <w:bCs/>
                <w:color w:val="auto"/>
                <w:kern w:val="0"/>
                <w:szCs w:val="21"/>
                <w:highlight w:val="none"/>
                <w:lang w:bidi="zh-CN"/>
              </w:rPr>
            </w:pPr>
            <w:r>
              <w:rPr>
                <w:rFonts w:hint="eastAsia" w:ascii="宋体" w:hAnsi="宋体" w:cs="宋体"/>
                <w:b/>
                <w:bCs/>
                <w:color w:val="auto"/>
                <w:szCs w:val="21"/>
                <w:highlight w:val="none"/>
              </w:rPr>
              <w:t>单价（元）</w:t>
            </w:r>
          </w:p>
        </w:tc>
        <w:tc>
          <w:tcPr>
            <w:tcW w:w="2454" w:type="dxa"/>
            <w:noWrap w:val="0"/>
            <w:vAlign w:val="center"/>
          </w:tcPr>
          <w:p>
            <w:pPr>
              <w:spacing w:line="420" w:lineRule="exact"/>
              <w:jc w:val="center"/>
              <w:rPr>
                <w:rFonts w:hint="eastAsia" w:ascii="宋体" w:hAnsi="宋体" w:cs="宋体"/>
                <w:b/>
                <w:bCs/>
                <w:color w:val="auto"/>
                <w:szCs w:val="21"/>
                <w:highlight w:val="none"/>
              </w:rPr>
            </w:pPr>
            <w:r>
              <w:rPr>
                <w:rFonts w:hint="eastAsia" w:ascii="宋体" w:hAnsi="宋体" w:cs="宋体"/>
                <w:color w:val="auto"/>
                <w:szCs w:val="21"/>
                <w:highlight w:val="none"/>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90"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3173"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冷库（15立方米）</w:t>
            </w:r>
          </w:p>
        </w:tc>
        <w:tc>
          <w:tcPr>
            <w:tcW w:w="645"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w:t>
            </w:r>
          </w:p>
        </w:tc>
        <w:tc>
          <w:tcPr>
            <w:tcW w:w="753" w:type="dxa"/>
            <w:noWrap w:val="0"/>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套</w:t>
            </w:r>
          </w:p>
        </w:tc>
        <w:tc>
          <w:tcPr>
            <w:tcW w:w="1150"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82000</w:t>
            </w:r>
          </w:p>
        </w:tc>
        <w:tc>
          <w:tcPr>
            <w:tcW w:w="2454" w:type="dxa"/>
            <w:vMerge w:val="restart"/>
            <w:noWrap w:val="0"/>
            <w:vAlign w:val="center"/>
          </w:tcPr>
          <w:p>
            <w:pPr>
              <w:spacing w:line="340" w:lineRule="exact"/>
              <w:jc w:val="center"/>
              <w:rPr>
                <w:rFonts w:hint="eastAsia" w:ascii="宋体" w:hAnsi="宋体" w:cs="宋体"/>
                <w:color w:val="auto"/>
                <w:kern w:val="0"/>
                <w:szCs w:val="21"/>
                <w:highlight w:val="none"/>
                <w:lang w:bidi="zh-CN"/>
              </w:rPr>
            </w:pPr>
            <w:r>
              <w:rPr>
                <w:rFonts w:hint="eastAsia" w:ascii="宋体" w:hAnsi="宋体" w:cs="宋体"/>
                <w:color w:val="auto"/>
                <w:kern w:val="0"/>
                <w:szCs w:val="21"/>
                <w:highlight w:val="none"/>
                <w:lang w:bidi="zh-CN"/>
              </w:rPr>
              <w:t>如需进一步了解详细内容，详见竞争性谈判文件。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690"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3173"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医用超低温冰箱（－20~－40℃）</w:t>
            </w:r>
          </w:p>
        </w:tc>
        <w:tc>
          <w:tcPr>
            <w:tcW w:w="645"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w:t>
            </w:r>
          </w:p>
        </w:tc>
        <w:tc>
          <w:tcPr>
            <w:tcW w:w="753" w:type="dxa"/>
            <w:noWrap w:val="0"/>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台</w:t>
            </w:r>
          </w:p>
        </w:tc>
        <w:tc>
          <w:tcPr>
            <w:tcW w:w="1150"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28000</w:t>
            </w:r>
          </w:p>
        </w:tc>
        <w:tc>
          <w:tcPr>
            <w:tcW w:w="2454" w:type="dxa"/>
            <w:vMerge w:val="continue"/>
            <w:noWrap w:val="0"/>
            <w:vAlign w:val="center"/>
          </w:tcPr>
          <w:p>
            <w:pPr>
              <w:spacing w:line="420" w:lineRule="exact"/>
              <w:jc w:val="center"/>
              <w:rPr>
                <w:rFonts w:hint="eastAsia" w:ascii="宋体" w:hAnsi="宋体" w:cs="宋体"/>
                <w:color w:val="auto"/>
                <w:kern w:val="0"/>
                <w:szCs w:val="21"/>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690"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3173"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医用冰箱（2~8℃/－10~－26℃）</w:t>
            </w:r>
          </w:p>
        </w:tc>
        <w:tc>
          <w:tcPr>
            <w:tcW w:w="645"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18</w:t>
            </w:r>
          </w:p>
        </w:tc>
        <w:tc>
          <w:tcPr>
            <w:tcW w:w="753" w:type="dxa"/>
            <w:noWrap w:val="0"/>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台</w:t>
            </w:r>
          </w:p>
        </w:tc>
        <w:tc>
          <w:tcPr>
            <w:tcW w:w="1150"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9000</w:t>
            </w:r>
          </w:p>
        </w:tc>
        <w:tc>
          <w:tcPr>
            <w:tcW w:w="2454" w:type="dxa"/>
            <w:vMerge w:val="continue"/>
            <w:noWrap w:val="0"/>
            <w:vAlign w:val="center"/>
          </w:tcPr>
          <w:p>
            <w:pPr>
              <w:spacing w:line="420" w:lineRule="exact"/>
              <w:jc w:val="center"/>
              <w:rPr>
                <w:rFonts w:hint="eastAsia" w:ascii="宋体" w:hAnsi="宋体" w:cs="宋体"/>
                <w:color w:val="auto"/>
                <w:kern w:val="0"/>
                <w:szCs w:val="21"/>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690"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3173"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医用冷藏箱（2℃-8℃)</w:t>
            </w:r>
          </w:p>
        </w:tc>
        <w:tc>
          <w:tcPr>
            <w:tcW w:w="645"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w:t>
            </w:r>
          </w:p>
        </w:tc>
        <w:tc>
          <w:tcPr>
            <w:tcW w:w="753" w:type="dxa"/>
            <w:noWrap w:val="0"/>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台</w:t>
            </w:r>
          </w:p>
        </w:tc>
        <w:tc>
          <w:tcPr>
            <w:tcW w:w="1150"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default" w:ascii="宋体" w:hAnsi="宋体" w:cs="宋体"/>
                <w:color w:val="auto"/>
                <w:kern w:val="0"/>
                <w:szCs w:val="21"/>
                <w:highlight w:val="none"/>
                <w:lang w:val="en-US" w:eastAsia="zh-CN" w:bidi="ar"/>
              </w:rPr>
              <w:t>17</w:t>
            </w:r>
            <w:r>
              <w:rPr>
                <w:rFonts w:hint="eastAsia" w:ascii="宋体" w:hAnsi="宋体" w:cs="宋体"/>
                <w:color w:val="auto"/>
                <w:kern w:val="0"/>
                <w:szCs w:val="21"/>
                <w:highlight w:val="none"/>
                <w:lang w:val="en-US" w:eastAsia="zh-CN" w:bidi="ar"/>
              </w:rPr>
              <w:t>000</w:t>
            </w:r>
          </w:p>
        </w:tc>
        <w:tc>
          <w:tcPr>
            <w:tcW w:w="2454" w:type="dxa"/>
            <w:vMerge w:val="continue"/>
            <w:noWrap w:val="0"/>
            <w:vAlign w:val="center"/>
          </w:tcPr>
          <w:p>
            <w:pPr>
              <w:spacing w:line="420" w:lineRule="exact"/>
              <w:jc w:val="center"/>
              <w:rPr>
                <w:rFonts w:hint="eastAsia" w:ascii="宋体" w:hAnsi="宋体" w:cs="宋体"/>
                <w:color w:val="auto"/>
                <w:kern w:val="0"/>
                <w:szCs w:val="21"/>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90"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3173"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冰箱</w:t>
            </w:r>
          </w:p>
        </w:tc>
        <w:tc>
          <w:tcPr>
            <w:tcW w:w="645"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5</w:t>
            </w:r>
          </w:p>
        </w:tc>
        <w:tc>
          <w:tcPr>
            <w:tcW w:w="753" w:type="dxa"/>
            <w:noWrap w:val="0"/>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台</w:t>
            </w:r>
          </w:p>
        </w:tc>
        <w:tc>
          <w:tcPr>
            <w:tcW w:w="1150"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1250</w:t>
            </w:r>
          </w:p>
        </w:tc>
        <w:tc>
          <w:tcPr>
            <w:tcW w:w="2454" w:type="dxa"/>
            <w:vMerge w:val="continue"/>
            <w:noWrap w:val="0"/>
            <w:vAlign w:val="center"/>
          </w:tcPr>
          <w:p>
            <w:pPr>
              <w:spacing w:line="420" w:lineRule="exact"/>
              <w:jc w:val="center"/>
              <w:rPr>
                <w:rFonts w:hint="eastAsia" w:ascii="宋体" w:hAnsi="宋体" w:cs="宋体"/>
                <w:color w:val="auto"/>
                <w:kern w:val="0"/>
                <w:szCs w:val="21"/>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690"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3173"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冷藏箱</w:t>
            </w:r>
          </w:p>
        </w:tc>
        <w:tc>
          <w:tcPr>
            <w:tcW w:w="645"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25</w:t>
            </w:r>
          </w:p>
        </w:tc>
        <w:tc>
          <w:tcPr>
            <w:tcW w:w="753" w:type="dxa"/>
            <w:noWrap w:val="0"/>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个</w:t>
            </w:r>
          </w:p>
        </w:tc>
        <w:tc>
          <w:tcPr>
            <w:tcW w:w="1150" w:type="dxa"/>
            <w:noWrap w:val="0"/>
            <w:vAlign w:val="center"/>
          </w:tcPr>
          <w:p>
            <w:pPr>
              <w:widowControl/>
              <w:jc w:val="center"/>
              <w:textAlignment w:val="center"/>
              <w:rPr>
                <w:rFonts w:hint="default" w:ascii="宋体" w:hAnsi="宋体" w:cs="宋体"/>
                <w:color w:val="auto"/>
                <w:kern w:val="0"/>
                <w:szCs w:val="21"/>
                <w:highlight w:val="none"/>
                <w:lang w:val="en-US" w:bidi="ar"/>
              </w:rPr>
            </w:pPr>
            <w:r>
              <w:rPr>
                <w:rFonts w:hint="eastAsia" w:ascii="宋体" w:hAnsi="宋体" w:cs="宋体"/>
                <w:color w:val="auto"/>
                <w:kern w:val="0"/>
                <w:szCs w:val="21"/>
                <w:highlight w:val="none"/>
                <w:lang w:val="en-US" w:eastAsia="zh-CN" w:bidi="ar"/>
              </w:rPr>
              <w:t>950</w:t>
            </w:r>
          </w:p>
        </w:tc>
        <w:tc>
          <w:tcPr>
            <w:tcW w:w="2454" w:type="dxa"/>
            <w:vMerge w:val="continue"/>
            <w:noWrap w:val="0"/>
            <w:vAlign w:val="center"/>
          </w:tcPr>
          <w:p>
            <w:pPr>
              <w:spacing w:line="420" w:lineRule="exact"/>
              <w:jc w:val="center"/>
              <w:rPr>
                <w:rFonts w:hint="eastAsia" w:ascii="宋体" w:hAnsi="宋体" w:cs="宋体"/>
                <w:color w:val="auto"/>
                <w:kern w:val="0"/>
                <w:szCs w:val="21"/>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90"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w:t>
            </w:r>
          </w:p>
        </w:tc>
        <w:tc>
          <w:tcPr>
            <w:tcW w:w="3173"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冷藏包</w:t>
            </w:r>
          </w:p>
        </w:tc>
        <w:tc>
          <w:tcPr>
            <w:tcW w:w="645"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27</w:t>
            </w:r>
          </w:p>
        </w:tc>
        <w:tc>
          <w:tcPr>
            <w:tcW w:w="753" w:type="dxa"/>
            <w:noWrap w:val="0"/>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个</w:t>
            </w:r>
          </w:p>
        </w:tc>
        <w:tc>
          <w:tcPr>
            <w:tcW w:w="1150"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1000</w:t>
            </w:r>
          </w:p>
        </w:tc>
        <w:tc>
          <w:tcPr>
            <w:tcW w:w="2454" w:type="dxa"/>
            <w:vMerge w:val="continue"/>
            <w:noWrap w:val="0"/>
            <w:vAlign w:val="center"/>
          </w:tcPr>
          <w:p>
            <w:pPr>
              <w:spacing w:line="420" w:lineRule="exact"/>
              <w:jc w:val="center"/>
              <w:rPr>
                <w:rFonts w:hint="eastAsia" w:ascii="宋体" w:hAnsi="宋体" w:cs="宋体"/>
                <w:color w:val="auto"/>
                <w:kern w:val="0"/>
                <w:szCs w:val="21"/>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90"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3173"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发电机组（50kw）</w:t>
            </w:r>
          </w:p>
        </w:tc>
        <w:tc>
          <w:tcPr>
            <w:tcW w:w="645"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7</w:t>
            </w:r>
          </w:p>
        </w:tc>
        <w:tc>
          <w:tcPr>
            <w:tcW w:w="753" w:type="dxa"/>
            <w:noWrap w:val="0"/>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组</w:t>
            </w:r>
          </w:p>
        </w:tc>
        <w:tc>
          <w:tcPr>
            <w:tcW w:w="1150"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31000</w:t>
            </w:r>
          </w:p>
        </w:tc>
        <w:tc>
          <w:tcPr>
            <w:tcW w:w="2454" w:type="dxa"/>
            <w:vMerge w:val="continue"/>
            <w:noWrap w:val="0"/>
            <w:vAlign w:val="center"/>
          </w:tcPr>
          <w:p>
            <w:pPr>
              <w:spacing w:line="420" w:lineRule="exact"/>
              <w:jc w:val="center"/>
              <w:rPr>
                <w:rFonts w:hint="eastAsia" w:ascii="宋体" w:hAnsi="宋体" w:cs="宋体"/>
                <w:color w:val="auto"/>
                <w:kern w:val="0"/>
                <w:szCs w:val="21"/>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90"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w:t>
            </w:r>
          </w:p>
        </w:tc>
        <w:tc>
          <w:tcPr>
            <w:tcW w:w="3173"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发电机组（30kw）</w:t>
            </w:r>
          </w:p>
        </w:tc>
        <w:tc>
          <w:tcPr>
            <w:tcW w:w="645"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w:t>
            </w:r>
          </w:p>
        </w:tc>
        <w:tc>
          <w:tcPr>
            <w:tcW w:w="753" w:type="dxa"/>
            <w:noWrap w:val="0"/>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组</w:t>
            </w:r>
          </w:p>
        </w:tc>
        <w:tc>
          <w:tcPr>
            <w:tcW w:w="1150"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default" w:ascii="宋体" w:hAnsi="宋体" w:cs="宋体"/>
                <w:color w:val="auto"/>
                <w:kern w:val="0"/>
                <w:szCs w:val="21"/>
                <w:highlight w:val="none"/>
                <w:lang w:val="en-US" w:eastAsia="zh-CN" w:bidi="ar"/>
              </w:rPr>
              <w:t>28000</w:t>
            </w:r>
          </w:p>
        </w:tc>
        <w:tc>
          <w:tcPr>
            <w:tcW w:w="2454" w:type="dxa"/>
            <w:vMerge w:val="continue"/>
            <w:noWrap w:val="0"/>
            <w:vAlign w:val="center"/>
          </w:tcPr>
          <w:p>
            <w:pPr>
              <w:spacing w:line="420" w:lineRule="exact"/>
              <w:jc w:val="center"/>
              <w:rPr>
                <w:rFonts w:hint="eastAsia" w:ascii="宋体" w:hAnsi="宋体" w:cs="宋体"/>
                <w:color w:val="auto"/>
                <w:kern w:val="0"/>
                <w:szCs w:val="21"/>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90"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w:t>
            </w:r>
          </w:p>
        </w:tc>
        <w:tc>
          <w:tcPr>
            <w:tcW w:w="3173"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温控温度仪</w:t>
            </w:r>
          </w:p>
        </w:tc>
        <w:tc>
          <w:tcPr>
            <w:tcW w:w="645"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18</w:t>
            </w:r>
          </w:p>
        </w:tc>
        <w:tc>
          <w:tcPr>
            <w:tcW w:w="753" w:type="dxa"/>
            <w:noWrap w:val="0"/>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套</w:t>
            </w:r>
          </w:p>
        </w:tc>
        <w:tc>
          <w:tcPr>
            <w:tcW w:w="1150"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2100</w:t>
            </w:r>
          </w:p>
        </w:tc>
        <w:tc>
          <w:tcPr>
            <w:tcW w:w="2454" w:type="dxa"/>
            <w:vMerge w:val="continue"/>
            <w:noWrap w:val="0"/>
            <w:vAlign w:val="center"/>
          </w:tcPr>
          <w:p>
            <w:pPr>
              <w:spacing w:line="420" w:lineRule="exact"/>
              <w:jc w:val="center"/>
              <w:rPr>
                <w:rFonts w:hint="eastAsia" w:ascii="宋体" w:hAnsi="宋体" w:cs="宋体"/>
                <w:color w:val="auto"/>
                <w:kern w:val="0"/>
                <w:szCs w:val="21"/>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90"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w:t>
            </w:r>
          </w:p>
        </w:tc>
        <w:tc>
          <w:tcPr>
            <w:tcW w:w="3173"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 xml:space="preserve">条形码扫描器 </w:t>
            </w:r>
          </w:p>
        </w:tc>
        <w:tc>
          <w:tcPr>
            <w:tcW w:w="645"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2</w:t>
            </w:r>
          </w:p>
        </w:tc>
        <w:tc>
          <w:tcPr>
            <w:tcW w:w="753" w:type="dxa"/>
            <w:noWrap w:val="0"/>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台</w:t>
            </w:r>
          </w:p>
        </w:tc>
        <w:tc>
          <w:tcPr>
            <w:tcW w:w="1150"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4100</w:t>
            </w:r>
          </w:p>
        </w:tc>
        <w:tc>
          <w:tcPr>
            <w:tcW w:w="2454" w:type="dxa"/>
            <w:vMerge w:val="continue"/>
            <w:noWrap w:val="0"/>
            <w:vAlign w:val="center"/>
          </w:tcPr>
          <w:p>
            <w:pPr>
              <w:spacing w:line="420" w:lineRule="exact"/>
              <w:jc w:val="center"/>
              <w:rPr>
                <w:rFonts w:hint="eastAsia" w:ascii="宋体" w:hAnsi="宋体" w:cs="宋体"/>
                <w:color w:val="auto"/>
                <w:kern w:val="0"/>
                <w:szCs w:val="21"/>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90"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w:t>
            </w:r>
          </w:p>
        </w:tc>
        <w:tc>
          <w:tcPr>
            <w:tcW w:w="3173"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普通扫描枪</w:t>
            </w:r>
          </w:p>
        </w:tc>
        <w:tc>
          <w:tcPr>
            <w:tcW w:w="645"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32</w:t>
            </w:r>
          </w:p>
        </w:tc>
        <w:tc>
          <w:tcPr>
            <w:tcW w:w="753" w:type="dxa"/>
            <w:noWrap w:val="0"/>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把</w:t>
            </w:r>
          </w:p>
        </w:tc>
        <w:tc>
          <w:tcPr>
            <w:tcW w:w="1150"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450</w:t>
            </w:r>
          </w:p>
        </w:tc>
        <w:tc>
          <w:tcPr>
            <w:tcW w:w="2454" w:type="dxa"/>
            <w:vMerge w:val="continue"/>
            <w:noWrap w:val="0"/>
            <w:vAlign w:val="center"/>
          </w:tcPr>
          <w:p>
            <w:pPr>
              <w:spacing w:line="420" w:lineRule="exact"/>
              <w:jc w:val="center"/>
              <w:rPr>
                <w:rFonts w:hint="eastAsia" w:ascii="宋体" w:hAnsi="宋体" w:cs="宋体"/>
                <w:color w:val="auto"/>
                <w:kern w:val="0"/>
                <w:szCs w:val="21"/>
                <w:highlight w:val="none"/>
                <w:lang w:bidi="zh-CN"/>
              </w:rPr>
            </w:pPr>
          </w:p>
        </w:tc>
      </w:tr>
    </w:tbl>
    <w:p>
      <w:pPr>
        <w:spacing w:line="400" w:lineRule="exact"/>
        <w:ind w:firstLine="420" w:firstLineChars="200"/>
        <w:rPr>
          <w:rFonts w:hint="default" w:ascii="宋体" w:hAnsi="宋体" w:eastAsia="宋体"/>
          <w:color w:val="auto"/>
          <w:highlight w:val="none"/>
          <w:u w:val="single"/>
          <w:lang w:val="en-US" w:eastAsia="zh-CN"/>
        </w:rPr>
      </w:pPr>
      <w:r>
        <w:rPr>
          <w:rFonts w:hint="eastAsia" w:ascii="宋体" w:hAnsi="宋体"/>
          <w:color w:val="auto"/>
          <w:highlight w:val="none"/>
        </w:rPr>
        <w:t>6.合同履行期限（交付使用</w:t>
      </w:r>
      <w:r>
        <w:rPr>
          <w:rFonts w:hint="eastAsia" w:ascii="宋体" w:hAnsi="宋体"/>
          <w:color w:val="auto"/>
          <w:kern w:val="0"/>
          <w:szCs w:val="21"/>
          <w:highlight w:val="none"/>
        </w:rPr>
        <w:t>期</w:t>
      </w:r>
      <w:r>
        <w:rPr>
          <w:rFonts w:hint="eastAsia" w:ascii="宋体" w:hAnsi="宋体"/>
          <w:color w:val="auto"/>
          <w:highlight w:val="none"/>
        </w:rPr>
        <w:t>）：</w:t>
      </w:r>
      <w:r>
        <w:rPr>
          <w:rFonts w:hint="eastAsia" w:ascii="宋体" w:hAnsi="宋体"/>
          <w:color w:val="auto"/>
          <w:highlight w:val="none"/>
          <w:u w:val="single"/>
          <w:lang w:val="en-US" w:eastAsia="zh-CN"/>
        </w:rPr>
        <w:t>交货时间：</w:t>
      </w:r>
      <w:r>
        <w:rPr>
          <w:rFonts w:hint="eastAsia" w:ascii="宋体" w:hAnsi="宋体" w:cs="宋体"/>
          <w:color w:val="auto"/>
          <w:highlight w:val="none"/>
          <w:u w:val="single"/>
          <w:lang w:val="en-US" w:eastAsia="zh-CN"/>
        </w:rPr>
        <w:t>签订合同之日起7日内</w:t>
      </w:r>
      <w:r>
        <w:rPr>
          <w:rFonts w:hint="eastAsia" w:ascii="宋体" w:hAnsi="宋体" w:cs="宋体"/>
          <w:color w:val="auto"/>
          <w:highlight w:val="none"/>
        </w:rPr>
        <w:t>。</w:t>
      </w:r>
    </w:p>
    <w:p>
      <w:pPr>
        <w:spacing w:line="400" w:lineRule="exact"/>
        <w:ind w:firstLine="211" w:firstLineChars="100"/>
        <w:rPr>
          <w:rFonts w:hint="eastAsia" w:ascii="宋体" w:hAnsi="宋体"/>
          <w:b/>
          <w:color w:val="auto"/>
          <w:szCs w:val="21"/>
          <w:highlight w:val="none"/>
        </w:rPr>
      </w:pPr>
      <w:bookmarkStart w:id="4" w:name="_Toc44405620"/>
      <w:bookmarkStart w:id="5" w:name="_Toc44229879"/>
      <w:r>
        <w:rPr>
          <w:rFonts w:hint="eastAsia" w:ascii="宋体" w:hAnsi="宋体"/>
          <w:b/>
          <w:color w:val="auto"/>
          <w:szCs w:val="21"/>
          <w:highlight w:val="none"/>
        </w:rPr>
        <w:t>二、供应商的资格条件：</w:t>
      </w:r>
      <w:bookmarkEnd w:id="4"/>
      <w:bookmarkEnd w:id="5"/>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400" w:lineRule="exact"/>
        <w:ind w:firstLine="420" w:firstLineChars="200"/>
        <w:rPr>
          <w:rFonts w:hint="eastAsia" w:ascii="宋体" w:hAnsi="宋体"/>
          <w:color w:val="auto"/>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olor w:val="auto"/>
          <w:highlight w:val="none"/>
        </w:rPr>
        <w:t>。</w:t>
      </w:r>
    </w:p>
    <w:p>
      <w:pPr>
        <w:spacing w:line="400" w:lineRule="exact"/>
        <w:ind w:firstLine="420" w:firstLineChars="200"/>
        <w:rPr>
          <w:rFonts w:hint="eastAsia"/>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firstLineChars="200"/>
        <w:rPr>
          <w:rFonts w:hint="eastAsia"/>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.本项目</w:t>
      </w:r>
      <w:r>
        <w:rPr>
          <w:rFonts w:hint="eastAsia" w:ascii="宋体" w:hAnsi="宋体"/>
          <w:b/>
          <w:bCs/>
          <w:color w:val="auto"/>
          <w:highlight w:val="none"/>
          <w:u w:val="single"/>
        </w:rPr>
        <w:t>不接受</w:t>
      </w:r>
      <w:r>
        <w:rPr>
          <w:rFonts w:hint="eastAsia" w:ascii="宋体" w:hAnsi="宋体"/>
          <w:color w:val="auto"/>
          <w:highlight w:val="none"/>
        </w:rPr>
        <w:t>联合体参与谈判。</w:t>
      </w:r>
    </w:p>
    <w:p>
      <w:pPr>
        <w:spacing w:line="400" w:lineRule="exact"/>
        <w:ind w:firstLine="211" w:firstLineChars="100"/>
        <w:rPr>
          <w:rFonts w:hint="eastAsia" w:ascii="宋体" w:hAnsi="宋体"/>
          <w:b/>
          <w:color w:val="auto"/>
          <w:szCs w:val="21"/>
          <w:highlight w:val="none"/>
        </w:rPr>
      </w:pPr>
      <w:bookmarkStart w:id="6" w:name="_Toc44405621"/>
      <w:bookmarkStart w:id="7" w:name="_Toc44229880"/>
      <w:r>
        <w:rPr>
          <w:rFonts w:hint="eastAsia" w:ascii="宋体" w:hAnsi="宋体"/>
          <w:b/>
          <w:color w:val="auto"/>
          <w:szCs w:val="21"/>
          <w:highlight w:val="none"/>
        </w:rPr>
        <w:t>三、获取竞争性谈判文件</w:t>
      </w:r>
      <w:bookmarkEnd w:id="6"/>
      <w:bookmarkEnd w:id="7"/>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潜在供应商登陆http://zfcg.czj.guilin.gov.cn/（桂林政府采购网）、http://glggzy.org.cn/gxglzbw/（桂林市公共资源交易中心网）、http://zfcg.gxzf.gov.cn/（广西壮族自治区政府采购网），从网上下</w:t>
      </w:r>
      <w:r>
        <w:rPr>
          <w:rFonts w:hint="eastAsia" w:ascii="宋体" w:hAnsi="宋体"/>
          <w:color w:val="auto"/>
          <w:szCs w:val="21"/>
          <w:highlight w:val="none"/>
        </w:rPr>
        <w:t>载竞争性谈判文件电子版，并根据竞争</w:t>
      </w:r>
      <w:r>
        <w:rPr>
          <w:rFonts w:hint="eastAsia" w:ascii="宋体" w:hAnsi="宋体"/>
          <w:color w:val="auto"/>
          <w:kern w:val="0"/>
          <w:szCs w:val="21"/>
          <w:highlight w:val="none"/>
        </w:rPr>
        <w:t>性谈判文件规定的响应文件递交截止时间和地点直接提交响应文件参与谈判。</w:t>
      </w:r>
    </w:p>
    <w:p>
      <w:pPr>
        <w:spacing w:line="400" w:lineRule="exact"/>
        <w:ind w:firstLine="422" w:firstLineChars="200"/>
        <w:rPr>
          <w:rFonts w:hint="eastAsia" w:ascii="宋体" w:hAnsi="宋体" w:cs="宋体"/>
          <w:color w:val="auto"/>
          <w:highlight w:val="none"/>
        </w:rPr>
      </w:pPr>
      <w:r>
        <w:rPr>
          <w:rFonts w:hint="eastAsia" w:ascii="宋体" w:hAnsi="宋体" w:cs="宋体"/>
          <w:b/>
          <w:bCs/>
          <w:color w:val="auto"/>
          <w:highlight w:val="none"/>
        </w:rPr>
        <w:t>注：</w:t>
      </w:r>
    </w:p>
    <w:p>
      <w:pPr>
        <w:spacing w:line="400" w:lineRule="exact"/>
        <w:ind w:firstLine="398" w:firstLineChars="200"/>
        <w:rPr>
          <w:rFonts w:hint="eastAsia" w:ascii="宋体" w:hAnsi="宋体" w:cs="宋体"/>
          <w:b/>
          <w:bCs/>
          <w:color w:val="auto"/>
          <w:spacing w:val="-6"/>
          <w:highlight w:val="none"/>
        </w:rPr>
      </w:pPr>
      <w:r>
        <w:rPr>
          <w:rFonts w:hint="eastAsia" w:ascii="宋体" w:hAnsi="宋体" w:cs="宋体"/>
          <w:b/>
          <w:bCs/>
          <w:color w:val="auto"/>
          <w:spacing w:val="-6"/>
          <w:highlight w:val="none"/>
        </w:rPr>
        <w:t>1.已获取竞争性谈判文件的供应商不等于符合本项目的供应商资格条件。</w:t>
      </w:r>
    </w:p>
    <w:p>
      <w:pPr>
        <w:spacing w:line="400" w:lineRule="exact"/>
        <w:ind w:firstLine="398" w:firstLineChars="200"/>
        <w:rPr>
          <w:rFonts w:hint="eastAsia" w:ascii="宋体" w:hAnsi="宋体" w:cs="宋体"/>
          <w:b/>
          <w:bCs/>
          <w:color w:val="auto"/>
          <w:spacing w:val="-6"/>
          <w:highlight w:val="none"/>
        </w:rPr>
      </w:pPr>
      <w:bookmarkStart w:id="8" w:name="_Hlk44401315"/>
      <w:r>
        <w:rPr>
          <w:rFonts w:hint="eastAsia" w:ascii="宋体" w:hAnsi="宋体" w:cs="宋体"/>
          <w:b/>
          <w:bCs/>
          <w:color w:val="auto"/>
          <w:spacing w:val="-6"/>
          <w:highlight w:val="none"/>
        </w:rPr>
        <w:t>2.为配合采购人进行政府采购项目执行和备案，未在政采云注册的供应商可在获取竞争性谈判文件后登录政采云进行注册，如在操作过程中遇到问题或者需要技术支持，请致电政采云客服热线：400-881-7190。</w:t>
      </w:r>
    </w:p>
    <w:bookmarkEnd w:id="8"/>
    <w:p>
      <w:pPr>
        <w:spacing w:line="400" w:lineRule="exact"/>
        <w:ind w:firstLine="211" w:firstLineChars="100"/>
        <w:rPr>
          <w:rFonts w:hint="eastAsia" w:ascii="宋体" w:hAnsi="宋体" w:cs="宋体"/>
          <w:b/>
          <w:color w:val="auto"/>
          <w:szCs w:val="21"/>
          <w:highlight w:val="none"/>
        </w:rPr>
      </w:pPr>
      <w:bookmarkStart w:id="9" w:name="_Toc44229881"/>
      <w:bookmarkStart w:id="10" w:name="_Toc44405622"/>
      <w:r>
        <w:rPr>
          <w:rFonts w:hint="eastAsia" w:ascii="宋体" w:hAnsi="宋体"/>
          <w:b/>
          <w:color w:val="auto"/>
          <w:szCs w:val="21"/>
          <w:highlight w:val="none"/>
        </w:rPr>
        <w:t>四、响应文件提交</w:t>
      </w:r>
      <w:bookmarkEnd w:id="9"/>
      <w:bookmarkEnd w:id="10"/>
    </w:p>
    <w:p>
      <w:pPr>
        <w:spacing w:line="400" w:lineRule="exact"/>
        <w:ind w:firstLine="420" w:firstLineChars="200"/>
        <w:rPr>
          <w:rFonts w:hint="eastAsia" w:ascii="宋体" w:hAnsi="宋体"/>
          <w:bCs/>
          <w:color w:val="auto"/>
          <w:highlight w:val="none"/>
        </w:rPr>
      </w:pPr>
      <w:r>
        <w:rPr>
          <w:rFonts w:hint="eastAsia" w:ascii="宋体" w:hAnsi="宋体"/>
          <w:color w:val="auto"/>
          <w:highlight w:val="none"/>
        </w:rPr>
        <w:t>1.</w:t>
      </w:r>
      <w:r>
        <w:rPr>
          <w:rFonts w:hint="eastAsia" w:ascii="宋体" w:hAnsi="宋体"/>
          <w:bCs/>
          <w:color w:val="auto"/>
          <w:highlight w:val="none"/>
        </w:rPr>
        <w:t>首次响应文件提交起止时间：</w:t>
      </w:r>
      <w:r>
        <w:rPr>
          <w:rFonts w:hint="eastAsia" w:ascii="宋体" w:hAnsi="宋体"/>
          <w:color w:val="auto"/>
          <w:highlight w:val="none"/>
          <w:u w:val="single"/>
        </w:rPr>
        <w:t>2020年</w:t>
      </w:r>
      <w:r>
        <w:rPr>
          <w:rFonts w:hint="eastAsia" w:ascii="宋体" w:hAnsi="宋体"/>
          <w:color w:val="auto"/>
          <w:highlight w:val="none"/>
          <w:u w:val="single"/>
          <w:lang w:val="en-US" w:eastAsia="zh-CN"/>
        </w:rPr>
        <w:t>12</w:t>
      </w:r>
      <w:r>
        <w:rPr>
          <w:rFonts w:hint="eastAsia" w:ascii="宋体" w:hAnsi="宋体"/>
          <w:color w:val="auto"/>
          <w:highlight w:val="none"/>
          <w:u w:val="single"/>
        </w:rPr>
        <w:t>月</w:t>
      </w:r>
      <w:r>
        <w:rPr>
          <w:rFonts w:hint="eastAsia" w:ascii="宋体" w:hAnsi="宋体"/>
          <w:color w:val="auto"/>
          <w:highlight w:val="none"/>
          <w:u w:val="single"/>
          <w:lang w:val="en-US" w:eastAsia="zh-CN"/>
        </w:rPr>
        <w:t>15</w:t>
      </w:r>
      <w:r>
        <w:rPr>
          <w:rFonts w:hint="eastAsia" w:ascii="宋体" w:hAnsi="宋体"/>
          <w:color w:val="auto"/>
          <w:highlight w:val="none"/>
          <w:u w:val="single"/>
        </w:rPr>
        <w:t>日上午</w:t>
      </w:r>
      <w:r>
        <w:rPr>
          <w:rFonts w:hint="eastAsia" w:ascii="宋体" w:hAnsi="宋体"/>
          <w:color w:val="auto"/>
          <w:highlight w:val="none"/>
          <w:u w:val="single"/>
          <w:lang w:val="en-US" w:eastAsia="zh-CN"/>
        </w:rPr>
        <w:t>10</w:t>
      </w:r>
      <w:r>
        <w:rPr>
          <w:rFonts w:hint="eastAsia" w:ascii="宋体" w:hAnsi="宋体"/>
          <w:color w:val="auto"/>
          <w:highlight w:val="none"/>
          <w:u w:val="single"/>
        </w:rPr>
        <w:t>时</w:t>
      </w:r>
      <w:r>
        <w:rPr>
          <w:rFonts w:hint="eastAsia" w:ascii="宋体" w:hAnsi="宋体"/>
          <w:color w:val="auto"/>
          <w:highlight w:val="none"/>
          <w:u w:val="single"/>
          <w:lang w:val="en-US" w:eastAsia="zh-CN"/>
        </w:rPr>
        <w:t>00</w:t>
      </w:r>
      <w:r>
        <w:rPr>
          <w:rFonts w:hint="eastAsia" w:ascii="宋体" w:hAnsi="宋体"/>
          <w:color w:val="auto"/>
          <w:highlight w:val="none"/>
          <w:u w:val="single"/>
        </w:rPr>
        <w:t>分起至</w:t>
      </w:r>
      <w:r>
        <w:rPr>
          <w:rFonts w:hint="eastAsia" w:ascii="宋体" w:hAnsi="宋体"/>
          <w:color w:val="auto"/>
          <w:highlight w:val="none"/>
          <w:u w:val="single"/>
          <w:lang w:val="en-US" w:eastAsia="zh-CN"/>
        </w:rPr>
        <w:t>10</w:t>
      </w:r>
      <w:r>
        <w:rPr>
          <w:rFonts w:hint="eastAsia" w:ascii="宋体" w:hAnsi="宋体"/>
          <w:color w:val="auto"/>
          <w:highlight w:val="none"/>
          <w:u w:val="single"/>
        </w:rPr>
        <w:t>时</w:t>
      </w:r>
      <w:r>
        <w:rPr>
          <w:rFonts w:hint="eastAsia" w:ascii="宋体" w:hAnsi="宋体"/>
          <w:color w:val="auto"/>
          <w:highlight w:val="none"/>
          <w:u w:val="single"/>
          <w:lang w:val="en-US" w:eastAsia="zh-CN"/>
        </w:rPr>
        <w:t>30</w:t>
      </w:r>
      <w:r>
        <w:rPr>
          <w:rFonts w:hint="eastAsia" w:ascii="宋体" w:hAnsi="宋体"/>
          <w:color w:val="auto"/>
          <w:highlight w:val="none"/>
          <w:u w:val="single"/>
        </w:rPr>
        <w:t>分止</w:t>
      </w:r>
    </w:p>
    <w:p>
      <w:pPr>
        <w:spacing w:line="400" w:lineRule="exact"/>
        <w:ind w:firstLine="420" w:firstLineChars="200"/>
        <w:rPr>
          <w:rFonts w:ascii="宋体" w:hAnsi="宋体"/>
          <w:color w:val="auto"/>
          <w:highlight w:val="none"/>
          <w:u w:val="single"/>
        </w:rPr>
      </w:pPr>
      <w:r>
        <w:rPr>
          <w:rFonts w:hint="eastAsia" w:ascii="宋体" w:hAnsi="宋体"/>
          <w:bCs/>
          <w:color w:val="auto"/>
          <w:highlight w:val="none"/>
        </w:rPr>
        <w:t>2.</w:t>
      </w:r>
      <w:r>
        <w:rPr>
          <w:rFonts w:hint="eastAsia" w:ascii="宋体" w:hAnsi="宋体"/>
          <w:color w:val="auto"/>
          <w:highlight w:val="none"/>
        </w:rPr>
        <w:t>首次响应文件提交截止时间：</w:t>
      </w:r>
      <w:r>
        <w:rPr>
          <w:rFonts w:hint="eastAsia" w:ascii="宋体" w:hAnsi="宋体"/>
          <w:color w:val="auto"/>
          <w:highlight w:val="none"/>
          <w:u w:val="single"/>
        </w:rPr>
        <w:t>2020年</w:t>
      </w:r>
      <w:r>
        <w:rPr>
          <w:rFonts w:hint="eastAsia" w:ascii="宋体" w:hAnsi="宋体"/>
          <w:color w:val="auto"/>
          <w:highlight w:val="none"/>
          <w:u w:val="single"/>
          <w:lang w:val="en-US" w:eastAsia="zh-CN"/>
        </w:rPr>
        <w:t>12</w:t>
      </w:r>
      <w:r>
        <w:rPr>
          <w:rFonts w:hint="eastAsia" w:ascii="宋体" w:hAnsi="宋体"/>
          <w:color w:val="auto"/>
          <w:highlight w:val="none"/>
          <w:u w:val="single"/>
        </w:rPr>
        <w:t>月</w:t>
      </w:r>
      <w:r>
        <w:rPr>
          <w:rFonts w:hint="eastAsia" w:ascii="宋体" w:hAnsi="宋体"/>
          <w:color w:val="auto"/>
          <w:highlight w:val="none"/>
          <w:u w:val="single"/>
          <w:lang w:val="en-US" w:eastAsia="zh-CN"/>
        </w:rPr>
        <w:t>15</w:t>
      </w:r>
      <w:r>
        <w:rPr>
          <w:rFonts w:hint="eastAsia" w:ascii="宋体" w:hAnsi="宋体"/>
          <w:color w:val="auto"/>
          <w:highlight w:val="none"/>
          <w:u w:val="single"/>
        </w:rPr>
        <w:t>日上午</w:t>
      </w:r>
      <w:r>
        <w:rPr>
          <w:rFonts w:hint="eastAsia" w:ascii="宋体" w:hAnsi="宋体"/>
          <w:color w:val="auto"/>
          <w:highlight w:val="none"/>
          <w:u w:val="single"/>
          <w:lang w:val="en-US" w:eastAsia="zh-CN"/>
        </w:rPr>
        <w:t>10</w:t>
      </w:r>
      <w:r>
        <w:rPr>
          <w:rFonts w:hint="eastAsia" w:ascii="宋体" w:hAnsi="宋体"/>
          <w:color w:val="auto"/>
          <w:highlight w:val="none"/>
          <w:u w:val="single"/>
        </w:rPr>
        <w:t>时</w:t>
      </w:r>
      <w:r>
        <w:rPr>
          <w:rFonts w:hint="eastAsia" w:ascii="宋体" w:hAnsi="宋体"/>
          <w:color w:val="auto"/>
          <w:highlight w:val="none"/>
          <w:u w:val="single"/>
          <w:lang w:val="en-US" w:eastAsia="zh-CN"/>
        </w:rPr>
        <w:t>30</w:t>
      </w:r>
      <w:r>
        <w:rPr>
          <w:rFonts w:hint="eastAsia" w:ascii="宋体" w:hAnsi="宋体"/>
          <w:color w:val="auto"/>
          <w:highlight w:val="none"/>
          <w:u w:val="single"/>
        </w:rPr>
        <w:t>分止</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3.首次响应文件提交地点：</w:t>
      </w:r>
      <w:r>
        <w:rPr>
          <w:rFonts w:hint="eastAsia" w:ascii="宋体" w:hAnsi="宋体"/>
          <w:color w:val="auto"/>
          <w:kern w:val="0"/>
          <w:szCs w:val="21"/>
          <w:highlight w:val="none"/>
          <w:u w:val="single"/>
        </w:rPr>
        <w:t>桂林市公共资源交易</w:t>
      </w:r>
      <w:r>
        <w:rPr>
          <w:rFonts w:hint="eastAsia" w:ascii="宋体" w:hAnsi="宋体"/>
          <w:color w:val="auto"/>
          <w:highlight w:val="none"/>
          <w:u w:val="single"/>
        </w:rPr>
        <w:t>中心</w:t>
      </w:r>
      <w:r>
        <w:rPr>
          <w:rFonts w:hint="eastAsia" w:ascii="宋体" w:hAnsi="宋体"/>
          <w:color w:val="auto"/>
          <w:highlight w:val="none"/>
          <w:u w:val="single"/>
          <w:lang w:val="en-US" w:eastAsia="zh-CN"/>
        </w:rPr>
        <w:t xml:space="preserve"> </w:t>
      </w:r>
      <w:r>
        <w:rPr>
          <w:rFonts w:hint="eastAsia" w:ascii="宋体" w:hAnsi="宋体"/>
          <w:b/>
          <w:bCs/>
          <w:color w:val="auto"/>
          <w:highlight w:val="none"/>
          <w:u w:val="single"/>
          <w:lang w:val="en-US" w:eastAsia="zh-CN"/>
        </w:rPr>
        <w:t xml:space="preserve">14 </w:t>
      </w:r>
      <w:r>
        <w:rPr>
          <w:rFonts w:hint="eastAsia" w:ascii="宋体" w:hAnsi="宋体"/>
          <w:color w:val="auto"/>
          <w:highlight w:val="none"/>
          <w:u w:val="single"/>
        </w:rPr>
        <w:t>号开标室</w:t>
      </w:r>
      <w:r>
        <w:rPr>
          <w:rFonts w:hint="eastAsia" w:ascii="宋体" w:hAnsi="宋体"/>
          <w:color w:val="auto"/>
          <w:kern w:val="0"/>
          <w:szCs w:val="21"/>
          <w:highlight w:val="none"/>
          <w:u w:val="single"/>
        </w:rPr>
        <w:t>（广西桂林市临桂区西城中路69号创业大厦西辅楼4楼北区）</w:t>
      </w:r>
    </w:p>
    <w:p>
      <w:pPr>
        <w:spacing w:line="400" w:lineRule="exact"/>
        <w:ind w:firstLine="420" w:firstLineChars="200"/>
        <w:rPr>
          <w:rFonts w:hint="eastAsia" w:ascii="宋体" w:hAnsi="宋体"/>
          <w:bCs/>
          <w:color w:val="auto"/>
          <w:highlight w:val="none"/>
          <w:u w:val="single"/>
        </w:rPr>
      </w:pPr>
      <w:r>
        <w:rPr>
          <w:rFonts w:hint="eastAsia" w:ascii="宋体" w:hAnsi="宋体"/>
          <w:bCs/>
          <w:color w:val="auto"/>
          <w:highlight w:val="none"/>
          <w:u w:val="single"/>
        </w:rPr>
        <w:t>注：供应商应当在首次响应文件提交截止时间前，将响应文件密封送达首次响应文件提交地点。在首次响应文件提交截止时间后送达的响应文件为无效文件，采购代理机构应当拒收。</w:t>
      </w:r>
    </w:p>
    <w:p>
      <w:pPr>
        <w:spacing w:line="400" w:lineRule="exact"/>
        <w:ind w:firstLine="211" w:firstLineChars="100"/>
        <w:rPr>
          <w:rFonts w:hint="eastAsia" w:ascii="宋体" w:hAnsi="宋体"/>
          <w:b/>
          <w:color w:val="auto"/>
          <w:szCs w:val="21"/>
          <w:highlight w:val="none"/>
        </w:rPr>
      </w:pPr>
      <w:bookmarkStart w:id="11" w:name="_Toc44229882"/>
      <w:bookmarkStart w:id="12" w:name="_Toc44405623"/>
      <w:r>
        <w:rPr>
          <w:rFonts w:hint="eastAsia" w:ascii="宋体" w:hAnsi="宋体"/>
          <w:b/>
          <w:color w:val="auto"/>
          <w:szCs w:val="21"/>
          <w:highlight w:val="none"/>
        </w:rPr>
        <w:t>五、开启</w:t>
      </w:r>
      <w:bookmarkEnd w:id="11"/>
      <w:bookmarkEnd w:id="12"/>
    </w:p>
    <w:p>
      <w:pPr>
        <w:spacing w:line="400" w:lineRule="exact"/>
        <w:ind w:firstLine="420" w:firstLineChars="200"/>
        <w:rPr>
          <w:rFonts w:hint="eastAsia" w:ascii="宋体" w:hAnsi="宋体"/>
          <w:bCs/>
          <w:color w:val="auto"/>
          <w:highlight w:val="none"/>
          <w:u w:val="single"/>
        </w:rPr>
      </w:pPr>
      <w:r>
        <w:rPr>
          <w:rFonts w:hint="eastAsia" w:ascii="宋体" w:hAnsi="宋体"/>
          <w:color w:val="auto"/>
          <w:highlight w:val="none"/>
        </w:rPr>
        <w:t>1.时间：</w:t>
      </w:r>
      <w:r>
        <w:rPr>
          <w:rFonts w:hint="eastAsia" w:ascii="宋体" w:hAnsi="宋体"/>
          <w:color w:val="auto"/>
          <w:highlight w:val="none"/>
          <w:u w:val="single"/>
        </w:rPr>
        <w:t>首次响应文件提交截止时间后。</w:t>
      </w:r>
    </w:p>
    <w:p>
      <w:pPr>
        <w:spacing w:line="400" w:lineRule="exact"/>
        <w:ind w:firstLine="420" w:firstLineChars="200"/>
        <w:rPr>
          <w:rFonts w:hint="eastAsia" w:ascii="宋体" w:hAnsi="宋体"/>
          <w:bCs/>
          <w:color w:val="auto"/>
          <w:highlight w:val="none"/>
          <w:u w:val="single"/>
        </w:rPr>
      </w:pPr>
      <w:r>
        <w:rPr>
          <w:rFonts w:hint="eastAsia" w:ascii="宋体" w:hAnsi="宋体"/>
          <w:color w:val="auto"/>
          <w:highlight w:val="none"/>
        </w:rPr>
        <w:t>2.地点：</w:t>
      </w:r>
      <w:r>
        <w:rPr>
          <w:rFonts w:hint="eastAsia" w:ascii="宋体" w:hAnsi="宋体"/>
          <w:color w:val="auto"/>
          <w:kern w:val="0"/>
          <w:szCs w:val="21"/>
          <w:highlight w:val="none"/>
          <w:u w:val="single"/>
        </w:rPr>
        <w:t>桂林市公共资源交易中心评标室（广西桂林市临桂区西城中路69号创业大厦西辅楼4楼北区）。</w:t>
      </w:r>
    </w:p>
    <w:p>
      <w:pPr>
        <w:spacing w:line="400" w:lineRule="exact"/>
        <w:ind w:firstLine="211" w:firstLineChars="100"/>
        <w:rPr>
          <w:rFonts w:hint="eastAsia" w:ascii="宋体" w:hAnsi="宋体"/>
          <w:b/>
          <w:color w:val="auto"/>
          <w:szCs w:val="21"/>
          <w:highlight w:val="none"/>
        </w:rPr>
      </w:pPr>
      <w:bookmarkStart w:id="13" w:name="_Toc44229883"/>
      <w:bookmarkStart w:id="14" w:name="_Toc44405624"/>
      <w:r>
        <w:rPr>
          <w:rFonts w:hint="eastAsia" w:ascii="宋体" w:hAnsi="宋体"/>
          <w:b/>
          <w:color w:val="auto"/>
          <w:szCs w:val="21"/>
          <w:highlight w:val="none"/>
        </w:rPr>
        <w:t>六、公告期限</w:t>
      </w:r>
      <w:bookmarkEnd w:id="13"/>
      <w:bookmarkEnd w:id="14"/>
    </w:p>
    <w:p>
      <w:pPr>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szCs w:val="21"/>
          <w:highlight w:val="none"/>
        </w:rPr>
        <w:t>自本公告发布之日起5个工作日</w:t>
      </w:r>
      <w:r>
        <w:rPr>
          <w:rFonts w:hint="eastAsia" w:ascii="宋体" w:hAnsi="宋体" w:cs="宋体"/>
          <w:color w:val="auto"/>
          <w:kern w:val="0"/>
          <w:highlight w:val="none"/>
        </w:rPr>
        <w:t>。</w:t>
      </w:r>
    </w:p>
    <w:p>
      <w:pPr>
        <w:spacing w:line="400" w:lineRule="exact"/>
        <w:ind w:firstLine="211" w:firstLineChars="100"/>
        <w:rPr>
          <w:rFonts w:hint="eastAsia" w:ascii="宋体" w:hAnsi="宋体" w:cs="宋体"/>
          <w:b/>
          <w:color w:val="auto"/>
          <w:szCs w:val="21"/>
          <w:highlight w:val="none"/>
        </w:rPr>
      </w:pPr>
      <w:bookmarkStart w:id="15" w:name="_Toc44405625"/>
      <w:bookmarkStart w:id="16" w:name="_Toc44229884"/>
      <w:r>
        <w:rPr>
          <w:rFonts w:hint="eastAsia" w:ascii="宋体" w:hAnsi="宋体"/>
          <w:b/>
          <w:color w:val="auto"/>
          <w:szCs w:val="21"/>
          <w:highlight w:val="none"/>
        </w:rPr>
        <w:t>七、其他补充事宜</w:t>
      </w:r>
      <w:bookmarkEnd w:id="15"/>
      <w:bookmarkEnd w:id="16"/>
    </w:p>
    <w:p>
      <w:pPr>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1.网上查询地址 </w:t>
      </w:r>
    </w:p>
    <w:p>
      <w:pPr>
        <w:pStyle w:val="7"/>
        <w:spacing w:line="400" w:lineRule="exact"/>
        <w:ind w:firstLine="420"/>
        <w:rPr>
          <w:rFonts w:hint="eastAsia" w:hAnsi="宋体" w:cs="宋体"/>
          <w:color w:val="auto"/>
          <w:szCs w:val="21"/>
          <w:highlight w:val="none"/>
        </w:rPr>
      </w:pPr>
      <w:r>
        <w:rPr>
          <w:rFonts w:hint="eastAsia" w:hAnsi="宋体" w:cs="宋体"/>
          <w:color w:val="auto"/>
          <w:szCs w:val="21"/>
          <w:highlight w:val="none"/>
        </w:rPr>
        <w:t>桂林市公共资源交易中心网（http://glggzy.org.cn/）</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桂林市政府采购网（</w:t>
      </w:r>
      <w:r>
        <w:rPr>
          <w:rFonts w:hint="eastAsia" w:ascii="宋体" w:hAnsi="宋体" w:eastAsia="宋体" w:cs="宋体"/>
          <w:b w:val="0"/>
          <w:bCs w:val="0"/>
          <w:color w:val="auto"/>
          <w:kern w:val="2"/>
          <w:sz w:val="21"/>
          <w:szCs w:val="24"/>
          <w:highlight w:val="none"/>
          <w:lang w:val="en-US" w:eastAsia="zh-CN" w:bidi="ar-SA"/>
        </w:rPr>
        <w:t>http://zfcg.czj.guilin.gov.cn/</w:t>
      </w:r>
      <w:r>
        <w:rPr>
          <w:rFonts w:hint="eastAsia" w:ascii="宋体" w:hAnsi="宋体" w:cs="宋体"/>
          <w:color w:val="auto"/>
          <w:szCs w:val="21"/>
          <w:highlight w:val="none"/>
        </w:rPr>
        <w:t>）</w:t>
      </w:r>
    </w:p>
    <w:p>
      <w:pPr>
        <w:pStyle w:val="7"/>
        <w:spacing w:line="400" w:lineRule="exact"/>
        <w:ind w:firstLine="420"/>
        <w:rPr>
          <w:rFonts w:hint="eastAsia" w:hAnsi="宋体" w:cs="宋体"/>
          <w:color w:val="auto"/>
          <w:szCs w:val="21"/>
          <w:highlight w:val="none"/>
        </w:rPr>
      </w:pPr>
      <w:r>
        <w:rPr>
          <w:rFonts w:hint="eastAsia" w:hAnsi="宋体" w:cs="宋体"/>
          <w:color w:val="auto"/>
          <w:szCs w:val="21"/>
          <w:highlight w:val="none"/>
        </w:rPr>
        <w:t>广西壮族自治区政府采购网（http://zfcg.gxzf.gov.cn/）</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中国政府采购网（http://www.ccgp.gov.cn/）</w:t>
      </w:r>
    </w:p>
    <w:p>
      <w:pPr>
        <w:spacing w:line="400" w:lineRule="exact"/>
        <w:ind w:firstLine="420" w:firstLineChars="200"/>
        <w:rPr>
          <w:rFonts w:hint="eastAsia" w:ascii="宋体" w:hAnsi="宋体" w:cs="宋体"/>
          <w:color w:val="auto"/>
          <w:kern w:val="0"/>
          <w:highlight w:val="none"/>
        </w:rPr>
      </w:pPr>
      <w:r>
        <w:rPr>
          <w:rFonts w:hint="eastAsia" w:ascii="宋体" w:hAnsi="宋体"/>
          <w:color w:val="auto"/>
          <w:highlight w:val="none"/>
        </w:rPr>
        <w:t>2.</w:t>
      </w:r>
      <w:r>
        <w:rPr>
          <w:rFonts w:hint="eastAsia" w:ascii="宋体" w:hAnsi="宋体" w:cs="宋体"/>
          <w:color w:val="auto"/>
          <w:kern w:val="0"/>
          <w:highlight w:val="none"/>
        </w:rPr>
        <w:t>本项目需要落实的政府采购政策</w:t>
      </w:r>
    </w:p>
    <w:p>
      <w:pPr>
        <w:spacing w:line="400" w:lineRule="exact"/>
        <w:ind w:firstLine="315" w:firstLineChars="150"/>
        <w:rPr>
          <w:rFonts w:hint="eastAsia" w:ascii="宋体" w:hAnsi="宋体" w:cs="宋体"/>
          <w:color w:val="auto"/>
          <w:kern w:val="0"/>
          <w:highlight w:val="none"/>
        </w:rPr>
      </w:pPr>
      <w:r>
        <w:rPr>
          <w:rFonts w:hint="eastAsia" w:ascii="宋体" w:hAnsi="宋体" w:cs="宋体"/>
          <w:color w:val="auto"/>
          <w:kern w:val="0"/>
          <w:highlight w:val="none"/>
        </w:rPr>
        <w:t>（1）政府采购促进中小企业发展。</w:t>
      </w:r>
    </w:p>
    <w:p>
      <w:pPr>
        <w:spacing w:line="400" w:lineRule="exact"/>
        <w:ind w:firstLine="315" w:firstLineChars="150"/>
        <w:rPr>
          <w:rFonts w:hint="eastAsia" w:ascii="宋体" w:hAnsi="宋体" w:cs="宋体"/>
          <w:color w:val="auto"/>
          <w:kern w:val="0"/>
          <w:highlight w:val="none"/>
        </w:rPr>
      </w:pPr>
      <w:r>
        <w:rPr>
          <w:rFonts w:hint="eastAsia" w:ascii="宋体" w:hAnsi="宋体" w:cs="宋体"/>
          <w:color w:val="auto"/>
          <w:kern w:val="0"/>
          <w:highlight w:val="none"/>
        </w:rPr>
        <w:t>（2）政府采购支持采用本国产品的政策。</w:t>
      </w:r>
    </w:p>
    <w:p>
      <w:pPr>
        <w:spacing w:line="400" w:lineRule="exact"/>
        <w:ind w:firstLine="315" w:firstLineChars="150"/>
        <w:rPr>
          <w:rFonts w:hint="eastAsia" w:ascii="宋体" w:hAnsi="宋体" w:cs="宋体"/>
          <w:color w:val="auto"/>
          <w:kern w:val="0"/>
          <w:highlight w:val="none"/>
        </w:rPr>
      </w:pPr>
      <w:r>
        <w:rPr>
          <w:rFonts w:hint="eastAsia" w:ascii="宋体" w:hAnsi="宋体" w:cs="宋体"/>
          <w:color w:val="auto"/>
          <w:kern w:val="0"/>
          <w:highlight w:val="none"/>
        </w:rPr>
        <w:t>（3）政府强制采购节能产品，优先采购环境标志产品、节能产品。</w:t>
      </w:r>
    </w:p>
    <w:p>
      <w:pPr>
        <w:spacing w:line="400" w:lineRule="exact"/>
        <w:ind w:firstLine="315" w:firstLineChars="150"/>
        <w:rPr>
          <w:rFonts w:hint="eastAsia" w:ascii="宋体" w:hAnsi="宋体" w:cs="宋体"/>
          <w:color w:val="auto"/>
          <w:kern w:val="0"/>
          <w:highlight w:val="none"/>
        </w:rPr>
      </w:pPr>
      <w:r>
        <w:rPr>
          <w:rFonts w:hint="eastAsia" w:ascii="宋体" w:hAnsi="宋体" w:cs="宋体"/>
          <w:color w:val="auto"/>
          <w:kern w:val="0"/>
          <w:highlight w:val="none"/>
        </w:rPr>
        <w:t>（4）政府采购促进残疾人就业政策。</w:t>
      </w:r>
    </w:p>
    <w:p>
      <w:pPr>
        <w:spacing w:line="400" w:lineRule="exact"/>
        <w:ind w:firstLine="315" w:firstLineChars="150"/>
        <w:rPr>
          <w:rFonts w:hint="eastAsia" w:ascii="宋体" w:hAnsi="宋体" w:cs="宋体"/>
          <w:color w:val="auto"/>
          <w:kern w:val="0"/>
          <w:highlight w:val="none"/>
        </w:rPr>
      </w:pPr>
      <w:r>
        <w:rPr>
          <w:rFonts w:hint="eastAsia" w:ascii="宋体" w:hAnsi="宋体" w:cs="宋体"/>
          <w:color w:val="auto"/>
          <w:kern w:val="0"/>
          <w:highlight w:val="none"/>
        </w:rPr>
        <w:t>（5）政府采购支持监狱企业发展。</w:t>
      </w:r>
    </w:p>
    <w:p>
      <w:pPr>
        <w:spacing w:line="400" w:lineRule="exact"/>
        <w:ind w:firstLine="315" w:firstLineChars="150"/>
        <w:rPr>
          <w:rFonts w:hint="eastAsia" w:ascii="宋体" w:hAnsi="宋体" w:cs="宋体"/>
          <w:color w:val="auto"/>
          <w:kern w:val="0"/>
          <w:highlight w:val="none"/>
        </w:rPr>
      </w:pPr>
      <w:r>
        <w:rPr>
          <w:rFonts w:hint="eastAsia" w:ascii="宋体" w:hAnsi="宋体" w:cs="宋体"/>
          <w:color w:val="auto"/>
          <w:kern w:val="0"/>
          <w:highlight w:val="none"/>
        </w:rPr>
        <w:t>（6）本项目是否专门面向中小企业（或小型、微型企业）采购：否。</w:t>
      </w:r>
    </w:p>
    <w:p>
      <w:pPr>
        <w:spacing w:line="400" w:lineRule="exact"/>
        <w:ind w:firstLine="211" w:firstLineChars="100"/>
        <w:rPr>
          <w:rFonts w:hint="eastAsia" w:ascii="宋体" w:hAnsi="宋体" w:cs="宋体"/>
          <w:b/>
          <w:color w:val="auto"/>
          <w:szCs w:val="21"/>
          <w:highlight w:val="none"/>
        </w:rPr>
      </w:pPr>
      <w:bookmarkStart w:id="17" w:name="_Toc44229885"/>
      <w:bookmarkStart w:id="18" w:name="_Toc44405626"/>
      <w:r>
        <w:rPr>
          <w:rFonts w:hint="eastAsia" w:ascii="宋体" w:hAnsi="宋体"/>
          <w:b/>
          <w:color w:val="auto"/>
          <w:szCs w:val="21"/>
          <w:highlight w:val="none"/>
        </w:rPr>
        <w:t>八、凡对本次采购提出询问，请按以下方式联系。</w:t>
      </w:r>
      <w:bookmarkEnd w:id="17"/>
      <w:bookmarkEnd w:id="18"/>
    </w:p>
    <w:p>
      <w:pPr>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1.采购人信息</w:t>
      </w:r>
    </w:p>
    <w:p>
      <w:pPr>
        <w:spacing w:line="400" w:lineRule="exact"/>
        <w:ind w:firstLine="420" w:firstLineChars="200"/>
        <w:jc w:val="left"/>
        <w:rPr>
          <w:rFonts w:hint="eastAsia" w:ascii="宋体" w:hAnsi="宋体" w:eastAsia="宋体"/>
          <w:color w:val="auto"/>
          <w:highlight w:val="none"/>
          <w:lang w:val="en-US" w:eastAsia="zh-CN"/>
        </w:rPr>
      </w:pPr>
      <w:r>
        <w:rPr>
          <w:rFonts w:hint="eastAsia" w:ascii="宋体" w:hAnsi="宋体"/>
          <w:color w:val="auto"/>
          <w:highlight w:val="none"/>
        </w:rPr>
        <w:t>名    称：</w:t>
      </w:r>
      <w:r>
        <w:rPr>
          <w:rFonts w:hint="eastAsia" w:ascii="宋体" w:hAnsi="宋体"/>
          <w:color w:val="auto"/>
          <w:highlight w:val="none"/>
          <w:lang w:val="en-US" w:eastAsia="zh-CN"/>
        </w:rPr>
        <w:t>兴安县疾病预防控制中心</w:t>
      </w:r>
    </w:p>
    <w:p>
      <w:pPr>
        <w:spacing w:line="400" w:lineRule="exact"/>
        <w:ind w:firstLine="420" w:firstLineChars="200"/>
        <w:jc w:val="left"/>
        <w:rPr>
          <w:rFonts w:hint="default" w:ascii="宋体" w:hAnsi="宋体" w:eastAsia="宋体"/>
          <w:color w:val="auto"/>
          <w:highlight w:val="none"/>
          <w:lang w:val="en-US" w:eastAsia="zh-CN"/>
        </w:rPr>
      </w:pPr>
      <w:r>
        <w:rPr>
          <w:rFonts w:hint="eastAsia" w:ascii="宋体" w:hAnsi="宋体"/>
          <w:color w:val="auto"/>
          <w:highlight w:val="none"/>
        </w:rPr>
        <w:t>地    址：</w:t>
      </w:r>
      <w:r>
        <w:rPr>
          <w:rFonts w:hint="eastAsia" w:ascii="宋体" w:hAnsi="宋体"/>
          <w:color w:val="auto"/>
          <w:highlight w:val="none"/>
          <w:lang w:val="en-US" w:eastAsia="zh-CN"/>
        </w:rPr>
        <w:t>兴安县兴安镇教育路7号</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olor w:val="auto"/>
          <w:highlight w:val="none"/>
        </w:rPr>
        <w:t>联系方式：</w:t>
      </w:r>
      <w:r>
        <w:rPr>
          <w:rFonts w:hint="eastAsia" w:ascii="宋体" w:hAnsi="宋体" w:cs="宋体"/>
          <w:color w:val="auto"/>
          <w:szCs w:val="21"/>
          <w:highlight w:val="none"/>
        </w:rPr>
        <w:t>0773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6216637</w:t>
      </w:r>
    </w:p>
    <w:p>
      <w:pPr>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2.采购代理机构信息</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名    称：广西明诚项目管理有限公司</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地　　址：广西桂林市七星区朝阳山庄19栋</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 xml:space="preserve">联系方式：0773-2838777 </w:t>
      </w:r>
    </w:p>
    <w:p>
      <w:pPr>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3.项目联系方式</w:t>
      </w:r>
    </w:p>
    <w:p>
      <w:pPr>
        <w:spacing w:line="400" w:lineRule="exact"/>
        <w:ind w:firstLine="420" w:firstLineChars="200"/>
        <w:rPr>
          <w:rFonts w:ascii="宋体" w:hAnsi="宋体"/>
          <w:color w:val="auto"/>
          <w:szCs w:val="20"/>
          <w:highlight w:val="none"/>
        </w:rPr>
      </w:pPr>
      <w:r>
        <w:rPr>
          <w:rFonts w:hint="eastAsia" w:ascii="宋体" w:hAnsi="宋体"/>
          <w:color w:val="auto"/>
          <w:szCs w:val="20"/>
          <w:highlight w:val="none"/>
        </w:rPr>
        <w:t>项目联系人：</w:t>
      </w:r>
      <w:r>
        <w:rPr>
          <w:rFonts w:hint="eastAsia" w:ascii="宋体" w:hAnsi="宋体"/>
          <w:color w:val="auto"/>
          <w:highlight w:val="none"/>
        </w:rPr>
        <w:t>卢艳</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电　　话：0773-2838777</w:t>
      </w:r>
    </w:p>
    <w:p>
      <w:pPr>
        <w:spacing w:line="400" w:lineRule="exact"/>
        <w:ind w:firstLine="630" w:firstLineChars="300"/>
        <w:jc w:val="center"/>
        <w:rPr>
          <w:rFonts w:hint="eastAsia" w:ascii="宋体" w:hAnsi="宋体"/>
          <w:color w:val="auto"/>
          <w:highlight w:val="none"/>
        </w:rPr>
      </w:pPr>
    </w:p>
    <w:p>
      <w:pPr>
        <w:spacing w:line="400" w:lineRule="exact"/>
        <w:ind w:firstLine="630" w:firstLineChars="300"/>
        <w:jc w:val="center"/>
        <w:rPr>
          <w:rFonts w:hint="eastAsia" w:ascii="宋体" w:hAnsi="宋体"/>
          <w:color w:val="auto"/>
          <w:highlight w:val="none"/>
        </w:rPr>
      </w:pPr>
      <w:r>
        <w:rPr>
          <w:rFonts w:hint="eastAsia" w:ascii="宋体" w:hAnsi="宋体"/>
          <w:color w:val="auto"/>
          <w:highlight w:val="none"/>
        </w:rPr>
        <w:t xml:space="preserve">            </w:t>
      </w:r>
    </w:p>
    <w:p>
      <w:pPr>
        <w:spacing w:line="400" w:lineRule="exact"/>
        <w:ind w:firstLine="630" w:firstLineChars="300"/>
        <w:jc w:val="center"/>
        <w:rPr>
          <w:rFonts w:hint="eastAsia" w:ascii="宋体" w:hAnsi="宋体"/>
          <w:color w:val="auto"/>
          <w:highlight w:val="none"/>
        </w:rPr>
      </w:pPr>
      <w:r>
        <w:rPr>
          <w:rFonts w:hint="eastAsia" w:ascii="宋体" w:hAnsi="宋体"/>
          <w:color w:val="auto"/>
          <w:highlight w:val="none"/>
        </w:rPr>
        <w:t xml:space="preserve">                                 广西明诚项目管理有限公司</w:t>
      </w:r>
    </w:p>
    <w:p>
      <w:pPr>
        <w:widowControl/>
        <w:spacing w:line="400" w:lineRule="exact"/>
        <w:jc w:val="center"/>
        <w:rPr>
          <w:rFonts w:hint="eastAsia" w:ascii="宋体" w:hAnsi="宋体"/>
          <w:color w:val="auto"/>
          <w:highlight w:val="none"/>
        </w:rPr>
      </w:pPr>
      <w:r>
        <w:rPr>
          <w:rFonts w:hint="eastAsia" w:ascii="宋体" w:hAnsi="宋体"/>
          <w:color w:val="auto"/>
          <w:highlight w:val="none"/>
        </w:rPr>
        <w:t xml:space="preserve">                                    2020年</w:t>
      </w:r>
      <w:r>
        <w:rPr>
          <w:rFonts w:hint="eastAsia" w:ascii="宋体" w:hAnsi="宋体"/>
          <w:color w:val="auto"/>
          <w:highlight w:val="none"/>
          <w:lang w:val="en-US" w:eastAsia="zh-CN"/>
        </w:rPr>
        <w:t>12</w:t>
      </w:r>
      <w:r>
        <w:rPr>
          <w:rFonts w:hint="eastAsia" w:ascii="宋体" w:hAnsi="宋体"/>
          <w:color w:val="auto"/>
          <w:highlight w:val="none"/>
        </w:rPr>
        <w:t>月</w:t>
      </w:r>
      <w:r>
        <w:rPr>
          <w:rFonts w:hint="eastAsia" w:ascii="宋体" w:hAnsi="宋体"/>
          <w:color w:val="auto"/>
          <w:highlight w:val="none"/>
          <w:lang w:val="en-US" w:eastAsia="zh-CN"/>
        </w:rPr>
        <w:t>7</w:t>
      </w:r>
      <w:r>
        <w:rPr>
          <w:rFonts w:hint="eastAsia" w:ascii="宋体" w:hAnsi="宋体"/>
          <w:color w:val="auto"/>
          <w:highlight w:val="none"/>
        </w:rPr>
        <w:t>日</w:t>
      </w:r>
    </w:p>
    <w:p>
      <w:pPr>
        <w:widowControl/>
        <w:spacing w:line="400" w:lineRule="exact"/>
        <w:rPr>
          <w:rFonts w:hint="eastAsia" w:ascii="宋体" w:hAnsi="宋体"/>
          <w:color w:val="auto"/>
          <w:highlight w:val="none"/>
        </w:rPr>
      </w:pPr>
      <w:r>
        <w:rPr>
          <w:rFonts w:hint="eastAsia" w:ascii="宋体" w:hAnsi="宋体"/>
          <w:color w:val="auto"/>
          <w:highlight w:val="none"/>
        </w:rPr>
        <w:t xml:space="preserve">                      </w:t>
      </w:r>
      <w:bookmarkEnd w:id="1"/>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55226"/>
    <w:rsid w:val="4315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90" w:afterLines="0" w:afterAutospacing="0" w:line="240" w:lineRule="auto"/>
      <w:outlineLvl w:val="0"/>
    </w:pPr>
    <w:rPr>
      <w:rFonts w:ascii="Calibri" w:hAnsi="Calibri"/>
      <w:b/>
      <w:kern w:val="44"/>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2020-12-07T10:03:00Z</dcterms:created>
  <dc:creator>芹子</dc:creator>
  <cp:lastModifiedBy>芹子</cp:lastModifiedBy>
  <dcterms:modified xsi:type="dcterms:W3CDTF">2020-12-07T10:06:00Z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