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olor w:val="auto"/>
          <w:sz w:val="52"/>
          <w:szCs w:val="52"/>
          <w:highlight w:val="none"/>
        </w:rPr>
      </w:pPr>
    </w:p>
    <w:p>
      <w:pPr>
        <w:spacing w:beforeLines="50" w:line="360" w:lineRule="auto"/>
        <w:jc w:val="center"/>
        <w:rPr>
          <w:rFonts w:ascii="仿宋_GB2312" w:hAnsi="宋体" w:eastAsia="仿宋_GB2312"/>
          <w:b/>
          <w:color w:val="auto"/>
          <w:sz w:val="200"/>
          <w:szCs w:val="200"/>
          <w:highlight w:val="none"/>
        </w:rPr>
      </w:pPr>
      <w:r>
        <w:rPr>
          <w:rFonts w:hint="eastAsia" w:ascii="仿宋_GB2312" w:hAnsi="宋体" w:eastAsia="仿宋_GB2312"/>
          <w:b/>
          <w:bCs/>
          <w:color w:val="auto"/>
          <w:sz w:val="72"/>
          <w:szCs w:val="72"/>
          <w:highlight w:val="none"/>
        </w:rPr>
        <w:t>广西科联招标中心有限公司</w:t>
      </w:r>
    </w:p>
    <w:p>
      <w:pPr>
        <w:spacing w:beforeLines="50" w:line="360" w:lineRule="auto"/>
        <w:jc w:val="center"/>
        <w:rPr>
          <w:rFonts w:ascii="仿宋_GB2312" w:hAnsi="宋体" w:eastAsia="仿宋_GB2312"/>
          <w:b/>
          <w:color w:val="auto"/>
          <w:sz w:val="48"/>
          <w:szCs w:val="48"/>
          <w:highlight w:val="none"/>
        </w:rPr>
      </w:pPr>
    </w:p>
    <w:p>
      <w:pPr>
        <w:snapToGrid w:val="0"/>
        <w:spacing w:beforeLines="50" w:line="360" w:lineRule="auto"/>
        <w:jc w:val="center"/>
        <w:rPr>
          <w:rFonts w:ascii="华文新魏" w:hAnsi="宋体" w:eastAsia="华文新魏"/>
          <w:color w:val="auto"/>
          <w:sz w:val="72"/>
          <w:szCs w:val="72"/>
          <w:highlight w:val="none"/>
        </w:rPr>
      </w:pPr>
      <w:r>
        <w:rPr>
          <w:rFonts w:hint="eastAsia" w:ascii="华文新魏" w:hAnsi="宋体" w:eastAsia="华文新魏"/>
          <w:color w:val="auto"/>
          <w:sz w:val="110"/>
          <w:szCs w:val="110"/>
          <w:highlight w:val="none"/>
        </w:rPr>
        <w:t>招 标 文 件</w:t>
      </w:r>
    </w:p>
    <w:p>
      <w:pPr>
        <w:snapToGrid w:val="0"/>
        <w:spacing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snapToGrid w:val="0"/>
        <w:spacing w:beforeLines="50" w:line="360" w:lineRule="auto"/>
        <w:rPr>
          <w:rFonts w:ascii="仿宋_GB2312" w:hAnsi="宋体" w:eastAsia="仿宋_GB2312"/>
          <w:color w:val="auto"/>
          <w:sz w:val="30"/>
          <w:szCs w:val="72"/>
          <w:highlight w:val="none"/>
        </w:rPr>
      </w:pPr>
    </w:p>
    <w:p>
      <w:pPr>
        <w:snapToGrid w:val="0"/>
        <w:spacing w:before="50" w:after="120" w:line="360" w:lineRule="auto"/>
        <w:ind w:firstLine="1205" w:firstLineChars="400"/>
        <w:rPr>
          <w:rFonts w:ascii="仿宋_GB2312" w:hAnsi="宋体" w:eastAsia="仿宋_GB2312"/>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：广西职业技术学院2023年校园安保服务采购项目</w:t>
      </w:r>
    </w:p>
    <w:p>
      <w:pPr>
        <w:snapToGrid w:val="0"/>
        <w:spacing w:before="50" w:after="120" w:line="360" w:lineRule="auto"/>
        <w:ind w:firstLine="2711" w:firstLineChars="900"/>
        <w:rPr>
          <w:rFonts w:ascii="仿宋_GB2312" w:hAnsi="宋体" w:eastAsia="仿宋_GB2312"/>
          <w:b/>
          <w:bCs/>
          <w:color w:val="auto"/>
          <w:w w:val="95"/>
          <w:sz w:val="30"/>
          <w:szCs w:val="30"/>
          <w:highlight w:val="none"/>
        </w:rPr>
      </w:pPr>
      <w:r>
        <w:rPr>
          <w:rFonts w:hint="eastAsia" w:ascii="仿宋_GB2312" w:hAnsi="宋体" w:eastAsia="仿宋_GB2312"/>
          <w:b/>
          <w:bCs/>
          <w:color w:val="auto"/>
          <w:sz w:val="30"/>
          <w:szCs w:val="30"/>
          <w:highlight w:val="none"/>
        </w:rPr>
        <w:t>项目编号：GXZC2023-G3-000208-KLZB</w:t>
      </w:r>
    </w:p>
    <w:p>
      <w:pPr>
        <w:snapToGrid w:val="0"/>
        <w:spacing w:before="50" w:after="120" w:line="360" w:lineRule="auto"/>
        <w:ind w:firstLine="2576" w:firstLineChars="900"/>
        <w:rPr>
          <w:rFonts w:ascii="仿宋_GB2312" w:hAnsi="宋体" w:eastAsia="仿宋_GB2312"/>
          <w:b/>
          <w:bCs/>
          <w:color w:val="auto"/>
          <w:w w:val="95"/>
          <w:sz w:val="30"/>
          <w:szCs w:val="30"/>
          <w:highlight w:val="none"/>
        </w:rPr>
      </w:pPr>
    </w:p>
    <w:p>
      <w:pPr>
        <w:snapToGrid w:val="0"/>
        <w:spacing w:before="50" w:after="120" w:line="360" w:lineRule="auto"/>
        <w:ind w:firstLine="2576" w:firstLineChars="900"/>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采购人：广西职业技术学院</w:t>
      </w:r>
    </w:p>
    <w:p>
      <w:pPr>
        <w:snapToGrid w:val="0"/>
        <w:spacing w:before="50" w:after="120" w:line="360" w:lineRule="auto"/>
        <w:ind w:firstLine="2576" w:firstLineChars="900"/>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bookmarkStart w:id="0" w:name="PO_3000001866_PM031"/>
      <w:r>
        <w:rPr>
          <w:rFonts w:hint="eastAsia" w:ascii="仿宋_GB2312" w:hAnsi="宋体" w:eastAsia="仿宋_GB2312"/>
          <w:b/>
          <w:bCs/>
          <w:color w:val="auto"/>
          <w:w w:val="95"/>
          <w:sz w:val="30"/>
          <w:szCs w:val="30"/>
          <w:highlight w:val="none"/>
        </w:rPr>
        <w:t>广西科联招标中心有限公司</w:t>
      </w:r>
      <w:bookmarkEnd w:id="0"/>
    </w:p>
    <w:p>
      <w:pPr>
        <w:pStyle w:val="13"/>
        <w:snapToGrid w:val="0"/>
        <w:spacing w:before="50" w:after="120" w:line="360" w:lineRule="auto"/>
        <w:ind w:firstLine="4006" w:firstLineChars="1400"/>
        <w:rPr>
          <w:rFonts w:hAnsi="宋体" w:cs="宋体"/>
          <w:b/>
          <w:bCs/>
          <w:color w:val="auto"/>
          <w:w w:val="95"/>
          <w:sz w:val="30"/>
          <w:szCs w:val="30"/>
          <w:highlight w:val="none"/>
        </w:rPr>
      </w:pPr>
      <w:r>
        <w:rPr>
          <w:rFonts w:hint="eastAsia" w:ascii="仿宋_GB2312" w:hAnsi="宋体" w:eastAsia="仿宋_GB2312"/>
          <w:b/>
          <w:bCs/>
          <w:color w:val="auto"/>
          <w:w w:val="95"/>
          <w:sz w:val="30"/>
          <w:szCs w:val="30"/>
          <w:highlight w:val="none"/>
        </w:rPr>
        <w:t>2023年</w:t>
      </w:r>
      <w:r>
        <w:rPr>
          <w:rFonts w:hint="eastAsia" w:ascii="仿宋_GB2312" w:hAnsi="宋体" w:eastAsia="仿宋_GB2312"/>
          <w:b/>
          <w:bCs/>
          <w:color w:val="auto"/>
          <w:w w:val="95"/>
          <w:sz w:val="30"/>
          <w:szCs w:val="30"/>
          <w:highlight w:val="none"/>
          <w:lang w:val="en-US" w:eastAsia="zh-CN"/>
        </w:rPr>
        <w:t>3</w:t>
      </w:r>
      <w:r>
        <w:rPr>
          <w:rFonts w:hint="eastAsia" w:ascii="仿宋_GB2312" w:hAnsi="宋体" w:eastAsia="仿宋_GB2312"/>
          <w:b/>
          <w:bCs/>
          <w:color w:val="auto"/>
          <w:w w:val="95"/>
          <w:sz w:val="30"/>
          <w:szCs w:val="30"/>
          <w:highlight w:val="none"/>
        </w:rPr>
        <w:t>月</w:t>
      </w:r>
    </w:p>
    <w:p>
      <w:pPr>
        <w:widowControl/>
        <w:spacing w:line="360" w:lineRule="auto"/>
        <w:rPr>
          <w:rFonts w:ascii="宋体" w:hAnsi="宋体" w:cs="宋体"/>
          <w:b/>
          <w:bCs/>
          <w:color w:val="auto"/>
          <w:w w:val="95"/>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1134" w:right="1134" w:bottom="1134" w:left="1134" w:header="850" w:footer="850" w:gutter="0"/>
          <w:pgNumType w:start="1"/>
          <w:cols w:space="0" w:num="1"/>
          <w:titlePg/>
          <w:docGrid w:linePitch="331" w:charSpace="0"/>
        </w:sectPr>
      </w:pPr>
    </w:p>
    <w:p>
      <w:pPr>
        <w:pStyle w:val="13"/>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目录</w:t>
      </w:r>
      <w:bookmarkStart w:id="440" w:name="_GoBack"/>
      <w:bookmarkEnd w:id="440"/>
    </w:p>
    <w:p>
      <w:pPr>
        <w:pStyle w:val="15"/>
        <w:tabs>
          <w:tab w:val="right" w:leader="dot" w:pos="9637"/>
        </w:tabs>
        <w:rPr>
          <w:color w:val="auto"/>
          <w:highlight w:val="none"/>
        </w:rPr>
      </w:pPr>
    </w:p>
    <w:p>
      <w:pPr>
        <w:pStyle w:val="1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_Toc16222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宋体" w:hAnsi="宋体" w:cs="宋体"/>
          <w:color w:val="auto"/>
          <w:sz w:val="24"/>
          <w:szCs w:val="24"/>
          <w:highlight w:val="none"/>
        </w:rPr>
        <w:t>第二章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_Toc8382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_Toc15364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"_Toc10034" </w:instrText>
      </w:r>
      <w:r>
        <w:rPr>
          <w:color w:val="auto"/>
          <w:highlight w:val="none"/>
        </w:rPr>
        <w:fldChar w:fldCharType="separate"/>
      </w:r>
      <w:r>
        <w:rPr>
          <w:rFonts w:hint="eastAsia" w:ascii="宋体" w:hAnsi="宋体" w:cs="宋体"/>
          <w:color w:val="auto"/>
          <w:sz w:val="24"/>
          <w:szCs w:val="24"/>
          <w:highlight w:val="none"/>
        </w:rPr>
        <w:t>第四章  评标方法和评标标准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_Toc10034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"_Toc2517"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_Toc2517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5"/>
        <w:tabs>
          <w:tab w:val="right" w:leader="dot" w:pos="9637"/>
        </w:tabs>
        <w:rPr>
          <w:color w:val="auto"/>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rFonts w:hint="eastAsia" w:ascii="宋体" w:hAnsi="宋体" w:cs="宋体"/>
          <w:color w:val="auto"/>
          <w:sz w:val="24"/>
          <w:szCs w:val="24"/>
          <w:highlight w:val="none"/>
        </w:rPr>
        <w:t>第七章 质疑、投诉材料格式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3"/>
        <w:jc w:val="center"/>
        <w:rPr>
          <w:color w:val="auto"/>
          <w:highlight w:val="none"/>
        </w:rPr>
      </w:pPr>
      <w:r>
        <w:rPr>
          <w:color w:val="auto"/>
          <w:highlight w:val="none"/>
        </w:rPr>
        <w:fldChar w:fldCharType="end"/>
      </w:r>
      <w:r>
        <w:rPr>
          <w:rFonts w:hint="eastAsia"/>
          <w:color w:val="auto"/>
          <w:highlight w:val="none"/>
        </w:rPr>
        <w:tab/>
      </w:r>
      <w:bookmarkStart w:id="1" w:name="_Toc532545041"/>
    </w:p>
    <w:p>
      <w:pPr>
        <w:rPr>
          <w:color w:val="auto"/>
          <w:highlight w:val="none"/>
        </w:rPr>
      </w:pPr>
      <w:r>
        <w:rPr>
          <w:rFonts w:hint="eastAsia"/>
          <w:color w:val="auto"/>
          <w:highlight w:val="none"/>
        </w:rPr>
        <w:br w:type="page"/>
      </w:r>
    </w:p>
    <w:p>
      <w:pPr>
        <w:pStyle w:val="13"/>
        <w:jc w:val="center"/>
        <w:outlineLvl w:val="0"/>
        <w:rPr>
          <w:rFonts w:ascii="Times New Roman" w:hAnsi="Times New Roman"/>
          <w:b/>
          <w:color w:val="auto"/>
          <w:sz w:val="36"/>
          <w:highlight w:val="none"/>
        </w:rPr>
      </w:pPr>
      <w:bookmarkStart w:id="2" w:name="_Toc18459"/>
      <w:bookmarkStart w:id="3" w:name="_Toc9949"/>
      <w:bookmarkStart w:id="4" w:name="_Toc8345"/>
      <w:bookmarkStart w:id="5" w:name="_Toc16222"/>
      <w:bookmarkStart w:id="6" w:name="_Toc19537"/>
      <w:bookmarkStart w:id="7" w:name="_Toc11500"/>
      <w:bookmarkStart w:id="8" w:name="_Toc20258"/>
      <w:bookmarkStart w:id="9" w:name="_Toc12228"/>
      <w:bookmarkStart w:id="10" w:name="_Toc16576"/>
      <w:bookmarkStart w:id="11" w:name="_Toc18707"/>
      <w:bookmarkStart w:id="12" w:name="_Toc184"/>
      <w:r>
        <w:rPr>
          <w:rFonts w:hint="eastAsia" w:ascii="Times New Roman" w:hAnsi="Times New Roman"/>
          <w:b/>
          <w:color w:val="auto"/>
          <w:sz w:val="36"/>
          <w:highlight w:val="none"/>
        </w:rPr>
        <w:t>第一章招标公告</w:t>
      </w:r>
      <w:bookmarkEnd w:id="1"/>
      <w:bookmarkEnd w:id="2"/>
      <w:bookmarkEnd w:id="3"/>
      <w:bookmarkEnd w:id="4"/>
      <w:bookmarkEnd w:id="5"/>
      <w:bookmarkEnd w:id="6"/>
      <w:bookmarkEnd w:id="7"/>
      <w:bookmarkEnd w:id="8"/>
      <w:bookmarkEnd w:id="9"/>
      <w:bookmarkEnd w:id="10"/>
      <w:bookmarkEnd w:id="11"/>
      <w:bookmarkEnd w:id="12"/>
    </w:p>
    <w:p>
      <w:pPr>
        <w:pStyle w:val="13"/>
        <w:jc w:val="center"/>
        <w:rPr>
          <w:rFonts w:ascii="Times New Roman" w:hAnsi="Times New Roman"/>
          <w:b/>
          <w:color w:val="auto"/>
          <w:sz w:val="30"/>
          <w:szCs w:val="30"/>
          <w:highlight w:val="none"/>
        </w:rPr>
      </w:pPr>
    </w:p>
    <w:p>
      <w:pPr>
        <w:pStyle w:val="13"/>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广西职业技术学院2023年校园安保服务采购项目的潜在投标人应在政采云”平台（http：//www.zcygov.cn）获取招标文件，并于2023年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 09:00（北京时间）前递交投标文件。</w:t>
      </w:r>
    </w:p>
    <w:p>
      <w:pPr>
        <w:spacing w:line="360" w:lineRule="auto"/>
        <w:rPr>
          <w:rFonts w:ascii="黑体" w:hAnsi="黑体" w:eastAsia="黑体"/>
          <w:b/>
          <w:bCs/>
          <w:color w:val="auto"/>
          <w:sz w:val="24"/>
          <w:highlight w:val="none"/>
        </w:rPr>
      </w:pPr>
      <w:bookmarkStart w:id="13" w:name="_Toc28359002"/>
      <w:bookmarkStart w:id="14" w:name="_Toc35393790"/>
      <w:bookmarkStart w:id="15" w:name="_Toc28359079"/>
      <w:bookmarkStart w:id="16" w:name="_Toc35393621"/>
      <w:bookmarkStart w:id="17" w:name="_Hlk24379207"/>
      <w:r>
        <w:rPr>
          <w:rFonts w:hint="eastAsia" w:ascii="黑体" w:hAnsi="黑体" w:eastAsia="黑体"/>
          <w:b/>
          <w:bCs/>
          <w:color w:val="auto"/>
          <w:sz w:val="24"/>
          <w:highlight w:val="none"/>
        </w:rPr>
        <w:t>一、项目基本情况</w:t>
      </w:r>
      <w:bookmarkEnd w:id="13"/>
      <w:bookmarkEnd w:id="14"/>
      <w:bookmarkEnd w:id="15"/>
      <w:bookmarkEnd w:id="1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s="宋体"/>
          <w:color w:val="auto"/>
          <w:szCs w:val="21"/>
          <w:highlight w:val="none"/>
        </w:rPr>
        <w:t>GXZC2023-G3-000208-KLZB</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w:t>
      </w:r>
      <w:bookmarkEnd w:id="17"/>
      <w:r>
        <w:rPr>
          <w:rFonts w:hint="eastAsia" w:ascii="宋体" w:hAnsi="宋体"/>
          <w:color w:val="auto"/>
          <w:szCs w:val="21"/>
          <w:highlight w:val="none"/>
        </w:rPr>
        <w:t xml:space="preserve">广西职业技术学院2023年校园安保服务采购项目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预算总金额（元）：</w:t>
      </w:r>
      <w:bookmarkStart w:id="18" w:name="PO_3000001867_PM001392"/>
      <w:r>
        <w:rPr>
          <w:rFonts w:hint="eastAsia" w:ascii="宋体" w:hAnsi="宋体" w:cs="宋体"/>
          <w:color w:val="auto"/>
          <w:szCs w:val="21"/>
          <w:highlight w:val="none"/>
          <w:u w:val="single"/>
        </w:rPr>
        <w:t>6834862.43</w:t>
      </w:r>
      <w:r>
        <w:rPr>
          <w:rFonts w:hint="eastAsia" w:ascii="宋体" w:hAnsi="宋体" w:cs="宋体"/>
          <w:color w:val="auto"/>
          <w:szCs w:val="21"/>
          <w:highlight w:val="none"/>
        </w:rPr>
        <w:t>。</w:t>
      </w:r>
      <w:bookmarkEnd w:id="18"/>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采购需求：</w:t>
      </w:r>
      <w:bookmarkStart w:id="19" w:name="PO_3000001867_PM004"/>
    </w:p>
    <w:bookmarkEnd w:id="19"/>
    <w:p>
      <w:pPr>
        <w:spacing w:line="360" w:lineRule="auto"/>
        <w:ind w:firstLine="1050" w:firstLineChars="500"/>
        <w:rPr>
          <w:rFonts w:ascii="宋体" w:hAnsi="宋体" w:cs="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标项名称:广西职业技术学院2023年校园安保服务采购</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预算金额（元）:6834862.43</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简要规格描述或项目基本概况介绍、用途：详见附件《采购需求》</w:t>
      </w:r>
    </w:p>
    <w:p>
      <w:pPr>
        <w:spacing w:line="360" w:lineRule="auto"/>
        <w:rPr>
          <w:rFonts w:ascii="宋体" w:hAnsi="宋体"/>
          <w:color w:val="auto"/>
          <w:szCs w:val="21"/>
          <w:highlight w:val="none"/>
        </w:rPr>
      </w:pPr>
      <w:r>
        <w:rPr>
          <w:rFonts w:hint="eastAsia" w:ascii="宋体" w:hAnsi="宋体"/>
          <w:color w:val="auto"/>
          <w:szCs w:val="21"/>
          <w:highlight w:val="none"/>
        </w:rPr>
        <w:t>最高限价（如有）：/</w:t>
      </w:r>
    </w:p>
    <w:p>
      <w:pPr>
        <w:spacing w:line="360" w:lineRule="auto"/>
        <w:rPr>
          <w:rFonts w:ascii="宋体" w:hAnsi="宋体"/>
          <w:color w:val="auto"/>
          <w:szCs w:val="21"/>
          <w:highlight w:val="none"/>
        </w:rPr>
      </w:pPr>
      <w:r>
        <w:rPr>
          <w:rFonts w:hint="eastAsia" w:ascii="宋体" w:hAnsi="宋体"/>
          <w:color w:val="auto"/>
          <w:szCs w:val="21"/>
          <w:highlight w:val="none"/>
        </w:rPr>
        <w:t>合同履约期限：合同期限两年零三个月（调整同合时间与学期结束对接上延长3个月）。广西职业技术学院明阳校区（2023年4月18日—2025年4月17日延长三个月至2025年7月17日）广西职业技术学院高新区实践教学基地（2023年10月23日—2025年4月17日延长三个月</w:t>
      </w:r>
      <w:r>
        <w:rPr>
          <w:rFonts w:hint="eastAsia" w:ascii="宋体" w:hAnsi="宋体"/>
          <w:color w:val="auto"/>
          <w:szCs w:val="21"/>
          <w:highlight w:val="none"/>
          <w:lang w:val="en-US" w:eastAsia="zh-CN"/>
        </w:rPr>
        <w:t>至</w:t>
      </w:r>
      <w:r>
        <w:rPr>
          <w:rFonts w:hint="eastAsia" w:ascii="宋体" w:hAnsi="宋体"/>
          <w:color w:val="auto"/>
          <w:szCs w:val="21"/>
          <w:highlight w:val="none"/>
        </w:rPr>
        <w:t>2025年7月17日）。</w:t>
      </w:r>
    </w:p>
    <w:p>
      <w:pPr>
        <w:spacing w:line="360" w:lineRule="auto"/>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pPr>
        <w:spacing w:line="360" w:lineRule="auto"/>
        <w:rPr>
          <w:rFonts w:ascii="黑体" w:hAnsi="黑体" w:eastAsia="黑体"/>
          <w:b/>
          <w:bCs/>
          <w:color w:val="auto"/>
          <w:sz w:val="24"/>
          <w:highlight w:val="none"/>
        </w:rPr>
      </w:pPr>
      <w:bookmarkStart w:id="20" w:name="_Toc35393622"/>
      <w:bookmarkStart w:id="21" w:name="_Toc28359080"/>
      <w:bookmarkStart w:id="22" w:name="_Toc35393791"/>
      <w:bookmarkStart w:id="23" w:name="_Toc28359003"/>
      <w:r>
        <w:rPr>
          <w:rFonts w:hint="eastAsia" w:ascii="黑体" w:hAnsi="黑体" w:eastAsia="黑体"/>
          <w:b/>
          <w:bCs/>
          <w:color w:val="auto"/>
          <w:sz w:val="24"/>
          <w:highlight w:val="none"/>
        </w:rPr>
        <w:t>二、申请人的资格要求：</w:t>
      </w:r>
      <w:bookmarkEnd w:id="20"/>
      <w:bookmarkEnd w:id="21"/>
      <w:bookmarkEnd w:id="22"/>
      <w:bookmarkEnd w:id="23"/>
    </w:p>
    <w:p>
      <w:pPr>
        <w:spacing w:line="360" w:lineRule="auto"/>
        <w:ind w:firstLine="420" w:firstLineChars="200"/>
        <w:rPr>
          <w:rFonts w:ascii="宋体" w:hAnsi="宋体"/>
          <w:color w:val="auto"/>
          <w:szCs w:val="21"/>
          <w:highlight w:val="none"/>
        </w:rPr>
      </w:pPr>
      <w:bookmarkStart w:id="24" w:name="_Toc28359004"/>
      <w:bookmarkStart w:id="25" w:name="_Toc28359081"/>
      <w:r>
        <w:rPr>
          <w:rFonts w:hint="eastAsia" w:ascii="宋体" w:hAnsi="宋体"/>
          <w:color w:val="auto"/>
          <w:szCs w:val="21"/>
          <w:highlight w:val="none"/>
        </w:rPr>
        <w:t>1.满足《中华人民共和国政府采购法》第二十二条规定；</w:t>
      </w:r>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2.落实政府采购政策需满足的资格要求：供应商为中小企业；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3.本项目的特定资格要求：具备有效的公安部门颁发的《保安服务许可证》。</w:t>
      </w:r>
    </w:p>
    <w:p>
      <w:pPr>
        <w:spacing w:line="360" w:lineRule="auto"/>
        <w:rPr>
          <w:rFonts w:ascii="黑体" w:hAnsi="黑体" w:eastAsia="黑体"/>
          <w:b/>
          <w:bCs/>
          <w:color w:val="auto"/>
          <w:sz w:val="24"/>
          <w:highlight w:val="none"/>
        </w:rPr>
      </w:pPr>
      <w:bookmarkStart w:id="26" w:name="_Toc35393792"/>
      <w:bookmarkStart w:id="27" w:name="_Toc35393623"/>
      <w:r>
        <w:rPr>
          <w:rFonts w:hint="eastAsia" w:ascii="黑体" w:hAnsi="黑体" w:eastAsia="黑体"/>
          <w:b/>
          <w:bCs/>
          <w:color w:val="auto"/>
          <w:sz w:val="24"/>
          <w:highlight w:val="none"/>
        </w:rPr>
        <w:t>三、获取招标文件</w:t>
      </w:r>
      <w:bookmarkEnd w:id="24"/>
      <w:bookmarkEnd w:id="25"/>
      <w:bookmarkEnd w:id="26"/>
      <w:bookmarkEnd w:id="27"/>
    </w:p>
    <w:p>
      <w:pPr>
        <w:snapToGrid w:val="0"/>
        <w:spacing w:line="360" w:lineRule="auto"/>
        <w:ind w:firstLine="472" w:firstLineChars="225"/>
        <w:rPr>
          <w:rFonts w:ascii="宋体" w:hAnsi="宋体"/>
          <w:color w:val="auto"/>
          <w:szCs w:val="21"/>
          <w:highlight w:val="none"/>
        </w:rPr>
      </w:pPr>
      <w:bookmarkStart w:id="28" w:name="_Toc28359082"/>
      <w:bookmarkStart w:id="29" w:name="_Toc28359005"/>
      <w:bookmarkStart w:id="30" w:name="_Toc35393624"/>
      <w:bookmarkStart w:id="31" w:name="_Toc35393793"/>
      <w:r>
        <w:rPr>
          <w:rFonts w:hint="eastAsia" w:ascii="宋体" w:hAnsi="宋体"/>
          <w:color w:val="auto"/>
          <w:szCs w:val="21"/>
          <w:highlight w:val="none"/>
        </w:rPr>
        <w:t>时间：2023年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6</w:t>
      </w:r>
      <w:r>
        <w:rPr>
          <w:rFonts w:hint="eastAsia" w:ascii="宋体" w:hAnsi="宋体"/>
          <w:color w:val="auto"/>
          <w:szCs w:val="21"/>
          <w:highlight w:val="none"/>
        </w:rPr>
        <w:t>日至2023年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13</w:t>
      </w:r>
      <w:r>
        <w:rPr>
          <w:rFonts w:hint="eastAsia" w:ascii="宋体" w:hAnsi="宋体"/>
          <w:color w:val="auto"/>
          <w:szCs w:val="21"/>
          <w:highlight w:val="none"/>
        </w:rPr>
        <w:t>日，每天上午00:00至11:59，下午12:00至23:59（北京时间，法定节假日除外）。</w:t>
      </w:r>
    </w:p>
    <w:p>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地点：“政采云”平台（https：//www.zcygov.cn）</w:t>
      </w:r>
    </w:p>
    <w:p>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方式:网上下载。本项目不发放纸质文件，</w:t>
      </w:r>
      <w:r>
        <w:rPr>
          <w:rFonts w:hint="eastAsia" w:ascii="宋体" w:hAnsi="宋体" w:cs="宋体"/>
          <w:color w:val="auto"/>
          <w:szCs w:val="21"/>
          <w:highlight w:val="none"/>
        </w:rPr>
        <w:t>潜在投标人</w:t>
      </w:r>
      <w:r>
        <w:rPr>
          <w:rFonts w:hint="eastAsia" w:ascii="宋体" w:hAnsi="宋体"/>
          <w:color w:val="auto"/>
          <w:szCs w:val="21"/>
          <w:highlight w:val="none"/>
        </w:rPr>
        <w:t>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政采云”平台（https://www.zcygov.cn/）下载招标文件（操作路径：登录“政采云”平台-项目采购-获取采购文件-找到本项目-点击“申请获取采购文件”），电子投标文件制作需要基于“政采云”平台获取的招标文件编制。</w:t>
      </w:r>
    </w:p>
    <w:p>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w:t>
      </w:r>
      <w:r>
        <w:rPr>
          <w:rFonts w:hint="eastAsia" w:ascii="宋体" w:hAnsi="宋体" w:cs="宋体"/>
          <w:color w:val="auto"/>
          <w:szCs w:val="21"/>
          <w:highlight w:val="none"/>
        </w:rPr>
        <w:t>人民币0元</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8"/>
      <w:bookmarkEnd w:id="29"/>
      <w:r>
        <w:rPr>
          <w:rFonts w:hint="eastAsia" w:ascii="黑体" w:hAnsi="黑体" w:eastAsia="黑体"/>
          <w:b/>
          <w:bCs/>
          <w:color w:val="auto"/>
          <w:sz w:val="24"/>
          <w:highlight w:val="none"/>
        </w:rPr>
        <w:t>截止时间、开标时间和地点</w:t>
      </w:r>
      <w:bookmarkEnd w:id="30"/>
      <w:bookmarkEnd w:id="31"/>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提交投标文件截止时间：2023年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28</w:t>
      </w:r>
      <w:r>
        <w:rPr>
          <w:rFonts w:hint="eastAsia" w:ascii="宋体" w:hAnsi="宋体" w:cs="宋体"/>
          <w:bCs/>
          <w:color w:val="auto"/>
          <w:szCs w:val="21"/>
          <w:highlight w:val="none"/>
        </w:rPr>
        <w:t>日 09:00（北京时间）</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投标地点（网址）：</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政采云”平台（http：//www.zcygov.cn）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开标时间：2023年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28</w:t>
      </w:r>
      <w:r>
        <w:rPr>
          <w:rFonts w:hint="eastAsia" w:ascii="宋体" w:hAnsi="宋体" w:cs="宋体"/>
          <w:bCs/>
          <w:color w:val="auto"/>
          <w:szCs w:val="21"/>
          <w:highlight w:val="none"/>
        </w:rPr>
        <w:t>日 09:00 </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开标地点：本项目将在“政采云”平台电子开标大厅解密、开启</w:t>
      </w:r>
    </w:p>
    <w:p>
      <w:pPr>
        <w:spacing w:line="360" w:lineRule="auto"/>
        <w:rPr>
          <w:rFonts w:ascii="黑体" w:hAnsi="黑体" w:eastAsia="黑体"/>
          <w:b/>
          <w:bCs/>
          <w:color w:val="auto"/>
          <w:sz w:val="24"/>
          <w:highlight w:val="none"/>
        </w:rPr>
      </w:pPr>
      <w:bookmarkStart w:id="32" w:name="_Toc35393794"/>
      <w:bookmarkStart w:id="33" w:name="_Toc28359084"/>
      <w:bookmarkStart w:id="34" w:name="_Toc35393625"/>
      <w:bookmarkStart w:id="35" w:name="_Toc28359007"/>
      <w:r>
        <w:rPr>
          <w:rFonts w:hint="eastAsia" w:ascii="黑体" w:hAnsi="黑体" w:eastAsia="黑体"/>
          <w:b/>
          <w:bCs/>
          <w:color w:val="auto"/>
          <w:sz w:val="24"/>
          <w:highlight w:val="none"/>
        </w:rPr>
        <w:t>五、公告期限</w:t>
      </w:r>
      <w:bookmarkEnd w:id="32"/>
      <w:bookmarkEnd w:id="33"/>
      <w:bookmarkEnd w:id="34"/>
      <w:bookmarkEnd w:id="35"/>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36" w:name="_Toc35393626"/>
      <w:bookmarkStart w:id="37" w:name="_Toc35393795"/>
      <w:r>
        <w:rPr>
          <w:rFonts w:hint="eastAsia" w:ascii="黑体" w:hAnsi="黑体" w:eastAsia="黑体"/>
          <w:b/>
          <w:bCs/>
          <w:color w:val="auto"/>
          <w:sz w:val="24"/>
          <w:highlight w:val="none"/>
        </w:rPr>
        <w:t>六、其他补充事宜</w:t>
      </w:r>
      <w:bookmarkEnd w:id="36"/>
      <w:bookmarkEnd w:id="37"/>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1.投标保证金：</w:t>
      </w:r>
    </w:p>
    <w:p>
      <w:pPr>
        <w:spacing w:line="360" w:lineRule="auto"/>
        <w:ind w:firstLine="843" w:firstLineChars="400"/>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w:t>
      </w:r>
    </w:p>
    <w:p>
      <w:pPr>
        <w:spacing w:line="360" w:lineRule="auto"/>
        <w:ind w:firstLine="843" w:firstLineChars="400"/>
        <w:rPr>
          <w:rFonts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投标保证金，相关要求：</w:t>
      </w:r>
    </w:p>
    <w:p>
      <w:pPr>
        <w:spacing w:line="360" w:lineRule="auto"/>
        <w:ind w:firstLine="840" w:firstLineChars="400"/>
        <w:rPr>
          <w:rFonts w:ascii="宋体" w:hAnsi="宋体" w:cs="宋体"/>
          <w:b/>
          <w:bCs/>
          <w:i/>
          <w:iCs/>
          <w:color w:val="auto"/>
          <w:kern w:val="0"/>
          <w:szCs w:val="21"/>
          <w:highlight w:val="none"/>
        </w:rPr>
      </w:pPr>
      <w:r>
        <w:rPr>
          <w:rFonts w:hint="eastAsia" w:ascii="宋体" w:hAnsi="宋体" w:cs="宋体"/>
          <w:color w:val="auto"/>
          <w:kern w:val="0"/>
          <w:szCs w:val="21"/>
          <w:highlight w:val="none"/>
        </w:rPr>
        <w:t>投标保证金金额：</w:t>
      </w:r>
      <w:r>
        <w:rPr>
          <w:rFonts w:hint="eastAsia" w:ascii="宋体" w:hAnsi="宋体" w:cs="宋体"/>
          <w:color w:val="auto"/>
          <w:szCs w:val="21"/>
          <w:highlight w:val="none"/>
          <w:u w:val="single"/>
        </w:rPr>
        <w:t>（大写）人民币</w:t>
      </w: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60000 \* CHINESENUM2 \* MERGEFORMAT </w:instrText>
      </w:r>
      <w:r>
        <w:rPr>
          <w:rFonts w:hint="eastAsia" w:ascii="宋体" w:hAnsi="宋体" w:cs="宋体"/>
          <w:color w:val="auto"/>
          <w:szCs w:val="21"/>
          <w:highlight w:val="none"/>
          <w:u w:val="single"/>
        </w:rPr>
        <w:fldChar w:fldCharType="separate"/>
      </w:r>
      <w:r>
        <w:rPr>
          <w:color w:val="auto"/>
          <w:highlight w:val="none"/>
          <w:u w:val="single"/>
        </w:rPr>
        <w:t>陆万</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元整（小写）¥60000.00</w:t>
      </w:r>
      <w:r>
        <w:rPr>
          <w:rFonts w:hint="eastAsia" w:ascii="宋体" w:hAnsi="宋体" w:cs="宋体"/>
          <w:color w:val="auto"/>
          <w:kern w:val="0"/>
          <w:szCs w:val="21"/>
          <w:highlight w:val="none"/>
        </w:rPr>
        <w:t>。</w:t>
      </w:r>
    </w:p>
    <w:p>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招商银行南宁市双拥路支行</w:t>
      </w:r>
    </w:p>
    <w:p>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广西科联招标中心有限公司</w:t>
      </w:r>
    </w:p>
    <w:p>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7719011969103333000004522</w:t>
      </w:r>
    </w:p>
    <w:p>
      <w:pPr>
        <w:spacing w:line="360" w:lineRule="auto"/>
        <w:ind w:firstLine="840" w:firstLineChars="400"/>
        <w:rPr>
          <w:rFonts w:ascii="宋体" w:hAnsi="宋体" w:cs="宋体"/>
          <w:color w:val="auto"/>
          <w:highlight w:val="none"/>
        </w:rPr>
      </w:pPr>
      <w:r>
        <w:rPr>
          <w:rFonts w:hint="eastAsia" w:ascii="宋体" w:hAnsi="宋体" w:cs="宋体"/>
          <w:color w:val="auto"/>
          <w:kern w:val="0"/>
          <w:szCs w:val="21"/>
          <w:highlight w:val="none"/>
        </w:rPr>
        <w:t>采用支票、汇票、本票或者保函等方式的，在投标截止时间前，投标人必须递交单独密封的支票、汇票、本票或者保函等原件给采购代理机构。</w:t>
      </w:r>
      <w:r>
        <w:rPr>
          <w:rFonts w:hint="eastAsia" w:ascii="宋体" w:hAnsi="宋体" w:cs="宋体"/>
          <w:b/>
          <w:bCs/>
          <w:color w:val="auto"/>
          <w:kern w:val="0"/>
          <w:szCs w:val="21"/>
          <w:highlight w:val="none"/>
        </w:rPr>
        <w:t>否则视为无效投标保证金</w:t>
      </w:r>
      <w:r>
        <w:rPr>
          <w:rFonts w:hint="eastAsia" w:ascii="宋体" w:hAnsi="宋体" w:cs="宋体"/>
          <w:color w:val="auto"/>
          <w:kern w:val="0"/>
          <w:szCs w:val="21"/>
          <w:highlight w:val="none"/>
        </w:rPr>
        <w:t>。</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http://www.ccgp.gov.cn/（中国政府采购网）、http://www.ccgp-guangxi.gov.cn/ (广西政府采购网)。</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 本项目需要落实的政府采购政策：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pPr>
        <w:spacing w:line="360" w:lineRule="auto"/>
        <w:ind w:firstLine="316" w:firstLineChars="150"/>
        <w:rPr>
          <w:rFonts w:ascii="宋体" w:hAnsi="宋体" w:cs="宋体"/>
          <w:color w:val="auto"/>
          <w:kern w:val="0"/>
          <w:szCs w:val="21"/>
          <w:highlight w:val="none"/>
        </w:rPr>
      </w:pPr>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全流程电子化项目，通过“政采云”平台（https://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b/>
          <w:bCs/>
          <w:color w:val="auto"/>
          <w:szCs w:val="21"/>
          <w:highlight w:val="none"/>
        </w:rPr>
        <w:t>投标人在“政采云”平台提交电子版投标文件时，请填写参加远程开标活动经办人联系方式</w:t>
      </w:r>
      <w:r>
        <w:rPr>
          <w:rFonts w:hint="eastAsia" w:ascii="宋体" w:hAnsi="宋体"/>
          <w:color w:val="auto"/>
          <w:szCs w:val="21"/>
          <w:highlight w:val="none"/>
        </w:rPr>
        <w:t>。</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完成CA数字证书办理预计7日左右，</w:t>
      </w:r>
      <w:r>
        <w:rPr>
          <w:rFonts w:hint="eastAsia" w:ascii="宋体" w:hAnsi="宋体" w:cs="宋体"/>
          <w:color w:val="auto"/>
          <w:szCs w:val="21"/>
          <w:highlight w:val="none"/>
        </w:rPr>
        <w:t>投标人只需办理其中一家CA数字证书及签章，</w:t>
      </w:r>
      <w:r>
        <w:rPr>
          <w:rFonts w:hint="eastAsia" w:ascii="宋体" w:hAnsi="宋体"/>
          <w:color w:val="auto"/>
          <w:szCs w:val="21"/>
          <w:highlight w:val="none"/>
        </w:rPr>
        <w:t>建议各投标人抓紧时间办理。</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（4）CA证书在线解密：投标人投标时，需携带制作投标文件时用来加密的有效数字证书（CA认证）登录“政采云”平台电子开标大厅现场按规定时间对加密的投标文件进行解密。</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（5）若对项目采购电子交易系统操作有疑问，可登录“政采云”平台（https://www.zcygov.cn/），点击右侧咨询小采，获取采小蜜智能服务管家帮助，或拨打政采云服务热线95763获取热线服务帮助。</w:t>
      </w:r>
    </w:p>
    <w:p>
      <w:pPr>
        <w:spacing w:line="360" w:lineRule="auto"/>
        <w:rPr>
          <w:rFonts w:ascii="黑体" w:hAnsi="黑体" w:eastAsia="黑体"/>
          <w:b/>
          <w:bCs/>
          <w:color w:val="auto"/>
          <w:sz w:val="24"/>
          <w:highlight w:val="none"/>
        </w:rPr>
      </w:pPr>
      <w:bookmarkStart w:id="38" w:name="_Toc28359085"/>
      <w:bookmarkStart w:id="39" w:name="_Toc35393627"/>
      <w:bookmarkStart w:id="40" w:name="_Toc28359008"/>
      <w:bookmarkStart w:id="41" w:name="_Toc35393796"/>
      <w:r>
        <w:rPr>
          <w:rFonts w:hint="eastAsia" w:ascii="黑体" w:hAnsi="黑体" w:eastAsia="黑体"/>
          <w:b/>
          <w:bCs/>
          <w:color w:val="auto"/>
          <w:sz w:val="24"/>
          <w:highlight w:val="none"/>
        </w:rPr>
        <w:t>七、对本次招标提出询问，请按以下方式联系。</w:t>
      </w:r>
      <w:bookmarkEnd w:id="38"/>
      <w:bookmarkEnd w:id="39"/>
      <w:bookmarkEnd w:id="40"/>
      <w:bookmarkEnd w:id="4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称：广西职业技术学院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址：南宁市明阳工业区明阳大道19号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项目联系人：凌倩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项目联系方式：0771-4213138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2.采购代理机构信息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称：广西科联招标中心有限公司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址：广西南宁市大学东路170号              </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项目联系人：潘能荣              </w:t>
      </w:r>
    </w:p>
    <w:p>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项目联系方式：0771-3486281</w:t>
      </w:r>
    </w:p>
    <w:p>
      <w:pPr>
        <w:widowControl/>
        <w:spacing w:line="360" w:lineRule="auto"/>
        <w:jc w:val="left"/>
        <w:rPr>
          <w:rFonts w:ascii="宋体" w:hAnsi="宋体" w:cs="宋体"/>
          <w:color w:val="auto"/>
          <w:sz w:val="24"/>
          <w:highlight w:val="none"/>
          <w:lang w:val="zh-CN"/>
        </w:rPr>
        <w:sectPr>
          <w:footerReference r:id="rId10" w:type="first"/>
          <w:footerReference r:id="rId9" w:type="default"/>
          <w:pgSz w:w="11905" w:h="16838"/>
          <w:pgMar w:top="1134" w:right="1134" w:bottom="1134" w:left="1134" w:header="850" w:footer="850" w:gutter="0"/>
          <w:pgNumType w:start="1"/>
          <w:cols w:space="0" w:num="1"/>
          <w:titlePg/>
          <w:docGrid w:linePitch="331" w:charSpace="0"/>
        </w:sectPr>
      </w:pPr>
    </w:p>
    <w:p>
      <w:pPr>
        <w:pStyle w:val="13"/>
        <w:jc w:val="center"/>
        <w:outlineLvl w:val="0"/>
        <w:rPr>
          <w:rFonts w:ascii="Times New Roman" w:hAnsi="Times New Roman"/>
          <w:b/>
          <w:color w:val="auto"/>
          <w:sz w:val="36"/>
          <w:highlight w:val="none"/>
        </w:rPr>
      </w:pPr>
      <w:bookmarkStart w:id="42" w:name="_Toc532545042"/>
      <w:bookmarkStart w:id="43" w:name="_Toc21081"/>
      <w:bookmarkStart w:id="44" w:name="_Toc17621"/>
      <w:bookmarkStart w:id="45" w:name="_Toc32573"/>
      <w:bookmarkStart w:id="46" w:name="_Toc7686"/>
      <w:bookmarkStart w:id="47" w:name="_Toc28689"/>
      <w:bookmarkStart w:id="48" w:name="_Toc937"/>
      <w:bookmarkStart w:id="49" w:name="_Toc22408"/>
      <w:bookmarkStart w:id="50" w:name="_Toc8382"/>
      <w:bookmarkStart w:id="51" w:name="_Toc4483"/>
      <w:bookmarkStart w:id="52" w:name="_Toc2299"/>
      <w:bookmarkStart w:id="53" w:name="_Toc7337"/>
      <w:bookmarkStart w:id="54" w:name="_Toc13449"/>
      <w:bookmarkStart w:id="55" w:name="_Toc24210"/>
      <w:r>
        <w:rPr>
          <w:rFonts w:hint="eastAsia" w:ascii="Times New Roman" w:hAnsi="Times New Roman"/>
          <w:b/>
          <w:color w:val="auto"/>
          <w:sz w:val="36"/>
          <w:highlight w:val="none"/>
        </w:rPr>
        <w:t>第二章</w:t>
      </w:r>
      <w:bookmarkEnd w:id="42"/>
      <w:r>
        <w:rPr>
          <w:rFonts w:hint="eastAsia" w:ascii="Times New Roman" w:hAnsi="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pPr>
        <w:adjustRightInd w:val="0"/>
        <w:spacing w:line="340" w:lineRule="exact"/>
        <w:rPr>
          <w:rFonts w:hAnsi="宋体"/>
          <w:b/>
          <w:color w:val="auto"/>
          <w:szCs w:val="21"/>
          <w:highlight w:val="none"/>
        </w:rPr>
      </w:pPr>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的节能产品政府采购品目清单），投标人的投标货物必须使用政府强制采购的节能产品，投标人必须在投标文件中提供所投标产品有效期内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评标方法和评标标准”。</w:t>
      </w:r>
    </w:p>
    <w:p>
      <w:pPr>
        <w:spacing w:line="360" w:lineRule="auto"/>
        <w:ind w:firstLine="426" w:firstLineChars="202"/>
        <w:jc w:val="left"/>
        <w:rPr>
          <w:rFonts w:ascii="宋体" w:hAnsi="宋体" w:cs="宋体"/>
          <w:b/>
          <w:color w:val="auto"/>
          <w:szCs w:val="21"/>
          <w:highlight w:val="none"/>
        </w:rPr>
      </w:pPr>
      <w:r>
        <w:rPr>
          <w:rFonts w:hint="eastAsia" w:ascii="宋体" w:hAnsi="宋体" w:cs="宋体"/>
          <w:b/>
          <w:bCs/>
          <w:color w:val="auto"/>
          <w:szCs w:val="21"/>
          <w:highlight w:val="none"/>
        </w:rPr>
        <w:t>（3）本</w:t>
      </w:r>
      <w:r>
        <w:rPr>
          <w:rFonts w:hint="eastAsia" w:ascii="宋体" w:hAnsi="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复印件（加盖投标人公章），否则投标文件作无效处理。</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360" w:lineRule="auto"/>
        <w:ind w:firstLine="424" w:firstLineChars="202"/>
        <w:jc w:val="left"/>
        <w:rPr>
          <w:rFonts w:ascii="宋体" w:hAnsi="宋体" w:cs="宋体"/>
          <w:color w:val="auto"/>
          <w:highlight w:val="none"/>
        </w:rPr>
      </w:pPr>
      <w:r>
        <w:rPr>
          <w:rFonts w:hint="eastAsia" w:ascii="宋体" w:hAnsi="宋体" w:cs="宋体"/>
          <w:color w:val="auto"/>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pPr>
        <w:tabs>
          <w:tab w:val="left" w:pos="180"/>
          <w:tab w:val="left" w:pos="1620"/>
        </w:tabs>
        <w:spacing w:line="420" w:lineRule="exact"/>
        <w:ind w:firstLine="420" w:firstLineChars="200"/>
        <w:jc w:val="left"/>
        <w:rPr>
          <w:rFonts w:ascii="宋体" w:hAnsi="宋体" w:cs="宋体"/>
          <w:color w:val="auto"/>
          <w:highlight w:val="none"/>
        </w:rPr>
      </w:pPr>
      <w:r>
        <w:rPr>
          <w:rFonts w:hint="eastAsia" w:ascii="宋体" w:hAnsi="宋体" w:cs="宋体"/>
          <w:color w:val="auto"/>
          <w:highlight w:val="none"/>
        </w:rPr>
        <w:t>6.采购内容所属行业：</w:t>
      </w:r>
      <w:r>
        <w:rPr>
          <w:rFonts w:hint="eastAsia" w:ascii="宋体" w:hAnsi="宋体" w:cs="宋体"/>
          <w:color w:val="auto"/>
          <w:highlight w:val="none"/>
          <w:u w:val="single"/>
        </w:rPr>
        <w:t>租赁和商务服务业</w:t>
      </w:r>
    </w:p>
    <w:p>
      <w:pPr>
        <w:rPr>
          <w:color w:val="auto"/>
          <w:highlight w:val="none"/>
        </w:rPr>
      </w:pPr>
      <w:r>
        <w:rPr>
          <w:color w:val="auto"/>
          <w:highlight w:val="none"/>
        </w:rPr>
        <w:br w:type="page"/>
      </w:r>
    </w:p>
    <w:tbl>
      <w:tblPr>
        <w:tblStyle w:val="19"/>
        <w:tblW w:w="1012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8"/>
        <w:gridCol w:w="350"/>
        <w:gridCol w:w="675"/>
        <w:gridCol w:w="400"/>
        <w:gridCol w:w="83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vAlign w:val="center"/>
          </w:tcPr>
          <w:p>
            <w:pPr>
              <w:spacing w:line="320" w:lineRule="exact"/>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分标：无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 w:type="dxa"/>
            <w:vMerge w:val="restart"/>
            <w:tcBorders>
              <w:top w:val="single" w:color="auto" w:sz="4" w:space="0"/>
              <w:left w:val="single" w:color="auto" w:sz="4" w:space="0"/>
              <w:right w:val="single" w:color="auto" w:sz="4" w:space="0"/>
            </w:tcBorders>
          </w:tcPr>
          <w:p>
            <w:pPr>
              <w:jc w:val="center"/>
              <w:rPr>
                <w:rFonts w:asciiTheme="minorEastAsia" w:hAnsiTheme="minorEastAsia" w:eastAsiaTheme="minorEastAsia" w:cstheme="minorEastAsia"/>
                <w:b/>
                <w:color w:val="auto"/>
                <w:szCs w:val="21"/>
                <w:highlight w:val="none"/>
              </w:rPr>
            </w:pPr>
          </w:p>
          <w:p>
            <w:pPr>
              <w:jc w:val="center"/>
              <w:rPr>
                <w:rFonts w:asciiTheme="minorEastAsia" w:hAnsiTheme="minorEastAsia" w:eastAsiaTheme="minorEastAsia" w:cstheme="minorEastAsia"/>
                <w:b/>
                <w:color w:val="auto"/>
                <w:szCs w:val="21"/>
                <w:highlight w:val="none"/>
              </w:rPr>
            </w:pP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服务要求</w:t>
            </w:r>
          </w:p>
        </w:tc>
        <w:tc>
          <w:tcPr>
            <w:tcW w:w="3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标的名称</w:t>
            </w:r>
          </w:p>
        </w:tc>
        <w:tc>
          <w:tcPr>
            <w:tcW w:w="4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数量及单位</w:t>
            </w:r>
          </w:p>
          <w:p>
            <w:pPr>
              <w:jc w:val="center"/>
              <w:rPr>
                <w:rFonts w:asciiTheme="minorEastAsia" w:hAnsiTheme="minorEastAsia" w:eastAsiaTheme="minorEastAsia" w:cstheme="minorEastAsia"/>
                <w:color w:val="auto"/>
                <w:szCs w:val="21"/>
                <w:highlight w:val="none"/>
              </w:rPr>
            </w:pPr>
          </w:p>
        </w:tc>
        <w:tc>
          <w:tcPr>
            <w:tcW w:w="83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08" w:hRule="atLeast"/>
          <w:jc w:val="center"/>
        </w:trPr>
        <w:tc>
          <w:tcPr>
            <w:tcW w:w="358" w:type="dxa"/>
            <w:vMerge w:val="continue"/>
            <w:tcBorders>
              <w:left w:val="single" w:color="auto" w:sz="4" w:space="0"/>
              <w:right w:val="single" w:color="auto" w:sz="4" w:space="0"/>
            </w:tcBorders>
          </w:tcPr>
          <w:p>
            <w:pPr>
              <w:spacing w:line="240" w:lineRule="exact"/>
              <w:jc w:val="center"/>
              <w:rPr>
                <w:rFonts w:asciiTheme="minorEastAsia" w:hAnsiTheme="minorEastAsia" w:eastAsiaTheme="minorEastAsia" w:cstheme="minorEastAsia"/>
                <w:b/>
                <w:bCs/>
                <w:color w:val="auto"/>
                <w:szCs w:val="21"/>
                <w:highlight w:val="none"/>
              </w:rPr>
            </w:pPr>
          </w:p>
        </w:tc>
        <w:tc>
          <w:tcPr>
            <w:tcW w:w="3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20" w:after="120" w:line="400" w:lineRule="exact"/>
              <w:jc w:val="center"/>
              <w:rPr>
                <w:rFonts w:asciiTheme="minorEastAsia" w:hAnsiTheme="minorEastAsia" w:eastAsiaTheme="minorEastAsia" w:cstheme="minorEastAsia"/>
                <w:bCs/>
                <w:caps/>
                <w:color w:val="auto"/>
                <w:szCs w:val="21"/>
                <w:highlight w:val="none"/>
              </w:rPr>
            </w:pPr>
            <w:r>
              <w:rPr>
                <w:rFonts w:hint="eastAsia" w:asciiTheme="minorEastAsia" w:hAnsiTheme="minorEastAsia" w:eastAsiaTheme="minorEastAsia" w:cstheme="minorEastAsia"/>
                <w:bCs/>
                <w:caps/>
                <w:color w:val="auto"/>
                <w:szCs w:val="21"/>
                <w:highlight w:val="none"/>
              </w:rPr>
              <w:t>广西职业技术学院2023年校园安保服务采购</w:t>
            </w:r>
          </w:p>
        </w:tc>
        <w:tc>
          <w:tcPr>
            <w:tcW w:w="4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w:t>
            </w:r>
          </w:p>
        </w:tc>
        <w:tc>
          <w:tcPr>
            <w:tcW w:w="8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color w:val="auto"/>
                <w:highlight w:val="none"/>
              </w:rPr>
            </w:pPr>
            <w:r>
              <w:rPr>
                <w:rFonts w:hint="eastAsia"/>
                <w:color w:val="auto"/>
                <w:highlight w:val="none"/>
              </w:rPr>
              <w:t>一、服务项目</w:t>
            </w:r>
          </w:p>
          <w:p>
            <w:pPr>
              <w:adjustRightInd w:val="0"/>
              <w:snapToGrid w:val="0"/>
              <w:spacing w:line="400" w:lineRule="exact"/>
              <w:ind w:firstLine="403" w:firstLineChars="192"/>
              <w:rPr>
                <w:color w:val="auto"/>
                <w:highlight w:val="none"/>
              </w:rPr>
            </w:pPr>
            <w:r>
              <w:rPr>
                <w:rFonts w:hint="eastAsia"/>
                <w:color w:val="auto"/>
                <w:highlight w:val="none"/>
              </w:rPr>
              <w:t>广西职业技术学院辖区校园日常安全保卫服务、交通秩序管理服务、消防安全管理服务、信息化安保管理服务及学校交办的其它服务。</w:t>
            </w:r>
          </w:p>
          <w:p>
            <w:pPr>
              <w:adjustRightInd w:val="0"/>
              <w:snapToGrid w:val="0"/>
              <w:spacing w:line="400" w:lineRule="exact"/>
              <w:rPr>
                <w:color w:val="auto"/>
                <w:highlight w:val="none"/>
              </w:rPr>
            </w:pPr>
            <w:r>
              <w:rPr>
                <w:rFonts w:hint="eastAsia"/>
                <w:color w:val="auto"/>
                <w:highlight w:val="none"/>
              </w:rPr>
              <w:t>二、服务期限</w:t>
            </w:r>
          </w:p>
          <w:p>
            <w:pPr>
              <w:adjustRightInd w:val="0"/>
              <w:snapToGrid w:val="0"/>
              <w:spacing w:line="400" w:lineRule="exact"/>
              <w:ind w:firstLine="308" w:firstLineChars="147"/>
              <w:rPr>
                <w:color w:val="auto"/>
                <w:highlight w:val="none"/>
              </w:rPr>
            </w:pPr>
            <w:r>
              <w:rPr>
                <w:rFonts w:hint="eastAsia"/>
                <w:color w:val="auto"/>
                <w:highlight w:val="none"/>
              </w:rPr>
              <w:t>合同期限两年零三个月（调整同合时间与学期结束对接上延长3个月）。广西职业技术学院明阳校区（2023年4月18日—2025年4月17日延长三个月至2025年7月17日）广西职业技术学院高新区实践教学基地（2023年10月23日—2025年4月17日延长三个月至2025年7月17日）。</w:t>
            </w:r>
          </w:p>
          <w:p>
            <w:pPr>
              <w:adjustRightInd w:val="0"/>
              <w:snapToGrid w:val="0"/>
              <w:spacing w:line="400" w:lineRule="exact"/>
              <w:rPr>
                <w:color w:val="auto"/>
                <w:highlight w:val="none"/>
              </w:rPr>
            </w:pPr>
            <w:r>
              <w:rPr>
                <w:rFonts w:hint="eastAsia"/>
                <w:color w:val="auto"/>
                <w:highlight w:val="none"/>
              </w:rPr>
              <w:t>三、服务内容：</w:t>
            </w:r>
          </w:p>
          <w:p>
            <w:pPr>
              <w:adjustRightInd w:val="0"/>
              <w:snapToGrid w:val="0"/>
              <w:spacing w:line="400" w:lineRule="exact"/>
              <w:ind w:firstLine="315" w:firstLineChars="150"/>
              <w:rPr>
                <w:color w:val="auto"/>
                <w:highlight w:val="none"/>
              </w:rPr>
            </w:pPr>
            <w:r>
              <w:rPr>
                <w:rFonts w:hint="eastAsia"/>
                <w:color w:val="auto"/>
                <w:highlight w:val="none"/>
              </w:rPr>
              <w:t>（一）负责广西职业技术学院范围内的治安防范保卫、消防安全、交通秩序管理服务等，包括但不限于承担门卫、重点场所守护、治安巡逻、大型活动与会务工作保障和应急处置，对来访人员进行盘问登记，对进出大宗物品或危险物品进行查验，做好防火、防盗、防毒、防爆、防伤害、防破坏、防事故等预防性的安全防范工作，做好车辆、道路及环境秩序的管理工作等，保证校园安全稳定、工作正常、秩序良好。</w:t>
            </w:r>
          </w:p>
          <w:p>
            <w:pPr>
              <w:adjustRightInd w:val="0"/>
              <w:snapToGrid w:val="0"/>
              <w:spacing w:line="400" w:lineRule="exact"/>
              <w:ind w:firstLine="315" w:firstLineChars="150"/>
              <w:rPr>
                <w:color w:val="auto"/>
                <w:highlight w:val="none"/>
              </w:rPr>
            </w:pPr>
            <w:r>
              <w:rPr>
                <w:rFonts w:hint="eastAsia"/>
                <w:color w:val="auto"/>
                <w:highlight w:val="none"/>
              </w:rPr>
              <w:t>（二）负责为校内重大活动或会议提供秩序维护和车辆疏导停放的服务。</w:t>
            </w:r>
          </w:p>
          <w:p>
            <w:pPr>
              <w:adjustRightInd w:val="0"/>
              <w:snapToGrid w:val="0"/>
              <w:spacing w:line="400" w:lineRule="exact"/>
              <w:ind w:firstLine="315" w:firstLineChars="150"/>
              <w:rPr>
                <w:color w:val="auto"/>
                <w:highlight w:val="none"/>
              </w:rPr>
            </w:pPr>
            <w:r>
              <w:rPr>
                <w:rFonts w:hint="eastAsia"/>
                <w:color w:val="auto"/>
                <w:highlight w:val="none"/>
              </w:rPr>
              <w:t>（三）负责校园安防监控、消防监控工作以及微型消防站工作，服务期内每月一次干粉灭火器、消火栓巡检服务。</w:t>
            </w:r>
          </w:p>
          <w:p>
            <w:pPr>
              <w:adjustRightInd w:val="0"/>
              <w:snapToGrid w:val="0"/>
              <w:spacing w:line="400" w:lineRule="exact"/>
              <w:ind w:firstLine="315" w:firstLineChars="150"/>
              <w:rPr>
                <w:color w:val="auto"/>
                <w:highlight w:val="none"/>
              </w:rPr>
            </w:pPr>
            <w:r>
              <w:rPr>
                <w:rFonts w:hint="eastAsia"/>
                <w:color w:val="auto"/>
                <w:highlight w:val="none"/>
              </w:rPr>
              <w:t>（四）其他临时性安保服务。</w:t>
            </w:r>
          </w:p>
          <w:p>
            <w:pPr>
              <w:adjustRightInd w:val="0"/>
              <w:snapToGrid w:val="0"/>
              <w:spacing w:line="400" w:lineRule="exact"/>
              <w:ind w:firstLine="315" w:firstLineChars="150"/>
              <w:rPr>
                <w:color w:val="auto"/>
                <w:highlight w:val="none"/>
              </w:rPr>
            </w:pPr>
            <w:r>
              <w:rPr>
                <w:rFonts w:hint="eastAsia"/>
                <w:color w:val="auto"/>
                <w:highlight w:val="none"/>
              </w:rPr>
              <w:t>（五）配备物防设备设施，为保安人员装备必要的车辆、执勤、防护、抓捕等器械。</w:t>
            </w:r>
          </w:p>
          <w:p>
            <w:pPr>
              <w:adjustRightInd w:val="0"/>
              <w:snapToGrid w:val="0"/>
              <w:spacing w:line="400" w:lineRule="exact"/>
              <w:rPr>
                <w:color w:val="auto"/>
                <w:highlight w:val="none"/>
              </w:rPr>
            </w:pPr>
            <w:r>
              <w:rPr>
                <w:rFonts w:hint="eastAsia"/>
                <w:color w:val="auto"/>
                <w:highlight w:val="none"/>
              </w:rPr>
              <w:t>四、工作范围、职责、要求及标准</w:t>
            </w:r>
          </w:p>
          <w:p>
            <w:pPr>
              <w:adjustRightInd w:val="0"/>
              <w:snapToGrid w:val="0"/>
              <w:spacing w:line="400" w:lineRule="exact"/>
              <w:ind w:firstLine="315" w:firstLineChars="150"/>
              <w:rPr>
                <w:color w:val="auto"/>
                <w:highlight w:val="none"/>
              </w:rPr>
            </w:pPr>
            <w:r>
              <w:rPr>
                <w:rFonts w:hint="eastAsia"/>
                <w:color w:val="auto"/>
                <w:highlight w:val="none"/>
              </w:rPr>
              <w:t>（一）工作范围</w:t>
            </w:r>
          </w:p>
          <w:p>
            <w:pPr>
              <w:autoSpaceDE w:val="0"/>
              <w:autoSpaceDN w:val="0"/>
              <w:adjustRightInd w:val="0"/>
              <w:snapToGrid w:val="0"/>
              <w:spacing w:line="400" w:lineRule="exact"/>
              <w:ind w:firstLine="525" w:firstLineChars="250"/>
              <w:rPr>
                <w:color w:val="auto"/>
                <w:highlight w:val="none"/>
              </w:rPr>
            </w:pPr>
            <w:r>
              <w:rPr>
                <w:rFonts w:hint="eastAsia"/>
                <w:color w:val="auto"/>
                <w:highlight w:val="none"/>
              </w:rPr>
              <w:t>广西职业技术学院明阳校区，位于广西南宁市明阳大道19号，总占地面积1100多亩，总建筑面积约28.57万平方米。广西职业技术学院高新区实践教学基地，基地位于高新四路和9-1号，总占地面积35.6亩，总建筑面积为37619.42平方米。</w:t>
            </w:r>
          </w:p>
          <w:p>
            <w:pPr>
              <w:autoSpaceDE w:val="0"/>
              <w:autoSpaceDN w:val="0"/>
              <w:adjustRightInd w:val="0"/>
              <w:snapToGrid w:val="0"/>
              <w:spacing w:line="400" w:lineRule="exact"/>
              <w:ind w:firstLine="315" w:firstLineChars="150"/>
              <w:rPr>
                <w:color w:val="auto"/>
                <w:highlight w:val="none"/>
              </w:rPr>
            </w:pPr>
            <w:r>
              <w:rPr>
                <w:rFonts w:hint="eastAsia"/>
                <w:color w:val="auto"/>
                <w:highlight w:val="none"/>
              </w:rPr>
              <w:t>（二）安保服务要求：</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1.总体要求：</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1.1安保服务含9个岗点，（广西职业技术学院明阳校区8个岗点，高新实践教学基地1个岗点）需安保秩序员人员共59人。（广西职业技术学院明阳校区安保秩序员50人，高新实践教学基地安保秩序员9人）。</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1.2 秩序员执勤时，着统一制服，佩戴标志，注意仪容仪表，讲究文明礼貌。</w:t>
            </w:r>
          </w:p>
          <w:p>
            <w:pPr>
              <w:autoSpaceDE w:val="0"/>
              <w:autoSpaceDN w:val="0"/>
              <w:adjustRightInd w:val="0"/>
              <w:snapToGrid w:val="0"/>
              <w:spacing w:line="400" w:lineRule="exact"/>
              <w:rPr>
                <w:color w:val="auto"/>
                <w:highlight w:val="none"/>
              </w:rPr>
            </w:pPr>
            <w:r>
              <w:rPr>
                <w:rFonts w:hint="eastAsia"/>
                <w:color w:val="auto"/>
                <w:highlight w:val="none"/>
              </w:rPr>
              <w:t xml:space="preserve">      1.3 对来访人员进行盘问、确认、登记，杜绝闲杂人员进入校区。</w:t>
            </w:r>
          </w:p>
          <w:p>
            <w:pPr>
              <w:autoSpaceDE w:val="0"/>
              <w:autoSpaceDN w:val="0"/>
              <w:adjustRightInd w:val="0"/>
              <w:snapToGrid w:val="0"/>
              <w:spacing w:line="400" w:lineRule="exact"/>
              <w:rPr>
                <w:color w:val="auto"/>
                <w:highlight w:val="none"/>
              </w:rPr>
            </w:pPr>
            <w:r>
              <w:rPr>
                <w:rFonts w:hint="eastAsia"/>
                <w:color w:val="auto"/>
                <w:highlight w:val="none"/>
              </w:rPr>
              <w:t xml:space="preserve">      1.4 校园内环境秩序良好，道路通畅，车辆停放有序。</w:t>
            </w:r>
          </w:p>
          <w:p>
            <w:pPr>
              <w:adjustRightInd w:val="0"/>
              <w:snapToGrid w:val="0"/>
              <w:spacing w:line="400" w:lineRule="exact"/>
              <w:ind w:left="630" w:leftChars="300"/>
              <w:rPr>
                <w:color w:val="auto"/>
                <w:highlight w:val="none"/>
              </w:rPr>
            </w:pPr>
            <w:r>
              <w:rPr>
                <w:rFonts w:hint="eastAsia"/>
                <w:color w:val="auto"/>
                <w:highlight w:val="none"/>
              </w:rPr>
              <w:t>1.5 制定并熟悉突发性火灾等紧急事件处理程序，能处置一般性火灾，火灾初期能第一时间到达，并组织人员开展现场扑火救援工作。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1.6 能主动发现和积极配合处理各种安全隐患和事故隐患，确保不发生安全方面的问题，特别是不发生重大案件和重大安全事故，能迅速有效处置突发事件。</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1.7 对突发事件有应急预案，每季度至少进行一次演练。</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1.8 中标人业务督察人员每月到校检查督促工作不少于2次。</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1.9 服从采购人的管理和工作安排。</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1.10 掌握一定的信息化安保运用技能。</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1.11 实现校园安全管理网格化，明确各区域安保管理工作规范、工作标准、责任人。</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1.12  负责配合公安机关打击校园内部与周边的违法犯罪活动。</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1.13  负责其它属于安全管理范围内的工作及采购方临时交办的任务。</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1.14  负责派足人员保证采购方所有重要活动的安全管理突击任务。</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2.对保安队长要求：</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2.1 要有两年以上安保队伍的管理经验，长驻我校，全面负责安保队伍的日常管理和安全防范工作。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2.2 大专及以上学历，年龄在25-</w:t>
            </w:r>
            <w:r>
              <w:rPr>
                <w:color w:val="auto"/>
                <w:highlight w:val="none"/>
              </w:rPr>
              <w:t>45</w:t>
            </w:r>
            <w:r>
              <w:rPr>
                <w:rFonts w:hint="eastAsia"/>
                <w:color w:val="auto"/>
                <w:highlight w:val="none"/>
              </w:rPr>
              <w:t>岁之间，复退（转业）军人（士官优先），身体健康，无违法犯罪记录。</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2.3 认真贯彻上级有关保卫工作的方针、政策，坚持预防为主，密切会同有关单位、部门做好安全、保卫的综合治理工作。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2.4 有较高的政治思想素养和安保业务水平，有较强的组织、管理和协调能力，工作责任心强，能够处理突发事件。</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2.5 负责治安、消防、安全的组织、管理、预防工作，做好保安管理制度落实，对治安、消防、安全做好巡视、监督及检查，发现问题及时报告处理。</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2.6 负责内部一般治安案件的处理工作，发生刑事案件和重大责任事故，迅速报告公司领导、学院领导和公安机关，保护现场，并配合工作。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2.7 负责维护治安秩序，加强外来人员的管理，经常检查要害部分和消防设施，提出改进措施，堵塞漏洞。</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2.8 做好保安员的登记、上报，并与派出所搞好关系及参加各类治安联防工作会议。</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2.9 做好本部保安训练与工作计划、程序、收集资料的管理工作，协助有关单位做好保安员思想工作和宣传法制教育。</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2.10 负责日检，并填写相应的记录表格。</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2.11 负责保安队纪律、业务技能、消防、培训等工作计划的制定、实施、考评。</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2.12 负责突发事件的应急指挥，协调解决保安管理工作中存在的问题，与相关部门做好沟通工作，落实上级领导交办的工作。</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3.对保安副队长的要求：</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3.1要有两年以上安保队伍的管理经验，长驻我校，全面负责安保队伍的日常管理和安全防范工作。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3.2 高中以上学历，年龄在25-</w:t>
            </w:r>
            <w:r>
              <w:rPr>
                <w:color w:val="auto"/>
                <w:highlight w:val="none"/>
              </w:rPr>
              <w:t>45</w:t>
            </w:r>
            <w:r>
              <w:rPr>
                <w:rFonts w:hint="eastAsia"/>
                <w:color w:val="auto"/>
                <w:highlight w:val="none"/>
              </w:rPr>
              <w:t>岁之间，复退（转业）军人（士官优先），身体健康，无违法犯罪记录。</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3.3 熟悉掌握队长工作职责，协助队长开展各项工作。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3.4 代理队长及三个秩序班长休假期间一切安保工作。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3.5 有较高的政治思想素养和安保业务水平，有较强的组织、管理和协调能力，工作责任心强，能够处理突发事件。</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3.6 负责治安、消防、安全的组织、管理、预防工作，做好保安管理制度落实，对治安、消防、安全做好巡视、监督及检查，发现问题及时报告处理。</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3.7 负责内部一般治安案件的处理工作，发生刑事案件和重大责任事故，迅速报告公司领导、学院领导和公安机关，保护现场，并配合工作。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3.8 负责维护治安秩序，加强外来人员的管理，经常检查要害部分和消防设施，提出改进措施，堵塞漏洞。</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3.9 做好保安员的登记、上报，并与派出所搞好关系及参加各类治安联防工作会议。</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3.10 做好本部保安训练与工作计划、程序、收集资料的管理工作，协助有关单位做好保安员思想工作和宣传法制教育。</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3.11 负责日检，并填写相应的记录表格。</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3.12 负责保安队纪律、业务技能、消防、培训等工作计划的制定、实施、考评。</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3.13 负责突发事件的应急指挥，协调解决保安管理工作中存在的问题，与相关部门做好沟通工作，落实上级领导交办的工作。</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4.对秩序班长的要求</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4.1 要有一年以上安保队伍的管理经验，负责本班秩序员的日常管理和上岗执勤工作。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 xml:space="preserve">4.2 </w:t>
            </w:r>
            <w:bookmarkStart w:id="56" w:name="_Hlk61525912"/>
            <w:r>
              <w:rPr>
                <w:rFonts w:hint="eastAsia"/>
                <w:color w:val="auto"/>
                <w:highlight w:val="none"/>
              </w:rPr>
              <w:t>高中及以上学历，年龄在20-</w:t>
            </w:r>
            <w:r>
              <w:rPr>
                <w:color w:val="auto"/>
                <w:highlight w:val="none"/>
              </w:rPr>
              <w:t>45岁之间，复退（转业）军人</w:t>
            </w:r>
            <w:bookmarkEnd w:id="56"/>
            <w:r>
              <w:rPr>
                <w:rFonts w:hint="eastAsia"/>
                <w:color w:val="auto"/>
                <w:highlight w:val="none"/>
              </w:rPr>
              <w:t>，身体健康，无违法犯罪记录。</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4.3 思想品德良好，工作态度积极，熟悉安保业务，有一定的组织、管理和协调能力，工作责任心强，能够处理一般突发事件。</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4.4 协助队长、副队长开展日常事务的处理，负责配合相关部门做好装修监管、现场管控、交通秩序的维护工作，完成上级交办的各项事务。</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5.对特岗、窗口形象岗、巡逻岗、秩序员的要求</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5.1 新入职秩序员必须经过公司岗前业务技能培训才能上岗，思想品德好，作风正派，无犯罪记录。</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 xml:space="preserve">5.2 </w:t>
            </w:r>
            <w:bookmarkStart w:id="57" w:name="_Hlk61526002"/>
            <w:r>
              <w:rPr>
                <w:rFonts w:hint="eastAsia"/>
                <w:color w:val="auto"/>
                <w:highlight w:val="none"/>
              </w:rPr>
              <w:t>高中以上文化，普通话标准，对特岗、窗口形象岗身高175cm以上，普通秩序员身高172cm以上，女队员身高155cm以上，</w:t>
            </w:r>
            <w:bookmarkEnd w:id="57"/>
            <w:r>
              <w:rPr>
                <w:rFonts w:hint="eastAsia"/>
                <w:color w:val="auto"/>
                <w:highlight w:val="none"/>
              </w:rPr>
              <w:t>五官端正，身体健康，机智灵敏，服务意识强，能胜任执勤工作。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5.3 秩序员年龄要求在20-</w:t>
            </w:r>
            <w:r>
              <w:rPr>
                <w:color w:val="auto"/>
                <w:highlight w:val="none"/>
              </w:rPr>
              <w:t>45</w:t>
            </w:r>
            <w:r>
              <w:rPr>
                <w:rFonts w:hint="eastAsia"/>
                <w:color w:val="auto"/>
                <w:highlight w:val="none"/>
              </w:rPr>
              <w:t>岁之间，女队员占比不超过20%。</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5.4代班班长，年龄在20-</w:t>
            </w:r>
            <w:r>
              <w:rPr>
                <w:color w:val="auto"/>
                <w:highlight w:val="none"/>
              </w:rPr>
              <w:t>45岁之间复退（转业）军人</w:t>
            </w:r>
            <w:r>
              <w:rPr>
                <w:rFonts w:hint="eastAsia"/>
                <w:color w:val="auto"/>
                <w:highlight w:val="none"/>
              </w:rPr>
              <w:t>，身体健康，无违法犯罪记录。</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5.5 特岗秩序员，年龄在20-</w:t>
            </w:r>
            <w:r>
              <w:rPr>
                <w:color w:val="auto"/>
                <w:highlight w:val="none"/>
              </w:rPr>
              <w:t>45岁之间</w:t>
            </w:r>
            <w:r>
              <w:rPr>
                <w:rFonts w:hint="eastAsia"/>
                <w:color w:val="auto"/>
                <w:highlight w:val="none"/>
              </w:rPr>
              <w:t>，要求责任心强，服务意识强，熟悉监控、消控设施、设备操作。负责监控与消防人员的管理与台帐统计与整理。</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5.6消防秩序员，年龄在20-</w:t>
            </w:r>
            <w:r>
              <w:rPr>
                <w:color w:val="auto"/>
                <w:highlight w:val="none"/>
              </w:rPr>
              <w:t>45岁之间</w:t>
            </w:r>
            <w:r>
              <w:rPr>
                <w:rFonts w:hint="eastAsia"/>
                <w:color w:val="auto"/>
                <w:highlight w:val="none"/>
              </w:rPr>
              <w:t>，必须持有建（筑）物消防内职业资格证书，熟悉消控设施、设备操作。</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5.7窗口形象岗，年龄在20-</w:t>
            </w:r>
            <w:r>
              <w:rPr>
                <w:color w:val="auto"/>
                <w:highlight w:val="none"/>
              </w:rPr>
              <w:t>45岁之间</w:t>
            </w:r>
            <w:r>
              <w:rPr>
                <w:rFonts w:hint="eastAsia"/>
                <w:color w:val="auto"/>
                <w:highlight w:val="none"/>
              </w:rPr>
              <w:t>，南大门、巡逻岗、平房一岗设置为窗口形象岗，身体健康，无违法犯罪记录。</w:t>
            </w:r>
          </w:p>
          <w:p>
            <w:pPr>
              <w:adjustRightInd w:val="0"/>
              <w:spacing w:line="360" w:lineRule="auto"/>
              <w:ind w:left="420" w:leftChars="200" w:firstLine="210" w:firstLineChars="100"/>
              <w:rPr>
                <w:color w:val="auto"/>
                <w:highlight w:val="none"/>
              </w:rPr>
            </w:pPr>
            <w:r>
              <w:rPr>
                <w:rFonts w:hint="eastAsia"/>
                <w:color w:val="auto"/>
                <w:highlight w:val="none"/>
              </w:rPr>
              <w:t>5.8巡逻秩序员年龄在20-</w:t>
            </w:r>
            <w:r>
              <w:rPr>
                <w:color w:val="auto"/>
                <w:highlight w:val="none"/>
              </w:rPr>
              <w:t>45岁之间</w:t>
            </w:r>
            <w:r>
              <w:rPr>
                <w:rFonts w:hint="eastAsia"/>
                <w:color w:val="auto"/>
                <w:highlight w:val="none"/>
              </w:rPr>
              <w:t>，要求责任心强，服务意识强。</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5.9要求责任心强，服务意识强，语言表达能力强。</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5.10门禁秩序员要求掌握一般电脑知识，能够熟练操作门禁系统；安防调度中心视频监控秩序员具有一定的电脑操作能力和组织协调能力。</w:t>
            </w:r>
          </w:p>
          <w:p>
            <w:pPr>
              <w:autoSpaceDE w:val="0"/>
              <w:autoSpaceDN w:val="0"/>
              <w:adjustRightInd w:val="0"/>
              <w:snapToGrid w:val="0"/>
              <w:spacing w:line="400" w:lineRule="exact"/>
              <w:ind w:left="630" w:leftChars="300"/>
              <w:rPr>
                <w:color w:val="auto"/>
                <w:highlight w:val="none"/>
              </w:rPr>
            </w:pPr>
            <w:r>
              <w:rPr>
                <w:rFonts w:hint="eastAsia"/>
                <w:color w:val="auto"/>
                <w:highlight w:val="none"/>
              </w:rPr>
              <w:t>5.11做好校内的资产管理工作，对发现的人为破坏情况要记录并向破坏者追讨相应赔偿。</w:t>
            </w:r>
          </w:p>
          <w:p>
            <w:pPr>
              <w:autoSpaceDE w:val="0"/>
              <w:autoSpaceDN w:val="0"/>
              <w:adjustRightInd w:val="0"/>
              <w:snapToGrid w:val="0"/>
              <w:spacing w:line="400" w:lineRule="exact"/>
              <w:ind w:firstLine="630" w:firstLineChars="300"/>
              <w:rPr>
                <w:color w:val="auto"/>
                <w:highlight w:val="none"/>
              </w:rPr>
            </w:pPr>
            <w:r>
              <w:rPr>
                <w:rFonts w:hint="eastAsia"/>
                <w:color w:val="auto"/>
                <w:highlight w:val="none"/>
              </w:rPr>
              <w:t>5.12自觉遵守校园管理规定，服从采购人监督管理。</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6.对队伍管理的要求</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6.1 采购人参与安保公司的人员招聘和日常工作管理。</w:t>
            </w:r>
          </w:p>
          <w:p>
            <w:pPr>
              <w:autoSpaceDE w:val="0"/>
              <w:autoSpaceDN w:val="0"/>
              <w:adjustRightInd w:val="0"/>
              <w:snapToGrid w:val="0"/>
              <w:spacing w:line="400" w:lineRule="exact"/>
              <w:ind w:left="638" w:leftChars="304"/>
              <w:rPr>
                <w:color w:val="auto"/>
                <w:highlight w:val="none"/>
              </w:rPr>
            </w:pPr>
            <w:r>
              <w:rPr>
                <w:rFonts w:hint="eastAsia"/>
                <w:color w:val="auto"/>
                <w:highlight w:val="none"/>
              </w:rPr>
              <w:t>6.1 加强对秩序员的教育和培训，每周集中开展规范化执勤、消防知识、队列训练、体能训练、防暴训练等业务学习培训不少于1次，每月不少于8小时，建立员工培训工作档案，将训练科目内容及时间，退伍军人比例（不低于</w:t>
            </w:r>
            <w:r>
              <w:rPr>
                <w:color w:val="auto"/>
                <w:highlight w:val="none"/>
              </w:rPr>
              <w:t>20</w:t>
            </w:r>
            <w:r>
              <w:rPr>
                <w:rFonts w:hint="eastAsia"/>
                <w:color w:val="auto"/>
                <w:highlight w:val="none"/>
              </w:rPr>
              <w:t>%）月离职率（不超过</w:t>
            </w:r>
            <w:r>
              <w:rPr>
                <w:color w:val="auto"/>
                <w:highlight w:val="none"/>
              </w:rPr>
              <w:t>10</w:t>
            </w:r>
            <w:r>
              <w:rPr>
                <w:rFonts w:hint="eastAsia"/>
                <w:color w:val="auto"/>
                <w:highlight w:val="none"/>
              </w:rPr>
              <w:t>%，本月队员花名册和上月队员花名册对比）员工保有率（超过50%在学校项目工作时间不少于6个月，半年期满时考核）列入安保服务质量评估考核。</w:t>
            </w:r>
          </w:p>
          <w:p>
            <w:pPr>
              <w:autoSpaceDE w:val="0"/>
              <w:autoSpaceDN w:val="0"/>
              <w:adjustRightInd w:val="0"/>
              <w:snapToGrid w:val="0"/>
              <w:spacing w:line="400" w:lineRule="exact"/>
              <w:ind w:firstLine="630" w:firstLineChars="300"/>
              <w:rPr>
                <w:color w:val="auto"/>
                <w:highlight w:val="none"/>
              </w:rPr>
            </w:pPr>
            <w:r>
              <w:rPr>
                <w:rFonts w:hint="eastAsia"/>
                <w:color w:val="auto"/>
                <w:highlight w:val="none"/>
              </w:rPr>
              <w:t>6.2 规范交接班，每日班前进行集中强调，班后集中总结。</w:t>
            </w:r>
          </w:p>
          <w:p>
            <w:pPr>
              <w:autoSpaceDE w:val="0"/>
              <w:autoSpaceDN w:val="0"/>
              <w:adjustRightInd w:val="0"/>
              <w:snapToGrid w:val="0"/>
              <w:spacing w:line="400" w:lineRule="exact"/>
              <w:ind w:firstLine="630" w:firstLineChars="300"/>
              <w:rPr>
                <w:color w:val="auto"/>
                <w:highlight w:val="none"/>
              </w:rPr>
            </w:pPr>
            <w:r>
              <w:rPr>
                <w:rFonts w:hint="eastAsia"/>
                <w:color w:val="auto"/>
                <w:highlight w:val="none"/>
              </w:rPr>
              <w:t>6.3 制定各种突发事件应急预案并经常演练。</w:t>
            </w:r>
          </w:p>
          <w:p>
            <w:pPr>
              <w:autoSpaceDE w:val="0"/>
              <w:autoSpaceDN w:val="0"/>
              <w:adjustRightInd w:val="0"/>
              <w:snapToGrid w:val="0"/>
              <w:spacing w:line="400" w:lineRule="exact"/>
              <w:ind w:left="630" w:leftChars="300"/>
              <w:rPr>
                <w:color w:val="auto"/>
                <w:highlight w:val="none"/>
              </w:rPr>
            </w:pPr>
            <w:r>
              <w:rPr>
                <w:rFonts w:hint="eastAsia"/>
                <w:color w:val="auto"/>
                <w:highlight w:val="none"/>
              </w:rPr>
              <w:t>6.4 严格执行采购人制定的岗位设置和工作职责，对不执行采购人规定或不符合要求的人员，采购人有权要求加强管理和人员调换。</w:t>
            </w:r>
          </w:p>
          <w:p>
            <w:pPr>
              <w:autoSpaceDE w:val="0"/>
              <w:autoSpaceDN w:val="0"/>
              <w:adjustRightInd w:val="0"/>
              <w:snapToGrid w:val="0"/>
              <w:spacing w:line="400" w:lineRule="exact"/>
              <w:ind w:firstLine="630" w:firstLineChars="300"/>
              <w:rPr>
                <w:color w:val="auto"/>
                <w:highlight w:val="none"/>
              </w:rPr>
            </w:pPr>
            <w:r>
              <w:rPr>
                <w:rFonts w:hint="eastAsia"/>
                <w:color w:val="auto"/>
                <w:highlight w:val="none"/>
              </w:rPr>
              <w:t>6.5 制定并执行队伍奖惩制度。</w:t>
            </w: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（三）岗位设置及工作职责</w:t>
            </w:r>
          </w:p>
          <w:p>
            <w:pPr>
              <w:spacing w:after="120" w:line="360" w:lineRule="auto"/>
              <w:ind w:firstLine="420" w:firstLineChars="200"/>
              <w:rPr>
                <w:color w:val="auto"/>
                <w:highlight w:val="none"/>
              </w:rPr>
            </w:pPr>
            <w:r>
              <w:rPr>
                <w:rFonts w:hint="eastAsia"/>
                <w:color w:val="auto"/>
                <w:highlight w:val="none"/>
              </w:rPr>
              <w:t>明阳校区全院共设八个岗点，具体岗点设置、保安员人员安排及工作职责如下：</w:t>
            </w:r>
          </w:p>
          <w:p>
            <w:pPr>
              <w:adjustRightInd w:val="0"/>
              <w:spacing w:line="360" w:lineRule="auto"/>
              <w:ind w:firstLine="420"/>
              <w:outlineLvl w:val="0"/>
              <w:rPr>
                <w:color w:val="auto"/>
                <w:highlight w:val="none"/>
              </w:rPr>
            </w:pPr>
            <w:r>
              <w:rPr>
                <w:rFonts w:hint="eastAsia"/>
                <w:color w:val="auto"/>
                <w:highlight w:val="none"/>
              </w:rPr>
              <w:t>1号岗</w:t>
            </w:r>
          </w:p>
          <w:p>
            <w:pPr>
              <w:adjustRightInd w:val="0"/>
              <w:spacing w:line="360" w:lineRule="auto"/>
              <w:ind w:left="420" w:firstLine="420"/>
              <w:rPr>
                <w:color w:val="auto"/>
                <w:highlight w:val="none"/>
              </w:rPr>
            </w:pPr>
            <w:r>
              <w:rPr>
                <w:rFonts w:hint="eastAsia"/>
                <w:color w:val="auto"/>
                <w:highlight w:val="none"/>
              </w:rPr>
              <w:t>1.1执勤范围：学院西大门一带</w:t>
            </w:r>
          </w:p>
          <w:p>
            <w:pPr>
              <w:adjustRightInd w:val="0"/>
              <w:spacing w:line="360" w:lineRule="auto"/>
              <w:ind w:left="420" w:firstLine="420"/>
              <w:rPr>
                <w:color w:val="auto"/>
                <w:highlight w:val="none"/>
              </w:rPr>
            </w:pPr>
            <w:r>
              <w:rPr>
                <w:rFonts w:hint="eastAsia"/>
                <w:color w:val="auto"/>
                <w:highlight w:val="none"/>
              </w:rPr>
              <w:t>1.2人员安排：每天三班， 24小时轮流值班，每班1人，共3人。</w:t>
            </w:r>
          </w:p>
          <w:p>
            <w:pPr>
              <w:adjustRightInd w:val="0"/>
              <w:spacing w:line="360" w:lineRule="auto"/>
              <w:ind w:left="420" w:firstLine="420"/>
              <w:rPr>
                <w:color w:val="auto"/>
                <w:highlight w:val="none"/>
              </w:rPr>
            </w:pPr>
            <w:r>
              <w:rPr>
                <w:rFonts w:hint="eastAsia"/>
                <w:color w:val="auto"/>
                <w:highlight w:val="none"/>
              </w:rPr>
              <w:t>1.3工作职责：</w:t>
            </w:r>
          </w:p>
          <w:p>
            <w:pPr>
              <w:adjustRightInd w:val="0"/>
              <w:spacing w:line="360" w:lineRule="auto"/>
              <w:ind w:left="420" w:firstLine="420"/>
              <w:rPr>
                <w:color w:val="auto"/>
                <w:highlight w:val="none"/>
              </w:rPr>
            </w:pPr>
            <w:r>
              <w:rPr>
                <w:rFonts w:hint="eastAsia"/>
                <w:color w:val="auto"/>
                <w:highlight w:val="none"/>
              </w:rPr>
              <w:t>1.3.1对进出学院的车辆、人员进行引导、指挥，维护学院大门的正常秩序。</w:t>
            </w:r>
          </w:p>
          <w:p>
            <w:pPr>
              <w:adjustRightInd w:val="0"/>
              <w:spacing w:line="360" w:lineRule="auto"/>
              <w:ind w:left="420" w:firstLine="420"/>
              <w:rPr>
                <w:color w:val="auto"/>
                <w:highlight w:val="none"/>
              </w:rPr>
            </w:pPr>
            <w:r>
              <w:rPr>
                <w:rFonts w:hint="eastAsia"/>
                <w:color w:val="auto"/>
                <w:highlight w:val="none"/>
              </w:rPr>
              <w:t>1.3.2负责门禁系统的管理、维护和车辆收费工作；对进出学院的机动车辆严格实行一杆一车制度；认真履行访客登记制度。</w:t>
            </w:r>
          </w:p>
          <w:p>
            <w:pPr>
              <w:adjustRightInd w:val="0"/>
              <w:spacing w:line="360" w:lineRule="auto"/>
              <w:ind w:left="420" w:firstLine="420"/>
              <w:rPr>
                <w:color w:val="auto"/>
                <w:highlight w:val="none"/>
              </w:rPr>
            </w:pPr>
            <w:r>
              <w:rPr>
                <w:rFonts w:hint="eastAsia"/>
                <w:color w:val="auto"/>
                <w:highlight w:val="none"/>
              </w:rPr>
              <w:t>1.3.3严格执行人行门禁管理制度，杜绝闲杂人员进入校园。</w:t>
            </w:r>
          </w:p>
          <w:p>
            <w:pPr>
              <w:adjustRightInd w:val="0"/>
              <w:spacing w:line="360" w:lineRule="auto"/>
              <w:ind w:left="420" w:firstLine="420"/>
              <w:rPr>
                <w:color w:val="auto"/>
                <w:highlight w:val="none"/>
              </w:rPr>
            </w:pPr>
            <w:r>
              <w:rPr>
                <w:rFonts w:hint="eastAsia"/>
                <w:color w:val="auto"/>
                <w:highlight w:val="none"/>
              </w:rPr>
              <w:t>1.3.4保持警惕，发现可疑人员和情况妥善处理，迅速报告安全稳定处。</w:t>
            </w:r>
          </w:p>
          <w:p>
            <w:pPr>
              <w:adjustRightInd w:val="0"/>
              <w:spacing w:line="360" w:lineRule="auto"/>
              <w:ind w:left="420" w:firstLine="420"/>
              <w:rPr>
                <w:color w:val="auto"/>
                <w:highlight w:val="none"/>
              </w:rPr>
            </w:pPr>
            <w:r>
              <w:rPr>
                <w:rFonts w:hint="eastAsia"/>
                <w:color w:val="auto"/>
                <w:highlight w:val="none"/>
              </w:rPr>
              <w:t>1.3.5按照学院规定对拉出学院的大宗或贵重物品进行检查、登记。</w:t>
            </w:r>
          </w:p>
          <w:p>
            <w:pPr>
              <w:adjustRightInd w:val="0"/>
              <w:spacing w:line="360" w:lineRule="auto"/>
              <w:ind w:left="420" w:firstLine="420"/>
              <w:rPr>
                <w:color w:val="auto"/>
                <w:highlight w:val="none"/>
              </w:rPr>
            </w:pPr>
            <w:r>
              <w:rPr>
                <w:rFonts w:hint="eastAsia"/>
                <w:color w:val="auto"/>
                <w:highlight w:val="none"/>
              </w:rPr>
              <w:t>1.3.6发生案件或事故，采取有效措施进行处置，保护好现场，及时报告安全稳定处，协助开展调查工作。</w:t>
            </w:r>
          </w:p>
          <w:p>
            <w:pPr>
              <w:adjustRightInd w:val="0"/>
              <w:spacing w:line="360" w:lineRule="auto"/>
              <w:ind w:left="420" w:firstLine="420"/>
              <w:rPr>
                <w:color w:val="auto"/>
                <w:highlight w:val="none"/>
              </w:rPr>
            </w:pPr>
            <w:r>
              <w:rPr>
                <w:rFonts w:hint="eastAsia"/>
                <w:color w:val="auto"/>
                <w:highlight w:val="none"/>
              </w:rPr>
              <w:t>1.3.7定期对执勤范围内的消防器材和其他安全设施进行检查，确保执勤范围内的设施、设备完好。</w:t>
            </w:r>
          </w:p>
          <w:p>
            <w:pPr>
              <w:adjustRightInd w:val="0"/>
              <w:spacing w:line="360" w:lineRule="auto"/>
              <w:ind w:left="420" w:firstLine="420"/>
              <w:rPr>
                <w:color w:val="auto"/>
                <w:highlight w:val="none"/>
              </w:rPr>
            </w:pPr>
            <w:r>
              <w:rPr>
                <w:rFonts w:hint="eastAsia"/>
                <w:color w:val="auto"/>
                <w:highlight w:val="none"/>
              </w:rPr>
              <w:t>1.3.8完成安全稳定处交办的其他工作。</w:t>
            </w:r>
          </w:p>
          <w:p>
            <w:pPr>
              <w:adjustRightInd w:val="0"/>
              <w:spacing w:line="360" w:lineRule="auto"/>
              <w:outlineLvl w:val="0"/>
              <w:rPr>
                <w:color w:val="auto"/>
                <w:highlight w:val="none"/>
              </w:rPr>
            </w:pPr>
            <w:r>
              <w:rPr>
                <w:rFonts w:hint="eastAsia"/>
                <w:color w:val="auto"/>
                <w:highlight w:val="none"/>
              </w:rPr>
              <w:t>2号岗</w:t>
            </w:r>
          </w:p>
          <w:p>
            <w:pPr>
              <w:adjustRightInd w:val="0"/>
              <w:spacing w:line="360" w:lineRule="auto"/>
              <w:ind w:left="420" w:firstLine="420"/>
              <w:rPr>
                <w:color w:val="auto"/>
                <w:highlight w:val="none"/>
              </w:rPr>
            </w:pPr>
            <w:r>
              <w:rPr>
                <w:rFonts w:hint="eastAsia"/>
                <w:color w:val="auto"/>
                <w:highlight w:val="none"/>
              </w:rPr>
              <w:t>2.1执勤范围：平房一一带。</w:t>
            </w:r>
          </w:p>
          <w:p>
            <w:pPr>
              <w:adjustRightInd w:val="0"/>
              <w:spacing w:line="360" w:lineRule="auto"/>
              <w:ind w:left="420" w:firstLine="420"/>
              <w:rPr>
                <w:color w:val="auto"/>
                <w:highlight w:val="none"/>
              </w:rPr>
            </w:pPr>
            <w:r>
              <w:rPr>
                <w:rFonts w:hint="eastAsia"/>
                <w:color w:val="auto"/>
                <w:highlight w:val="none"/>
              </w:rPr>
              <w:t>2.2人员安排：每天三班，24小时轮流值班，每班1人，共3人。</w:t>
            </w:r>
          </w:p>
          <w:p>
            <w:pPr>
              <w:adjustRightInd w:val="0"/>
              <w:spacing w:line="360" w:lineRule="auto"/>
              <w:ind w:left="420" w:firstLine="420"/>
              <w:rPr>
                <w:color w:val="auto"/>
                <w:highlight w:val="none"/>
              </w:rPr>
            </w:pPr>
            <w:r>
              <w:rPr>
                <w:rFonts w:hint="eastAsia"/>
                <w:color w:val="auto"/>
                <w:highlight w:val="none"/>
              </w:rPr>
              <w:t>2.3工作职责：</w:t>
            </w:r>
          </w:p>
          <w:p>
            <w:pPr>
              <w:adjustRightInd w:val="0"/>
              <w:spacing w:line="360" w:lineRule="auto"/>
              <w:ind w:left="420" w:firstLine="420"/>
              <w:rPr>
                <w:color w:val="auto"/>
                <w:highlight w:val="none"/>
              </w:rPr>
            </w:pPr>
            <w:r>
              <w:rPr>
                <w:rFonts w:hint="eastAsia"/>
                <w:color w:val="auto"/>
                <w:highlight w:val="none"/>
              </w:rPr>
              <w:t>2.3.1责平房一定点值班，对进入平房一的外来人员（凭未佩带工作证进行识别）进行询问管理，杜绝无关人员进入平房一办公区。</w:t>
            </w:r>
          </w:p>
          <w:p>
            <w:pPr>
              <w:adjustRightInd w:val="0"/>
              <w:spacing w:line="360" w:lineRule="auto"/>
              <w:ind w:left="420" w:firstLine="420"/>
              <w:rPr>
                <w:color w:val="auto"/>
                <w:highlight w:val="none"/>
              </w:rPr>
            </w:pPr>
            <w:r>
              <w:rPr>
                <w:rFonts w:hint="eastAsia"/>
                <w:color w:val="auto"/>
                <w:highlight w:val="none"/>
              </w:rPr>
              <w:t>2.3.2密切注意平房一一带的治安动态，发现安全隐患，妥善处理，不能处理的，立即报告安全稳定处。</w:t>
            </w:r>
          </w:p>
          <w:p>
            <w:pPr>
              <w:adjustRightInd w:val="0"/>
              <w:spacing w:line="360" w:lineRule="auto"/>
              <w:ind w:left="420" w:firstLine="420"/>
              <w:rPr>
                <w:color w:val="auto"/>
                <w:highlight w:val="none"/>
              </w:rPr>
            </w:pPr>
            <w:r>
              <w:rPr>
                <w:rFonts w:hint="eastAsia"/>
                <w:color w:val="auto"/>
                <w:highlight w:val="none"/>
              </w:rPr>
              <w:t>2.3.3对平房一附近的车辆停放进行指挥、引导，保持良好交通秩序。</w:t>
            </w:r>
          </w:p>
          <w:p>
            <w:pPr>
              <w:adjustRightInd w:val="0"/>
              <w:spacing w:line="360" w:lineRule="auto"/>
              <w:ind w:left="420" w:firstLine="420"/>
              <w:rPr>
                <w:color w:val="auto"/>
                <w:highlight w:val="none"/>
              </w:rPr>
            </w:pPr>
            <w:r>
              <w:rPr>
                <w:rFonts w:hint="eastAsia"/>
                <w:color w:val="auto"/>
                <w:highlight w:val="none"/>
              </w:rPr>
              <w:t>2.3.4白班、中班定岗执勤，晚班以平房一为中心进行周边巡逻防范。上下班时段（每日上午8：20—9：00，下午16：40—17：20）必须站立值勤，在岗在位。</w:t>
            </w:r>
          </w:p>
          <w:p>
            <w:pPr>
              <w:adjustRightInd w:val="0"/>
              <w:spacing w:line="360" w:lineRule="auto"/>
              <w:ind w:left="420" w:firstLine="420"/>
              <w:rPr>
                <w:color w:val="auto"/>
                <w:highlight w:val="none"/>
              </w:rPr>
            </w:pPr>
            <w:r>
              <w:rPr>
                <w:rFonts w:hint="eastAsia"/>
                <w:color w:val="auto"/>
                <w:highlight w:val="none"/>
              </w:rPr>
              <w:t>2.3.5定期对执勤范围内的消防器材和其他安全设施进行检查登记，确保执勤范围内的设施、设备完好。</w:t>
            </w:r>
          </w:p>
          <w:p>
            <w:pPr>
              <w:adjustRightInd w:val="0"/>
              <w:spacing w:line="360" w:lineRule="auto"/>
              <w:ind w:left="420" w:firstLine="420"/>
              <w:rPr>
                <w:color w:val="auto"/>
                <w:highlight w:val="none"/>
              </w:rPr>
            </w:pPr>
            <w:r>
              <w:rPr>
                <w:rFonts w:hint="eastAsia"/>
                <w:color w:val="auto"/>
                <w:highlight w:val="none"/>
              </w:rPr>
              <w:t>2.3.6完成安全稳定处交办的其他工作。</w:t>
            </w:r>
          </w:p>
          <w:p>
            <w:pPr>
              <w:adjustRightInd w:val="0"/>
              <w:spacing w:line="360" w:lineRule="auto"/>
              <w:ind w:firstLine="420"/>
              <w:outlineLvl w:val="0"/>
              <w:rPr>
                <w:color w:val="auto"/>
                <w:highlight w:val="none"/>
              </w:rPr>
            </w:pPr>
            <w:r>
              <w:rPr>
                <w:rFonts w:hint="eastAsia"/>
                <w:color w:val="auto"/>
                <w:highlight w:val="none"/>
              </w:rPr>
              <w:t>3号岗</w:t>
            </w:r>
          </w:p>
          <w:p>
            <w:pPr>
              <w:adjustRightInd w:val="0"/>
              <w:spacing w:line="360" w:lineRule="auto"/>
              <w:ind w:left="420" w:firstLine="420"/>
              <w:rPr>
                <w:color w:val="auto"/>
                <w:highlight w:val="none"/>
              </w:rPr>
            </w:pPr>
            <w:r>
              <w:rPr>
                <w:rFonts w:hint="eastAsia"/>
                <w:color w:val="auto"/>
                <w:highlight w:val="none"/>
              </w:rPr>
              <w:t>3.1执勤范围：教学综合楼、思源楼一带。</w:t>
            </w:r>
          </w:p>
          <w:p>
            <w:pPr>
              <w:adjustRightInd w:val="0"/>
              <w:spacing w:line="360" w:lineRule="auto"/>
              <w:ind w:left="420" w:firstLine="420"/>
              <w:rPr>
                <w:color w:val="auto"/>
                <w:highlight w:val="none"/>
              </w:rPr>
            </w:pPr>
            <w:r>
              <w:rPr>
                <w:rFonts w:hint="eastAsia"/>
                <w:color w:val="auto"/>
                <w:highlight w:val="none"/>
              </w:rPr>
              <w:t>3.2人员安排：每天三班，24小时轮流值班，每班1人，共3人。</w:t>
            </w:r>
          </w:p>
          <w:p>
            <w:pPr>
              <w:adjustRightInd w:val="0"/>
              <w:snapToGrid w:val="0"/>
              <w:spacing w:line="360" w:lineRule="auto"/>
              <w:ind w:left="420" w:firstLine="420"/>
              <w:rPr>
                <w:color w:val="auto"/>
                <w:highlight w:val="none"/>
              </w:rPr>
            </w:pPr>
            <w:r>
              <w:rPr>
                <w:rFonts w:hint="eastAsia"/>
                <w:color w:val="auto"/>
                <w:highlight w:val="none"/>
              </w:rPr>
              <w:t>3.3工作职责：</w:t>
            </w:r>
          </w:p>
          <w:p>
            <w:pPr>
              <w:adjustRightInd w:val="0"/>
              <w:snapToGrid w:val="0"/>
              <w:spacing w:line="360" w:lineRule="auto"/>
              <w:ind w:left="420" w:firstLine="420"/>
              <w:rPr>
                <w:color w:val="auto"/>
                <w:highlight w:val="none"/>
              </w:rPr>
            </w:pPr>
            <w:r>
              <w:rPr>
                <w:rFonts w:hint="eastAsia"/>
                <w:color w:val="auto"/>
                <w:highlight w:val="none"/>
              </w:rPr>
              <w:t>3.3.1白班和中班在教学综合楼入口定岗值班，对进入楼宇的可疑人员进行询问盘查（凭未佩带工作证进行识别），杜绝闲杂人员进入。晚班在执勤范围内巡逻防范。上下班时段（每日上午8：20—9：00，下午16：40—17：20）必须站立值勤，在岗在位。</w:t>
            </w:r>
          </w:p>
          <w:p>
            <w:pPr>
              <w:adjustRightInd w:val="0"/>
              <w:spacing w:line="360" w:lineRule="auto"/>
              <w:ind w:left="420" w:firstLine="420"/>
              <w:rPr>
                <w:color w:val="auto"/>
                <w:highlight w:val="none"/>
              </w:rPr>
            </w:pPr>
            <w:r>
              <w:rPr>
                <w:rFonts w:hint="eastAsia"/>
                <w:color w:val="auto"/>
                <w:highlight w:val="none"/>
              </w:rPr>
              <w:t>3.3.2密切注意进出楼宇的所有人员，对带出楼宇的大件物品或非一般性物品，要认真进行检查核实，并做好登记。</w:t>
            </w:r>
          </w:p>
          <w:p>
            <w:pPr>
              <w:adjustRightInd w:val="0"/>
              <w:spacing w:line="360" w:lineRule="auto"/>
              <w:ind w:left="420" w:firstLine="420"/>
              <w:rPr>
                <w:color w:val="auto"/>
                <w:highlight w:val="none"/>
              </w:rPr>
            </w:pPr>
            <w:r>
              <w:rPr>
                <w:rFonts w:hint="eastAsia"/>
                <w:color w:val="auto"/>
                <w:highlight w:val="none"/>
              </w:rPr>
              <w:t>3.3.3对教学综合楼周边的车辆停放进行指挥、引导，保持良好交通秩序。</w:t>
            </w:r>
          </w:p>
          <w:p>
            <w:pPr>
              <w:adjustRightInd w:val="0"/>
              <w:spacing w:line="360" w:lineRule="auto"/>
              <w:ind w:left="420" w:firstLine="420"/>
              <w:rPr>
                <w:color w:val="auto"/>
                <w:highlight w:val="none"/>
              </w:rPr>
            </w:pPr>
            <w:r>
              <w:rPr>
                <w:rFonts w:hint="eastAsia"/>
                <w:color w:val="auto"/>
                <w:highlight w:val="none"/>
              </w:rPr>
              <w:t>3.3.4密切注意教学综合楼一带的治安动态，发现安全隐患，妥善处理，不能处理的，立即报告安全稳定处。</w:t>
            </w:r>
          </w:p>
          <w:p>
            <w:pPr>
              <w:adjustRightInd w:val="0"/>
              <w:snapToGrid w:val="0"/>
              <w:spacing w:line="360" w:lineRule="auto"/>
              <w:ind w:left="420" w:leftChars="200" w:firstLine="420" w:firstLineChars="200"/>
              <w:rPr>
                <w:color w:val="auto"/>
                <w:highlight w:val="none"/>
              </w:rPr>
            </w:pPr>
            <w:r>
              <w:rPr>
                <w:rFonts w:hint="eastAsia"/>
                <w:color w:val="auto"/>
                <w:highlight w:val="none"/>
              </w:rPr>
              <w:t>3.3.5定期对执勤范围内的消防器材和其他安全设施进行检查登记，确保执勤范围内的设施、设备完好。</w:t>
            </w:r>
          </w:p>
          <w:p>
            <w:pPr>
              <w:adjustRightInd w:val="0"/>
              <w:snapToGrid w:val="0"/>
              <w:spacing w:line="360" w:lineRule="auto"/>
              <w:ind w:left="420" w:leftChars="200" w:firstLine="420" w:firstLineChars="200"/>
              <w:rPr>
                <w:color w:val="auto"/>
                <w:highlight w:val="none"/>
              </w:rPr>
            </w:pPr>
            <w:r>
              <w:rPr>
                <w:rFonts w:hint="eastAsia"/>
                <w:color w:val="auto"/>
                <w:highlight w:val="none"/>
              </w:rPr>
              <w:t>3.3.6完成安全稳定处交办的其他工作。</w:t>
            </w:r>
          </w:p>
          <w:p>
            <w:pPr>
              <w:adjustRightInd w:val="0"/>
              <w:spacing w:line="360" w:lineRule="auto"/>
              <w:ind w:firstLine="420"/>
              <w:outlineLvl w:val="0"/>
              <w:rPr>
                <w:color w:val="auto"/>
                <w:highlight w:val="none"/>
              </w:rPr>
            </w:pPr>
            <w:r>
              <w:rPr>
                <w:rFonts w:hint="eastAsia"/>
                <w:color w:val="auto"/>
                <w:highlight w:val="none"/>
              </w:rPr>
              <w:t>4号岗</w:t>
            </w:r>
          </w:p>
          <w:p>
            <w:pPr>
              <w:adjustRightInd w:val="0"/>
              <w:spacing w:line="360" w:lineRule="auto"/>
              <w:ind w:left="420" w:firstLine="420"/>
              <w:rPr>
                <w:color w:val="auto"/>
                <w:highlight w:val="none"/>
              </w:rPr>
            </w:pPr>
            <w:r>
              <w:rPr>
                <w:rFonts w:hint="eastAsia"/>
                <w:color w:val="auto"/>
                <w:highlight w:val="none"/>
              </w:rPr>
              <w:t>4.1执勤范围：创业路北门一带</w:t>
            </w:r>
          </w:p>
          <w:p>
            <w:pPr>
              <w:adjustRightInd w:val="0"/>
              <w:spacing w:line="360" w:lineRule="auto"/>
              <w:ind w:left="420" w:firstLine="420"/>
              <w:rPr>
                <w:color w:val="auto"/>
                <w:highlight w:val="none"/>
              </w:rPr>
            </w:pPr>
            <w:r>
              <w:rPr>
                <w:rFonts w:hint="eastAsia"/>
                <w:color w:val="auto"/>
                <w:highlight w:val="none"/>
              </w:rPr>
              <w:t>4.2人员安排：每天三班，24小时轮流值班，每班1人，共3人。</w:t>
            </w:r>
          </w:p>
          <w:p>
            <w:pPr>
              <w:adjustRightInd w:val="0"/>
              <w:snapToGrid w:val="0"/>
              <w:spacing w:line="360" w:lineRule="auto"/>
              <w:ind w:left="420" w:firstLine="420"/>
              <w:rPr>
                <w:color w:val="auto"/>
                <w:highlight w:val="none"/>
              </w:rPr>
            </w:pPr>
            <w:r>
              <w:rPr>
                <w:rFonts w:hint="eastAsia"/>
                <w:color w:val="auto"/>
                <w:highlight w:val="none"/>
              </w:rPr>
              <w:t>4.3工作职责：</w:t>
            </w:r>
          </w:p>
          <w:p>
            <w:pPr>
              <w:adjustRightInd w:val="0"/>
              <w:snapToGrid w:val="0"/>
              <w:spacing w:line="360" w:lineRule="auto"/>
              <w:ind w:left="420" w:firstLine="420"/>
              <w:rPr>
                <w:color w:val="auto"/>
                <w:highlight w:val="none"/>
              </w:rPr>
            </w:pPr>
            <w:r>
              <w:rPr>
                <w:rFonts w:hint="eastAsia"/>
                <w:color w:val="auto"/>
                <w:highlight w:val="none"/>
              </w:rPr>
              <w:t>4.3.1白班和中班在创业路北门定岗值班，按照规定对进出北门人员进行管控，杜绝闲杂人员进出。晚班在创业路北门及图信大楼一带巡逻防范，维护执勤范围内的正常秩序。</w:t>
            </w:r>
          </w:p>
          <w:p>
            <w:pPr>
              <w:adjustRightInd w:val="0"/>
              <w:snapToGrid w:val="0"/>
              <w:spacing w:line="360" w:lineRule="auto"/>
              <w:ind w:left="420" w:firstLine="420"/>
              <w:rPr>
                <w:color w:val="auto"/>
                <w:highlight w:val="none"/>
              </w:rPr>
            </w:pPr>
            <w:r>
              <w:rPr>
                <w:rFonts w:hint="eastAsia"/>
                <w:color w:val="auto"/>
                <w:highlight w:val="none"/>
              </w:rPr>
              <w:t>4.3.2发生案件或突发事故，采取积极有效的措施，保护好现场，及时报告安全稳定处，并积极协助开展调查工作。</w:t>
            </w:r>
          </w:p>
          <w:p>
            <w:pPr>
              <w:adjustRightInd w:val="0"/>
              <w:snapToGrid w:val="0"/>
              <w:spacing w:line="360" w:lineRule="auto"/>
              <w:ind w:left="420" w:firstLine="420"/>
              <w:rPr>
                <w:color w:val="auto"/>
                <w:highlight w:val="none"/>
              </w:rPr>
            </w:pPr>
            <w:r>
              <w:rPr>
                <w:rFonts w:hint="eastAsia"/>
                <w:color w:val="auto"/>
                <w:highlight w:val="none"/>
              </w:rPr>
              <w:t>4.3.3负责执勤范围内车辆停放进行指挥、引导，保持良好交通秩序。</w:t>
            </w:r>
          </w:p>
          <w:p>
            <w:pPr>
              <w:adjustRightInd w:val="0"/>
              <w:snapToGrid w:val="0"/>
              <w:spacing w:line="360" w:lineRule="auto"/>
              <w:ind w:left="420" w:firstLine="420"/>
              <w:rPr>
                <w:color w:val="auto"/>
                <w:highlight w:val="none"/>
              </w:rPr>
            </w:pPr>
            <w:r>
              <w:rPr>
                <w:rFonts w:hint="eastAsia"/>
                <w:color w:val="auto"/>
                <w:highlight w:val="none"/>
              </w:rPr>
              <w:t>4.3.4定期对执勤范围内的消防器材和其他安全设施进行检查登记，确保执勤范围内的设施、设备完好。</w:t>
            </w:r>
          </w:p>
          <w:p>
            <w:pPr>
              <w:adjustRightInd w:val="0"/>
              <w:snapToGrid w:val="0"/>
              <w:spacing w:line="360" w:lineRule="auto"/>
              <w:ind w:left="420" w:leftChars="200" w:firstLine="420" w:firstLineChars="200"/>
              <w:rPr>
                <w:color w:val="auto"/>
                <w:highlight w:val="none"/>
              </w:rPr>
            </w:pPr>
            <w:r>
              <w:rPr>
                <w:rFonts w:hint="eastAsia"/>
                <w:color w:val="auto"/>
                <w:highlight w:val="none"/>
              </w:rPr>
              <w:t>4.3.5完成安全稳定处交办的其他工作。</w:t>
            </w:r>
          </w:p>
          <w:p>
            <w:pPr>
              <w:adjustRightInd w:val="0"/>
              <w:spacing w:line="360" w:lineRule="auto"/>
              <w:ind w:firstLine="420"/>
              <w:outlineLvl w:val="0"/>
              <w:rPr>
                <w:color w:val="auto"/>
                <w:highlight w:val="none"/>
              </w:rPr>
            </w:pPr>
            <w:r>
              <w:rPr>
                <w:rFonts w:hint="eastAsia"/>
                <w:color w:val="auto"/>
                <w:highlight w:val="none"/>
              </w:rPr>
              <w:t>5号岗</w:t>
            </w:r>
          </w:p>
          <w:p>
            <w:pPr>
              <w:adjustRightInd w:val="0"/>
              <w:spacing w:line="360" w:lineRule="auto"/>
              <w:ind w:left="420" w:firstLine="420"/>
              <w:rPr>
                <w:color w:val="auto"/>
                <w:highlight w:val="none"/>
              </w:rPr>
            </w:pPr>
            <w:r>
              <w:rPr>
                <w:rFonts w:hint="eastAsia"/>
                <w:color w:val="auto"/>
                <w:highlight w:val="none"/>
              </w:rPr>
              <w:t>5.1执勤范围：涉农产教融合大楼一带。</w:t>
            </w:r>
          </w:p>
          <w:p>
            <w:pPr>
              <w:adjustRightInd w:val="0"/>
              <w:spacing w:line="360" w:lineRule="auto"/>
              <w:ind w:left="420" w:firstLine="420"/>
              <w:rPr>
                <w:color w:val="auto"/>
                <w:highlight w:val="none"/>
              </w:rPr>
            </w:pPr>
            <w:r>
              <w:rPr>
                <w:rFonts w:hint="eastAsia"/>
                <w:color w:val="auto"/>
                <w:highlight w:val="none"/>
              </w:rPr>
              <w:t>5.2人员安排：每天三班，24小时轮流值班，每班1人，共3人。</w:t>
            </w:r>
          </w:p>
          <w:p>
            <w:pPr>
              <w:adjustRightInd w:val="0"/>
              <w:snapToGrid w:val="0"/>
              <w:spacing w:line="360" w:lineRule="auto"/>
              <w:ind w:left="420" w:firstLine="420"/>
              <w:rPr>
                <w:color w:val="auto"/>
                <w:highlight w:val="none"/>
              </w:rPr>
            </w:pPr>
            <w:r>
              <w:rPr>
                <w:rFonts w:hint="eastAsia"/>
                <w:color w:val="auto"/>
                <w:highlight w:val="none"/>
              </w:rPr>
              <w:t>5.3工作职责：</w:t>
            </w:r>
          </w:p>
          <w:p>
            <w:pPr>
              <w:adjustRightInd w:val="0"/>
              <w:spacing w:line="360" w:lineRule="auto"/>
              <w:ind w:left="420" w:firstLine="420"/>
              <w:rPr>
                <w:color w:val="auto"/>
                <w:highlight w:val="none"/>
              </w:rPr>
            </w:pPr>
            <w:r>
              <w:rPr>
                <w:rFonts w:hint="eastAsia"/>
                <w:color w:val="auto"/>
                <w:highlight w:val="none"/>
              </w:rPr>
              <w:t>5.3.1白班和中班在涉农产教融合大楼入口定岗值班，对进入楼宇的可疑人员进行询问盘查（凭未佩带工作证进行识别），杜绝闲杂人员进入。晚班在执勤范围内巡逻防范。上下班时段（每日上午8：30—9：00，下午17：00—17：30）必须站立值勤，在岗在位。</w:t>
            </w:r>
          </w:p>
          <w:p>
            <w:pPr>
              <w:adjustRightInd w:val="0"/>
              <w:snapToGrid w:val="0"/>
              <w:spacing w:line="360" w:lineRule="auto"/>
              <w:ind w:left="420" w:firstLine="420" w:firstLineChars="200"/>
              <w:rPr>
                <w:color w:val="auto"/>
                <w:highlight w:val="none"/>
              </w:rPr>
            </w:pPr>
            <w:r>
              <w:rPr>
                <w:rFonts w:hint="eastAsia"/>
                <w:color w:val="auto"/>
                <w:highlight w:val="none"/>
              </w:rPr>
              <w:t>5.3.2密切注意进出楼宇的所有人员，对带出楼宇的大件物品或非一般性物品，要认真进行检查核实，并做好登记。</w:t>
            </w:r>
          </w:p>
          <w:p>
            <w:pPr>
              <w:adjustRightInd w:val="0"/>
              <w:snapToGrid w:val="0"/>
              <w:spacing w:line="360" w:lineRule="auto"/>
              <w:ind w:left="420" w:firstLine="420" w:firstLineChars="200"/>
              <w:rPr>
                <w:color w:val="auto"/>
                <w:highlight w:val="none"/>
              </w:rPr>
            </w:pPr>
            <w:r>
              <w:rPr>
                <w:rFonts w:hint="eastAsia"/>
                <w:color w:val="auto"/>
                <w:highlight w:val="none"/>
              </w:rPr>
              <w:t>5.3.3对涉农产教融合大楼周边的车辆停放进行指挥、引导，保持良好交通秩序。</w:t>
            </w:r>
          </w:p>
          <w:p>
            <w:pPr>
              <w:adjustRightInd w:val="0"/>
              <w:snapToGrid w:val="0"/>
              <w:spacing w:line="360" w:lineRule="auto"/>
              <w:ind w:left="420" w:leftChars="200" w:firstLine="420" w:firstLineChars="200"/>
              <w:rPr>
                <w:color w:val="auto"/>
                <w:highlight w:val="none"/>
              </w:rPr>
            </w:pPr>
            <w:r>
              <w:rPr>
                <w:rFonts w:hint="eastAsia"/>
                <w:color w:val="auto"/>
                <w:highlight w:val="none"/>
              </w:rPr>
              <w:t>5.3.4密切注意涉农产教融合大楼一带的治安动态，发现安全隐患，妥善处理，不能处理的，立即报告安全稳定处。</w:t>
            </w:r>
          </w:p>
          <w:p>
            <w:pPr>
              <w:adjustRightInd w:val="0"/>
              <w:snapToGrid w:val="0"/>
              <w:spacing w:line="360" w:lineRule="auto"/>
              <w:ind w:left="420" w:leftChars="200" w:firstLine="420" w:firstLineChars="200"/>
              <w:rPr>
                <w:color w:val="auto"/>
                <w:highlight w:val="none"/>
              </w:rPr>
            </w:pPr>
            <w:r>
              <w:rPr>
                <w:rFonts w:hint="eastAsia"/>
                <w:color w:val="auto"/>
                <w:highlight w:val="none"/>
              </w:rPr>
              <w:t>5.3.5定期对执勤范围内的消防器材和其他安全设施进行检查登记，确保执勤范围内的设施、设备完好。</w:t>
            </w:r>
          </w:p>
          <w:p>
            <w:pPr>
              <w:adjustRightInd w:val="0"/>
              <w:snapToGrid w:val="0"/>
              <w:spacing w:line="360" w:lineRule="auto"/>
              <w:ind w:left="420" w:leftChars="200" w:firstLine="420" w:firstLineChars="200"/>
              <w:rPr>
                <w:color w:val="auto"/>
                <w:highlight w:val="none"/>
              </w:rPr>
            </w:pPr>
            <w:r>
              <w:rPr>
                <w:rFonts w:hint="eastAsia"/>
                <w:color w:val="auto"/>
                <w:highlight w:val="none"/>
              </w:rPr>
              <w:t>5.3.5完成安全稳定处交办的其他工作。</w:t>
            </w:r>
          </w:p>
          <w:p>
            <w:pPr>
              <w:adjustRightInd w:val="0"/>
              <w:spacing w:line="360" w:lineRule="auto"/>
              <w:ind w:firstLine="420"/>
              <w:outlineLvl w:val="0"/>
              <w:rPr>
                <w:color w:val="auto"/>
                <w:highlight w:val="none"/>
              </w:rPr>
            </w:pPr>
            <w:r>
              <w:rPr>
                <w:rFonts w:hint="eastAsia"/>
                <w:color w:val="auto"/>
                <w:highlight w:val="none"/>
              </w:rPr>
              <w:t>6号岗</w:t>
            </w:r>
          </w:p>
          <w:p>
            <w:pPr>
              <w:adjustRightInd w:val="0"/>
              <w:spacing w:line="360" w:lineRule="auto"/>
              <w:ind w:left="420" w:firstLine="420"/>
              <w:rPr>
                <w:color w:val="auto"/>
                <w:highlight w:val="none"/>
              </w:rPr>
            </w:pPr>
            <w:r>
              <w:rPr>
                <w:rFonts w:hint="eastAsia"/>
                <w:color w:val="auto"/>
                <w:highlight w:val="none"/>
              </w:rPr>
              <w:t>6.1执勤范围：学院南大门一带。</w:t>
            </w:r>
          </w:p>
          <w:p>
            <w:pPr>
              <w:adjustRightInd w:val="0"/>
              <w:spacing w:line="360" w:lineRule="auto"/>
              <w:ind w:left="420" w:firstLine="420"/>
              <w:rPr>
                <w:color w:val="auto"/>
                <w:highlight w:val="none"/>
              </w:rPr>
            </w:pPr>
            <w:r>
              <w:rPr>
                <w:rFonts w:hint="eastAsia"/>
                <w:color w:val="auto"/>
                <w:highlight w:val="none"/>
              </w:rPr>
              <w:t>6.2人员安排：每天三班，24小时轮流值班，每班5人，遇到高峰时段临时加派2~3人。</w:t>
            </w:r>
          </w:p>
          <w:p>
            <w:pPr>
              <w:adjustRightInd w:val="0"/>
              <w:snapToGrid w:val="0"/>
              <w:spacing w:line="360" w:lineRule="auto"/>
              <w:ind w:left="420" w:firstLine="420"/>
              <w:rPr>
                <w:color w:val="auto"/>
                <w:highlight w:val="none"/>
              </w:rPr>
            </w:pPr>
            <w:r>
              <w:rPr>
                <w:rFonts w:hint="eastAsia"/>
                <w:color w:val="auto"/>
                <w:highlight w:val="none"/>
              </w:rPr>
              <w:t>6.3工作职责：</w:t>
            </w:r>
          </w:p>
          <w:p>
            <w:pPr>
              <w:adjustRightInd w:val="0"/>
              <w:spacing w:line="360" w:lineRule="auto"/>
              <w:ind w:left="420" w:firstLine="420"/>
              <w:rPr>
                <w:color w:val="auto"/>
                <w:highlight w:val="none"/>
              </w:rPr>
            </w:pPr>
            <w:r>
              <w:rPr>
                <w:rFonts w:hint="eastAsia"/>
                <w:color w:val="auto"/>
                <w:highlight w:val="none"/>
              </w:rPr>
              <w:t>6.3.1对进出学院的车辆、人员进行引导、指挥，维护学院大门的正常秩序。</w:t>
            </w:r>
          </w:p>
          <w:p>
            <w:pPr>
              <w:adjustRightInd w:val="0"/>
              <w:spacing w:line="360" w:lineRule="auto"/>
              <w:ind w:left="420" w:firstLine="420"/>
              <w:rPr>
                <w:color w:val="auto"/>
                <w:highlight w:val="none"/>
              </w:rPr>
            </w:pPr>
            <w:r>
              <w:rPr>
                <w:rFonts w:hint="eastAsia"/>
                <w:color w:val="auto"/>
                <w:highlight w:val="none"/>
              </w:rPr>
              <w:t>6.3.2负责门禁系统的管理、维护和车辆收费工作；对进出学院的机动车辆严格实行一杆一车制度。</w:t>
            </w:r>
          </w:p>
          <w:p>
            <w:pPr>
              <w:adjustRightInd w:val="0"/>
              <w:spacing w:line="360" w:lineRule="auto"/>
              <w:ind w:left="420" w:firstLine="420"/>
              <w:rPr>
                <w:color w:val="auto"/>
                <w:highlight w:val="none"/>
              </w:rPr>
            </w:pPr>
            <w:r>
              <w:rPr>
                <w:rFonts w:hint="eastAsia"/>
                <w:color w:val="auto"/>
                <w:highlight w:val="none"/>
              </w:rPr>
              <w:t>6.3.3严格执行人行门禁管理制度，认真履行访客登记制度，杜绝闲杂人员进入校园。</w:t>
            </w:r>
          </w:p>
          <w:p>
            <w:pPr>
              <w:adjustRightInd w:val="0"/>
              <w:spacing w:line="360" w:lineRule="auto"/>
              <w:ind w:left="420" w:firstLine="420"/>
              <w:rPr>
                <w:color w:val="auto"/>
                <w:highlight w:val="none"/>
              </w:rPr>
            </w:pPr>
            <w:r>
              <w:rPr>
                <w:rFonts w:hint="eastAsia"/>
                <w:color w:val="auto"/>
                <w:highlight w:val="none"/>
              </w:rPr>
              <w:t>6.3.4保持警惕，发现可疑人员和情况妥善处理，迅速报告安全稳定处。</w:t>
            </w:r>
          </w:p>
          <w:p>
            <w:pPr>
              <w:adjustRightInd w:val="0"/>
              <w:snapToGrid w:val="0"/>
              <w:spacing w:line="360" w:lineRule="auto"/>
              <w:ind w:left="420" w:leftChars="200" w:firstLine="420" w:firstLineChars="200"/>
              <w:rPr>
                <w:color w:val="auto"/>
                <w:highlight w:val="none"/>
              </w:rPr>
            </w:pPr>
            <w:r>
              <w:rPr>
                <w:rFonts w:hint="eastAsia"/>
                <w:color w:val="auto"/>
                <w:highlight w:val="none"/>
              </w:rPr>
              <w:t>6.3.5按照学院规定对拉出学院的大宗或贵重物品进行检查、登记。</w:t>
            </w:r>
          </w:p>
          <w:p>
            <w:pPr>
              <w:adjustRightInd w:val="0"/>
              <w:snapToGrid w:val="0"/>
              <w:spacing w:line="360" w:lineRule="auto"/>
              <w:ind w:left="420" w:leftChars="200" w:firstLine="420" w:firstLineChars="200"/>
              <w:rPr>
                <w:color w:val="auto"/>
                <w:highlight w:val="none"/>
              </w:rPr>
            </w:pPr>
            <w:r>
              <w:rPr>
                <w:rFonts w:hint="eastAsia"/>
                <w:color w:val="auto"/>
                <w:highlight w:val="none"/>
              </w:rPr>
              <w:t>6.3.6发生案件或事故，采取有效措施进行处置，保护好现场，及时报告安全稳定处，协助开展调查工作。</w:t>
            </w:r>
          </w:p>
          <w:p>
            <w:pPr>
              <w:adjustRightInd w:val="0"/>
              <w:snapToGrid w:val="0"/>
              <w:spacing w:line="360" w:lineRule="auto"/>
              <w:ind w:left="420" w:leftChars="200" w:firstLine="420" w:firstLineChars="200"/>
              <w:rPr>
                <w:color w:val="auto"/>
                <w:highlight w:val="none"/>
              </w:rPr>
            </w:pPr>
            <w:r>
              <w:rPr>
                <w:rFonts w:hint="eastAsia"/>
                <w:color w:val="auto"/>
                <w:highlight w:val="none"/>
              </w:rPr>
              <w:t>6.3.7定期对执勤范围内的消防器材和其他安全设施进行检查，确保执勤范围内的设施、设备完好。</w:t>
            </w:r>
          </w:p>
          <w:p>
            <w:pPr>
              <w:adjustRightInd w:val="0"/>
              <w:snapToGrid w:val="0"/>
              <w:spacing w:line="360" w:lineRule="auto"/>
              <w:ind w:left="840" w:leftChars="400"/>
              <w:rPr>
                <w:color w:val="auto"/>
                <w:highlight w:val="none"/>
              </w:rPr>
            </w:pPr>
            <w:r>
              <w:rPr>
                <w:rFonts w:hint="eastAsia"/>
                <w:color w:val="auto"/>
                <w:highlight w:val="none"/>
              </w:rPr>
              <w:t>6.3.8完成安全稳定处交办的其他工作。</w:t>
            </w:r>
          </w:p>
          <w:p>
            <w:pPr>
              <w:keepNext/>
              <w:keepLines/>
              <w:numPr>
                <w:ilvl w:val="2"/>
                <w:numId w:val="0"/>
              </w:numPr>
              <w:spacing w:after="120" w:line="360" w:lineRule="auto"/>
              <w:ind w:left="342"/>
              <w:outlineLvl w:val="2"/>
              <w:rPr>
                <w:color w:val="auto"/>
                <w:highlight w:val="none"/>
                <w:lang w:val="zh-CN"/>
              </w:rPr>
            </w:pPr>
            <w:r>
              <w:rPr>
                <w:rFonts w:hint="eastAsia"/>
                <w:color w:val="auto"/>
                <w:highlight w:val="none"/>
                <w:lang w:val="zh-CN"/>
              </w:rPr>
              <w:t>7综合巡查岗号岗</w:t>
            </w:r>
          </w:p>
          <w:p>
            <w:pPr>
              <w:adjustRightInd w:val="0"/>
              <w:spacing w:line="360" w:lineRule="auto"/>
              <w:ind w:left="420" w:firstLine="420"/>
              <w:rPr>
                <w:color w:val="auto"/>
                <w:highlight w:val="none"/>
              </w:rPr>
            </w:pPr>
            <w:r>
              <w:rPr>
                <w:rFonts w:hint="eastAsia"/>
                <w:color w:val="auto"/>
                <w:highlight w:val="none"/>
              </w:rPr>
              <w:t>7.1岗位及人员配置：安全生产秩序员1名、综合巡查秩序员2名。</w:t>
            </w:r>
          </w:p>
          <w:p>
            <w:pPr>
              <w:adjustRightInd w:val="0"/>
              <w:spacing w:line="360" w:lineRule="auto"/>
              <w:ind w:left="420" w:firstLine="420"/>
              <w:rPr>
                <w:color w:val="auto"/>
                <w:highlight w:val="none"/>
              </w:rPr>
            </w:pPr>
            <w:r>
              <w:rPr>
                <w:rFonts w:hint="eastAsia"/>
                <w:color w:val="auto"/>
                <w:highlight w:val="none"/>
              </w:rPr>
              <w:t>7.2执勤范围：校园及周边区域。</w:t>
            </w:r>
          </w:p>
          <w:p>
            <w:pPr>
              <w:adjustRightInd w:val="0"/>
              <w:spacing w:line="360" w:lineRule="auto"/>
              <w:ind w:left="420" w:firstLine="420"/>
              <w:rPr>
                <w:color w:val="auto"/>
                <w:highlight w:val="none"/>
              </w:rPr>
            </w:pPr>
            <w:r>
              <w:rPr>
                <w:rFonts w:hint="eastAsia"/>
                <w:color w:val="auto"/>
                <w:highlight w:val="none"/>
              </w:rPr>
              <w:t>7.3人员安排：人员安排：每天三班，24小时轮流值班，每班1人,共3人。</w:t>
            </w:r>
          </w:p>
          <w:p>
            <w:pPr>
              <w:adjustRightInd w:val="0"/>
              <w:snapToGrid w:val="0"/>
              <w:spacing w:line="360" w:lineRule="auto"/>
              <w:ind w:left="420" w:firstLine="420"/>
              <w:rPr>
                <w:color w:val="auto"/>
                <w:highlight w:val="none"/>
              </w:rPr>
            </w:pPr>
            <w:r>
              <w:rPr>
                <w:rFonts w:hint="eastAsia"/>
                <w:color w:val="auto"/>
                <w:highlight w:val="none"/>
              </w:rPr>
              <w:t>7.4工作职责：</w:t>
            </w:r>
          </w:p>
          <w:p>
            <w:pPr>
              <w:adjustRightInd w:val="0"/>
              <w:snapToGrid w:val="0"/>
              <w:spacing w:line="360" w:lineRule="auto"/>
              <w:ind w:left="420" w:firstLine="420"/>
              <w:rPr>
                <w:color w:val="auto"/>
                <w:highlight w:val="none"/>
              </w:rPr>
            </w:pPr>
            <w:r>
              <w:rPr>
                <w:rFonts w:hint="eastAsia"/>
                <w:color w:val="auto"/>
                <w:highlight w:val="none"/>
              </w:rPr>
              <w:t>7.4.1协助安全稳定处综合整治校园及周边治安环境。</w:t>
            </w:r>
          </w:p>
          <w:p>
            <w:pPr>
              <w:adjustRightInd w:val="0"/>
              <w:snapToGrid w:val="0"/>
              <w:spacing w:line="360" w:lineRule="auto"/>
              <w:ind w:left="420" w:firstLine="420"/>
              <w:rPr>
                <w:color w:val="auto"/>
                <w:highlight w:val="none"/>
              </w:rPr>
            </w:pPr>
            <w:r>
              <w:rPr>
                <w:rFonts w:hint="eastAsia"/>
                <w:color w:val="auto"/>
                <w:highlight w:val="none"/>
              </w:rPr>
              <w:t>7.4.2协助学安全稳定处安全检查工作，并做好检查记录；建立安全隐患档案，及时向安全稳定处提出整改意见和建议，落实整改措施；</w:t>
            </w:r>
          </w:p>
          <w:p>
            <w:pPr>
              <w:adjustRightInd w:val="0"/>
              <w:snapToGrid w:val="0"/>
              <w:spacing w:line="360" w:lineRule="auto"/>
              <w:ind w:left="420" w:firstLine="420"/>
              <w:rPr>
                <w:color w:val="auto"/>
                <w:highlight w:val="none"/>
              </w:rPr>
            </w:pPr>
            <w:r>
              <w:rPr>
                <w:rFonts w:hint="eastAsia"/>
                <w:color w:val="auto"/>
                <w:highlight w:val="none"/>
              </w:rPr>
              <w:t>7.4.3完善安全工作资料档案，及时做好安全生产工作各种台帐资料的整理。</w:t>
            </w:r>
          </w:p>
          <w:p>
            <w:pPr>
              <w:adjustRightInd w:val="0"/>
              <w:snapToGrid w:val="0"/>
              <w:spacing w:line="360" w:lineRule="auto"/>
              <w:ind w:left="420" w:firstLine="420"/>
              <w:rPr>
                <w:color w:val="auto"/>
                <w:highlight w:val="none"/>
              </w:rPr>
            </w:pPr>
            <w:r>
              <w:rPr>
                <w:rFonts w:hint="eastAsia"/>
                <w:color w:val="auto"/>
                <w:highlight w:val="none"/>
              </w:rPr>
              <w:t>7.4.4负责校园各区域的治安巡防，严防盗窃、抢夺等案件的发生，确保师生生命财产安全。白班和中班至少各巡逻校园周边一次。</w:t>
            </w:r>
          </w:p>
          <w:p>
            <w:pPr>
              <w:adjustRightInd w:val="0"/>
              <w:snapToGrid w:val="0"/>
              <w:spacing w:line="360" w:lineRule="auto"/>
              <w:ind w:left="420" w:firstLine="420"/>
              <w:rPr>
                <w:color w:val="auto"/>
                <w:highlight w:val="none"/>
              </w:rPr>
            </w:pPr>
            <w:r>
              <w:rPr>
                <w:rFonts w:hint="eastAsia"/>
                <w:color w:val="auto"/>
                <w:highlight w:val="none"/>
              </w:rPr>
              <w:t>7.4.5负责维护校园秩序、安全隐患检查和校园公共区域可疑人员盘查；发现校园内举办异常活动，及时制止和报告；对校园内出现的不良现象、行为，及时加以纠正；预防盗窃、火灾、打架斗殴等各类严重危害校（院）内安全稳定和消防安全事件的发生，一旦发现立即报告并进行妥善处置。</w:t>
            </w:r>
          </w:p>
          <w:p>
            <w:pPr>
              <w:adjustRightInd w:val="0"/>
              <w:snapToGrid w:val="0"/>
              <w:spacing w:line="360" w:lineRule="auto"/>
              <w:ind w:left="420" w:firstLine="420"/>
              <w:rPr>
                <w:color w:val="auto"/>
                <w:highlight w:val="none"/>
              </w:rPr>
            </w:pPr>
            <w:r>
              <w:rPr>
                <w:rFonts w:hint="eastAsia"/>
                <w:color w:val="auto"/>
                <w:highlight w:val="none"/>
              </w:rPr>
              <w:t>7.4.6严发现可疑人员或抓获现行违法犯罪嫌疑人员，及时报告安全稳定处、辖区派出所处理，缴获的赃款赃物移交派出所登记处理。</w:t>
            </w:r>
          </w:p>
          <w:p>
            <w:pPr>
              <w:adjustRightInd w:val="0"/>
              <w:snapToGrid w:val="0"/>
              <w:spacing w:line="360" w:lineRule="auto"/>
              <w:ind w:left="420" w:firstLine="420"/>
              <w:rPr>
                <w:color w:val="auto"/>
                <w:highlight w:val="none"/>
              </w:rPr>
            </w:pPr>
            <w:r>
              <w:rPr>
                <w:rFonts w:hint="eastAsia"/>
                <w:color w:val="auto"/>
                <w:highlight w:val="none"/>
              </w:rPr>
              <w:t>7.4.7配合安防调度中心值班员处理警情，保护现场，及时报告情况。</w:t>
            </w:r>
          </w:p>
          <w:p>
            <w:pPr>
              <w:adjustRightInd w:val="0"/>
              <w:snapToGrid w:val="0"/>
              <w:spacing w:line="360" w:lineRule="auto"/>
              <w:ind w:left="420" w:firstLine="420"/>
              <w:rPr>
                <w:color w:val="auto"/>
                <w:highlight w:val="none"/>
              </w:rPr>
            </w:pPr>
            <w:r>
              <w:rPr>
                <w:rFonts w:hint="eastAsia"/>
                <w:color w:val="auto"/>
                <w:highlight w:val="none"/>
              </w:rPr>
              <w:t>7.4.5指挥引导车辆有序停放，保障道路畅通。就餐期间食堂周边、会议期间会场周边的车辆交通指挥，对违规车辆及时处理并及时反馈到安全稳定处，维护良好交通秩序；无重大活动时正常巡逻，维护正常秩序。</w:t>
            </w:r>
          </w:p>
          <w:p>
            <w:pPr>
              <w:adjustRightInd w:val="0"/>
              <w:snapToGrid w:val="0"/>
              <w:spacing w:line="360" w:lineRule="auto"/>
              <w:ind w:left="420" w:firstLine="420"/>
              <w:rPr>
                <w:color w:val="auto"/>
                <w:highlight w:val="none"/>
              </w:rPr>
            </w:pPr>
            <w:r>
              <w:rPr>
                <w:rFonts w:hint="eastAsia"/>
                <w:color w:val="auto"/>
                <w:highlight w:val="none"/>
              </w:rPr>
              <w:t>7.4.8认真巡查各楼宇、围墙、安全防范设备和车辆停放情况，消防灭火器按标准规定检查，并做好记录。</w:t>
            </w:r>
          </w:p>
          <w:p>
            <w:pPr>
              <w:adjustRightInd w:val="0"/>
              <w:snapToGrid w:val="0"/>
              <w:spacing w:line="360" w:lineRule="auto"/>
              <w:ind w:left="420" w:firstLine="420"/>
              <w:rPr>
                <w:color w:val="auto"/>
                <w:highlight w:val="none"/>
              </w:rPr>
            </w:pPr>
            <w:r>
              <w:rPr>
                <w:rFonts w:hint="eastAsia"/>
                <w:color w:val="auto"/>
                <w:highlight w:val="none"/>
              </w:rPr>
              <w:t>7.4.9校区有重要活动或会议时，负责活动或会议期间的交通秩序指挥、车辆停放工作和车辆疏导工作；参加会议人数300至500人的，有重要领导参加的会议，中标人必须派5名秩序员进行负责活动会议的交通秩序指挥及引导车辆停放工作；参加会议人数500至800人以上的，有重要领导参加的会议，中标人必须派8名秩序员进行负责活动会议的交通秩序指挥及引导车辆停放工作（所派秩序员不得抽调门岗和行政中心岗在岗执勤人员）且按采购人制定的方案设置岗位。</w:t>
            </w:r>
          </w:p>
          <w:p>
            <w:pPr>
              <w:adjustRightInd w:val="0"/>
              <w:snapToGrid w:val="0"/>
              <w:spacing w:line="360" w:lineRule="auto"/>
              <w:ind w:left="420" w:firstLine="420"/>
              <w:rPr>
                <w:color w:val="auto"/>
                <w:highlight w:val="none"/>
              </w:rPr>
            </w:pPr>
            <w:r>
              <w:rPr>
                <w:rFonts w:hint="eastAsia"/>
                <w:color w:val="auto"/>
                <w:highlight w:val="none"/>
              </w:rPr>
              <w:t>7.4.10阻止大型车辆进入管理区域（特种车辆除外）；禁止载有易燃、易爆、有毒、有害及其它危险物品的车辆进入管理区域。</w:t>
            </w:r>
          </w:p>
          <w:p>
            <w:pPr>
              <w:adjustRightInd w:val="0"/>
              <w:snapToGrid w:val="0"/>
              <w:spacing w:line="360" w:lineRule="auto"/>
              <w:ind w:left="420" w:firstLine="420"/>
              <w:rPr>
                <w:color w:val="auto"/>
                <w:highlight w:val="none"/>
              </w:rPr>
            </w:pPr>
            <w:r>
              <w:rPr>
                <w:rFonts w:hint="eastAsia"/>
                <w:color w:val="auto"/>
                <w:highlight w:val="none"/>
              </w:rPr>
              <w:t>7.4.11在重要时期，根据学院统一部署，组织校园及周边的巡查巡防行动，防止在校园及周边发生治安事件。必要时，加强对过往人员、车辆的盘查，防止涉校、涉师生的暴恐事件发生。</w:t>
            </w:r>
          </w:p>
          <w:p>
            <w:pPr>
              <w:adjustRightInd w:val="0"/>
              <w:snapToGrid w:val="0"/>
              <w:spacing w:line="360" w:lineRule="auto"/>
              <w:ind w:left="420" w:firstLine="420"/>
              <w:rPr>
                <w:color w:val="auto"/>
                <w:highlight w:val="none"/>
              </w:rPr>
            </w:pPr>
            <w:r>
              <w:rPr>
                <w:rFonts w:hint="eastAsia"/>
                <w:color w:val="auto"/>
                <w:highlight w:val="none"/>
              </w:rPr>
              <w:t>7.4.12 保安员均为义务消防人员，须全面熟练掌握灭火器的作用、位置和操作方法。发生火警的，附近区域巡逻保安员必须在</w:t>
            </w:r>
            <w:r>
              <w:rPr>
                <w:color w:val="auto"/>
                <w:highlight w:val="none"/>
              </w:rPr>
              <w:t xml:space="preserve"> 3 </w:t>
            </w:r>
            <w:r>
              <w:rPr>
                <w:rFonts w:hint="eastAsia"/>
                <w:color w:val="auto"/>
                <w:highlight w:val="none"/>
              </w:rPr>
              <w:t>分钟内赶到现场，熟练解救被困人员，疏导人员逃生，使用灭火器或消防水枪灭火。</w:t>
            </w:r>
          </w:p>
          <w:p>
            <w:pPr>
              <w:adjustRightInd w:val="0"/>
              <w:snapToGrid w:val="0"/>
              <w:spacing w:line="360" w:lineRule="auto"/>
              <w:ind w:left="420" w:firstLine="420"/>
              <w:rPr>
                <w:color w:val="auto"/>
                <w:highlight w:val="none"/>
              </w:rPr>
            </w:pPr>
            <w:r>
              <w:rPr>
                <w:rFonts w:hint="eastAsia"/>
                <w:color w:val="auto"/>
                <w:highlight w:val="none"/>
              </w:rPr>
              <w:t>7.4.13完成安全稳定处交办的其他工作。</w:t>
            </w:r>
          </w:p>
          <w:p>
            <w:pPr>
              <w:keepNext/>
              <w:keepLines/>
              <w:numPr>
                <w:ilvl w:val="2"/>
                <w:numId w:val="0"/>
              </w:numPr>
              <w:spacing w:after="120" w:line="360" w:lineRule="auto"/>
              <w:ind w:left="342"/>
              <w:outlineLvl w:val="2"/>
              <w:rPr>
                <w:color w:val="auto"/>
                <w:highlight w:val="none"/>
                <w:lang w:val="zh-CN"/>
              </w:rPr>
            </w:pPr>
            <w:r>
              <w:rPr>
                <w:rFonts w:hint="eastAsia"/>
                <w:color w:val="auto"/>
                <w:highlight w:val="none"/>
                <w:lang w:val="zh-CN"/>
              </w:rPr>
              <w:t>8 安防调度中心值班岗</w:t>
            </w:r>
          </w:p>
          <w:p>
            <w:pPr>
              <w:adjustRightInd w:val="0"/>
              <w:snapToGrid w:val="0"/>
              <w:spacing w:line="400" w:lineRule="exact"/>
              <w:ind w:firstLine="840" w:firstLineChars="400"/>
              <w:jc w:val="left"/>
              <w:rPr>
                <w:color w:val="auto"/>
                <w:highlight w:val="none"/>
              </w:rPr>
            </w:pPr>
            <w:r>
              <w:rPr>
                <w:rFonts w:hint="eastAsia"/>
                <w:color w:val="auto"/>
                <w:highlight w:val="none"/>
              </w:rPr>
              <w:t>8.1岗位及人员配置：特岗监控秩序员1名、普通监控秩序员2名。消防秩序员3名。</w:t>
            </w:r>
          </w:p>
          <w:p>
            <w:pPr>
              <w:adjustRightInd w:val="0"/>
              <w:spacing w:line="360" w:lineRule="auto"/>
              <w:ind w:left="420" w:firstLine="420"/>
              <w:rPr>
                <w:color w:val="auto"/>
                <w:highlight w:val="none"/>
              </w:rPr>
            </w:pPr>
            <w:r>
              <w:rPr>
                <w:rFonts w:hint="eastAsia"/>
                <w:color w:val="auto"/>
                <w:highlight w:val="none"/>
              </w:rPr>
              <w:t>8.2执勤范围：安防调度中心值班室。</w:t>
            </w:r>
          </w:p>
          <w:p>
            <w:pPr>
              <w:adjustRightInd w:val="0"/>
              <w:spacing w:line="360" w:lineRule="auto"/>
              <w:ind w:left="840" w:leftChars="400"/>
              <w:rPr>
                <w:color w:val="auto"/>
                <w:highlight w:val="none"/>
              </w:rPr>
            </w:pPr>
            <w:r>
              <w:rPr>
                <w:rFonts w:hint="eastAsia"/>
                <w:color w:val="auto"/>
                <w:highlight w:val="none"/>
              </w:rPr>
              <w:t>8.3人员安排：每天三班，24小时轮流值班，每班2人。</w:t>
            </w:r>
          </w:p>
          <w:p>
            <w:pPr>
              <w:adjustRightInd w:val="0"/>
              <w:snapToGrid w:val="0"/>
              <w:spacing w:line="360" w:lineRule="auto"/>
              <w:ind w:left="420" w:firstLine="420"/>
              <w:rPr>
                <w:color w:val="auto"/>
                <w:highlight w:val="none"/>
              </w:rPr>
            </w:pPr>
            <w:r>
              <w:rPr>
                <w:rFonts w:hint="eastAsia"/>
                <w:color w:val="auto"/>
                <w:highlight w:val="none"/>
              </w:rPr>
              <w:t>8.4工作职责：</w:t>
            </w:r>
          </w:p>
          <w:p>
            <w:pPr>
              <w:adjustRightInd w:val="0"/>
              <w:snapToGrid w:val="0"/>
              <w:spacing w:line="360" w:lineRule="auto"/>
              <w:ind w:left="420" w:firstLine="420"/>
              <w:rPr>
                <w:color w:val="auto"/>
                <w:highlight w:val="none"/>
              </w:rPr>
            </w:pPr>
            <w:r>
              <w:rPr>
                <w:rFonts w:hint="eastAsia"/>
                <w:color w:val="auto"/>
                <w:highlight w:val="none"/>
              </w:rPr>
              <w:t>8.4.1遵守安防调度中心的各项规章制度，认真履行岗位操作责任制，对视频监控与消防控制设备进行实时监控和操作。</w:t>
            </w:r>
          </w:p>
          <w:p>
            <w:pPr>
              <w:adjustRightInd w:val="0"/>
              <w:snapToGrid w:val="0"/>
              <w:spacing w:line="360" w:lineRule="auto"/>
              <w:ind w:left="420" w:firstLine="420"/>
              <w:rPr>
                <w:color w:val="auto"/>
                <w:highlight w:val="none"/>
              </w:rPr>
            </w:pPr>
            <w:r>
              <w:rPr>
                <w:rFonts w:hint="eastAsia"/>
                <w:color w:val="auto"/>
                <w:highlight w:val="none"/>
              </w:rPr>
              <w:t>8.4.2时刻保持高度的敏感性和警惕性，严禁脱岗、睡岗、漏岗和酗酒上班等现象发生，因工作失职造成严重后果的按学校相关规定追究责任。</w:t>
            </w:r>
          </w:p>
          <w:p>
            <w:pPr>
              <w:adjustRightInd w:val="0"/>
              <w:snapToGrid w:val="0"/>
              <w:spacing w:line="360" w:lineRule="auto"/>
              <w:ind w:left="420" w:firstLine="420"/>
              <w:rPr>
                <w:color w:val="auto"/>
                <w:highlight w:val="none"/>
              </w:rPr>
            </w:pPr>
            <w:r>
              <w:rPr>
                <w:rFonts w:hint="eastAsia"/>
                <w:color w:val="auto"/>
                <w:highlight w:val="none"/>
              </w:rPr>
              <w:t>8.4.3对安防调度中心设备设施及通讯器材等进行经常性的检查，定期做好系统功能测验，记录设备设施的运行、误报警、故障等有关情况，协助技术人员做好维护、维修工作，保证设备正常运行。</w:t>
            </w:r>
          </w:p>
          <w:p>
            <w:pPr>
              <w:adjustRightInd w:val="0"/>
              <w:snapToGrid w:val="0"/>
              <w:spacing w:line="360" w:lineRule="auto"/>
              <w:ind w:left="420" w:firstLine="420"/>
              <w:rPr>
                <w:color w:val="auto"/>
                <w:highlight w:val="none"/>
              </w:rPr>
            </w:pPr>
            <w:r>
              <w:rPr>
                <w:rFonts w:hint="eastAsia"/>
                <w:color w:val="auto"/>
                <w:highlight w:val="none"/>
              </w:rPr>
              <w:t>8.4.4负责接听微型消防站固定电话（设在安防调度中心内）和24小时校园报警电话，协调综合巡查岗等值班人员做出正确处理，及时向值班保卫干部报告情况，做好处置记录。</w:t>
            </w:r>
          </w:p>
          <w:p>
            <w:pPr>
              <w:adjustRightInd w:val="0"/>
              <w:snapToGrid w:val="0"/>
              <w:spacing w:line="360" w:lineRule="auto"/>
              <w:ind w:left="420" w:firstLine="420"/>
              <w:rPr>
                <w:color w:val="auto"/>
                <w:highlight w:val="none"/>
              </w:rPr>
            </w:pPr>
            <w:r>
              <w:rPr>
                <w:rFonts w:hint="eastAsia"/>
                <w:color w:val="auto"/>
                <w:highlight w:val="none"/>
              </w:rPr>
              <w:t>8.4.5视频监控秩序员要熟悉监控区域的基本情况，发现可疑情况要及时通知综合巡查岗等值班人员到现场处理，同时进行跟踪监视，及时向值班保卫干部报告情况。</w:t>
            </w:r>
          </w:p>
          <w:p>
            <w:pPr>
              <w:adjustRightInd w:val="0"/>
              <w:snapToGrid w:val="0"/>
              <w:spacing w:line="360" w:lineRule="auto"/>
              <w:ind w:left="420" w:firstLine="420"/>
              <w:rPr>
                <w:color w:val="auto"/>
                <w:highlight w:val="none"/>
              </w:rPr>
            </w:pPr>
            <w:r>
              <w:rPr>
                <w:rFonts w:hint="eastAsia"/>
                <w:color w:val="auto"/>
                <w:highlight w:val="none"/>
              </w:rPr>
              <w:t>8.4.6严格遵守监控保密制度，未经分管校领导批准，严禁无关人员进入监控室，调看录像、操作设备和对相关信息进行拷贝；有违纪行为一律通报批评并追究相应的责任。</w:t>
            </w:r>
          </w:p>
          <w:p>
            <w:pPr>
              <w:adjustRightInd w:val="0"/>
              <w:snapToGrid w:val="0"/>
              <w:spacing w:line="360" w:lineRule="auto"/>
              <w:ind w:left="420" w:firstLine="420"/>
              <w:rPr>
                <w:color w:val="auto"/>
                <w:highlight w:val="none"/>
              </w:rPr>
            </w:pPr>
            <w:r>
              <w:rPr>
                <w:rFonts w:hint="eastAsia"/>
                <w:color w:val="auto"/>
                <w:highlight w:val="none"/>
              </w:rPr>
              <w:t>8.4.7视频监控秩序员协助保卫干部查阅视频资料，为破案和事件处置提供有价值线索。</w:t>
            </w:r>
          </w:p>
          <w:p>
            <w:pPr>
              <w:adjustRightInd w:val="0"/>
              <w:snapToGrid w:val="0"/>
              <w:spacing w:line="360" w:lineRule="auto"/>
              <w:ind w:left="420" w:firstLine="420"/>
              <w:rPr>
                <w:color w:val="auto"/>
                <w:highlight w:val="none"/>
              </w:rPr>
            </w:pPr>
            <w:r>
              <w:rPr>
                <w:rFonts w:hint="eastAsia"/>
                <w:color w:val="auto"/>
                <w:highlight w:val="none"/>
              </w:rPr>
              <w:t>8.4.8消防监控秩序员要熟练掌握学院《消防应急处理预案》、《突发事件处理预案》，发生火灾与突发事件情况下能按照预案程序通知值班秩序员开展救援与处理工作。</w:t>
            </w:r>
          </w:p>
          <w:p>
            <w:pPr>
              <w:adjustRightInd w:val="0"/>
              <w:snapToGrid w:val="0"/>
              <w:spacing w:line="360" w:lineRule="auto"/>
              <w:ind w:left="420" w:firstLine="420"/>
              <w:rPr>
                <w:color w:val="auto"/>
                <w:highlight w:val="none"/>
              </w:rPr>
            </w:pPr>
            <w:r>
              <w:rPr>
                <w:rFonts w:hint="eastAsia"/>
                <w:color w:val="auto"/>
                <w:highlight w:val="none"/>
              </w:rPr>
              <w:t>8.4.9消防监控秩序员负责消防控制设备24小值守，根据消防自动控制系统警报做出正确的处理和报告；消防监控设备发出报警提示时，要迅速查清方位，及时报告队长，是误报要及时排除，是发生火灾，要立即报告，并在第一时间拨打“119”火警电话，队长及进组织人、义务消防员开展自救和事故现场人员的撤离。</w:t>
            </w:r>
          </w:p>
          <w:p>
            <w:pPr>
              <w:adjustRightInd w:val="0"/>
              <w:snapToGrid w:val="0"/>
              <w:spacing w:line="360" w:lineRule="auto"/>
              <w:ind w:left="420" w:firstLine="420"/>
              <w:rPr>
                <w:color w:val="auto"/>
                <w:highlight w:val="none"/>
              </w:rPr>
            </w:pPr>
            <w:r>
              <w:rPr>
                <w:rFonts w:hint="eastAsia"/>
                <w:color w:val="auto"/>
                <w:highlight w:val="none"/>
              </w:rPr>
              <w:t>8.4.10监控设备发现故障如视频监控无图像、消防监控不能正常报警等故障及时电话报校保卫部门。</w:t>
            </w:r>
          </w:p>
          <w:p>
            <w:pPr>
              <w:adjustRightInd w:val="0"/>
              <w:snapToGrid w:val="0"/>
              <w:spacing w:line="360" w:lineRule="auto"/>
              <w:ind w:left="420" w:firstLine="420"/>
              <w:rPr>
                <w:color w:val="auto"/>
                <w:highlight w:val="none"/>
              </w:rPr>
            </w:pPr>
            <w:r>
              <w:rPr>
                <w:rFonts w:hint="eastAsia"/>
                <w:color w:val="auto"/>
                <w:highlight w:val="none"/>
              </w:rPr>
              <w:t>8.4.11完成安全稳定处交办的其他工作。</w:t>
            </w:r>
          </w:p>
          <w:p>
            <w:pPr>
              <w:adjustRightInd w:val="0"/>
              <w:snapToGrid w:val="0"/>
              <w:spacing w:line="360" w:lineRule="auto"/>
              <w:ind w:left="420" w:firstLine="420"/>
              <w:rPr>
                <w:color w:val="auto"/>
                <w:highlight w:val="none"/>
              </w:rPr>
            </w:pPr>
            <w:r>
              <w:rPr>
                <w:rFonts w:hint="eastAsia"/>
                <w:color w:val="auto"/>
                <w:highlight w:val="none"/>
              </w:rPr>
              <w:t>高新教学实践基地设1个岗点，具体设置、保安员人员安排及工作职责如下：</w:t>
            </w:r>
          </w:p>
          <w:p>
            <w:pPr>
              <w:adjustRightInd w:val="0"/>
              <w:snapToGrid w:val="0"/>
              <w:spacing w:line="360" w:lineRule="auto"/>
              <w:ind w:left="420" w:firstLine="420"/>
              <w:rPr>
                <w:color w:val="auto"/>
                <w:highlight w:val="none"/>
              </w:rPr>
            </w:pPr>
            <w:r>
              <w:rPr>
                <w:rFonts w:hint="eastAsia"/>
                <w:color w:val="auto"/>
                <w:highlight w:val="none"/>
              </w:rPr>
              <w:t>9.高新实践教学基地大门岗</w:t>
            </w:r>
          </w:p>
          <w:p>
            <w:pPr>
              <w:adjustRightInd w:val="0"/>
              <w:snapToGrid w:val="0"/>
              <w:spacing w:line="360" w:lineRule="auto"/>
              <w:ind w:left="420" w:firstLine="420"/>
              <w:rPr>
                <w:color w:val="auto"/>
                <w:highlight w:val="none"/>
              </w:rPr>
            </w:pPr>
            <w:r>
              <w:rPr>
                <w:rFonts w:hint="eastAsia"/>
                <w:color w:val="auto"/>
                <w:highlight w:val="none"/>
              </w:rPr>
              <w:t>9.1岗位及人员配置：形象岗秩序员6名。</w:t>
            </w:r>
          </w:p>
          <w:p>
            <w:pPr>
              <w:adjustRightInd w:val="0"/>
              <w:snapToGrid w:val="0"/>
              <w:spacing w:line="360" w:lineRule="auto"/>
              <w:ind w:left="420" w:firstLine="420"/>
              <w:rPr>
                <w:color w:val="auto"/>
                <w:highlight w:val="none"/>
              </w:rPr>
            </w:pPr>
            <w:r>
              <w:rPr>
                <w:rFonts w:hint="eastAsia"/>
                <w:color w:val="auto"/>
                <w:highlight w:val="none"/>
              </w:rPr>
              <w:t>9.2执勤范围：高新教学实践基地。</w:t>
            </w:r>
          </w:p>
          <w:p>
            <w:pPr>
              <w:adjustRightInd w:val="0"/>
              <w:spacing w:line="360" w:lineRule="auto"/>
              <w:ind w:left="840" w:leftChars="400"/>
              <w:rPr>
                <w:color w:val="auto"/>
                <w:highlight w:val="none"/>
              </w:rPr>
            </w:pPr>
            <w:r>
              <w:rPr>
                <w:rFonts w:hint="eastAsia"/>
                <w:color w:val="auto"/>
                <w:highlight w:val="none"/>
              </w:rPr>
              <w:t>9.3人员安排：每天三班，24小时轮流值班，每班2人。</w:t>
            </w:r>
          </w:p>
          <w:p>
            <w:pPr>
              <w:adjustRightInd w:val="0"/>
              <w:snapToGrid w:val="0"/>
              <w:spacing w:line="360" w:lineRule="auto"/>
              <w:ind w:left="420" w:firstLine="420"/>
              <w:rPr>
                <w:color w:val="auto"/>
                <w:highlight w:val="none"/>
              </w:rPr>
            </w:pPr>
            <w:r>
              <w:rPr>
                <w:rFonts w:hint="eastAsia"/>
                <w:color w:val="auto"/>
                <w:highlight w:val="none"/>
              </w:rPr>
              <w:t>9.4.工作职责：</w:t>
            </w:r>
          </w:p>
          <w:p>
            <w:pPr>
              <w:adjustRightInd w:val="0"/>
              <w:snapToGrid w:val="0"/>
              <w:spacing w:line="360" w:lineRule="auto"/>
              <w:ind w:left="420" w:firstLine="420"/>
              <w:rPr>
                <w:color w:val="auto"/>
                <w:highlight w:val="none"/>
              </w:rPr>
            </w:pPr>
            <w:r>
              <w:rPr>
                <w:rFonts w:hint="eastAsia"/>
                <w:color w:val="auto"/>
                <w:highlight w:val="none"/>
              </w:rPr>
              <w:t>9.4.1全面负责管理区域内安全管理、交通管理、人员和物资的进出项目管理，重要场所守护，开展定时定点巡逻，及时发现和消除安全隐患。</w:t>
            </w:r>
          </w:p>
          <w:p>
            <w:pPr>
              <w:adjustRightInd w:val="0"/>
              <w:snapToGrid w:val="0"/>
              <w:spacing w:line="360" w:lineRule="auto"/>
              <w:ind w:left="420" w:firstLine="420"/>
              <w:rPr>
                <w:color w:val="auto"/>
                <w:highlight w:val="none"/>
              </w:rPr>
            </w:pPr>
            <w:r>
              <w:rPr>
                <w:rFonts w:hint="eastAsia"/>
                <w:color w:val="auto"/>
                <w:highlight w:val="none"/>
              </w:rPr>
              <w:t>9.4.2在基地负责人的组织和领导下，做好管理区域内内部治安综合治理工作；</w:t>
            </w:r>
          </w:p>
          <w:p>
            <w:pPr>
              <w:adjustRightInd w:val="0"/>
              <w:snapToGrid w:val="0"/>
              <w:spacing w:line="360" w:lineRule="auto"/>
              <w:ind w:left="420" w:firstLine="420"/>
              <w:rPr>
                <w:color w:val="auto"/>
                <w:highlight w:val="none"/>
              </w:rPr>
            </w:pPr>
            <w:r>
              <w:rPr>
                <w:rFonts w:hint="eastAsia"/>
                <w:color w:val="auto"/>
                <w:highlight w:val="none"/>
              </w:rPr>
              <w:t>9.4.3配合基地有关部门，及时受理管理区域内各类纠纷和治安案件，及时、正确处理校管理区域内的各类突发事件。</w:t>
            </w:r>
          </w:p>
          <w:p>
            <w:pPr>
              <w:adjustRightInd w:val="0"/>
              <w:snapToGrid w:val="0"/>
              <w:spacing w:line="360" w:lineRule="auto"/>
              <w:ind w:left="420" w:firstLine="420"/>
              <w:rPr>
                <w:color w:val="auto"/>
                <w:highlight w:val="none"/>
              </w:rPr>
            </w:pPr>
            <w:r>
              <w:rPr>
                <w:rFonts w:hint="eastAsia"/>
                <w:color w:val="auto"/>
                <w:highlight w:val="none"/>
              </w:rPr>
              <w:t xml:space="preserve">9.4.4随时出员，为校内师生、员工提供紧急救助服务。 </w:t>
            </w:r>
          </w:p>
          <w:p>
            <w:pPr>
              <w:adjustRightInd w:val="0"/>
              <w:snapToGrid w:val="0"/>
              <w:spacing w:line="360" w:lineRule="auto"/>
              <w:ind w:left="420" w:firstLine="420"/>
              <w:rPr>
                <w:color w:val="auto"/>
                <w:highlight w:val="none"/>
              </w:rPr>
            </w:pPr>
            <w:r>
              <w:rPr>
                <w:rFonts w:hint="eastAsia"/>
                <w:color w:val="auto"/>
                <w:highlight w:val="none"/>
              </w:rPr>
              <w:t>9.4.5配合有关科室，做好学生安全、纪律、卫生等教育及管理、检查工作。</w:t>
            </w:r>
          </w:p>
          <w:p>
            <w:pPr>
              <w:adjustRightInd w:val="0"/>
              <w:snapToGrid w:val="0"/>
              <w:spacing w:line="360" w:lineRule="auto"/>
              <w:ind w:left="420" w:firstLine="420"/>
              <w:rPr>
                <w:color w:val="auto"/>
                <w:highlight w:val="none"/>
              </w:rPr>
            </w:pPr>
            <w:r>
              <w:rPr>
                <w:rFonts w:hint="eastAsia"/>
                <w:color w:val="auto"/>
                <w:highlight w:val="none"/>
              </w:rPr>
              <w:t>9.4.6做好监控室监控管理工作，并做好教师开关门钥匙的管理工作等。</w:t>
            </w:r>
          </w:p>
          <w:p>
            <w:pPr>
              <w:adjustRightInd w:val="0"/>
              <w:snapToGrid w:val="0"/>
              <w:spacing w:line="360" w:lineRule="auto"/>
              <w:ind w:left="420" w:firstLine="420"/>
              <w:rPr>
                <w:color w:val="auto"/>
                <w:highlight w:val="none"/>
              </w:rPr>
            </w:pPr>
            <w:r>
              <w:rPr>
                <w:rFonts w:hint="eastAsia"/>
                <w:color w:val="auto"/>
                <w:highlight w:val="none"/>
              </w:rPr>
              <w:t>9.4.7学生课堂时间段校园安全巡逻检查、纪律维护及安全警戒工作。</w:t>
            </w:r>
          </w:p>
          <w:p>
            <w:pPr>
              <w:adjustRightInd w:val="0"/>
              <w:snapToGrid w:val="0"/>
              <w:spacing w:line="360" w:lineRule="auto"/>
              <w:ind w:left="420" w:firstLine="420"/>
              <w:rPr>
                <w:color w:val="auto"/>
                <w:highlight w:val="none"/>
              </w:rPr>
            </w:pPr>
            <w:r>
              <w:rPr>
                <w:rFonts w:hint="eastAsia"/>
                <w:color w:val="auto"/>
                <w:highlight w:val="none"/>
              </w:rPr>
              <w:t>9.4.8学生集会的组织、纪律维护及安全保卫工作。</w:t>
            </w:r>
          </w:p>
          <w:p>
            <w:pPr>
              <w:adjustRightInd w:val="0"/>
              <w:snapToGrid w:val="0"/>
              <w:spacing w:line="360" w:lineRule="auto"/>
              <w:ind w:left="420" w:firstLine="420"/>
              <w:rPr>
                <w:color w:val="auto"/>
                <w:highlight w:val="none"/>
              </w:rPr>
            </w:pPr>
            <w:r>
              <w:rPr>
                <w:rFonts w:hint="eastAsia"/>
                <w:color w:val="auto"/>
                <w:highlight w:val="none"/>
              </w:rPr>
              <w:t>9.4.9基地内举行运动会、文艺晚会等重大校园活动的秩序保障与安全警戒工作；配合做好敏感时期的安全保障工作。</w:t>
            </w:r>
          </w:p>
          <w:p>
            <w:pPr>
              <w:adjustRightInd w:val="0"/>
              <w:snapToGrid w:val="0"/>
              <w:spacing w:line="360" w:lineRule="auto"/>
              <w:ind w:left="420" w:firstLine="420"/>
              <w:rPr>
                <w:color w:val="auto"/>
                <w:highlight w:val="none"/>
              </w:rPr>
            </w:pPr>
            <w:r>
              <w:rPr>
                <w:rFonts w:hint="eastAsia"/>
                <w:color w:val="auto"/>
                <w:highlight w:val="none"/>
              </w:rPr>
              <w:t>9.4.10基地内突发事件（如校园欺凌、校园暴力）的预防、发现与应急处置工作。</w:t>
            </w:r>
          </w:p>
          <w:p>
            <w:pPr>
              <w:adjustRightInd w:val="0"/>
              <w:snapToGrid w:val="0"/>
              <w:spacing w:line="360" w:lineRule="auto"/>
              <w:ind w:left="420" w:firstLine="420"/>
              <w:rPr>
                <w:color w:val="auto"/>
                <w:highlight w:val="none"/>
              </w:rPr>
            </w:pPr>
            <w:r>
              <w:rPr>
                <w:rFonts w:hint="eastAsia"/>
                <w:color w:val="auto"/>
                <w:highlight w:val="none"/>
              </w:rPr>
              <w:t>9.4.11基地内日常生活秩序、交通秩序的维护：包括负责大门口两边与项目内停车场的车辆指挥与停放。</w:t>
            </w:r>
          </w:p>
          <w:p>
            <w:pPr>
              <w:adjustRightInd w:val="0"/>
              <w:snapToGrid w:val="0"/>
              <w:spacing w:line="360" w:lineRule="auto"/>
              <w:ind w:left="420" w:firstLine="420"/>
              <w:rPr>
                <w:color w:val="auto"/>
                <w:highlight w:val="none"/>
              </w:rPr>
            </w:pPr>
            <w:r>
              <w:rPr>
                <w:rFonts w:hint="eastAsia"/>
                <w:color w:val="auto"/>
                <w:highlight w:val="none"/>
              </w:rPr>
              <w:t xml:space="preserve">9.4.12基地内定时定点治安巡逻检查，重点部位的定点巡防工作。 </w:t>
            </w:r>
          </w:p>
          <w:p>
            <w:pPr>
              <w:adjustRightInd w:val="0"/>
              <w:snapToGrid w:val="0"/>
              <w:spacing w:line="360" w:lineRule="auto"/>
              <w:ind w:left="420" w:firstLine="420"/>
              <w:rPr>
                <w:color w:val="auto"/>
                <w:highlight w:val="none"/>
              </w:rPr>
            </w:pPr>
            <w:r>
              <w:rPr>
                <w:rFonts w:hint="eastAsia"/>
                <w:color w:val="auto"/>
                <w:highlight w:val="none"/>
              </w:rPr>
              <w:t>9.4.13基地内公共部位安全隐患检查、排除及上报；违规违纪纠正；有针对性地开展安全教育和提示。</w:t>
            </w:r>
          </w:p>
          <w:p>
            <w:pPr>
              <w:adjustRightInd w:val="0"/>
              <w:snapToGrid w:val="0"/>
              <w:spacing w:line="360" w:lineRule="auto"/>
              <w:ind w:left="420" w:firstLine="420"/>
              <w:rPr>
                <w:color w:val="auto"/>
                <w:highlight w:val="none"/>
              </w:rPr>
            </w:pPr>
            <w:r>
              <w:rPr>
                <w:rFonts w:hint="eastAsia"/>
                <w:color w:val="auto"/>
                <w:highlight w:val="none"/>
              </w:rPr>
              <w:t xml:space="preserve">9.4.14配合基地有关部门，受理管理区域内各类纠纷，配合项目对违规事件的调查，协助公安机关对案件的排查。 </w:t>
            </w:r>
          </w:p>
          <w:p>
            <w:pPr>
              <w:adjustRightInd w:val="0"/>
              <w:snapToGrid w:val="0"/>
              <w:spacing w:line="360" w:lineRule="auto"/>
              <w:ind w:left="420" w:firstLine="420"/>
              <w:rPr>
                <w:color w:val="auto"/>
                <w:highlight w:val="none"/>
              </w:rPr>
            </w:pPr>
            <w:r>
              <w:rPr>
                <w:rFonts w:hint="eastAsia"/>
                <w:color w:val="auto"/>
                <w:highlight w:val="none"/>
              </w:rPr>
              <w:t>9.4.15基地内开展重大活动或举办教师培训，召开重耍会议等耍指挥好外来车辆停放。</w:t>
            </w:r>
          </w:p>
          <w:p>
            <w:pPr>
              <w:adjustRightInd w:val="0"/>
              <w:snapToGrid w:val="0"/>
              <w:spacing w:line="360" w:lineRule="auto"/>
              <w:ind w:left="420" w:firstLine="420"/>
              <w:rPr>
                <w:color w:val="auto"/>
                <w:highlight w:val="none"/>
              </w:rPr>
            </w:pPr>
            <w:r>
              <w:rPr>
                <w:rFonts w:hint="eastAsia"/>
                <w:color w:val="auto"/>
                <w:highlight w:val="none"/>
              </w:rPr>
              <w:t>9.4.16做好基地监控管理工作，对损坏监控设备及时上报学校维修。</w:t>
            </w:r>
          </w:p>
          <w:p>
            <w:pPr>
              <w:adjustRightInd w:val="0"/>
              <w:snapToGrid w:val="0"/>
              <w:spacing w:line="360" w:lineRule="auto"/>
              <w:ind w:left="420" w:firstLine="420"/>
              <w:rPr>
                <w:color w:val="auto"/>
                <w:highlight w:val="none"/>
              </w:rPr>
            </w:pPr>
            <w:r>
              <w:rPr>
                <w:rFonts w:hint="eastAsia"/>
                <w:color w:val="auto"/>
                <w:highlight w:val="none"/>
              </w:rPr>
              <w:t>9.4.17完成安全稳定处交办的其他工作。</w:t>
            </w:r>
          </w:p>
          <w:p>
            <w:pPr>
              <w:autoSpaceDE w:val="0"/>
              <w:autoSpaceDN w:val="0"/>
              <w:adjustRightInd w:val="0"/>
              <w:snapToGrid w:val="0"/>
              <w:spacing w:line="400" w:lineRule="exact"/>
              <w:rPr>
                <w:color w:val="auto"/>
                <w:highlight w:val="none"/>
              </w:rPr>
            </w:pPr>
            <w:r>
              <w:rPr>
                <w:rFonts w:hint="eastAsia"/>
                <w:color w:val="auto"/>
                <w:highlight w:val="none"/>
              </w:rPr>
              <w:t>五、安保设施配置：</w:t>
            </w:r>
          </w:p>
          <w:p>
            <w:pPr>
              <w:spacing w:after="120" w:line="360" w:lineRule="auto"/>
              <w:rPr>
                <w:color w:val="auto"/>
                <w:highlight w:val="none"/>
                <w:lang w:val="zh-CN"/>
              </w:rPr>
            </w:pPr>
            <w:r>
              <w:rPr>
                <w:rFonts w:hint="eastAsia"/>
                <w:color w:val="auto"/>
                <w:highlight w:val="none"/>
                <w:lang w:val="zh-CN"/>
              </w:rPr>
              <w:t>针对此次安保服务要求提供以下安保全新设施设备</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908"/>
              <w:gridCol w:w="1134"/>
              <w:gridCol w:w="156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02" w:type="dxa"/>
                  <w:vAlign w:val="center"/>
                </w:tcPr>
                <w:p>
                  <w:pPr>
                    <w:widowControl/>
                    <w:spacing w:beforeAutospacing="1" w:after="120" w:line="360" w:lineRule="auto"/>
                    <w:jc w:val="center"/>
                    <w:rPr>
                      <w:color w:val="auto"/>
                      <w:highlight w:val="none"/>
                    </w:rPr>
                  </w:pPr>
                  <w:r>
                    <w:rPr>
                      <w:rFonts w:hint="eastAsia"/>
                      <w:color w:val="auto"/>
                      <w:highlight w:val="none"/>
                    </w:rPr>
                    <w:t>序号</w:t>
                  </w:r>
                </w:p>
              </w:tc>
              <w:tc>
                <w:tcPr>
                  <w:tcW w:w="2908" w:type="dxa"/>
                  <w:vAlign w:val="center"/>
                </w:tcPr>
                <w:p>
                  <w:pPr>
                    <w:widowControl/>
                    <w:spacing w:beforeAutospacing="1" w:after="120" w:line="360" w:lineRule="auto"/>
                    <w:jc w:val="center"/>
                    <w:rPr>
                      <w:color w:val="auto"/>
                      <w:highlight w:val="none"/>
                    </w:rPr>
                  </w:pPr>
                  <w:r>
                    <w:rPr>
                      <w:rFonts w:hint="eastAsia"/>
                      <w:color w:val="auto"/>
                      <w:highlight w:val="none"/>
                    </w:rPr>
                    <w:t>项目内容</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配置数量</w:t>
                  </w:r>
                </w:p>
              </w:tc>
              <w:tc>
                <w:tcPr>
                  <w:tcW w:w="1560" w:type="dxa"/>
                  <w:vAlign w:val="center"/>
                </w:tcPr>
                <w:p>
                  <w:pPr>
                    <w:widowControl/>
                    <w:spacing w:beforeAutospacing="1" w:after="120" w:line="360" w:lineRule="auto"/>
                    <w:jc w:val="center"/>
                    <w:rPr>
                      <w:color w:val="auto"/>
                      <w:highlight w:val="none"/>
                    </w:rPr>
                  </w:pPr>
                  <w:r>
                    <w:rPr>
                      <w:rFonts w:hint="eastAsia"/>
                      <w:color w:val="auto"/>
                      <w:highlight w:val="none"/>
                    </w:rPr>
                    <w:t>是否配置</w:t>
                  </w:r>
                </w:p>
              </w:tc>
              <w:tc>
                <w:tcPr>
                  <w:tcW w:w="2318" w:type="dxa"/>
                  <w:vAlign w:val="center"/>
                </w:tcPr>
                <w:p>
                  <w:pPr>
                    <w:widowControl/>
                    <w:spacing w:beforeAutospacing="1" w:after="12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602" w:type="dxa"/>
                </w:tcPr>
                <w:p>
                  <w:pPr>
                    <w:widowControl/>
                    <w:spacing w:beforeAutospacing="1" w:after="120" w:line="360" w:lineRule="auto"/>
                    <w:jc w:val="center"/>
                    <w:rPr>
                      <w:color w:val="auto"/>
                      <w:highlight w:val="none"/>
                    </w:rPr>
                  </w:pPr>
                  <w:r>
                    <w:rPr>
                      <w:rFonts w:hint="eastAsia"/>
                      <w:color w:val="auto"/>
                      <w:highlight w:val="none"/>
                    </w:rPr>
                    <w:t>１</w:t>
                  </w:r>
                </w:p>
              </w:tc>
              <w:tc>
                <w:tcPr>
                  <w:tcW w:w="2908" w:type="dxa"/>
                  <w:vAlign w:val="center"/>
                </w:tcPr>
                <w:p>
                  <w:pPr>
                    <w:widowControl/>
                    <w:spacing w:beforeAutospacing="1" w:after="120" w:line="360" w:lineRule="auto"/>
                    <w:rPr>
                      <w:color w:val="auto"/>
                      <w:highlight w:val="none"/>
                    </w:rPr>
                  </w:pPr>
                  <w:r>
                    <w:rPr>
                      <w:rFonts w:hint="eastAsia"/>
                      <w:color w:val="auto"/>
                      <w:highlight w:val="none"/>
                    </w:rPr>
                    <w:t>四轮电动巡逻车</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1</w:t>
                  </w:r>
                </w:p>
              </w:tc>
              <w:tc>
                <w:tcPr>
                  <w:tcW w:w="1560" w:type="dxa"/>
                  <w:vAlign w:val="center"/>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02" w:type="dxa"/>
                </w:tcPr>
                <w:p>
                  <w:pPr>
                    <w:spacing w:beforeAutospacing="1" w:after="120" w:afterAutospacing="1" w:line="360" w:lineRule="auto"/>
                    <w:jc w:val="center"/>
                    <w:rPr>
                      <w:color w:val="auto"/>
                      <w:highlight w:val="none"/>
                    </w:rPr>
                  </w:pPr>
                  <w:r>
                    <w:rPr>
                      <w:rFonts w:hint="eastAsia"/>
                      <w:color w:val="auto"/>
                      <w:highlight w:val="none"/>
                    </w:rPr>
                    <w:t>2</w:t>
                  </w:r>
                </w:p>
              </w:tc>
              <w:tc>
                <w:tcPr>
                  <w:tcW w:w="2908" w:type="dxa"/>
                  <w:vAlign w:val="center"/>
                </w:tcPr>
                <w:p>
                  <w:pPr>
                    <w:spacing w:beforeAutospacing="1" w:after="120" w:afterAutospacing="1" w:line="360" w:lineRule="auto"/>
                    <w:rPr>
                      <w:color w:val="auto"/>
                      <w:highlight w:val="none"/>
                    </w:rPr>
                  </w:pPr>
                  <w:r>
                    <w:rPr>
                      <w:rFonts w:hint="eastAsia"/>
                      <w:color w:val="auto"/>
                      <w:highlight w:val="none"/>
                    </w:rPr>
                    <w:t>4G执法记录仪</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8</w:t>
                  </w:r>
                </w:p>
              </w:tc>
              <w:tc>
                <w:tcPr>
                  <w:tcW w:w="1560" w:type="dxa"/>
                  <w:vAlign w:val="center"/>
                </w:tcPr>
                <w:p>
                  <w:pPr>
                    <w:spacing w:beforeAutospacing="1" w:after="120" w:afterAutospacing="1"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服务期内256G、移动流量卡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3</w:t>
                  </w:r>
                </w:p>
              </w:tc>
              <w:tc>
                <w:tcPr>
                  <w:tcW w:w="2908" w:type="dxa"/>
                  <w:vAlign w:val="center"/>
                </w:tcPr>
                <w:p>
                  <w:pPr>
                    <w:widowControl/>
                    <w:spacing w:beforeAutospacing="1" w:after="120" w:line="360" w:lineRule="auto"/>
                    <w:rPr>
                      <w:color w:val="auto"/>
                      <w:highlight w:val="none"/>
                    </w:rPr>
                  </w:pPr>
                  <w:r>
                    <w:rPr>
                      <w:rFonts w:hint="eastAsia"/>
                      <w:color w:val="auto"/>
                      <w:highlight w:val="none"/>
                    </w:rPr>
                    <w:t>信息化安保服务平台</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1套</w:t>
                  </w:r>
                </w:p>
              </w:tc>
              <w:tc>
                <w:tcPr>
                  <w:tcW w:w="1560" w:type="dxa"/>
                  <w:vAlign w:val="center"/>
                </w:tcPr>
                <w:p>
                  <w:pPr>
                    <w:widowControl/>
                    <w:spacing w:beforeAutospacing="1" w:after="120" w:line="360" w:lineRule="auto"/>
                    <w:jc w:val="center"/>
                    <w:rPr>
                      <w:color w:val="auto"/>
                      <w:highlight w:val="none"/>
                    </w:rPr>
                  </w:pPr>
                  <w:r>
                    <w:rPr>
                      <w:rFonts w:hint="eastAsia"/>
                      <w:color w:val="auto"/>
                      <w:highlight w:val="none"/>
                    </w:rPr>
                    <w:t>提供</w:t>
                  </w:r>
                </w:p>
              </w:tc>
              <w:tc>
                <w:tcPr>
                  <w:tcW w:w="2318" w:type="dxa"/>
                </w:tcPr>
                <w:p>
                  <w:pPr>
                    <w:spacing w:beforeAutospacing="1" w:after="120" w:afterAutospacing="1" w:line="360" w:lineRule="auto"/>
                    <w:jc w:val="left"/>
                    <w:rPr>
                      <w:color w:val="auto"/>
                      <w:highlight w:val="none"/>
                    </w:rPr>
                  </w:pPr>
                  <w:r>
                    <w:rPr>
                      <w:rFonts w:hint="eastAsia"/>
                      <w:color w:val="auto"/>
                      <w:highlight w:val="none"/>
                    </w:rPr>
                    <w:t>甲方无偿、无限期使用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4</w:t>
                  </w:r>
                </w:p>
              </w:tc>
              <w:tc>
                <w:tcPr>
                  <w:tcW w:w="2908" w:type="dxa"/>
                  <w:vAlign w:val="center"/>
                </w:tcPr>
                <w:p>
                  <w:pPr>
                    <w:widowControl/>
                    <w:spacing w:beforeAutospacing="1" w:after="120" w:line="360" w:lineRule="auto"/>
                    <w:rPr>
                      <w:color w:val="auto"/>
                      <w:highlight w:val="none"/>
                    </w:rPr>
                  </w:pPr>
                  <w:r>
                    <w:rPr>
                      <w:rFonts w:hint="eastAsia"/>
                      <w:color w:val="auto"/>
                      <w:highlight w:val="none"/>
                    </w:rPr>
                    <w:t>防暴钢叉</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10</w:t>
                  </w:r>
                </w:p>
              </w:tc>
              <w:tc>
                <w:tcPr>
                  <w:tcW w:w="1560" w:type="dxa"/>
                  <w:vAlign w:val="center"/>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5</w:t>
                  </w:r>
                </w:p>
              </w:tc>
              <w:tc>
                <w:tcPr>
                  <w:tcW w:w="2908" w:type="dxa"/>
                  <w:vAlign w:val="center"/>
                </w:tcPr>
                <w:p>
                  <w:pPr>
                    <w:widowControl/>
                    <w:spacing w:beforeAutospacing="1" w:after="120" w:line="360" w:lineRule="auto"/>
                    <w:rPr>
                      <w:color w:val="auto"/>
                      <w:highlight w:val="none"/>
                    </w:rPr>
                  </w:pPr>
                  <w:r>
                    <w:rPr>
                      <w:rFonts w:hint="eastAsia"/>
                      <w:color w:val="auto"/>
                      <w:highlight w:val="none"/>
                    </w:rPr>
                    <w:t>防暴盾牌</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10</w:t>
                  </w:r>
                </w:p>
              </w:tc>
              <w:tc>
                <w:tcPr>
                  <w:tcW w:w="1560" w:type="dxa"/>
                  <w:vAlign w:val="center"/>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6</w:t>
                  </w:r>
                </w:p>
              </w:tc>
              <w:tc>
                <w:tcPr>
                  <w:tcW w:w="2908" w:type="dxa"/>
                  <w:vAlign w:val="center"/>
                </w:tcPr>
                <w:p>
                  <w:pPr>
                    <w:widowControl/>
                    <w:spacing w:beforeAutospacing="1" w:after="120" w:line="360" w:lineRule="auto"/>
                    <w:rPr>
                      <w:color w:val="auto"/>
                      <w:highlight w:val="none"/>
                    </w:rPr>
                  </w:pPr>
                  <w:r>
                    <w:rPr>
                      <w:rFonts w:hint="eastAsia"/>
                      <w:color w:val="auto"/>
                      <w:highlight w:val="none"/>
                    </w:rPr>
                    <w:t>防刺背心</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10</w:t>
                  </w:r>
                </w:p>
              </w:tc>
              <w:tc>
                <w:tcPr>
                  <w:tcW w:w="1560" w:type="dxa"/>
                  <w:vAlign w:val="center"/>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7</w:t>
                  </w:r>
                </w:p>
              </w:tc>
              <w:tc>
                <w:tcPr>
                  <w:tcW w:w="2908" w:type="dxa"/>
                  <w:vAlign w:val="center"/>
                </w:tcPr>
                <w:p>
                  <w:pPr>
                    <w:widowControl/>
                    <w:spacing w:beforeAutospacing="1" w:after="120" w:line="360" w:lineRule="auto"/>
                    <w:rPr>
                      <w:color w:val="auto"/>
                      <w:highlight w:val="none"/>
                    </w:rPr>
                  </w:pPr>
                  <w:r>
                    <w:rPr>
                      <w:rFonts w:hint="eastAsia"/>
                      <w:color w:val="auto"/>
                      <w:highlight w:val="none"/>
                    </w:rPr>
                    <w:t>防剌手套</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10</w:t>
                  </w:r>
                </w:p>
              </w:tc>
              <w:tc>
                <w:tcPr>
                  <w:tcW w:w="1560" w:type="dxa"/>
                  <w:vAlign w:val="center"/>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8</w:t>
                  </w:r>
                </w:p>
              </w:tc>
              <w:tc>
                <w:tcPr>
                  <w:tcW w:w="2908" w:type="dxa"/>
                  <w:vAlign w:val="center"/>
                </w:tcPr>
                <w:p>
                  <w:pPr>
                    <w:widowControl/>
                    <w:spacing w:beforeAutospacing="1" w:after="120" w:line="360" w:lineRule="auto"/>
                    <w:rPr>
                      <w:color w:val="auto"/>
                      <w:highlight w:val="none"/>
                    </w:rPr>
                  </w:pPr>
                  <w:r>
                    <w:rPr>
                      <w:rFonts w:hint="eastAsia"/>
                      <w:color w:val="auto"/>
                      <w:highlight w:val="none"/>
                    </w:rPr>
                    <w:t>防暴电棍</w:t>
                  </w:r>
                </w:p>
              </w:tc>
              <w:tc>
                <w:tcPr>
                  <w:tcW w:w="1134" w:type="dxa"/>
                  <w:vAlign w:val="center"/>
                </w:tcPr>
                <w:p>
                  <w:pPr>
                    <w:widowControl/>
                    <w:spacing w:beforeAutospacing="1" w:after="120" w:line="360" w:lineRule="auto"/>
                    <w:jc w:val="center"/>
                    <w:rPr>
                      <w:color w:val="auto"/>
                      <w:highlight w:val="none"/>
                    </w:rPr>
                  </w:pPr>
                  <w:r>
                    <w:rPr>
                      <w:rFonts w:hint="eastAsia"/>
                      <w:color w:val="auto"/>
                      <w:highlight w:val="none"/>
                    </w:rPr>
                    <w:t>10</w:t>
                  </w:r>
                </w:p>
              </w:tc>
              <w:tc>
                <w:tcPr>
                  <w:tcW w:w="1560" w:type="dxa"/>
                  <w:vAlign w:val="center"/>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9</w:t>
                  </w:r>
                </w:p>
              </w:tc>
              <w:tc>
                <w:tcPr>
                  <w:tcW w:w="2908" w:type="dxa"/>
                  <w:vAlign w:val="center"/>
                </w:tcPr>
                <w:p>
                  <w:pPr>
                    <w:widowControl/>
                    <w:spacing w:beforeAutospacing="1" w:after="120" w:line="360" w:lineRule="auto"/>
                    <w:rPr>
                      <w:color w:val="auto"/>
                      <w:highlight w:val="none"/>
                    </w:rPr>
                  </w:pPr>
                  <w:r>
                    <w:rPr>
                      <w:rFonts w:hint="eastAsia"/>
                      <w:color w:val="auto"/>
                      <w:highlight w:val="none"/>
                    </w:rPr>
                    <w:t>警用长棍</w:t>
                  </w:r>
                </w:p>
              </w:tc>
              <w:tc>
                <w:tcPr>
                  <w:tcW w:w="1134" w:type="dxa"/>
                </w:tcPr>
                <w:p>
                  <w:pPr>
                    <w:widowControl/>
                    <w:spacing w:beforeAutospacing="1" w:after="120" w:line="360" w:lineRule="auto"/>
                    <w:jc w:val="center"/>
                    <w:rPr>
                      <w:color w:val="auto"/>
                      <w:highlight w:val="none"/>
                    </w:rPr>
                  </w:pPr>
                  <w:r>
                    <w:rPr>
                      <w:rFonts w:hint="eastAsia"/>
                      <w:color w:val="auto"/>
                      <w:highlight w:val="none"/>
                    </w:rPr>
                    <w:t>10</w:t>
                  </w:r>
                </w:p>
              </w:tc>
              <w:tc>
                <w:tcPr>
                  <w:tcW w:w="1560" w:type="dxa"/>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02" w:type="dxa"/>
                </w:tcPr>
                <w:p>
                  <w:pPr>
                    <w:spacing w:beforeAutospacing="1" w:after="120" w:afterAutospacing="1" w:line="360" w:lineRule="auto"/>
                    <w:jc w:val="center"/>
                    <w:rPr>
                      <w:color w:val="auto"/>
                      <w:highlight w:val="none"/>
                    </w:rPr>
                  </w:pPr>
                  <w:r>
                    <w:rPr>
                      <w:rFonts w:hint="eastAsia"/>
                      <w:color w:val="auto"/>
                      <w:highlight w:val="none"/>
                    </w:rPr>
                    <w:t>10</w:t>
                  </w:r>
                </w:p>
              </w:tc>
              <w:tc>
                <w:tcPr>
                  <w:tcW w:w="2908" w:type="dxa"/>
                  <w:vAlign w:val="center"/>
                </w:tcPr>
                <w:p>
                  <w:pPr>
                    <w:widowControl/>
                    <w:spacing w:beforeAutospacing="1" w:after="120" w:line="360" w:lineRule="auto"/>
                    <w:rPr>
                      <w:color w:val="auto"/>
                      <w:highlight w:val="none"/>
                    </w:rPr>
                  </w:pPr>
                  <w:r>
                    <w:rPr>
                      <w:rFonts w:hint="eastAsia"/>
                      <w:color w:val="auto"/>
                      <w:highlight w:val="none"/>
                    </w:rPr>
                    <w:t>三防对讲机</w:t>
                  </w:r>
                </w:p>
              </w:tc>
              <w:tc>
                <w:tcPr>
                  <w:tcW w:w="1134" w:type="dxa"/>
                </w:tcPr>
                <w:p>
                  <w:pPr>
                    <w:widowControl/>
                    <w:spacing w:beforeAutospacing="1" w:after="120" w:line="360" w:lineRule="auto"/>
                    <w:jc w:val="center"/>
                    <w:rPr>
                      <w:color w:val="auto"/>
                      <w:highlight w:val="none"/>
                    </w:rPr>
                  </w:pPr>
                  <w:r>
                    <w:rPr>
                      <w:rFonts w:hint="eastAsia"/>
                      <w:color w:val="auto"/>
                      <w:highlight w:val="none"/>
                    </w:rPr>
                    <w:t>20</w:t>
                  </w:r>
                </w:p>
              </w:tc>
              <w:tc>
                <w:tcPr>
                  <w:tcW w:w="1560" w:type="dxa"/>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602" w:type="dxa"/>
                </w:tcPr>
                <w:p>
                  <w:pPr>
                    <w:spacing w:beforeAutospacing="1" w:after="120" w:afterAutospacing="1" w:line="360" w:lineRule="auto"/>
                    <w:jc w:val="center"/>
                    <w:rPr>
                      <w:color w:val="auto"/>
                      <w:highlight w:val="none"/>
                    </w:rPr>
                  </w:pPr>
                  <w:r>
                    <w:rPr>
                      <w:rFonts w:hint="eastAsia"/>
                      <w:color w:val="auto"/>
                      <w:highlight w:val="none"/>
                    </w:rPr>
                    <w:t>11</w:t>
                  </w:r>
                </w:p>
              </w:tc>
              <w:tc>
                <w:tcPr>
                  <w:tcW w:w="2908" w:type="dxa"/>
                  <w:vAlign w:val="center"/>
                </w:tcPr>
                <w:p>
                  <w:pPr>
                    <w:widowControl/>
                    <w:spacing w:beforeAutospacing="1" w:after="120" w:line="360" w:lineRule="auto"/>
                    <w:rPr>
                      <w:color w:val="auto"/>
                      <w:highlight w:val="none"/>
                    </w:rPr>
                  </w:pPr>
                  <w:r>
                    <w:rPr>
                      <w:rFonts w:hint="eastAsia"/>
                      <w:color w:val="auto"/>
                      <w:highlight w:val="none"/>
                    </w:rPr>
                    <w:t>两轮电动巡逻车</w:t>
                  </w:r>
                </w:p>
              </w:tc>
              <w:tc>
                <w:tcPr>
                  <w:tcW w:w="1134" w:type="dxa"/>
                </w:tcPr>
                <w:p>
                  <w:pPr>
                    <w:widowControl/>
                    <w:spacing w:beforeAutospacing="1" w:after="120" w:line="360" w:lineRule="auto"/>
                    <w:jc w:val="center"/>
                    <w:rPr>
                      <w:color w:val="auto"/>
                      <w:highlight w:val="none"/>
                    </w:rPr>
                  </w:pPr>
                  <w:r>
                    <w:rPr>
                      <w:rFonts w:hint="eastAsia"/>
                      <w:color w:val="auto"/>
                      <w:highlight w:val="none"/>
                    </w:rPr>
                    <w:t>4</w:t>
                  </w:r>
                </w:p>
              </w:tc>
              <w:tc>
                <w:tcPr>
                  <w:tcW w:w="1560" w:type="dxa"/>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spacing w:beforeAutospacing="1" w:after="120" w:afterAutospacing="1"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12</w:t>
                  </w:r>
                </w:p>
              </w:tc>
              <w:tc>
                <w:tcPr>
                  <w:tcW w:w="2908" w:type="dxa"/>
                  <w:vAlign w:val="center"/>
                </w:tcPr>
                <w:p>
                  <w:pPr>
                    <w:widowControl/>
                    <w:spacing w:beforeAutospacing="1" w:after="120" w:line="360" w:lineRule="auto"/>
                    <w:rPr>
                      <w:color w:val="auto"/>
                      <w:highlight w:val="none"/>
                    </w:rPr>
                  </w:pPr>
                  <w:r>
                    <w:rPr>
                      <w:rFonts w:hint="eastAsia"/>
                      <w:color w:val="auto"/>
                      <w:highlight w:val="none"/>
                    </w:rPr>
                    <w:t>电动平衡车</w:t>
                  </w:r>
                </w:p>
              </w:tc>
              <w:tc>
                <w:tcPr>
                  <w:tcW w:w="1134" w:type="dxa"/>
                </w:tcPr>
                <w:p>
                  <w:pPr>
                    <w:widowControl/>
                    <w:spacing w:beforeAutospacing="1" w:after="120" w:line="360" w:lineRule="auto"/>
                    <w:jc w:val="center"/>
                    <w:rPr>
                      <w:color w:val="auto"/>
                      <w:highlight w:val="none"/>
                    </w:rPr>
                  </w:pPr>
                  <w:r>
                    <w:rPr>
                      <w:rFonts w:hint="eastAsia"/>
                      <w:color w:val="auto"/>
                      <w:highlight w:val="none"/>
                    </w:rPr>
                    <w:t>8</w:t>
                  </w:r>
                </w:p>
              </w:tc>
              <w:tc>
                <w:tcPr>
                  <w:tcW w:w="1560" w:type="dxa"/>
                </w:tcPr>
                <w:p>
                  <w:pPr>
                    <w:widowControl/>
                    <w:spacing w:beforeAutospacing="1" w:after="120" w:line="360" w:lineRule="auto"/>
                    <w:jc w:val="center"/>
                    <w:rPr>
                      <w:color w:val="auto"/>
                      <w:highlight w:val="none"/>
                    </w:rPr>
                  </w:pPr>
                  <w:r>
                    <w:rPr>
                      <w:rFonts w:hint="eastAsia"/>
                      <w:color w:val="auto"/>
                      <w:highlight w:val="none"/>
                    </w:rPr>
                    <w:t>配备</w:t>
                  </w:r>
                </w:p>
              </w:tc>
              <w:tc>
                <w:tcPr>
                  <w:tcW w:w="2318" w:type="dxa"/>
                </w:tcPr>
                <w:p>
                  <w:pPr>
                    <w:widowControl/>
                    <w:spacing w:beforeAutospacing="1" w:after="120"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13</w:t>
                  </w:r>
                </w:p>
              </w:tc>
              <w:tc>
                <w:tcPr>
                  <w:tcW w:w="2908" w:type="dxa"/>
                  <w:vAlign w:val="center"/>
                </w:tcPr>
                <w:p>
                  <w:pPr>
                    <w:widowControl/>
                    <w:spacing w:beforeAutospacing="1" w:after="120" w:line="360" w:lineRule="auto"/>
                    <w:rPr>
                      <w:color w:val="auto"/>
                      <w:highlight w:val="none"/>
                    </w:rPr>
                  </w:pPr>
                  <w:r>
                    <w:rPr>
                      <w:rFonts w:hint="eastAsia"/>
                      <w:color w:val="auto"/>
                      <w:highlight w:val="none"/>
                    </w:rPr>
                    <w:t>警用隔离栏</w:t>
                  </w:r>
                </w:p>
              </w:tc>
              <w:tc>
                <w:tcPr>
                  <w:tcW w:w="1134" w:type="dxa"/>
                </w:tcPr>
                <w:p>
                  <w:pPr>
                    <w:widowControl/>
                    <w:spacing w:beforeAutospacing="1" w:after="120" w:line="360" w:lineRule="auto"/>
                    <w:jc w:val="center"/>
                    <w:rPr>
                      <w:color w:val="auto"/>
                      <w:highlight w:val="none"/>
                    </w:rPr>
                  </w:pPr>
                  <w:r>
                    <w:rPr>
                      <w:rFonts w:hint="eastAsia"/>
                      <w:color w:val="auto"/>
                      <w:highlight w:val="none"/>
                    </w:rPr>
                    <w:t>500米</w:t>
                  </w:r>
                </w:p>
              </w:tc>
              <w:tc>
                <w:tcPr>
                  <w:tcW w:w="1560" w:type="dxa"/>
                </w:tcPr>
                <w:p>
                  <w:pPr>
                    <w:widowControl/>
                    <w:spacing w:beforeAutospacing="1" w:after="120" w:line="360" w:lineRule="auto"/>
                    <w:jc w:val="center"/>
                    <w:rPr>
                      <w:color w:val="auto"/>
                      <w:highlight w:val="none"/>
                    </w:rPr>
                  </w:pPr>
                  <w:r>
                    <w:rPr>
                      <w:rFonts w:hint="eastAsia"/>
                      <w:color w:val="auto"/>
                      <w:highlight w:val="none"/>
                    </w:rPr>
                    <w:t>按需使用</w:t>
                  </w:r>
                </w:p>
              </w:tc>
              <w:tc>
                <w:tcPr>
                  <w:tcW w:w="2318" w:type="dxa"/>
                </w:tcPr>
                <w:p>
                  <w:pPr>
                    <w:widowControl/>
                    <w:spacing w:beforeAutospacing="1" w:after="120"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14</w:t>
                  </w:r>
                </w:p>
              </w:tc>
              <w:tc>
                <w:tcPr>
                  <w:tcW w:w="2908" w:type="dxa"/>
                  <w:vAlign w:val="center"/>
                </w:tcPr>
                <w:p>
                  <w:pPr>
                    <w:widowControl/>
                    <w:spacing w:beforeAutospacing="1" w:after="120" w:line="360" w:lineRule="auto"/>
                    <w:rPr>
                      <w:color w:val="auto"/>
                      <w:highlight w:val="none"/>
                    </w:rPr>
                  </w:pPr>
                  <w:r>
                    <w:rPr>
                      <w:rFonts w:hint="eastAsia"/>
                      <w:color w:val="auto"/>
                      <w:highlight w:val="none"/>
                    </w:rPr>
                    <w:t>反恐拒马</w:t>
                  </w:r>
                </w:p>
              </w:tc>
              <w:tc>
                <w:tcPr>
                  <w:tcW w:w="1134" w:type="dxa"/>
                </w:tcPr>
                <w:p>
                  <w:pPr>
                    <w:widowControl/>
                    <w:spacing w:beforeAutospacing="1" w:after="120" w:line="360" w:lineRule="auto"/>
                    <w:jc w:val="center"/>
                    <w:rPr>
                      <w:color w:val="auto"/>
                      <w:highlight w:val="none"/>
                    </w:rPr>
                  </w:pPr>
                  <w:r>
                    <w:rPr>
                      <w:rFonts w:hint="eastAsia"/>
                      <w:color w:val="auto"/>
                      <w:highlight w:val="none"/>
                    </w:rPr>
                    <w:t>10套</w:t>
                  </w:r>
                </w:p>
              </w:tc>
              <w:tc>
                <w:tcPr>
                  <w:tcW w:w="1560" w:type="dxa"/>
                </w:tcPr>
                <w:p>
                  <w:pPr>
                    <w:widowControl/>
                    <w:spacing w:beforeAutospacing="1" w:after="120" w:line="360" w:lineRule="auto"/>
                    <w:jc w:val="center"/>
                    <w:rPr>
                      <w:color w:val="auto"/>
                      <w:highlight w:val="none"/>
                    </w:rPr>
                  </w:pPr>
                  <w:r>
                    <w:rPr>
                      <w:rFonts w:hint="eastAsia"/>
                      <w:color w:val="auto"/>
                      <w:highlight w:val="none"/>
                    </w:rPr>
                    <w:t>按需使用</w:t>
                  </w:r>
                </w:p>
              </w:tc>
              <w:tc>
                <w:tcPr>
                  <w:tcW w:w="2318" w:type="dxa"/>
                </w:tcPr>
                <w:p>
                  <w:pPr>
                    <w:widowControl/>
                    <w:spacing w:beforeAutospacing="1" w:after="120"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15</w:t>
                  </w:r>
                </w:p>
              </w:tc>
              <w:tc>
                <w:tcPr>
                  <w:tcW w:w="2908" w:type="dxa"/>
                  <w:vAlign w:val="center"/>
                </w:tcPr>
                <w:p>
                  <w:pPr>
                    <w:spacing w:beforeAutospacing="1" w:after="120" w:afterAutospacing="1" w:line="360" w:lineRule="auto"/>
                    <w:rPr>
                      <w:color w:val="auto"/>
                      <w:highlight w:val="none"/>
                    </w:rPr>
                  </w:pPr>
                  <w:r>
                    <w:rPr>
                      <w:rFonts w:hint="eastAsia"/>
                      <w:color w:val="auto"/>
                      <w:highlight w:val="none"/>
                    </w:rPr>
                    <w:t>X光安检机</w:t>
                  </w:r>
                </w:p>
              </w:tc>
              <w:tc>
                <w:tcPr>
                  <w:tcW w:w="1134" w:type="dxa"/>
                </w:tcPr>
                <w:p>
                  <w:pPr>
                    <w:widowControl/>
                    <w:spacing w:beforeAutospacing="1" w:after="120" w:line="360" w:lineRule="auto"/>
                    <w:jc w:val="center"/>
                    <w:rPr>
                      <w:color w:val="auto"/>
                      <w:highlight w:val="none"/>
                    </w:rPr>
                  </w:pPr>
                  <w:r>
                    <w:rPr>
                      <w:rFonts w:hint="eastAsia"/>
                      <w:color w:val="auto"/>
                      <w:highlight w:val="none"/>
                    </w:rPr>
                    <w:t>1套</w:t>
                  </w:r>
                </w:p>
              </w:tc>
              <w:tc>
                <w:tcPr>
                  <w:tcW w:w="1560" w:type="dxa"/>
                </w:tcPr>
                <w:p>
                  <w:pPr>
                    <w:widowControl/>
                    <w:spacing w:beforeAutospacing="1" w:after="120" w:line="360" w:lineRule="auto"/>
                    <w:jc w:val="center"/>
                    <w:rPr>
                      <w:color w:val="auto"/>
                      <w:highlight w:val="none"/>
                    </w:rPr>
                  </w:pPr>
                  <w:r>
                    <w:rPr>
                      <w:rFonts w:hint="eastAsia"/>
                      <w:color w:val="auto"/>
                      <w:highlight w:val="none"/>
                    </w:rPr>
                    <w:t>按需使用</w:t>
                  </w:r>
                </w:p>
              </w:tc>
              <w:tc>
                <w:tcPr>
                  <w:tcW w:w="2318" w:type="dxa"/>
                </w:tcPr>
                <w:p>
                  <w:pPr>
                    <w:widowControl/>
                    <w:spacing w:beforeAutospacing="1" w:after="120" w:line="360" w:lineRule="auto"/>
                    <w:jc w:val="left"/>
                    <w:rPr>
                      <w:color w:val="auto"/>
                      <w:highlight w:val="none"/>
                    </w:rPr>
                  </w:pPr>
                  <w:r>
                    <w:rPr>
                      <w:rFonts w:hint="eastAsia"/>
                      <w:color w:val="auto"/>
                      <w:highlight w:val="none"/>
                    </w:rPr>
                    <w:t>服务期内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tcPr>
                <w:p>
                  <w:pPr>
                    <w:widowControl/>
                    <w:spacing w:beforeAutospacing="1" w:after="120" w:line="360" w:lineRule="auto"/>
                    <w:jc w:val="center"/>
                    <w:rPr>
                      <w:color w:val="auto"/>
                      <w:highlight w:val="none"/>
                    </w:rPr>
                  </w:pPr>
                  <w:r>
                    <w:rPr>
                      <w:rFonts w:hint="eastAsia"/>
                      <w:color w:val="auto"/>
                      <w:highlight w:val="none"/>
                    </w:rPr>
                    <w:t>16</w:t>
                  </w:r>
                </w:p>
              </w:tc>
              <w:tc>
                <w:tcPr>
                  <w:tcW w:w="2908" w:type="dxa"/>
                  <w:vAlign w:val="center"/>
                </w:tcPr>
                <w:p>
                  <w:pPr>
                    <w:widowControl/>
                    <w:spacing w:beforeAutospacing="1" w:after="120" w:line="360" w:lineRule="auto"/>
                    <w:rPr>
                      <w:color w:val="auto"/>
                      <w:highlight w:val="none"/>
                    </w:rPr>
                  </w:pPr>
                  <w:r>
                    <w:rPr>
                      <w:rFonts w:hint="eastAsia"/>
                      <w:color w:val="auto"/>
                      <w:highlight w:val="none"/>
                    </w:rPr>
                    <w:t>金属安检门</w:t>
                  </w:r>
                </w:p>
              </w:tc>
              <w:tc>
                <w:tcPr>
                  <w:tcW w:w="1134" w:type="dxa"/>
                </w:tcPr>
                <w:p>
                  <w:pPr>
                    <w:widowControl/>
                    <w:spacing w:beforeAutospacing="1" w:after="120" w:line="360" w:lineRule="auto"/>
                    <w:jc w:val="center"/>
                    <w:rPr>
                      <w:color w:val="auto"/>
                      <w:highlight w:val="none"/>
                    </w:rPr>
                  </w:pPr>
                  <w:r>
                    <w:rPr>
                      <w:rFonts w:hint="eastAsia"/>
                      <w:color w:val="auto"/>
                      <w:highlight w:val="none"/>
                    </w:rPr>
                    <w:t>1套</w:t>
                  </w:r>
                </w:p>
              </w:tc>
              <w:tc>
                <w:tcPr>
                  <w:tcW w:w="1560" w:type="dxa"/>
                </w:tcPr>
                <w:p>
                  <w:pPr>
                    <w:widowControl/>
                    <w:spacing w:beforeAutospacing="1" w:after="120" w:line="360" w:lineRule="auto"/>
                    <w:jc w:val="center"/>
                    <w:rPr>
                      <w:color w:val="auto"/>
                      <w:highlight w:val="none"/>
                    </w:rPr>
                  </w:pPr>
                  <w:r>
                    <w:rPr>
                      <w:rFonts w:hint="eastAsia"/>
                      <w:color w:val="auto"/>
                      <w:highlight w:val="none"/>
                    </w:rPr>
                    <w:t>按需使用</w:t>
                  </w:r>
                </w:p>
              </w:tc>
              <w:tc>
                <w:tcPr>
                  <w:tcW w:w="2318" w:type="dxa"/>
                </w:tcPr>
                <w:p>
                  <w:pPr>
                    <w:widowControl/>
                    <w:spacing w:beforeAutospacing="1" w:after="120" w:line="360" w:lineRule="auto"/>
                    <w:jc w:val="left"/>
                    <w:rPr>
                      <w:color w:val="auto"/>
                      <w:highlight w:val="none"/>
                    </w:rPr>
                  </w:pPr>
                  <w:r>
                    <w:rPr>
                      <w:rFonts w:hint="eastAsia"/>
                      <w:color w:val="auto"/>
                      <w:highlight w:val="none"/>
                    </w:rPr>
                    <w:t>服务期内</w:t>
                  </w:r>
                </w:p>
              </w:tc>
            </w:tr>
          </w:tbl>
          <w:p>
            <w:pPr>
              <w:adjustRightInd w:val="0"/>
              <w:snapToGrid w:val="0"/>
              <w:spacing w:line="400" w:lineRule="exact"/>
              <w:ind w:firstLine="420" w:firstLineChars="200"/>
              <w:rPr>
                <w:color w:val="auto"/>
                <w:highlight w:val="none"/>
              </w:rPr>
            </w:pPr>
            <w:r>
              <w:rPr>
                <w:rFonts w:hint="eastAsia"/>
                <w:color w:val="auto"/>
                <w:highlight w:val="none"/>
              </w:rPr>
              <w:t>以上设施、设备除按需使用的外由中标人在进驻学院前准备完毕，否则由学院按所缺设施、设备的实际费用从服务费中扣除。</w:t>
            </w:r>
          </w:p>
          <w:p>
            <w:pPr>
              <w:autoSpaceDE w:val="0"/>
              <w:autoSpaceDN w:val="0"/>
              <w:adjustRightInd w:val="0"/>
              <w:snapToGrid w:val="0"/>
              <w:spacing w:line="360" w:lineRule="auto"/>
              <w:ind w:firstLine="420" w:firstLineChars="200"/>
              <w:rPr>
                <w:color w:val="auto"/>
                <w:highlight w:val="none"/>
              </w:rPr>
            </w:pPr>
          </w:p>
          <w:p>
            <w:pPr>
              <w:autoSpaceDE w:val="0"/>
              <w:autoSpaceDN w:val="0"/>
              <w:adjustRightInd w:val="0"/>
              <w:snapToGrid w:val="0"/>
              <w:spacing w:line="360" w:lineRule="auto"/>
              <w:ind w:firstLine="422" w:firstLineChars="200"/>
              <w:rPr>
                <w:b/>
                <w:bCs/>
                <w:color w:val="auto"/>
                <w:highlight w:val="none"/>
              </w:rPr>
            </w:pPr>
            <w:r>
              <w:rPr>
                <w:rFonts w:hint="eastAsia"/>
                <w:b/>
                <w:bCs/>
                <w:color w:val="auto"/>
                <w:highlight w:val="none"/>
              </w:rPr>
              <w:t>六、人员配备及工资标准：</w:t>
            </w:r>
          </w:p>
          <w:p>
            <w:pPr>
              <w:widowControl/>
              <w:tabs>
                <w:tab w:val="left" w:pos="0"/>
              </w:tabs>
              <w:adjustRightInd w:val="0"/>
              <w:snapToGrid w:val="0"/>
              <w:spacing w:line="360" w:lineRule="auto"/>
              <w:ind w:firstLine="420" w:firstLineChars="200"/>
              <w:jc w:val="left"/>
              <w:rPr>
                <w:color w:val="auto"/>
                <w:highlight w:val="none"/>
              </w:rPr>
            </w:pPr>
            <w:r>
              <w:rPr>
                <w:rFonts w:hint="eastAsia"/>
                <w:color w:val="auto"/>
                <w:highlight w:val="none"/>
              </w:rPr>
              <w:t>6.1  中标人应参照行业标准、本项目的服务要求和质量标准，按采购方要求对服务项目配置足够的管理人员和服务人员。要按岗位配置人员，定员定岗。必须服从采购方管理，遵守采购方有关管理制度，严格按照采购方的要求提供管理服务，自觉接受采购方相关管理部门的业务检查和监督，并接受服务对象（师生员工）的监督。</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6.2设置安保秩序员人员共59人（其中复退（转业）军人人数不少于</w:t>
            </w:r>
            <w:r>
              <w:rPr>
                <w:color w:val="auto"/>
                <w:highlight w:val="none"/>
              </w:rPr>
              <w:t>12</w:t>
            </w:r>
            <w:r>
              <w:rPr>
                <w:rFonts w:hint="eastAsia"/>
                <w:color w:val="auto"/>
                <w:highlight w:val="none"/>
              </w:rPr>
              <w:t>人），长驻我校。明阳校区保安队长1名，保安副队长1名，秩序班长3名，特岗1名，消防秩序员3名，窗口形象岗24人，一般秩序员17人（其中队长1名、副队长1名、班长3名、代班班长3名，驻守重点岗位2名，为复退（转业）军人），高新区实践教学基地保安队长1名，副队长1名，（其中保安队长1名，副队长1名为复退（转业）军人）窗口形象岗秩序员7名，且安保人员</w:t>
            </w:r>
            <w:r>
              <w:rPr>
                <w:color w:val="auto"/>
                <w:highlight w:val="none"/>
              </w:rPr>
              <w:t>100</w:t>
            </w:r>
            <w:r>
              <w:rPr>
                <w:rFonts w:hint="eastAsia"/>
                <w:color w:val="auto"/>
                <w:highlight w:val="none"/>
              </w:rPr>
              <w:t>%持保安证上岗。</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2880"/>
              <w:gridCol w:w="7"/>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广西职业技术学院明阳校区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岗位名称</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单班人数（人）</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三班人数（人）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保安队长</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保安副队长</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秩序班长</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3</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一号岗</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二号岗</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三号岗</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四号岗</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五号岗</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六号岗</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5</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综合巡查岗</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安防调度中心值班岗</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2</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顶休人员</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2</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合计</w:t>
                  </w:r>
                </w:p>
              </w:tc>
              <w:tc>
                <w:tcPr>
                  <w:tcW w:w="5707"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522" w:type="dxa"/>
                  <w:gridSpan w:val="4"/>
                  <w:tcBorders>
                    <w:top w:val="single" w:color="auto" w:sz="4" w:space="0"/>
                    <w:left w:val="single" w:color="auto" w:sz="4" w:space="0"/>
                    <w:bottom w:val="single" w:color="auto" w:sz="4" w:space="0"/>
                    <w:right w:val="single" w:color="auto" w:sz="4" w:space="0"/>
                  </w:tcBorders>
                </w:tcPr>
                <w:p>
                  <w:pPr>
                    <w:jc w:val="center"/>
                    <w:rPr>
                      <w:color w:val="auto"/>
                      <w:highlight w:val="none"/>
                    </w:rPr>
                  </w:pPr>
                  <w:r>
                    <w:rPr>
                      <w:rFonts w:hint="eastAsia"/>
                      <w:color w:val="auto"/>
                      <w:highlight w:val="none"/>
                    </w:rPr>
                    <w:t>广西职业技术学院高新实践教学基地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岗位名称</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单班人数（人）</w:t>
                  </w:r>
                </w:p>
              </w:tc>
              <w:tc>
                <w:tcPr>
                  <w:tcW w:w="282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三班人数（人）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保安队长</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保安副队长</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大门岗</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2</w:t>
                  </w:r>
                </w:p>
              </w:tc>
              <w:tc>
                <w:tcPr>
                  <w:tcW w:w="282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顶休人员</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282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8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合计</w:t>
                  </w:r>
                </w:p>
              </w:tc>
              <w:tc>
                <w:tcPr>
                  <w:tcW w:w="5707"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9</w:t>
                  </w:r>
                </w:p>
              </w:tc>
            </w:tr>
          </w:tbl>
          <w:p>
            <w:pPr>
              <w:widowControl/>
              <w:adjustRightInd w:val="0"/>
              <w:snapToGrid w:val="0"/>
              <w:spacing w:line="400" w:lineRule="exact"/>
              <w:jc w:val="left"/>
              <w:rPr>
                <w:rFonts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商务条款</w:t>
            </w:r>
          </w:p>
        </w:tc>
        <w:tc>
          <w:tcPr>
            <w:tcW w:w="9763"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color w:val="auto"/>
                <w:highlight w:val="none"/>
              </w:rPr>
            </w:pPr>
            <w:r>
              <w:rPr>
                <w:rFonts w:hint="eastAsia"/>
                <w:b/>
                <w:bCs/>
                <w:color w:val="auto"/>
                <w:highlight w:val="none"/>
              </w:rPr>
              <w:t>一、合同签订期：</w:t>
            </w:r>
            <w:r>
              <w:rPr>
                <w:rFonts w:hint="eastAsia"/>
                <w:color w:val="auto"/>
                <w:highlight w:val="none"/>
              </w:rPr>
              <w:t>自中标通知书发出之日起25日内。</w:t>
            </w:r>
          </w:p>
          <w:p>
            <w:pPr>
              <w:numPr>
                <w:ilvl w:val="0"/>
                <w:numId w:val="1"/>
              </w:numPr>
              <w:spacing w:line="312" w:lineRule="auto"/>
              <w:rPr>
                <w:color w:val="auto"/>
                <w:highlight w:val="none"/>
              </w:rPr>
            </w:pPr>
            <w:r>
              <w:rPr>
                <w:rFonts w:hint="eastAsia"/>
                <w:b/>
                <w:bCs/>
                <w:color w:val="auto"/>
                <w:highlight w:val="none"/>
              </w:rPr>
              <w:t>服务地点</w:t>
            </w:r>
            <w:r>
              <w:rPr>
                <w:rFonts w:hint="eastAsia"/>
                <w:color w:val="auto"/>
                <w:highlight w:val="none"/>
              </w:rPr>
              <w:t>：采购人指定地点</w:t>
            </w:r>
          </w:p>
          <w:p>
            <w:pPr>
              <w:numPr>
                <w:ilvl w:val="0"/>
                <w:numId w:val="1"/>
              </w:numPr>
              <w:spacing w:line="312" w:lineRule="auto"/>
              <w:rPr>
                <w:color w:val="auto"/>
                <w:highlight w:val="none"/>
              </w:rPr>
            </w:pPr>
            <w:r>
              <w:rPr>
                <w:rFonts w:hint="eastAsia"/>
                <w:b/>
                <w:bCs/>
                <w:color w:val="auto"/>
                <w:highlight w:val="none"/>
              </w:rPr>
              <w:t>服务期限</w:t>
            </w:r>
            <w:r>
              <w:rPr>
                <w:rFonts w:hint="eastAsia"/>
                <w:color w:val="auto"/>
                <w:highlight w:val="none"/>
              </w:rPr>
              <w:t>：两年零三个月（调整同合时间与学期结束对接上延长3个月）。广西职业技术学院明阳校区（2023年4月18日—2025年4月17日延长三个月至2025年7月17日）广西职业技术学院高新区实践教学基地（2023年10月23日—2025年4月17日延长三个月</w:t>
            </w:r>
            <w:r>
              <w:rPr>
                <w:rFonts w:hint="eastAsia"/>
                <w:color w:val="auto"/>
                <w:highlight w:val="none"/>
                <w:lang w:val="en-US" w:eastAsia="zh-CN"/>
              </w:rPr>
              <w:t>至</w:t>
            </w:r>
            <w:r>
              <w:rPr>
                <w:rFonts w:hint="eastAsia"/>
                <w:color w:val="auto"/>
                <w:highlight w:val="none"/>
              </w:rPr>
              <w:t>2025年7月17日）</w:t>
            </w:r>
          </w:p>
          <w:p>
            <w:pPr>
              <w:spacing w:line="312" w:lineRule="auto"/>
              <w:rPr>
                <w:color w:val="auto"/>
                <w:highlight w:val="none"/>
              </w:rPr>
            </w:pPr>
            <w:r>
              <w:rPr>
                <w:rFonts w:hint="eastAsia"/>
                <w:b/>
                <w:bCs/>
                <w:color w:val="auto"/>
                <w:highlight w:val="none"/>
              </w:rPr>
              <w:t>五、投标报价：</w:t>
            </w:r>
            <w:r>
              <w:rPr>
                <w:rFonts w:hint="eastAsia"/>
                <w:color w:val="auto"/>
                <w:highlight w:val="none"/>
              </w:rPr>
              <w:t>服务费用实行总包制，投标报价应包含：人员的工资（基本工资、管理人员津贴、级别工资）、劳保和器械（服装、手电筒、对讲机、电池、胶（木）棒、钢叉、雨具和常用办公用品），社保费（意外伤害保险、医疗保险、养老保险、失业保险、大病医疗互助险、生育保险）和福利待遇（春节慰问、中秋节月饼费、清凉补贴费、水电费、队员培训费、国家法定节日加班费等），以及管理和服务人员意外伤亡赔偿抚恤金、税费、奖金、企业利润等其他管理费用，采购人不再支付其它费用。</w:t>
            </w:r>
          </w:p>
          <w:p>
            <w:pPr>
              <w:spacing w:line="312" w:lineRule="auto"/>
              <w:rPr>
                <w:color w:val="auto"/>
                <w:highlight w:val="none"/>
              </w:rPr>
            </w:pPr>
            <w:r>
              <w:rPr>
                <w:rFonts w:hint="eastAsia"/>
                <w:b/>
                <w:bCs/>
                <w:color w:val="auto"/>
                <w:highlight w:val="none"/>
              </w:rPr>
              <w:t>六、付款方式：</w:t>
            </w:r>
            <w:r>
              <w:rPr>
                <w:rFonts w:hint="eastAsia"/>
                <w:color w:val="auto"/>
                <w:highlight w:val="none"/>
              </w:rPr>
              <w:t>中标人按照服务标准完成服务后，按月付款，即采购人每月10日前凭中标人提供的增值税专用发票通过转帐方式支付上月的服务费</w:t>
            </w:r>
          </w:p>
          <w:p>
            <w:pPr>
              <w:snapToGrid w:val="0"/>
              <w:spacing w:line="312" w:lineRule="auto"/>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七、秩序维护队员违规处罚规定：</w:t>
            </w:r>
          </w:p>
          <w:p>
            <w:pPr>
              <w:snapToGrid w:val="0"/>
              <w:spacing w:line="312" w:lineRule="auto"/>
              <w:ind w:firstLine="420" w:firstLineChars="200"/>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秩序维护队员有以下违纪行为，中标方必须接受采购方相应经济处罚，处罚款项从当月安保服务费中扣除。违纪行为三次以上或违纪情节严重者，中标方必须将该队员进行辞退处理。</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7.1当班期间，队员擅自脱离岗位30分钟以内，一人次扣50元；30分钟以上，一人次扣50元。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7.2 当班期间，队员仪容仪表不整(不按规定统一穿制服、戴工牌、扎腰带、扎领带和穿制服时不钮扣、卷衣袖、库腿、不戴帽等)，一人次扣50元；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7.3 当班期间，队员有酒后上岗的，一人次扣100元；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7.4值班期间，作风懒散，精神不振，站姿、坐姿不端正、将手插放衣袋或裤袋、倚靠在墙壁和其它物体上等行为者，一人次扣50元；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7.5当班期间，粗言秽语、讥笑或不理睬客人与业主发生争吵等，一人次扣100元；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7.6当班期间，做与工作无关的事，如写信、嬉笑打闹、看书报等，一人次扣50 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7.7当班期间，队员在岗位上抽烟发现1次扣50元，打瞌睡发现1次扣50元。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7.8当班期间，无故走出岗位责任范围，记录不详细、撕毁、或乱写乱画的，一人次扣50元；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7.9门岗不按规定对车辆和行人进行管理，一人次扣100元；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7.10岗位人员不认真履行职责和巡逻不到位，致使在管辖范围内发生财物被盗案件，由中标方赔偿受害人损失，发案区域岗位人员扣100元。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7.11队员打架、斗殴，有流氓行为的发现1次扣200元，发现2次的开除。</w:t>
            </w:r>
          </w:p>
          <w:p>
            <w:pPr>
              <w:snapToGrid w:val="0"/>
              <w:spacing w:line="312" w:lineRule="auto"/>
              <w:jc w:val="left"/>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t>八、人员结构及其它方面不达标处理规定</w:t>
            </w:r>
            <w:r>
              <w:rPr>
                <w:rFonts w:hint="eastAsia" w:asciiTheme="minorEastAsia" w:hAnsiTheme="minorEastAsia" w:eastAsiaTheme="minorEastAsia" w:cstheme="minorEastAsia"/>
                <w:b/>
                <w:bCs/>
                <w:color w:val="auto"/>
                <w:szCs w:val="21"/>
                <w:highlight w:val="none"/>
              </w:rPr>
              <w:t>：</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8.1在职队员人数应保持50人（含轮休人员），如有缺岗情况，每缺一个岗位班次，采购方有权在支付安保服务费时扣除缺岗服务费。</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8.2 秩序维护员月度流失率超过10%扣除当月服务费500元。半年内流失率总计超过总人数的50%，一次性扣除服务费2000元。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8.3秩序维护员的退伍军人比例和性别结构应当符合采购方提出的人员配备要求，退伍军人每缺一名扣除当月服务费500元，女性队员每超过一名扣除当月服务费200元。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8.4 对秩序员每周集中开展的教育和培训规范化执勤、消防知识、队列训练、体能训练、防暴训练等业务学习培训不少于1次，每月不少于8小时，每少一小时扣除当月服务500元。</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8.5秩序维护员没有保安员上岗证的，每缺证1人扣除当月服务费50元；持有建（筑）物消防内职业资格证书人员少于3人的，每缺证1人扣除当月服务费</w:t>
            </w:r>
            <w:r>
              <w:rPr>
                <w:rFonts w:hint="eastAsia" w:asciiTheme="minorEastAsia" w:hAnsiTheme="minorEastAsia" w:eastAsiaTheme="minorEastAsia" w:cstheme="minorEastAsia"/>
                <w:color w:val="auto"/>
                <w:szCs w:val="21"/>
                <w:highlight w:val="none"/>
              </w:rPr>
              <w:t>200</w:t>
            </w:r>
            <w:r>
              <w:rPr>
                <w:rFonts w:asciiTheme="minorEastAsia" w:hAnsiTheme="minorEastAsia" w:eastAsiaTheme="minorEastAsia" w:cstheme="minorEastAsia"/>
                <w:color w:val="auto"/>
                <w:szCs w:val="21"/>
                <w:highlight w:val="none"/>
              </w:rPr>
              <w:t>，（如因无建（筑）物消防内职业资格证书上岗，造成一切后果由中标方承担全部责任）。</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8.6中标方应当按采购方要求向秩序维护员支付工资。如果秩序员实领月工资低于采购方提出的最低工资标准，采购方有权在支付安保服务费时扣除差额部分。</w:t>
            </w:r>
          </w:p>
          <w:p>
            <w:pPr>
              <w:snapToGrid w:val="0"/>
              <w:spacing w:line="312" w:lineRule="auto"/>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九 、服务质量评估要求：</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r>
              <w:rPr>
                <w:rFonts w:asciiTheme="minorEastAsia" w:hAnsiTheme="minorEastAsia" w:eastAsiaTheme="minorEastAsia" w:cstheme="minorEastAsia"/>
                <w:color w:val="auto"/>
                <w:szCs w:val="21"/>
                <w:highlight w:val="none"/>
              </w:rPr>
              <w:t>.1采购人根据合同书执行安保服务质量评估。</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r>
              <w:rPr>
                <w:rFonts w:asciiTheme="minorEastAsia" w:hAnsiTheme="minorEastAsia" w:eastAsiaTheme="minorEastAsia" w:cstheme="minorEastAsia"/>
                <w:color w:val="auto"/>
                <w:szCs w:val="21"/>
                <w:highlight w:val="none"/>
              </w:rPr>
              <w:t>.2采购人会同中标人每月（寒、暑假每两个月）对服务质量进行评估检查，检查结果分为：合格与不合格，90分以上含90分为合格；90分以下为不合格。1、评为不合格（得分80-84.9分的），从月度服务费中扣减当月服务费总额的4%，并向采购人提交整改措施；2、评为不合格（得分85-89.9分的），从月度服务费中扣减当月服务费总额的3%，并向采购人提交整改措施；3、连续两个月服务不合格，则终止服务合同</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w:t>
            </w:r>
            <w:r>
              <w:rPr>
                <w:rFonts w:asciiTheme="minorEastAsia" w:hAnsiTheme="minorEastAsia" w:eastAsiaTheme="minorEastAsia" w:cstheme="minorEastAsia"/>
                <w:color w:val="auto"/>
                <w:szCs w:val="21"/>
                <w:highlight w:val="none"/>
              </w:rPr>
              <w:t>服务质量评估标准（满分为100分）；</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9.4</w:t>
            </w:r>
            <w:r>
              <w:rPr>
                <w:rFonts w:asciiTheme="minorEastAsia" w:hAnsiTheme="minorEastAsia" w:eastAsiaTheme="minorEastAsia" w:cstheme="minorEastAsia"/>
                <w:color w:val="auto"/>
                <w:szCs w:val="21"/>
                <w:highlight w:val="none"/>
              </w:rPr>
              <w:t>当月秩序员在执勤过程中，有漏岗、睡岗、脱岗、窜岗或在岗不作为现象的每次扣1分；</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9.5</w:t>
            </w:r>
            <w:r>
              <w:rPr>
                <w:rFonts w:asciiTheme="minorEastAsia" w:hAnsiTheme="minorEastAsia" w:eastAsiaTheme="minorEastAsia" w:cstheme="minorEastAsia"/>
                <w:color w:val="auto"/>
                <w:szCs w:val="21"/>
                <w:highlight w:val="none"/>
              </w:rPr>
              <w:t>在执勤中严格执行采购人相关要求，但如存在无故与师生员工发生口角争执的，每次扣2分；</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9.6</w:t>
            </w:r>
            <w:r>
              <w:rPr>
                <w:rFonts w:asciiTheme="minorEastAsia" w:hAnsiTheme="minorEastAsia" w:eastAsiaTheme="minorEastAsia" w:cstheme="minorEastAsia"/>
                <w:color w:val="auto"/>
                <w:szCs w:val="21"/>
                <w:highlight w:val="none"/>
              </w:rPr>
              <w:t>秩序员执勤中要严格合同中《校园各岗位安全保卫服务标准要求》，若违反相关要求以采购人联合督查的每天检查记录为依据（当班秩序员签名），凡违反《校园各岗位安全保卫服务标准要求》任意一点每次扣1分；</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9.7</w:t>
            </w:r>
            <w:r>
              <w:rPr>
                <w:rFonts w:asciiTheme="minorEastAsia" w:hAnsiTheme="minorEastAsia" w:eastAsiaTheme="minorEastAsia" w:cstheme="minorEastAsia"/>
                <w:color w:val="auto"/>
                <w:szCs w:val="21"/>
                <w:highlight w:val="none"/>
              </w:rPr>
              <w:t>中标人督察组、项目经理不按规定来校督察、检查指导工作，保安队长、副队长不按规定常驻学校的，发现一次扣3分；</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9.8</w:t>
            </w:r>
            <w:r>
              <w:rPr>
                <w:rFonts w:asciiTheme="minorEastAsia" w:hAnsiTheme="minorEastAsia" w:eastAsiaTheme="minorEastAsia" w:cstheme="minorEastAsia"/>
                <w:color w:val="auto"/>
                <w:szCs w:val="21"/>
                <w:highlight w:val="none"/>
              </w:rPr>
              <w:t>不按合同要求对员工定期进行业务培训学习的每缺一次扣2分；</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9.9</w:t>
            </w:r>
            <w:r>
              <w:rPr>
                <w:rFonts w:asciiTheme="minorEastAsia" w:hAnsiTheme="minorEastAsia" w:eastAsiaTheme="minorEastAsia" w:cstheme="minorEastAsia"/>
                <w:color w:val="auto"/>
                <w:szCs w:val="21"/>
                <w:highlight w:val="none"/>
              </w:rPr>
              <w:t>本月发生刑事和治安案件每次扣10分，秩序员发生监守自盗行为移交公安机关处理并赔偿相应的损失。</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w:t>
            </w:r>
            <w:r>
              <w:rPr>
                <w:rFonts w:asciiTheme="minorEastAsia" w:hAnsiTheme="minorEastAsia" w:eastAsiaTheme="minorEastAsia" w:cstheme="minorEastAsia"/>
                <w:color w:val="auto"/>
                <w:szCs w:val="21"/>
                <w:highlight w:val="none"/>
              </w:rPr>
              <w:t>未形成安全工作电子工作台账的，当月扣5分。</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r>
              <w:rPr>
                <w:rFonts w:asciiTheme="minorEastAsia" w:hAnsiTheme="minorEastAsia" w:eastAsiaTheme="minorEastAsia" w:cstheme="minorEastAsia"/>
                <w:color w:val="auto"/>
                <w:szCs w:val="21"/>
                <w:highlight w:val="none"/>
              </w:rPr>
              <w:t>合同履行期限:贰年零三个月。合同期内每个月考核一次，若中标人连续两次考核不合格的，采购人有权立即终止合同；合同期内由于中标人出现重大失误、造成采购人重大经济损失和名誉损失等情形，采购人有权立即终止合同。</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line="312" w:lineRule="auto"/>
              <w:ind w:firstLine="420" w:firstLineChars="140"/>
              <w:jc w:val="center"/>
              <w:rPr>
                <w:rFonts w:ascii="宋体" w:hAnsi="宋体" w:cs="宋体"/>
                <w:bCs/>
                <w:color w:val="auto"/>
                <w:sz w:val="30"/>
                <w:szCs w:val="30"/>
                <w:highlight w:val="none"/>
              </w:rPr>
            </w:pPr>
            <w:r>
              <w:rPr>
                <w:rFonts w:hint="eastAsia" w:ascii="宋体" w:hAnsi="宋体" w:cs="宋体"/>
                <w:bCs/>
                <w:color w:val="auto"/>
                <w:sz w:val="30"/>
                <w:szCs w:val="30"/>
                <w:highlight w:val="none"/>
              </w:rPr>
              <w:t>广西职业技术学院安保服务月度考评表</w:t>
            </w:r>
          </w:p>
          <w:tbl>
            <w:tblPr>
              <w:tblStyle w:val="19"/>
              <w:tblW w:w="8762" w:type="dxa"/>
              <w:jc w:val="center"/>
              <w:tblInd w:w="0" w:type="dxa"/>
              <w:shd w:val="solid" w:color="FAFAFA" w:fill="FFFFFF"/>
              <w:tblLayout w:type="fixed"/>
              <w:tblCellMar>
                <w:top w:w="0" w:type="dxa"/>
                <w:left w:w="0" w:type="dxa"/>
                <w:bottom w:w="0" w:type="dxa"/>
                <w:right w:w="0" w:type="dxa"/>
              </w:tblCellMar>
            </w:tblPr>
            <w:tblGrid>
              <w:gridCol w:w="908"/>
              <w:gridCol w:w="1287"/>
              <w:gridCol w:w="4802"/>
              <w:gridCol w:w="923"/>
              <w:gridCol w:w="842"/>
            </w:tblGrid>
            <w:tr>
              <w:tblPrEx>
                <w:shd w:val="solid" w:color="FAFAFA" w:fill="FFFFFF"/>
                <w:tblLayout w:type="fixed"/>
                <w:tblCellMar>
                  <w:top w:w="0" w:type="dxa"/>
                  <w:left w:w="0" w:type="dxa"/>
                  <w:bottom w:w="0" w:type="dxa"/>
                  <w:right w:w="0" w:type="dxa"/>
                </w:tblCellMar>
              </w:tblPrEx>
              <w:trPr>
                <w:trHeight w:val="653" w:hRule="atLeast"/>
                <w:jc w:val="center"/>
              </w:trPr>
              <w:tc>
                <w:tcPr>
                  <w:tcW w:w="908"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 号</w:t>
                  </w:r>
                </w:p>
              </w:tc>
              <w:tc>
                <w:tcPr>
                  <w:tcW w:w="1287"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考核项目</w:t>
                  </w: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考  核  内  容</w:t>
                  </w:r>
                </w:p>
              </w:tc>
              <w:tc>
                <w:tcPr>
                  <w:tcW w:w="923"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考评</w:t>
                  </w:r>
                </w:p>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满分</w:t>
                  </w:r>
                </w:p>
              </w:tc>
              <w:tc>
                <w:tcPr>
                  <w:tcW w:w="84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得  分</w:t>
                  </w: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一</w:t>
                  </w:r>
                </w:p>
              </w:tc>
              <w:tc>
                <w:tcPr>
                  <w:tcW w:w="1287"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安全管理</w:t>
                  </w: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安全、消防制度规范健全，基础档案齐全（6分）</w:t>
                  </w:r>
                </w:p>
              </w:tc>
              <w:tc>
                <w:tcPr>
                  <w:tcW w:w="923"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30分</w:t>
                  </w:r>
                </w:p>
              </w:tc>
              <w:tc>
                <w:tcPr>
                  <w:tcW w:w="842"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队员配备到位，无脱岗、缺岗情况（6分）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队员会正确使用安全消防器材（6分）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有突发事件工作预案，及时处理紧急情况（6分）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保障安全，无重大责任事故、案件（6分）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二</w:t>
                  </w:r>
                </w:p>
              </w:tc>
              <w:tc>
                <w:tcPr>
                  <w:tcW w:w="1287"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日常管理</w:t>
                  </w: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队员遵章守纪，工作纪律（4分）</w:t>
                  </w:r>
                </w:p>
              </w:tc>
              <w:tc>
                <w:tcPr>
                  <w:tcW w:w="923" w:type="dxa"/>
                  <w:vMerge w:val="restart"/>
                  <w:tcBorders>
                    <w:top w:val="inset" w:color="auto" w:sz="6" w:space="0"/>
                    <w:left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30分</w:t>
                  </w:r>
                </w:p>
              </w:tc>
              <w:tc>
                <w:tcPr>
                  <w:tcW w:w="842"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队员着装统一，执勤规范，热情为师生服务（4分）</w:t>
                  </w:r>
                </w:p>
              </w:tc>
              <w:tc>
                <w:tcPr>
                  <w:tcW w:w="923" w:type="dxa"/>
                  <w:vMerge w:val="continue"/>
                  <w:tcBorders>
                    <w:left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日常训练、培训、各类工作记录情况完备（4分）</w:t>
                  </w:r>
                </w:p>
              </w:tc>
              <w:tc>
                <w:tcPr>
                  <w:tcW w:w="923" w:type="dxa"/>
                  <w:vMerge w:val="continue"/>
                  <w:tcBorders>
                    <w:left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队员稳定，人员变动报后勤保卫处（4分）</w:t>
                  </w:r>
                </w:p>
              </w:tc>
              <w:tc>
                <w:tcPr>
                  <w:tcW w:w="923" w:type="dxa"/>
                  <w:vMerge w:val="continue"/>
                  <w:tcBorders>
                    <w:left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物品出入登记、检查、处理情况记录（4分）</w:t>
                  </w:r>
                </w:p>
              </w:tc>
              <w:tc>
                <w:tcPr>
                  <w:tcW w:w="923" w:type="dxa"/>
                  <w:vMerge w:val="continue"/>
                  <w:tcBorders>
                    <w:left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做好学院重大活动的保卫和秩序维护工作（4分）</w:t>
                  </w:r>
                </w:p>
              </w:tc>
              <w:tc>
                <w:tcPr>
                  <w:tcW w:w="923" w:type="dxa"/>
                  <w:vMerge w:val="continue"/>
                  <w:tcBorders>
                    <w:left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设立值班牌、值班电话、随时接受投诉（3分）</w:t>
                  </w:r>
                </w:p>
              </w:tc>
              <w:tc>
                <w:tcPr>
                  <w:tcW w:w="923" w:type="dxa"/>
                  <w:vMerge w:val="continue"/>
                  <w:tcBorders>
                    <w:left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有无安全提示标志，门卫管理制度告知牌（3分）</w:t>
                  </w:r>
                </w:p>
              </w:tc>
              <w:tc>
                <w:tcPr>
                  <w:tcW w:w="923" w:type="dxa"/>
                  <w:vMerge w:val="continue"/>
                  <w:tcBorders>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三</w:t>
                  </w:r>
                </w:p>
              </w:tc>
              <w:tc>
                <w:tcPr>
                  <w:tcW w:w="1287"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服务意识</w:t>
                  </w:r>
                </w:p>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服务态度</w:t>
                  </w: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值班期间的精神、工作状态（3分）</w:t>
                  </w:r>
                </w:p>
              </w:tc>
              <w:tc>
                <w:tcPr>
                  <w:tcW w:w="923"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15分</w:t>
                  </w:r>
                </w:p>
              </w:tc>
              <w:tc>
                <w:tcPr>
                  <w:tcW w:w="842"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对师生员工的服务态度，礼貌待客（3分）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坚持文明用语（3分）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按章执勤，无违纪情况（3分）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文明执勤，无粗暴、蛮横行为（3分）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480" w:hRule="exact"/>
                <w:jc w:val="center"/>
              </w:trPr>
              <w:tc>
                <w:tcPr>
                  <w:tcW w:w="908"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四</w:t>
                  </w:r>
                </w:p>
              </w:tc>
              <w:tc>
                <w:tcPr>
                  <w:tcW w:w="1287"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工作责任心</w:t>
                  </w:r>
                </w:p>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工作主动性</w:t>
                  </w: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熟悉工作环境，清楚安全工作事项（3分）</w:t>
                  </w:r>
                </w:p>
              </w:tc>
              <w:tc>
                <w:tcPr>
                  <w:tcW w:w="923"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15分</w:t>
                  </w:r>
                </w:p>
              </w:tc>
              <w:tc>
                <w:tcPr>
                  <w:tcW w:w="842" w:type="dxa"/>
                  <w:vMerge w:val="restart"/>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r>
            <w:tr>
              <w:tblPrEx>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及时汇报工作中发现的安全隐患和问题（3分）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坚守岗位，不擅离岗位和窜岗，迟到早退现象（3分）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队员熟悉并掌握使用安保工作器械情况（3分）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480" w:hRule="exact"/>
                <w:jc w:val="center"/>
              </w:trPr>
              <w:tc>
                <w:tcPr>
                  <w:tcW w:w="908"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1287"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工作积极、主动性方面（3分）</w:t>
                  </w:r>
                </w:p>
              </w:tc>
              <w:tc>
                <w:tcPr>
                  <w:tcW w:w="923"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c>
                <w:tcPr>
                  <w:tcW w:w="842" w:type="dxa"/>
                  <w:vMerge w:val="continue"/>
                  <w:tcBorders>
                    <w:top w:val="inset" w:color="auto" w:sz="6" w:space="0"/>
                    <w:left w:val="inset" w:color="auto" w:sz="6" w:space="0"/>
                    <w:bottom w:val="inset" w:color="auto" w:sz="6" w:space="0"/>
                    <w:right w:val="inset" w:color="auto" w:sz="6" w:space="0"/>
                  </w:tcBorders>
                  <w:shd w:val="solid" w:color="FAFAFA" w:fill="FFFFFF"/>
                  <w:vAlign w:val="center"/>
                </w:tcPr>
                <w:p>
                  <w:pPr>
                    <w:widowControl/>
                    <w:spacing w:line="276" w:lineRule="auto"/>
                    <w:jc w:val="left"/>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959" w:hRule="atLeast"/>
                <w:jc w:val="center"/>
              </w:trPr>
              <w:tc>
                <w:tcPr>
                  <w:tcW w:w="908"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五</w:t>
                  </w:r>
                </w:p>
              </w:tc>
              <w:tc>
                <w:tcPr>
                  <w:tcW w:w="1287"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满意率</w:t>
                  </w:r>
                </w:p>
              </w:tc>
              <w:tc>
                <w:tcPr>
                  <w:tcW w:w="480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依据师生满意情况调查表（10分）</w:t>
                  </w:r>
                </w:p>
              </w:tc>
              <w:tc>
                <w:tcPr>
                  <w:tcW w:w="923"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84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r>
            <w:tr>
              <w:tblPrEx>
                <w:shd w:val="solid" w:color="FAFAFA" w:fill="FFFFFF"/>
                <w:tblLayout w:type="fixed"/>
                <w:tblCellMar>
                  <w:top w:w="0" w:type="dxa"/>
                  <w:left w:w="0" w:type="dxa"/>
                  <w:bottom w:w="0" w:type="dxa"/>
                  <w:right w:w="0" w:type="dxa"/>
                </w:tblCellMar>
              </w:tblPrEx>
              <w:trPr>
                <w:trHeight w:val="835" w:hRule="atLeast"/>
                <w:jc w:val="center"/>
              </w:trPr>
              <w:tc>
                <w:tcPr>
                  <w:tcW w:w="6997" w:type="dxa"/>
                  <w:gridSpan w:val="3"/>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综   合    得     分</w:t>
                  </w:r>
                </w:p>
              </w:tc>
              <w:tc>
                <w:tcPr>
                  <w:tcW w:w="923"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w:t>
                  </w:r>
                </w:p>
              </w:tc>
              <w:tc>
                <w:tcPr>
                  <w:tcW w:w="842" w:type="dxa"/>
                  <w:tcBorders>
                    <w:top w:val="inset" w:color="auto" w:sz="6" w:space="0"/>
                    <w:left w:val="inset" w:color="auto" w:sz="6" w:space="0"/>
                    <w:bottom w:val="inset" w:color="auto" w:sz="6" w:space="0"/>
                    <w:right w:val="inset" w:color="auto" w:sz="6" w:space="0"/>
                  </w:tcBorders>
                  <w:shd w:val="solid" w:color="FAFAFA" w:fill="FFFFFF"/>
                  <w:vAlign w:val="center"/>
                </w:tcPr>
                <w:p>
                  <w:pPr>
                    <w:adjustRightInd w:val="0"/>
                    <w:snapToGrid w:val="0"/>
                    <w:spacing w:line="276" w:lineRule="auto"/>
                    <w:jc w:val="center"/>
                    <w:rPr>
                      <w:rFonts w:ascii="宋体" w:hAnsi="宋体" w:cs="宋体"/>
                      <w:color w:val="auto"/>
                      <w:sz w:val="18"/>
                      <w:szCs w:val="18"/>
                      <w:highlight w:val="none"/>
                    </w:rPr>
                  </w:pPr>
                </w:p>
              </w:tc>
            </w:tr>
          </w:tbl>
          <w:p>
            <w:pPr>
              <w:snapToGrid w:val="0"/>
              <w:jc w:val="left"/>
              <w:rPr>
                <w:rFonts w:asciiTheme="minorEastAsia" w:hAnsiTheme="minorEastAsia" w:eastAsiaTheme="minorEastAsia" w:cstheme="minorEastAsia"/>
                <w:color w:val="auto"/>
                <w:szCs w:val="21"/>
                <w:highlight w:val="none"/>
              </w:rPr>
            </w:pPr>
          </w:p>
          <w:p>
            <w:pPr>
              <w:snapToGrid w:val="0"/>
              <w:spacing w:line="312" w:lineRule="auto"/>
              <w:ind w:firstLine="420" w:firstLineChars="140"/>
              <w:jc w:val="center"/>
              <w:rPr>
                <w:rFonts w:ascii="宋体" w:hAnsi="宋体" w:cs="宋体"/>
                <w:bCs/>
                <w:color w:val="auto"/>
                <w:sz w:val="30"/>
                <w:szCs w:val="30"/>
                <w:highlight w:val="none"/>
              </w:rPr>
            </w:pPr>
            <w:r>
              <w:rPr>
                <w:rFonts w:hint="eastAsia" w:ascii="宋体" w:hAnsi="宋体" w:cs="宋体"/>
                <w:bCs/>
                <w:color w:val="auto"/>
                <w:sz w:val="30"/>
                <w:szCs w:val="30"/>
                <w:highlight w:val="none"/>
              </w:rPr>
              <w:t>广西职业技术学院安保服务人员结构及其它方面考核表</w:t>
            </w:r>
          </w:p>
          <w:p>
            <w:pPr>
              <w:pStyle w:val="2"/>
              <w:rPr>
                <w:color w:val="auto"/>
                <w:highlight w:val="none"/>
              </w:rPr>
            </w:pPr>
          </w:p>
          <w:tbl>
            <w:tblPr>
              <w:tblStyle w:val="2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1418"/>
              <w:gridCol w:w="2551"/>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7" w:hRule="atLeast"/>
              </w:trPr>
              <w:tc>
                <w:tcPr>
                  <w:tcW w:w="1129" w:type="dxa"/>
                  <w:vAlign w:val="center"/>
                </w:tcPr>
                <w:p>
                  <w:pPr>
                    <w:pStyle w:val="2"/>
                    <w:jc w:val="center"/>
                    <w:rPr>
                      <w:color w:val="auto"/>
                      <w:highlight w:val="none"/>
                    </w:rPr>
                  </w:pPr>
                  <w:r>
                    <w:rPr>
                      <w:rFonts w:hint="eastAsia"/>
                      <w:color w:val="auto"/>
                      <w:highlight w:val="none"/>
                    </w:rPr>
                    <w:t>序 号</w:t>
                  </w:r>
                </w:p>
              </w:tc>
              <w:tc>
                <w:tcPr>
                  <w:tcW w:w="1418" w:type="dxa"/>
                  <w:vAlign w:val="center"/>
                </w:tcPr>
                <w:p>
                  <w:pPr>
                    <w:pStyle w:val="2"/>
                    <w:jc w:val="center"/>
                    <w:rPr>
                      <w:color w:val="auto"/>
                      <w:highlight w:val="none"/>
                    </w:rPr>
                  </w:pPr>
                  <w:r>
                    <w:rPr>
                      <w:rFonts w:hint="eastAsia"/>
                      <w:color w:val="auto"/>
                      <w:highlight w:val="none"/>
                    </w:rPr>
                    <w:t>考 核 项 目</w:t>
                  </w:r>
                </w:p>
              </w:tc>
              <w:tc>
                <w:tcPr>
                  <w:tcW w:w="2551" w:type="dxa"/>
                  <w:vAlign w:val="center"/>
                </w:tcPr>
                <w:p>
                  <w:pPr>
                    <w:pStyle w:val="2"/>
                    <w:jc w:val="center"/>
                    <w:rPr>
                      <w:color w:val="auto"/>
                      <w:highlight w:val="none"/>
                    </w:rPr>
                  </w:pPr>
                  <w:r>
                    <w:rPr>
                      <w:rFonts w:hint="eastAsia"/>
                      <w:color w:val="auto"/>
                      <w:highlight w:val="none"/>
                    </w:rPr>
                    <w:t>考 核 内 容</w:t>
                  </w:r>
                </w:p>
              </w:tc>
              <w:tc>
                <w:tcPr>
                  <w:tcW w:w="2835" w:type="dxa"/>
                  <w:vAlign w:val="center"/>
                </w:tcPr>
                <w:p>
                  <w:pPr>
                    <w:pStyle w:val="2"/>
                    <w:jc w:val="center"/>
                    <w:rPr>
                      <w:color w:val="auto"/>
                      <w:highlight w:val="none"/>
                    </w:rPr>
                  </w:pPr>
                  <w:r>
                    <w:rPr>
                      <w:rFonts w:hint="eastAsia"/>
                      <w:color w:val="auto"/>
                      <w:highlight w:val="none"/>
                    </w:rPr>
                    <w:t>标 准</w:t>
                  </w:r>
                </w:p>
              </w:tc>
              <w:tc>
                <w:tcPr>
                  <w:tcW w:w="1418" w:type="dxa"/>
                  <w:vAlign w:val="center"/>
                </w:tcPr>
                <w:p>
                  <w:pPr>
                    <w:pStyle w:val="2"/>
                    <w:jc w:val="center"/>
                    <w:rPr>
                      <w:color w:val="auto"/>
                      <w:highlight w:val="none"/>
                    </w:rPr>
                  </w:pPr>
                  <w:r>
                    <w:rPr>
                      <w:rFonts w:hint="eastAsia"/>
                      <w:color w:val="auto"/>
                      <w:highlight w:val="none"/>
                    </w:rPr>
                    <w:t>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3" w:hRule="atLeast"/>
              </w:trPr>
              <w:tc>
                <w:tcPr>
                  <w:tcW w:w="1129" w:type="dxa"/>
                  <w:vAlign w:val="center"/>
                </w:tcPr>
                <w:p>
                  <w:pPr>
                    <w:pStyle w:val="2"/>
                    <w:jc w:val="center"/>
                    <w:rPr>
                      <w:color w:val="auto"/>
                      <w:highlight w:val="none"/>
                    </w:rPr>
                  </w:pPr>
                  <w:r>
                    <w:rPr>
                      <w:rFonts w:hint="eastAsia"/>
                      <w:color w:val="auto"/>
                      <w:highlight w:val="none"/>
                    </w:rPr>
                    <w:t>一</w:t>
                  </w:r>
                </w:p>
              </w:tc>
              <w:tc>
                <w:tcPr>
                  <w:tcW w:w="1418" w:type="dxa"/>
                  <w:vAlign w:val="center"/>
                </w:tcPr>
                <w:p>
                  <w:pPr>
                    <w:pStyle w:val="2"/>
                    <w:jc w:val="both"/>
                    <w:rPr>
                      <w:color w:val="auto"/>
                      <w:highlight w:val="none"/>
                    </w:rPr>
                  </w:pPr>
                  <w:r>
                    <w:rPr>
                      <w:rFonts w:hint="eastAsia"/>
                      <w:color w:val="auto"/>
                      <w:highlight w:val="none"/>
                    </w:rPr>
                    <w:t>在职秩序员人数</w:t>
                  </w:r>
                </w:p>
              </w:tc>
              <w:tc>
                <w:tcPr>
                  <w:tcW w:w="2551" w:type="dxa"/>
                  <w:vAlign w:val="center"/>
                </w:tcPr>
                <w:p>
                  <w:pPr>
                    <w:pStyle w:val="2"/>
                    <w:jc w:val="center"/>
                    <w:rPr>
                      <w:color w:val="auto"/>
                      <w:highlight w:val="none"/>
                    </w:rPr>
                  </w:pPr>
                  <w:r>
                    <w:rPr>
                      <w:rFonts w:hint="eastAsia"/>
                      <w:color w:val="auto"/>
                      <w:highlight w:val="none"/>
                    </w:rPr>
                    <w:t>队员配备是否到位</w:t>
                  </w:r>
                </w:p>
              </w:tc>
              <w:tc>
                <w:tcPr>
                  <w:tcW w:w="2835" w:type="dxa"/>
                  <w:vAlign w:val="center"/>
                </w:tcPr>
                <w:p>
                  <w:pPr>
                    <w:pStyle w:val="2"/>
                    <w:jc w:val="center"/>
                    <w:rPr>
                      <w:color w:val="auto"/>
                      <w:highlight w:val="none"/>
                    </w:rPr>
                  </w:pPr>
                  <w:r>
                    <w:rPr>
                      <w:rFonts w:hint="eastAsia"/>
                      <w:color w:val="auto"/>
                      <w:highlight w:val="none"/>
                    </w:rPr>
                    <w:t>扣除缺岗人员服务费</w:t>
                  </w:r>
                </w:p>
              </w:tc>
              <w:tc>
                <w:tcPr>
                  <w:tcW w:w="1418" w:type="dxa"/>
                  <w:vAlign w:val="center"/>
                </w:tcPr>
                <w:p>
                  <w:pPr>
                    <w:pStyle w:val="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1129" w:type="dxa"/>
                  <w:vAlign w:val="center"/>
                </w:tcPr>
                <w:p>
                  <w:pPr>
                    <w:pStyle w:val="2"/>
                    <w:jc w:val="center"/>
                    <w:rPr>
                      <w:color w:val="auto"/>
                      <w:highlight w:val="none"/>
                    </w:rPr>
                  </w:pPr>
                  <w:r>
                    <w:rPr>
                      <w:rFonts w:hint="eastAsia"/>
                      <w:color w:val="auto"/>
                      <w:highlight w:val="none"/>
                    </w:rPr>
                    <w:t>二</w:t>
                  </w:r>
                </w:p>
              </w:tc>
              <w:tc>
                <w:tcPr>
                  <w:tcW w:w="1418" w:type="dxa"/>
                  <w:vAlign w:val="center"/>
                </w:tcPr>
                <w:p>
                  <w:pPr>
                    <w:pStyle w:val="2"/>
                    <w:jc w:val="both"/>
                    <w:rPr>
                      <w:color w:val="auto"/>
                      <w:highlight w:val="none"/>
                    </w:rPr>
                  </w:pPr>
                  <w:r>
                    <w:rPr>
                      <w:rFonts w:hint="eastAsia"/>
                      <w:color w:val="auto"/>
                      <w:highlight w:val="none"/>
                    </w:rPr>
                    <w:t>在职秩序员在职保有率</w:t>
                  </w:r>
                </w:p>
              </w:tc>
              <w:tc>
                <w:tcPr>
                  <w:tcW w:w="2551" w:type="dxa"/>
                  <w:vAlign w:val="center"/>
                </w:tcPr>
                <w:p>
                  <w:pPr>
                    <w:snapToGrid w:val="0"/>
                    <w:spacing w:line="312" w:lineRule="auto"/>
                    <w:jc w:val="center"/>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 w:val="18"/>
                      <w:szCs w:val="18"/>
                      <w:highlight w:val="none"/>
                    </w:rPr>
                    <w:t>月度流失率超过与半年内流失率</w:t>
                  </w:r>
                </w:p>
              </w:tc>
              <w:tc>
                <w:tcPr>
                  <w:tcW w:w="2835" w:type="dxa"/>
                  <w:vAlign w:val="center"/>
                </w:tcPr>
                <w:p>
                  <w:pPr>
                    <w:pStyle w:val="2"/>
                    <w:jc w:val="both"/>
                    <w:rPr>
                      <w:color w:val="auto"/>
                      <w:highlight w:val="none"/>
                    </w:rPr>
                  </w:pPr>
                  <w:r>
                    <w:rPr>
                      <w:rFonts w:asciiTheme="minorEastAsia" w:hAnsiTheme="minorEastAsia" w:eastAsiaTheme="minorEastAsia" w:cstheme="minorEastAsia"/>
                      <w:color w:val="auto"/>
                      <w:highlight w:val="none"/>
                    </w:rPr>
                    <w:t>超过10%扣除当月服务费500元。超过10%一次性扣除服务费2000元</w:t>
                  </w:r>
                  <w:r>
                    <w:rPr>
                      <w:rFonts w:asciiTheme="minorEastAsia" w:hAnsiTheme="minorEastAsia" w:eastAsiaTheme="minorEastAsia" w:cstheme="minorEastAsia"/>
                      <w:color w:val="auto"/>
                      <w:szCs w:val="21"/>
                      <w:highlight w:val="none"/>
                    </w:rPr>
                    <w:t>。</w:t>
                  </w:r>
                </w:p>
              </w:tc>
              <w:tc>
                <w:tcPr>
                  <w:tcW w:w="1418" w:type="dxa"/>
                  <w:vAlign w:val="center"/>
                </w:tcPr>
                <w:p>
                  <w:pPr>
                    <w:pStyle w:val="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trPr>
              <w:tc>
                <w:tcPr>
                  <w:tcW w:w="1129" w:type="dxa"/>
                  <w:vAlign w:val="center"/>
                </w:tcPr>
                <w:p>
                  <w:pPr>
                    <w:pStyle w:val="2"/>
                    <w:jc w:val="center"/>
                    <w:rPr>
                      <w:color w:val="auto"/>
                      <w:highlight w:val="none"/>
                    </w:rPr>
                  </w:pPr>
                  <w:r>
                    <w:rPr>
                      <w:rFonts w:hint="eastAsia"/>
                      <w:color w:val="auto"/>
                      <w:highlight w:val="none"/>
                    </w:rPr>
                    <w:t>三</w:t>
                  </w:r>
                </w:p>
              </w:tc>
              <w:tc>
                <w:tcPr>
                  <w:tcW w:w="1418" w:type="dxa"/>
                  <w:vAlign w:val="center"/>
                </w:tcPr>
                <w:p>
                  <w:pPr>
                    <w:pStyle w:val="2"/>
                    <w:jc w:val="both"/>
                    <w:rPr>
                      <w:color w:val="auto"/>
                      <w:highlight w:val="none"/>
                    </w:rPr>
                  </w:pPr>
                  <w:r>
                    <w:rPr>
                      <w:rFonts w:hint="eastAsia"/>
                      <w:color w:val="auto"/>
                      <w:highlight w:val="none"/>
                    </w:rPr>
                    <w:t>在职秩序员退伍军人在职比例</w:t>
                  </w:r>
                </w:p>
              </w:tc>
              <w:tc>
                <w:tcPr>
                  <w:tcW w:w="2551" w:type="dxa"/>
                  <w:vAlign w:val="center"/>
                </w:tcPr>
                <w:p>
                  <w:pPr>
                    <w:pStyle w:val="2"/>
                    <w:jc w:val="center"/>
                    <w:rPr>
                      <w:color w:val="auto"/>
                      <w:highlight w:val="none"/>
                    </w:rPr>
                  </w:pPr>
                  <w:r>
                    <w:rPr>
                      <w:rFonts w:hint="eastAsia"/>
                      <w:color w:val="auto"/>
                      <w:highlight w:val="none"/>
                    </w:rPr>
                    <w:t>退伍军人配备</w:t>
                  </w:r>
                  <w:r>
                    <w:rPr>
                      <w:rFonts w:asciiTheme="minorEastAsia" w:hAnsiTheme="minorEastAsia" w:eastAsiaTheme="minorEastAsia" w:cstheme="minorEastAsia"/>
                      <w:color w:val="auto"/>
                      <w:highlight w:val="none"/>
                    </w:rPr>
                    <w:t>率</w:t>
                  </w:r>
                </w:p>
              </w:tc>
              <w:tc>
                <w:tcPr>
                  <w:tcW w:w="2835" w:type="dxa"/>
                  <w:vAlign w:val="center"/>
                </w:tcPr>
                <w:p>
                  <w:pPr>
                    <w:pStyle w:val="2"/>
                    <w:jc w:val="both"/>
                    <w:rPr>
                      <w:color w:val="auto"/>
                      <w:highlight w:val="none"/>
                    </w:rPr>
                  </w:pPr>
                  <w:r>
                    <w:rPr>
                      <w:rFonts w:asciiTheme="minorEastAsia" w:hAnsiTheme="minorEastAsia" w:eastAsiaTheme="minorEastAsia" w:cstheme="minorEastAsia"/>
                      <w:color w:val="auto"/>
                      <w:szCs w:val="21"/>
                      <w:highlight w:val="none"/>
                    </w:rPr>
                    <w:t>缺一名退伍军人扣除当月服务费500元</w:t>
                  </w:r>
                </w:p>
              </w:tc>
              <w:tc>
                <w:tcPr>
                  <w:tcW w:w="1418" w:type="dxa"/>
                  <w:vAlign w:val="center"/>
                </w:tcPr>
                <w:p>
                  <w:pPr>
                    <w:pStyle w:val="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trPr>
              <w:tc>
                <w:tcPr>
                  <w:tcW w:w="1129" w:type="dxa"/>
                  <w:vAlign w:val="center"/>
                </w:tcPr>
                <w:p>
                  <w:pPr>
                    <w:pStyle w:val="2"/>
                    <w:jc w:val="center"/>
                    <w:rPr>
                      <w:color w:val="auto"/>
                      <w:highlight w:val="none"/>
                    </w:rPr>
                  </w:pPr>
                  <w:r>
                    <w:rPr>
                      <w:rFonts w:hint="eastAsia"/>
                      <w:color w:val="auto"/>
                      <w:highlight w:val="none"/>
                    </w:rPr>
                    <w:t>四</w:t>
                  </w:r>
                </w:p>
              </w:tc>
              <w:tc>
                <w:tcPr>
                  <w:tcW w:w="1418" w:type="dxa"/>
                  <w:vAlign w:val="center"/>
                </w:tcPr>
                <w:p>
                  <w:pPr>
                    <w:pStyle w:val="2"/>
                    <w:jc w:val="both"/>
                    <w:rPr>
                      <w:color w:val="auto"/>
                      <w:highlight w:val="none"/>
                    </w:rPr>
                  </w:pPr>
                  <w:r>
                    <w:rPr>
                      <w:rFonts w:hint="eastAsia"/>
                      <w:color w:val="auto"/>
                      <w:highlight w:val="none"/>
                    </w:rPr>
                    <w:t>在职秩序员持证上岗率</w:t>
                  </w:r>
                </w:p>
              </w:tc>
              <w:tc>
                <w:tcPr>
                  <w:tcW w:w="2551" w:type="dxa"/>
                  <w:vAlign w:val="center"/>
                </w:tcPr>
                <w:p>
                  <w:pPr>
                    <w:pStyle w:val="2"/>
                    <w:jc w:val="center"/>
                    <w:rPr>
                      <w:color w:val="auto"/>
                      <w:highlight w:val="none"/>
                    </w:rPr>
                  </w:pPr>
                  <w:r>
                    <w:rPr>
                      <w:rFonts w:hint="eastAsia"/>
                      <w:color w:val="auto"/>
                      <w:highlight w:val="none"/>
                    </w:rPr>
                    <w:t>队员持证上岗是否到位</w:t>
                  </w:r>
                </w:p>
              </w:tc>
              <w:tc>
                <w:tcPr>
                  <w:tcW w:w="2835" w:type="dxa"/>
                  <w:vAlign w:val="center"/>
                </w:tcPr>
                <w:p>
                  <w:pPr>
                    <w:pStyle w:val="2"/>
                    <w:rPr>
                      <w:color w:val="auto"/>
                      <w:highlight w:val="none"/>
                    </w:rPr>
                  </w:pPr>
                  <w:r>
                    <w:rPr>
                      <w:rFonts w:asciiTheme="minorEastAsia" w:hAnsiTheme="minorEastAsia" w:eastAsiaTheme="minorEastAsia" w:cstheme="minorEastAsia"/>
                      <w:color w:val="auto"/>
                      <w:szCs w:val="21"/>
                      <w:highlight w:val="none"/>
                    </w:rPr>
                    <w:t>秩序员上岗证每缺证1人扣除当月服务费50元，建（筑）物消防内职业资格证，每缺证1人扣除当月服务费</w:t>
                  </w:r>
                  <w:r>
                    <w:rPr>
                      <w:rFonts w:hint="eastAsia" w:asciiTheme="minorEastAsia" w:hAnsiTheme="minorEastAsia" w:eastAsiaTheme="minorEastAsia" w:cstheme="minorEastAsia"/>
                      <w:color w:val="auto"/>
                      <w:szCs w:val="21"/>
                      <w:highlight w:val="none"/>
                    </w:rPr>
                    <w:t>200。</w:t>
                  </w:r>
                </w:p>
              </w:tc>
              <w:tc>
                <w:tcPr>
                  <w:tcW w:w="1418" w:type="dxa"/>
                  <w:vAlign w:val="center"/>
                </w:tcPr>
                <w:p>
                  <w:pPr>
                    <w:pStyle w:val="2"/>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trPr>
              <w:tc>
                <w:tcPr>
                  <w:tcW w:w="1129" w:type="dxa"/>
                  <w:vAlign w:val="center"/>
                </w:tcPr>
                <w:p>
                  <w:pPr>
                    <w:pStyle w:val="2"/>
                    <w:jc w:val="center"/>
                    <w:rPr>
                      <w:color w:val="auto"/>
                      <w:highlight w:val="none"/>
                    </w:rPr>
                  </w:pPr>
                  <w:r>
                    <w:rPr>
                      <w:rFonts w:hint="eastAsia"/>
                      <w:color w:val="auto"/>
                      <w:highlight w:val="none"/>
                    </w:rPr>
                    <w:t>五</w:t>
                  </w:r>
                </w:p>
              </w:tc>
              <w:tc>
                <w:tcPr>
                  <w:tcW w:w="1418" w:type="dxa"/>
                  <w:vAlign w:val="center"/>
                </w:tcPr>
                <w:p>
                  <w:pPr>
                    <w:pStyle w:val="2"/>
                    <w:jc w:val="both"/>
                    <w:rPr>
                      <w:color w:val="auto"/>
                      <w:highlight w:val="none"/>
                    </w:rPr>
                  </w:pPr>
                  <w:r>
                    <w:rPr>
                      <w:rFonts w:hint="eastAsia"/>
                      <w:color w:val="auto"/>
                      <w:highlight w:val="none"/>
                    </w:rPr>
                    <w:t>秩序号月度培训时间</w:t>
                  </w:r>
                </w:p>
              </w:tc>
              <w:tc>
                <w:tcPr>
                  <w:tcW w:w="2551" w:type="dxa"/>
                  <w:vAlign w:val="center"/>
                </w:tcPr>
                <w:p>
                  <w:pPr>
                    <w:pStyle w:val="2"/>
                    <w:jc w:val="center"/>
                    <w:rPr>
                      <w:color w:val="auto"/>
                      <w:highlight w:val="none"/>
                    </w:rPr>
                  </w:pPr>
                  <w:r>
                    <w:rPr>
                      <w:rFonts w:hint="eastAsia"/>
                      <w:color w:val="auto"/>
                      <w:highlight w:val="none"/>
                    </w:rPr>
                    <w:t>培训时间是否到位</w:t>
                  </w:r>
                </w:p>
              </w:tc>
              <w:tc>
                <w:tcPr>
                  <w:tcW w:w="2835" w:type="dxa"/>
                  <w:vAlign w:val="center"/>
                </w:tcPr>
                <w:p>
                  <w:pPr>
                    <w:pStyle w:val="2"/>
                    <w:jc w:val="both"/>
                    <w:rPr>
                      <w:color w:val="auto"/>
                      <w:highlight w:val="none"/>
                    </w:rPr>
                  </w:pPr>
                  <w:r>
                    <w:rPr>
                      <w:rFonts w:asciiTheme="minorEastAsia" w:hAnsiTheme="minorEastAsia" w:eastAsiaTheme="minorEastAsia" w:cstheme="minorEastAsia"/>
                      <w:color w:val="auto"/>
                      <w:szCs w:val="21"/>
                      <w:highlight w:val="none"/>
                    </w:rPr>
                    <w:t>秩序员培训时间每少一小时扣除当月服务500元</w:t>
                  </w:r>
                </w:p>
              </w:tc>
              <w:tc>
                <w:tcPr>
                  <w:tcW w:w="1418" w:type="dxa"/>
                  <w:vAlign w:val="center"/>
                </w:tcPr>
                <w:p>
                  <w:pPr>
                    <w:pStyle w:val="2"/>
                    <w:jc w:val="center"/>
                    <w:rPr>
                      <w:color w:val="auto"/>
                      <w:highlight w:val="none"/>
                    </w:rPr>
                  </w:pPr>
                </w:p>
              </w:tc>
            </w:tr>
          </w:tbl>
          <w:p>
            <w:pPr>
              <w:pStyle w:val="2"/>
              <w:rPr>
                <w:color w:val="auto"/>
                <w:highlight w:val="none"/>
              </w:rPr>
            </w:pPr>
          </w:p>
          <w:p>
            <w:pPr>
              <w:snapToGrid w:val="0"/>
              <w:spacing w:line="312" w:lineRule="auto"/>
              <w:jc w:val="left"/>
              <w:rPr>
                <w:rFonts w:asciiTheme="minorEastAsia" w:hAnsiTheme="minorEastAsia" w:eastAsiaTheme="minorEastAsia" w:cstheme="minorEastAsia"/>
                <w:b/>
                <w:bCs/>
                <w:color w:val="auto"/>
                <w:szCs w:val="21"/>
                <w:highlight w:val="none"/>
              </w:rPr>
            </w:pPr>
          </w:p>
          <w:p>
            <w:pPr>
              <w:pStyle w:val="30"/>
              <w:numPr>
                <w:ilvl w:val="0"/>
                <w:numId w:val="2"/>
              </w:numPr>
              <w:snapToGrid w:val="0"/>
              <w:spacing w:line="312" w:lineRule="auto"/>
              <w:ind w:firstLineChars="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赔偿责任要求：</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asciiTheme="minorEastAsia" w:hAnsiTheme="minorEastAsia" w:eastAsiaTheme="minorEastAsia" w:cstheme="minorEastAsia"/>
                <w:color w:val="auto"/>
                <w:szCs w:val="21"/>
                <w:highlight w:val="none"/>
              </w:rPr>
              <w:t>.1因中标人的过失，导致采购人的财产或师生员工的个人财产遭到人为偷盗、破坏的，或师生员工的人身权利遭到损害的，由中标人承担经济赔偿责任。经济损失赔偿标准详见</w:t>
            </w:r>
            <w:r>
              <w:rPr>
                <w:rFonts w:asciiTheme="minorEastAsia" w:hAnsiTheme="minorEastAsia" w:eastAsiaTheme="minorEastAsia" w:cstheme="minorEastAsia"/>
                <w:b/>
                <w:bCs/>
                <w:color w:val="auto"/>
                <w:szCs w:val="21"/>
                <w:highlight w:val="none"/>
              </w:rPr>
              <w:t>《驻广西职业技术学院安保服务公司承担发案经济损失赔偿实施细则》（附件1）</w:t>
            </w:r>
            <w:r>
              <w:rPr>
                <w:rFonts w:asciiTheme="minorEastAsia" w:hAnsiTheme="minorEastAsia" w:eastAsiaTheme="minorEastAsia" w:cstheme="minorEastAsia"/>
                <w:color w:val="auto"/>
                <w:szCs w:val="21"/>
                <w:highlight w:val="none"/>
              </w:rPr>
              <w:t>。合同期内由于中标人出现重大失误、造成采购人重大经济损失和名誉损失等情形，采购人除立即终止合同外，一次性扣除中标人当月服</w:t>
            </w:r>
            <w:r>
              <w:rPr>
                <w:rFonts w:hint="eastAsia" w:asciiTheme="minorEastAsia" w:hAnsiTheme="minorEastAsia" w:eastAsiaTheme="minorEastAsia" w:cstheme="minorEastAsia"/>
                <w:color w:val="auto"/>
                <w:szCs w:val="21"/>
                <w:highlight w:val="none"/>
              </w:rPr>
              <w:t>务费</w:t>
            </w:r>
            <w:r>
              <w:rPr>
                <w:rFonts w:asciiTheme="minorEastAsia" w:hAnsiTheme="minorEastAsia" w:eastAsiaTheme="minorEastAsia" w:cstheme="minorEastAsia"/>
                <w:color w:val="auto"/>
                <w:szCs w:val="21"/>
                <w:highlight w:val="none"/>
              </w:rPr>
              <w:t>。</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asciiTheme="minorEastAsia" w:hAnsiTheme="minorEastAsia" w:eastAsiaTheme="minorEastAsia" w:cstheme="minorEastAsia"/>
                <w:color w:val="auto"/>
                <w:szCs w:val="21"/>
                <w:highlight w:val="none"/>
              </w:rPr>
              <w:t>.2 采购人将对安保管理服务质量进行全过程监控，中标人日常工作不到位、不达标或有违约行为，依据合同约定，中标人须承担相应的违约责任和经济处罚。</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asciiTheme="minorEastAsia" w:hAnsiTheme="minorEastAsia" w:eastAsiaTheme="minorEastAsia" w:cstheme="minorEastAsia"/>
                <w:color w:val="auto"/>
                <w:szCs w:val="21"/>
                <w:highlight w:val="none"/>
              </w:rPr>
              <w:t>.3 中标人在提供安保服务时必须做好各项安全防范措施，所有秩序员在合约期间发生任何人身意外（包括患病、伤亡事故）、触犯法律法规（包括劳动用工制度、劳资纠纷、采购人的规章制度等）或损坏设施设备，均由中标人负完全责任，采购人不承担任何责任。</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asciiTheme="minorEastAsia" w:hAnsiTheme="minorEastAsia" w:eastAsiaTheme="minorEastAsia" w:cstheme="minorEastAsia"/>
                <w:color w:val="auto"/>
                <w:szCs w:val="21"/>
                <w:highlight w:val="none"/>
              </w:rPr>
              <w:t xml:space="preserve">.4采购人支付给中标人的安保管理服务费已包含秩序员社会保险费（包括养老保险、医疗保险、工伤保险、失业保险和生育保险）和意外伤害保险，保险费由中标人为秩序员缴纳，如中标人违反国家相关劳动法规，与秩序员发生劳动纠纷，均由中标人承担责任，采购人不承担任何责任。 </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asciiTheme="minorEastAsia" w:hAnsiTheme="minorEastAsia" w:eastAsiaTheme="minorEastAsia" w:cstheme="minorEastAsia"/>
                <w:color w:val="auto"/>
                <w:szCs w:val="21"/>
                <w:highlight w:val="none"/>
              </w:rPr>
              <w:t>.5 秩序员在安全管理服务中违反国家相关法规或保安行业规范，因过失造成他人人身伤亡的，均由中标人承担责任，采购人不承担任何责任。</w:t>
            </w:r>
          </w:p>
          <w:p>
            <w:pPr>
              <w:snapToGrid w:val="0"/>
              <w:spacing w:line="312" w:lineRule="auto"/>
              <w:jc w:val="left"/>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t>十</w:t>
            </w:r>
            <w:r>
              <w:rPr>
                <w:rFonts w:hint="eastAsia" w:asciiTheme="minorEastAsia" w:hAnsiTheme="minorEastAsia" w:eastAsiaTheme="minorEastAsia" w:cstheme="minorEastAsia"/>
                <w:b/>
                <w:bCs/>
                <w:color w:val="auto"/>
                <w:szCs w:val="21"/>
                <w:highlight w:val="none"/>
              </w:rPr>
              <w:t>一</w:t>
            </w:r>
            <w:r>
              <w:rPr>
                <w:rFonts w:asciiTheme="minorEastAsia" w:hAnsiTheme="minorEastAsia" w:eastAsiaTheme="minorEastAsia" w:cstheme="minorEastAsia"/>
                <w:b/>
                <w:bCs/>
                <w:color w:val="auto"/>
                <w:szCs w:val="21"/>
                <w:highlight w:val="none"/>
              </w:rPr>
              <w:t>、有偿服务</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r>
              <w:rPr>
                <w:rFonts w:asciiTheme="minorEastAsia" w:hAnsiTheme="minorEastAsia" w:eastAsiaTheme="minorEastAsia" w:cstheme="minorEastAsia"/>
                <w:color w:val="auto"/>
                <w:szCs w:val="21"/>
                <w:highlight w:val="none"/>
              </w:rPr>
              <w:t>.1对采购人有特殊工作需要秩序员加班时，按照1小时以上4小时以下的按照每人每班60元，超过4小时的按每人每班120元计算。</w:t>
            </w:r>
          </w:p>
          <w:p>
            <w:pPr>
              <w:snapToGrid w:val="0"/>
              <w:spacing w:line="312" w:lineRule="auto"/>
              <w:jc w:val="left"/>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t>十</w:t>
            </w:r>
            <w:r>
              <w:rPr>
                <w:rFonts w:hint="eastAsia" w:asciiTheme="minorEastAsia" w:hAnsiTheme="minorEastAsia" w:eastAsiaTheme="minorEastAsia" w:cstheme="minorEastAsia"/>
                <w:b/>
                <w:bCs/>
                <w:color w:val="auto"/>
                <w:szCs w:val="21"/>
                <w:highlight w:val="none"/>
              </w:rPr>
              <w:t>二</w:t>
            </w:r>
            <w:r>
              <w:rPr>
                <w:rFonts w:asciiTheme="minorEastAsia" w:hAnsiTheme="minorEastAsia" w:eastAsiaTheme="minorEastAsia" w:cstheme="minorEastAsia"/>
                <w:b/>
                <w:bCs/>
                <w:color w:val="auto"/>
                <w:szCs w:val="21"/>
                <w:highlight w:val="none"/>
              </w:rPr>
              <w:t>、其他事项</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asciiTheme="minorEastAsia" w:hAnsiTheme="minorEastAsia" w:eastAsiaTheme="minorEastAsia" w:cstheme="minorEastAsia"/>
                <w:color w:val="auto"/>
                <w:szCs w:val="21"/>
                <w:highlight w:val="none"/>
              </w:rPr>
              <w:t>.1中标人负责提供解决本安保服务项目所需的全部人员、服装、装备、管理文档、文具等，并为秩序员配备必要的安全防护用品。 秩序员工作使用的仪器设备由中标人负责维修和保养，若有损坏，必须在一周内完成修复。</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asciiTheme="minorEastAsia" w:hAnsiTheme="minorEastAsia" w:eastAsiaTheme="minorEastAsia" w:cstheme="minorEastAsia"/>
                <w:color w:val="auto"/>
                <w:szCs w:val="21"/>
                <w:highlight w:val="none"/>
              </w:rPr>
              <w:t>.2 管理用房：采购人向中标人无偿提供西大门值班室作为办公用房和仓库，水、电及电讯费用由中标人自行承担。</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asciiTheme="minorEastAsia" w:hAnsiTheme="minorEastAsia" w:eastAsiaTheme="minorEastAsia" w:cstheme="minorEastAsia"/>
                <w:color w:val="auto"/>
                <w:szCs w:val="21"/>
                <w:highlight w:val="none"/>
              </w:rPr>
              <w:t>.3 员工宿舍和食堂：采购人向中标人提供南大门值班室作为员工宿舍。中标人给予员工就餐补助每人每月150元。</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asciiTheme="minorEastAsia" w:hAnsiTheme="minorEastAsia" w:eastAsiaTheme="minorEastAsia" w:cstheme="minorEastAsia"/>
                <w:color w:val="auto"/>
                <w:szCs w:val="21"/>
                <w:highlight w:val="none"/>
              </w:rPr>
              <w:t>.4秩序员接受采购人和中标人的双重管理，中标人应制定并认真执行秩序员奖惩制度，采购人对奖惩制度的落实情况进行检查监督。</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asciiTheme="minorEastAsia" w:hAnsiTheme="minorEastAsia" w:eastAsiaTheme="minorEastAsia" w:cstheme="minorEastAsia"/>
                <w:color w:val="auto"/>
                <w:szCs w:val="21"/>
                <w:highlight w:val="none"/>
              </w:rPr>
              <w:t>.5 采购人举行大型会议、庆典、考试、迎接上级单位检查等重大活动，中标人应按采购人要求调配人员做好相关安保服务工作，不另行支付相关费用。</w:t>
            </w:r>
          </w:p>
          <w:p>
            <w:pPr>
              <w:snapToGrid w:val="0"/>
              <w:spacing w:line="312"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asciiTheme="minorEastAsia" w:hAnsiTheme="minorEastAsia" w:eastAsiaTheme="minorEastAsia" w:cstheme="minorEastAsia"/>
                <w:color w:val="auto"/>
                <w:szCs w:val="21"/>
                <w:highlight w:val="none"/>
              </w:rPr>
              <w:t>.6秩序员应聘、录用、离职等管理档案规范，手续齐全，并交采购人备案。</w:t>
            </w:r>
          </w:p>
          <w:p>
            <w:pPr>
              <w:snapToGrid w:val="0"/>
              <w:spacing w:line="312" w:lineRule="auto"/>
              <w:jc w:val="left"/>
              <w:rPr>
                <w:rFonts w:asciiTheme="minorEastAsia" w:hAnsiTheme="minorEastAsia" w:eastAsiaTheme="minorEastAsia" w:cstheme="minorEastAsia"/>
                <w:color w:val="auto"/>
                <w:szCs w:val="21"/>
                <w:highlight w:val="none"/>
              </w:rPr>
            </w:pPr>
          </w:p>
          <w:p>
            <w:pPr>
              <w:snapToGrid w:val="0"/>
              <w:spacing w:line="312" w:lineRule="auto"/>
              <w:jc w:val="center"/>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t>附件1</w:t>
            </w:r>
            <w:r>
              <w:rPr>
                <w:rFonts w:hint="eastAsia" w:asciiTheme="minorEastAsia" w:hAnsiTheme="minorEastAsia" w:eastAsiaTheme="minorEastAsia" w:cstheme="minorEastAsia"/>
                <w:b/>
                <w:bCs/>
                <w:color w:val="auto"/>
                <w:szCs w:val="21"/>
                <w:highlight w:val="none"/>
              </w:rPr>
              <w:t>《</w:t>
            </w:r>
            <w:r>
              <w:rPr>
                <w:rFonts w:asciiTheme="minorEastAsia" w:hAnsiTheme="minorEastAsia" w:eastAsiaTheme="minorEastAsia" w:cstheme="minorEastAsia"/>
                <w:b/>
                <w:bCs/>
                <w:color w:val="auto"/>
                <w:szCs w:val="21"/>
                <w:highlight w:val="none"/>
              </w:rPr>
              <w:t>驻广西职业技术学院安保服务公司承担发案经济损失赔偿实施细则</w:t>
            </w:r>
            <w:r>
              <w:rPr>
                <w:rFonts w:hint="eastAsia" w:asciiTheme="minorEastAsia" w:hAnsiTheme="minorEastAsia" w:eastAsiaTheme="minorEastAsia" w:cstheme="minorEastAsia"/>
                <w:b/>
                <w:bCs/>
                <w:color w:val="auto"/>
                <w:szCs w:val="21"/>
                <w:highlight w:val="none"/>
              </w:rPr>
              <w:t>》</w:t>
            </w:r>
          </w:p>
          <w:p>
            <w:pPr>
              <w:snapToGrid w:val="0"/>
              <w:spacing w:line="312" w:lineRule="auto"/>
              <w:jc w:val="left"/>
              <w:rPr>
                <w:rFonts w:asciiTheme="minorEastAsia" w:hAnsiTheme="minorEastAsia" w:eastAsiaTheme="minorEastAsia" w:cstheme="minorEastAsia"/>
                <w:color w:val="auto"/>
                <w:szCs w:val="21"/>
                <w:highlight w:val="none"/>
              </w:rPr>
            </w:pPr>
          </w:p>
          <w:p>
            <w:pPr>
              <w:snapToGrid w:val="0"/>
              <w:spacing w:line="312" w:lineRule="auto"/>
              <w:ind w:firstLine="420" w:firstLineChars="200"/>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发案经济损失经双方认定（双方协商不一致则由第三方权威机构认定），安保公司按确认损失价值总额的80%予以赔偿，现金和现金等价物损失低于1000元的，按实际数计算确认，超过1000元的按1000元计算确认。物品按原购价扣除折旧（采用年限法）后的折余价值计算确认，物品折旧年限由双方根据《自治区本级行政事业单位常用固定资产使用年限表》（2009年版）等有关规定协商确定。所有被盗损失物品须有正式购买发票。</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一、关于教职工宿舍被盗损失的赔偿</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（一）赔偿的前提条件</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1.各户应安装有防盗门，一楼或顶楼的住户应装有防盗网并锁好；</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2.无人在家应关好门窗，锁好房门；</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3.金银、珠宝等首饰应上锁妥善存放好；</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4.现金存放在1000元以下；</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5.有正式的购物发票。</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（二）赔偿的范围</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1.现金和现金等价物；</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2.金银、珠宝等首饰；</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3.电脑、冰箱、电视机等大件电器物品；</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4.其它经认定应予赔偿的物品。</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（三）损失价值的确认</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金银、珠宝等首饰按原购价计算确认，经公安机关认定确实被盗；</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二、关于车辆（汽车、摩托车、电动助力车等）被盗损失的赔偿</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（一）赔偿的前提条件</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1.必须存放在保安岗位职责划定的范围内，上锁锁好。</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2.停放车辆离开时必须锁好，摩托车、电动助力车等应加挂防盗锁，小汽车应关好门窗；</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3.停放车辆离开时应取走车钥匙，带走车辆出入凭证等证件；</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4.有正式的购车发票；</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5.机动车应有驾驶证、出入凭证等相关证件，出入凭证应在事主手上。</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（二）赔偿的范围</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1.学院公车；</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2.教职工及直系家属私车；</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3.外来办事或上课停放在校园及经认定应予赔偿的公、私车。</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（三）损失价值的确认</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按车辆原购价（汽车含车辆购置附加费）扣除折旧（采用年限法）后的折余价值计算确认。</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三、关于办公楼、教学楼、图书馆和实验楼、综合实训楼、体育馆等场所公共财产被盗损失的赔偿</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（一）赔偿的前提条件</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1.必须设有保安值班岗点或必须在巡逻岗保安巡防范围内；</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2.安装有基本的防盗设施；</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3.人员离开后应关好门窗；</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⒋严格执行清场规定；</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5.有正式的购物发票。</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（二）赔偿的范围</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1.电脑、打印机、复印机、投影机、传真机等公共财产；</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2.其它经认定应予赔偿的办公用品等公共财产。</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（三）损失价值的确认</w:t>
            </w:r>
          </w:p>
          <w:p>
            <w:pPr>
              <w:snapToGrid w:val="0"/>
              <w:spacing w:line="312" w:lineRule="auto"/>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按公共财产的原购价扣除折旧（采用年限法）后的折余价值计算确认。</w:t>
            </w:r>
          </w:p>
          <w:p>
            <w:pPr>
              <w:snapToGrid w:val="0"/>
              <w:jc w:val="left"/>
              <w:rPr>
                <w:rFonts w:asciiTheme="minorEastAsia" w:hAnsiTheme="minorEastAsia" w:eastAsiaTheme="minorEastAsia" w:cstheme="minorEastAsia"/>
                <w:color w:val="auto"/>
                <w:szCs w:val="21"/>
                <w:highlight w:val="none"/>
              </w:rPr>
            </w:pPr>
          </w:p>
        </w:tc>
      </w:tr>
    </w:tbl>
    <w:p>
      <w:pPr>
        <w:spacing w:line="320" w:lineRule="exact"/>
        <w:rPr>
          <w:rFonts w:ascii="宋体" w:hAnsi="宋体"/>
          <w:color w:val="auto"/>
          <w:highlight w:val="none"/>
        </w:rPr>
      </w:pPr>
    </w:p>
    <w:p>
      <w:pPr>
        <w:spacing w:line="428" w:lineRule="exact"/>
        <w:ind w:left="119"/>
        <w:rPr>
          <w:rFonts w:ascii="宋体" w:hAnsi="宋体" w:cs="宋体"/>
          <w:color w:val="auto"/>
          <w:sz w:val="32"/>
          <w:szCs w:val="32"/>
          <w:highlight w:val="none"/>
        </w:rPr>
      </w:pPr>
      <w:r>
        <w:rPr>
          <w:rFonts w:hint="eastAsia"/>
          <w:color w:val="auto"/>
          <w:highlight w:val="none"/>
        </w:rPr>
        <w:br w:type="page"/>
      </w:r>
      <w:r>
        <w:rPr>
          <w:rFonts w:hint="eastAsia" w:ascii="宋体" w:hAnsi="宋体" w:cs="宋体"/>
          <w:color w:val="auto"/>
          <w:sz w:val="32"/>
          <w:szCs w:val="32"/>
          <w:highlight w:val="none"/>
        </w:rPr>
        <w:t>附件1：</w:t>
      </w:r>
    </w:p>
    <w:p>
      <w:pPr>
        <w:spacing w:before="7"/>
        <w:rPr>
          <w:rFonts w:ascii="宋体" w:hAnsi="宋体" w:cs="宋体"/>
          <w:color w:val="auto"/>
          <w:sz w:val="17"/>
          <w:szCs w:val="17"/>
          <w:highlight w:val="none"/>
        </w:rPr>
      </w:pPr>
    </w:p>
    <w:p>
      <w:pPr>
        <w:spacing w:line="528" w:lineRule="exact"/>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19"/>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tblPrEx>
          <w:tblLayout w:type="fixed"/>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tblPrEx>
          <w:tblLayout w:type="fixed"/>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auto" w:sz="4" w:space="0"/>
              <w:right w:val="single" w:color="000000" w:sz="8" w:space="0"/>
            </w:tcBorders>
            <w:vAlign w:val="center"/>
          </w:tcPr>
          <w:p>
            <w:pPr>
              <w:widowControl/>
              <w:jc w:val="left"/>
              <w:rPr>
                <w:rFonts w:ascii="宋体" w:hAnsi="宋体" w:cs="宋体"/>
                <w:color w:val="auto"/>
                <w:kern w:val="0"/>
                <w:sz w:val="20"/>
                <w:szCs w:val="20"/>
                <w:highlight w:val="none"/>
              </w:rPr>
            </w:pPr>
          </w:p>
        </w:tc>
        <w:tc>
          <w:tcPr>
            <w:tcW w:w="1320"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auto" w:sz="4"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tblPrEx>
          <w:tblLayout w:type="fixed"/>
          <w:tblCellMar>
            <w:top w:w="0" w:type="dxa"/>
            <w:left w:w="108" w:type="dxa"/>
            <w:bottom w:w="0" w:type="dxa"/>
            <w:right w:w="108" w:type="dxa"/>
          </w:tblCellMar>
        </w:tblPrEx>
        <w:trPr>
          <w:trHeight w:val="735"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auto" w:sz="4"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auto" w:sz="4"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4"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tblPrEx>
          <w:tblLayout w:type="fixed"/>
          <w:tblCellMar>
            <w:top w:w="0" w:type="dxa"/>
            <w:left w:w="108" w:type="dxa"/>
            <w:bottom w:w="0" w:type="dxa"/>
            <w:right w:w="108" w:type="dxa"/>
          </w:tblCellMar>
        </w:tblPrEx>
        <w:trPr>
          <w:trHeight w:val="97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tblPrEx>
          <w:tblLayout w:type="fixed"/>
          <w:tblCellMar>
            <w:top w:w="0" w:type="dxa"/>
            <w:left w:w="108" w:type="dxa"/>
            <w:bottom w:w="0" w:type="dxa"/>
            <w:right w:w="108" w:type="dxa"/>
          </w:tblCellMar>
        </w:tblPrEx>
        <w:trPr>
          <w:trHeight w:val="97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tblPrEx>
          <w:tblLayout w:type="fixed"/>
          <w:tblCellMar>
            <w:top w:w="0" w:type="dxa"/>
            <w:left w:w="108" w:type="dxa"/>
            <w:bottom w:w="0" w:type="dxa"/>
            <w:right w:w="108" w:type="dxa"/>
          </w:tblCellMar>
        </w:tblPrEx>
        <w:trPr>
          <w:trHeight w:val="285" w:hRule="atLeast"/>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tblPrEx>
          <w:tblLayout w:type="fixed"/>
          <w:tblCellMar>
            <w:top w:w="0" w:type="dxa"/>
            <w:left w:w="108" w:type="dxa"/>
            <w:bottom w:w="0" w:type="dxa"/>
            <w:right w:w="108" w:type="dxa"/>
          </w:tblCellMar>
        </w:tblPrEx>
        <w:trPr>
          <w:trHeight w:val="495" w:hRule="atLeast"/>
        </w:trPr>
        <w:tc>
          <w:tcPr>
            <w:tcW w:w="660" w:type="dxa"/>
            <w:tcBorders>
              <w:top w:val="single" w:color="auto" w:sz="4" w:space="0"/>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single" w:color="auto" w:sz="4" w:space="0"/>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single" w:color="auto" w:sz="4" w:space="0"/>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pPr>
        <w:widowControl/>
        <w:rPr>
          <w:rFonts w:ascii="宋体" w:hAnsi="宋体" w:cs="宋体"/>
          <w:color w:val="auto"/>
          <w:sz w:val="20"/>
          <w:szCs w:val="20"/>
          <w:highlight w:val="none"/>
        </w:rPr>
      </w:pPr>
    </w:p>
    <w:p>
      <w:pPr>
        <w:pStyle w:val="10"/>
        <w:spacing w:line="360" w:lineRule="auto"/>
        <w:ind w:firstLine="408"/>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pPr>
        <w:pStyle w:val="10"/>
        <w:spacing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pPr>
        <w:pStyle w:val="13"/>
        <w:jc w:val="left"/>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pPr>
        <w:widowControl/>
        <w:spacing w:beforeLines="50" w:afterLines="50" w:line="280" w:lineRule="exact"/>
        <w:jc w:val="center"/>
        <w:rPr>
          <w:rFonts w:ascii="宋体" w:hAnsi="宋体" w:cs="宋体"/>
          <w:b/>
          <w:bCs/>
          <w:color w:val="auto"/>
          <w:kern w:val="0"/>
          <w:sz w:val="30"/>
          <w:szCs w:val="30"/>
          <w:highlight w:val="none"/>
        </w:rPr>
      </w:pPr>
      <w:bookmarkStart w:id="58" w:name="_Toc28361_WPSOffice_Level2"/>
      <w:r>
        <w:rPr>
          <w:rFonts w:hint="eastAsia" w:ascii="宋体" w:hAnsi="宋体" w:cs="宋体"/>
          <w:b/>
          <w:bCs/>
          <w:color w:val="auto"/>
          <w:kern w:val="0"/>
          <w:sz w:val="30"/>
          <w:szCs w:val="30"/>
          <w:highlight w:val="none"/>
        </w:rPr>
        <w:t>统计上大中小微型企业划分标准</w:t>
      </w:r>
      <w:bookmarkEnd w:id="58"/>
    </w:p>
    <w:tbl>
      <w:tblPr>
        <w:tblStyle w:val="19"/>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3"/>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3"/>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b/>
          <w:color w:val="auto"/>
          <w:sz w:val="36"/>
          <w:highlight w:val="none"/>
        </w:rPr>
      </w:pPr>
      <w:bookmarkStart w:id="59" w:name="_Toc496"/>
      <w:bookmarkStart w:id="60" w:name="_Toc8975"/>
      <w:bookmarkStart w:id="61" w:name="_Toc28587"/>
      <w:bookmarkStart w:id="62" w:name="_Toc26039"/>
      <w:bookmarkStart w:id="63" w:name="_Toc24489"/>
      <w:bookmarkStart w:id="64" w:name="_Toc9063"/>
      <w:bookmarkStart w:id="65" w:name="_Toc29172"/>
      <w:bookmarkStart w:id="66" w:name="_Toc3325"/>
      <w:bookmarkStart w:id="67" w:name="_Toc6362"/>
      <w:bookmarkStart w:id="68" w:name="_Toc532545044"/>
      <w:r>
        <w:rPr>
          <w:rFonts w:hint="eastAsia"/>
          <w:b/>
          <w:color w:val="auto"/>
          <w:sz w:val="36"/>
          <w:highlight w:val="none"/>
        </w:rPr>
        <w:br w:type="page"/>
      </w:r>
    </w:p>
    <w:p>
      <w:pPr>
        <w:pStyle w:val="13"/>
        <w:jc w:val="center"/>
        <w:outlineLvl w:val="0"/>
        <w:rPr>
          <w:rFonts w:hAnsi="宋体"/>
          <w:b/>
          <w:color w:val="auto"/>
          <w:sz w:val="36"/>
          <w:szCs w:val="36"/>
          <w:highlight w:val="none"/>
        </w:rPr>
      </w:pPr>
      <w:bookmarkStart w:id="69" w:name="_Toc15364"/>
      <w:bookmarkStart w:id="70" w:name="_Toc26044"/>
      <w:bookmarkStart w:id="71" w:name="_Toc20085"/>
      <w:bookmarkStart w:id="72" w:name="_Toc20953"/>
      <w:r>
        <w:rPr>
          <w:rFonts w:hint="eastAsia" w:ascii="Times New Roman" w:hAnsi="Times New Roman"/>
          <w:b/>
          <w:color w:val="auto"/>
          <w:sz w:val="36"/>
          <w:highlight w:val="none"/>
        </w:rPr>
        <w:t>第三章投标人须知</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13"/>
        <w:spacing w:line="720" w:lineRule="auto"/>
        <w:jc w:val="center"/>
        <w:outlineLvl w:val="1"/>
        <w:rPr>
          <w:rFonts w:ascii="Times New Roman" w:hAnsi="Times New Roman"/>
          <w:b/>
          <w:color w:val="auto"/>
          <w:sz w:val="30"/>
          <w:szCs w:val="30"/>
          <w:highlight w:val="none"/>
        </w:rPr>
      </w:pPr>
      <w:bookmarkStart w:id="73" w:name="_Toc16388"/>
      <w:bookmarkStart w:id="74" w:name="_Toc4562"/>
      <w:bookmarkStart w:id="75" w:name="_Toc11515"/>
      <w:bookmarkStart w:id="76" w:name="_Toc8769"/>
      <w:bookmarkStart w:id="77" w:name="_Toc32208"/>
      <w:bookmarkStart w:id="78" w:name="_Toc29813"/>
      <w:bookmarkStart w:id="79" w:name="_Toc1597"/>
      <w:bookmarkStart w:id="80" w:name="_Toc10039"/>
      <w:bookmarkStart w:id="81" w:name="_Toc29809"/>
      <w:bookmarkStart w:id="82" w:name="_Toc24714"/>
      <w:r>
        <w:rPr>
          <w:rFonts w:hint="eastAsia" w:ascii="Times New Roman" w:hAnsi="Times New Roman"/>
          <w:b/>
          <w:color w:val="auto"/>
          <w:sz w:val="30"/>
          <w:szCs w:val="30"/>
          <w:highlight w:val="none"/>
        </w:rPr>
        <w:t>第一节投标人须知前附表</w:t>
      </w:r>
      <w:bookmarkEnd w:id="73"/>
      <w:bookmarkEnd w:id="74"/>
      <w:bookmarkEnd w:id="75"/>
      <w:bookmarkEnd w:id="76"/>
      <w:bookmarkEnd w:id="77"/>
      <w:bookmarkEnd w:id="78"/>
      <w:bookmarkEnd w:id="79"/>
      <w:bookmarkEnd w:id="80"/>
      <w:bookmarkEnd w:id="81"/>
      <w:bookmarkEnd w:id="82"/>
    </w:p>
    <w:tbl>
      <w:tblPr>
        <w:tblStyle w:val="19"/>
        <w:tblW w:w="102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83" w:name="_5"/>
            <w:bookmarkEnd w:id="83"/>
            <w:bookmarkStart w:id="84" w:name="_8.1"/>
            <w:bookmarkEnd w:id="84"/>
            <w:bookmarkStart w:id="85" w:name="_9.2"/>
            <w:bookmarkEnd w:id="85"/>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80" w:lineRule="exact"/>
              <w:rPr>
                <w:rFonts w:ascii="宋体" w:hAnsi="宋体" w:cs="宋体"/>
                <w:color w:val="auto"/>
                <w:szCs w:val="21"/>
                <w:highlight w:val="none"/>
              </w:rPr>
            </w:pPr>
            <w:bookmarkStart w:id="86" w:name="PO_3000001866_PM007"/>
            <w:r>
              <w:rPr>
                <w:rFonts w:hint="eastAsia" w:ascii="宋体" w:hAnsi="宋体" w:cs="宋体"/>
                <w:color w:val="auto"/>
                <w:szCs w:val="21"/>
                <w:highlight w:val="none"/>
              </w:rPr>
              <w:t>详见招标公告。</w:t>
            </w:r>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80" w:lineRule="exac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80" w:lineRule="exact"/>
              <w:rPr>
                <w:rFonts w:ascii="宋体" w:hAnsi="宋体" w:cs="宋体"/>
                <w:color w:val="auto"/>
                <w:szCs w:val="21"/>
                <w:highlight w:val="none"/>
              </w:rPr>
            </w:pPr>
            <w:bookmarkStart w:id="87" w:name="PO_3000001866_PM044"/>
            <w:r>
              <w:rPr>
                <w:rFonts w:hint="eastAsia" w:ascii="宋体" w:hAnsi="宋体" w:cs="宋体"/>
                <w:color w:val="auto"/>
                <w:szCs w:val="21"/>
                <w:highlight w:val="none"/>
              </w:rPr>
              <w:t>☑ 不允许分包</w:t>
            </w:r>
            <w:bookmarkEnd w:id="87"/>
          </w:p>
          <w:p>
            <w:pPr>
              <w:pStyle w:val="9"/>
              <w:spacing w:line="38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pPr>
              <w:pStyle w:val="9"/>
              <w:spacing w:line="38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不组织召开开标前答疑会</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会议开始时间：年月日 时分，逾期后果自负。会议地点：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color w:val="auto"/>
                <w:szCs w:val="21"/>
                <w:highlight w:val="none"/>
              </w:rPr>
            </w:pPr>
            <w:bookmarkStart w:id="88" w:name="_13.2"/>
            <w:bookmarkEnd w:id="88"/>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w:t>
            </w:r>
            <w:r>
              <w:rPr>
                <w:rStyle w:val="26"/>
                <w:rFonts w:hint="eastAsia"/>
                <w:color w:val="auto"/>
                <w:sz w:val="21"/>
                <w:szCs w:val="21"/>
                <w:highlight w:val="none"/>
              </w:rPr>
              <w:t>执业许可证</w:t>
            </w:r>
            <w:r>
              <w:rPr>
                <w:rFonts w:hint="eastAsia" w:ascii="宋体" w:hAnsi="宋体" w:cs="宋体"/>
                <w:color w:val="auto"/>
                <w:szCs w:val="21"/>
                <w:highlight w:val="none"/>
              </w:rPr>
              <w:t>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2022年7月至提交投标文件截止时间内任意3个月</w:t>
            </w:r>
            <w:r>
              <w:rPr>
                <w:rFonts w:hint="eastAsia" w:ascii="宋体" w:hAnsi="宋体" w:cs="宋体"/>
                <w:color w:val="auto"/>
                <w:szCs w:val="21"/>
                <w:highlight w:val="none"/>
              </w:rPr>
              <w:t>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2022年7月至提交投标文件截止时间内任意3个月</w:t>
            </w:r>
            <w:r>
              <w:rPr>
                <w:rFonts w:hint="eastAsia" w:ascii="宋体" w:hAnsi="宋体" w:cs="宋体"/>
                <w:color w:val="auto"/>
                <w:szCs w:val="21"/>
                <w:highlight w:val="none"/>
              </w:rPr>
              <w:t>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4、投标人财务状况报告（提供</w:t>
            </w:r>
            <w:r>
              <w:rPr>
                <w:rFonts w:hint="eastAsia" w:ascii="宋体" w:hAnsi="宋体" w:cs="宋体"/>
                <w:color w:val="auto"/>
                <w:szCs w:val="21"/>
                <w:highlight w:val="none"/>
                <w:u w:val="single"/>
              </w:rPr>
              <w:t>2021</w:t>
            </w:r>
            <w:r>
              <w:rPr>
                <w:rFonts w:hint="eastAsia" w:ascii="宋体" w:hAnsi="宋体" w:cs="宋体"/>
                <w:color w:val="auto"/>
                <w:szCs w:val="21"/>
                <w:highlight w:val="none"/>
              </w:rPr>
              <w:t>年度经审计的财务报告复印件或者截标时间前半年内至少一个月能反映财务状况的报表或者投标人自拟的截标时间前半年内至少一个月的财务情况说明）。（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本项目的特定资格要求：</w:t>
            </w:r>
            <w:r>
              <w:rPr>
                <w:rFonts w:hint="eastAsia" w:ascii="宋体" w:hAnsi="宋体" w:cs="宋体"/>
                <w:b/>
                <w:bCs/>
                <w:color w:val="auto"/>
                <w:szCs w:val="21"/>
                <w:highlight w:val="none"/>
              </w:rPr>
              <w:t>具备有效的公安部门颁发的《保安服务许可证》</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6、投标资格声明函（格式后附）。（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中小企业声明函或者残疾人福利性单位声明函或者供应商属于监狱企业的证明材料（格式后附）。</w:t>
            </w:r>
            <w:r>
              <w:rPr>
                <w:rFonts w:hint="eastAsia" w:ascii="宋体" w:hAnsi="宋体" w:cs="宋体"/>
                <w:b/>
                <w:bCs/>
                <w:color w:val="auto"/>
                <w:szCs w:val="21"/>
                <w:highlight w:val="none"/>
              </w:rPr>
              <w:t>（必须提供，否则作无效投标处理）</w:t>
            </w:r>
          </w:p>
          <w:p>
            <w:pPr>
              <w:snapToGrid w:val="0"/>
              <w:spacing w:line="380" w:lineRule="exact"/>
              <w:jc w:val="left"/>
              <w:rPr>
                <w:rFonts w:ascii="宋体" w:hAnsi="宋体" w:cs="宋体"/>
                <w:b/>
                <w:bCs/>
                <w:color w:val="auto"/>
                <w:szCs w:val="21"/>
                <w:highlight w:val="none"/>
              </w:rPr>
            </w:pPr>
            <w:r>
              <w:rPr>
                <w:rFonts w:hint="eastAsia" w:ascii="宋体" w:hAnsi="宋体"/>
                <w:color w:val="auto"/>
                <w:szCs w:val="21"/>
                <w:highlight w:val="none"/>
              </w:rPr>
              <w:t>8、联合体投标协议书（格式后附）。</w:t>
            </w:r>
            <w:r>
              <w:rPr>
                <w:rFonts w:hint="eastAsia" w:ascii="宋体" w:hAnsi="宋体"/>
                <w:b/>
                <w:bCs/>
                <w:color w:val="auto"/>
                <w:szCs w:val="21"/>
                <w:highlight w:val="none"/>
              </w:rPr>
              <w:t>（联合体投标时必须提供，否则作无效投标处理）</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9、除招标文件规定必须提供以外，投标人认为需要提供的其他证明材料（格式自拟）。</w:t>
            </w:r>
          </w:p>
          <w:p>
            <w:pPr>
              <w:snapToGrid w:val="0"/>
              <w:spacing w:line="380" w:lineRule="exact"/>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p>
            <w:pPr>
              <w:snapToGrid w:val="0"/>
              <w:spacing w:line="38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pPr>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color w:val="auto"/>
                <w:szCs w:val="21"/>
                <w:highlight w:val="none"/>
              </w:rPr>
            </w:pPr>
            <w:bookmarkStart w:id="89" w:name="_13.3"/>
            <w:bookmarkEnd w:id="89"/>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pPr>
              <w:pStyle w:val="2"/>
              <w:rPr>
                <w:rFonts w:ascii="宋体" w:hAnsi="宋体" w:cs="宋体"/>
                <w:color w:val="auto"/>
                <w:sz w:val="21"/>
                <w:szCs w:val="21"/>
                <w:highlight w:val="none"/>
              </w:rPr>
            </w:pPr>
            <w:r>
              <w:rPr>
                <w:rFonts w:hint="eastAsia" w:ascii="宋体" w:hAnsi="宋体" w:cs="宋体"/>
                <w:color w:val="auto"/>
                <w:sz w:val="21"/>
                <w:szCs w:val="21"/>
                <w:highlight w:val="none"/>
              </w:rPr>
              <w:t>4、投标保证金提交凭证；</w:t>
            </w:r>
            <w:r>
              <w:rPr>
                <w:rFonts w:hint="eastAsia" w:ascii="宋体" w:hAnsi="宋体" w:cs="宋体"/>
                <w:b/>
                <w:bCs/>
                <w:color w:val="auto"/>
                <w:sz w:val="21"/>
                <w:szCs w:val="21"/>
                <w:highlight w:val="none"/>
              </w:rPr>
              <w:t>（如要求提交投标保证金的则必须提供，否则作无效投标处理）</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7、除招标文件规定必须提供以外，投标人认为需要提供的其他证明材料（格式自拟）。（投标人根据“第二章 采购需求”及“第四章 评标方法和评标标准”提供有关证明材料）。</w:t>
            </w:r>
          </w:p>
          <w:p>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color w:val="auto"/>
                <w:szCs w:val="21"/>
                <w:highlight w:val="none"/>
              </w:rPr>
            </w:pPr>
            <w:bookmarkStart w:id="90" w:name="_13.4"/>
            <w:bookmarkEnd w:id="90"/>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1、服务要求偏离表（格式后附）；（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2、服务实施方案（格式自拟）；</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3、售后服务方案（格式自拟）；</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4、项目实施人员一览表（格式</w:t>
            </w:r>
            <w:r>
              <w:rPr>
                <w:rFonts w:hint="eastAsia"/>
                <w:color w:val="auto"/>
                <w:szCs w:val="21"/>
                <w:highlight w:val="none"/>
              </w:rPr>
              <w:t>后附</w:t>
            </w:r>
            <w:r>
              <w:rPr>
                <w:rFonts w:hint="eastAsia" w:ascii="宋体" w:hAnsi="宋体" w:cs="宋体"/>
                <w:color w:val="auto"/>
                <w:szCs w:val="21"/>
                <w:highlight w:val="none"/>
              </w:rPr>
              <w:t>）；</w:t>
            </w:r>
          </w:p>
          <w:p>
            <w:pPr>
              <w:snapToGrid w:val="0"/>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5、除招标文件规定必须提供以外，投标人需要说明的其他文件和说明（格式自拟）。</w:t>
            </w:r>
          </w:p>
          <w:p>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2、开标一览表</w:t>
            </w:r>
            <w:r>
              <w:rPr>
                <w:rFonts w:hint="eastAsia"/>
                <w:color w:val="auto"/>
                <w:szCs w:val="21"/>
                <w:highlight w:val="none"/>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91" w:name="_16.2"/>
            <w:bookmarkEnd w:id="91"/>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color w:val="auto"/>
                <w:highlight w:val="none"/>
              </w:rPr>
            </w:pPr>
            <w:r>
              <w:rPr>
                <w:rFonts w:hint="eastAsia"/>
                <w:color w:val="auto"/>
                <w:highlight w:val="none"/>
              </w:rPr>
              <w:t>投标报价是履行合同的最终价格，必须包含满足本次投标全部采购需求所应提供的服务，以及伴随的货物（如有）的价格；（采购需求另有约定的，从其约定）</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投标报价包含验收费用</w:t>
            </w:r>
          </w:p>
          <w:p>
            <w:pPr>
              <w:pStyle w:val="2"/>
              <w:rPr>
                <w:color w:val="auto"/>
                <w:highlight w:val="none"/>
              </w:rPr>
            </w:pPr>
            <w:r>
              <w:rPr>
                <w:rFonts w:hint="eastAsia" w:ascii="宋体" w:hAnsi="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92" w:name="_17.1"/>
            <w:bookmarkEnd w:id="92"/>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93" w:name="_18"/>
            <w:bookmarkEnd w:id="93"/>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bCs/>
                <w:color w:val="auto"/>
                <w:szCs w:val="21"/>
                <w:highlight w:val="none"/>
              </w:rPr>
            </w:pPr>
            <w:r>
              <w:rPr>
                <w:rFonts w:hint="eastAsia" w:ascii="宋体" w:hAnsi="宋体" w:cs="宋体"/>
                <w:b/>
                <w:bCs/>
                <w:color w:val="auto"/>
                <w:szCs w:val="21"/>
                <w:highlight w:val="none"/>
              </w:rPr>
              <w:t>□本项目不需要缴纳投标保证金。</w:t>
            </w:r>
          </w:p>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本项目需要缴纳投标保证金，相关要求如下：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将支票、汇票、本票或者金融、担保机构出具的保函等原件提交给采购代理机构，由采购代理机构向投标人出具回执，并妥善保管。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94" w:name="_21.1"/>
            <w:bookmarkEnd w:id="94"/>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无</w:t>
            </w:r>
          </w:p>
          <w:p>
            <w:pPr>
              <w:snapToGrid w:val="0"/>
              <w:spacing w:line="380" w:lineRule="exact"/>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95" w:name="_23"/>
            <w:bookmarkEnd w:id="95"/>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96" w:name="_25.3"/>
            <w:bookmarkEnd w:id="96"/>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97" w:name="_26"/>
            <w:bookmarkEnd w:id="97"/>
            <w:bookmarkStart w:id="98" w:name="_28.3"/>
            <w:bookmarkEnd w:id="98"/>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综合评分法</w:t>
            </w:r>
          </w:p>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pPr>
              <w:spacing w:line="380" w:lineRule="exact"/>
              <w:rPr>
                <w:rFonts w:ascii="宋体" w:hAnsi="宋体" w:cs="宋体"/>
                <w:color w:val="auto"/>
                <w:szCs w:val="21"/>
                <w:highlight w:val="none"/>
              </w:rPr>
            </w:pPr>
            <w:bookmarkStart w:id="99" w:name="_29.2.2（2）"/>
            <w:bookmarkEnd w:id="99"/>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确定中标人时，出现中标候选人排名并列的情形，确定中标人方式</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pPr>
              <w:autoSpaceDE w:val="0"/>
              <w:autoSpaceDN w:val="0"/>
              <w:snapToGrid w:val="0"/>
              <w:textAlignment w:val="bottom"/>
              <w:rPr>
                <w:rFonts w:ascii="宋体" w:hAnsi="宋体" w:cs="宋体"/>
                <w:i/>
                <w:iCs/>
                <w:color w:val="auto"/>
                <w:szCs w:val="21"/>
                <w:highlight w:val="none"/>
              </w:rPr>
            </w:pPr>
            <w:r>
              <w:rPr>
                <w:rFonts w:hint="eastAsia" w:ascii="宋体" w:hAnsi="宋体" w:cs="宋体"/>
                <w:color w:val="auto"/>
                <w:szCs w:val="21"/>
                <w:highlight w:val="none"/>
              </w:rPr>
              <w:t xml:space="preserve">☑ 技术分得分高的优先、技术得分相同的按商务分得分高的优先的顺序。 </w:t>
            </w:r>
          </w:p>
          <w:p>
            <w:pPr>
              <w:pStyle w:val="9"/>
              <w:spacing w:line="360" w:lineRule="auto"/>
              <w:rPr>
                <w:rFonts w:ascii="宋体" w:hAnsi="宋体" w:cs="宋体"/>
                <w:b/>
                <w:color w:val="auto"/>
                <w:szCs w:val="21"/>
                <w:highlight w:val="none"/>
              </w:rPr>
            </w:pPr>
            <w:r>
              <w:rPr>
                <w:rFonts w:hint="eastAsia" w:ascii="宋体" w:hAnsi="宋体" w:cs="宋体"/>
                <w:color w:val="auto"/>
                <w:szCs w:val="21"/>
                <w:highlight w:val="none"/>
              </w:rPr>
              <w:t>□</w:t>
            </w:r>
            <w:r>
              <w:rPr>
                <w:rFonts w:ascii="宋体" w:hAnsi="宋体" w:cs="宋体"/>
                <w:color w:val="auto"/>
                <w:highlight w:val="none"/>
              </w:rPr>
              <w:t>采取随机抽取的方式确定</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100" w:name="_39.1"/>
            <w:bookmarkEnd w:id="100"/>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履约保证金，相关要求如下：</w:t>
            </w:r>
          </w:p>
          <w:p>
            <w:pPr>
              <w:numPr>
                <w:ilvl w:val="0"/>
                <w:numId w:val="3"/>
              </w:num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履约保证金金额：按中标总金额的2%。</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2.履约保证金递交方式：中标人在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以银行转账、支票、汇票、本票或者金融机构、担保机构出具的保函等非现金方式向</w:t>
            </w:r>
            <w:r>
              <w:rPr>
                <w:rFonts w:hint="eastAsia" w:ascii="宋体" w:hAnsi="宋体" w:cs="宋体"/>
                <w:color w:val="auto"/>
                <w:szCs w:val="21"/>
                <w:highlight w:val="none"/>
                <w:u w:val="single"/>
              </w:rPr>
              <w:t>采购人</w:t>
            </w:r>
            <w:r>
              <w:rPr>
                <w:rFonts w:hint="eastAsia" w:ascii="宋体" w:hAnsi="宋体" w:cs="宋体"/>
                <w:color w:val="auto"/>
                <w:szCs w:val="21"/>
                <w:highlight w:val="none"/>
              </w:rPr>
              <w:t>提交。</w:t>
            </w:r>
          </w:p>
          <w:p>
            <w:pPr>
              <w:autoSpaceDE w:val="0"/>
              <w:autoSpaceDN w:val="0"/>
              <w:snapToGrid w:val="0"/>
              <w:spacing w:line="360" w:lineRule="auto"/>
              <w:textAlignment w:val="bottom"/>
              <w:rPr>
                <w:rFonts w:ascii="宋体" w:hAnsi="宋体" w:cs="宋体"/>
                <w:color w:val="auto"/>
                <w:szCs w:val="21"/>
                <w:highlight w:val="none"/>
                <w:u w:val="single"/>
              </w:rPr>
            </w:pPr>
            <w:r>
              <w:rPr>
                <w:rFonts w:hint="eastAsia" w:ascii="宋体" w:hAnsi="宋体" w:cs="宋体"/>
                <w:color w:val="auto"/>
                <w:szCs w:val="21"/>
                <w:highlight w:val="none"/>
              </w:rPr>
              <w:t>3.履约保证金退付方式、时间及条件：</w:t>
            </w:r>
            <w:r>
              <w:rPr>
                <w:rFonts w:hint="eastAsia" w:ascii="宋体" w:hAnsi="宋体" w:cs="宋体"/>
                <w:color w:val="auto"/>
                <w:szCs w:val="21"/>
                <w:highlight w:val="none"/>
                <w:u w:val="single"/>
              </w:rPr>
              <w:t>合同履行期满，无合同履约质量问题的，由成交供应商向采购人提供《政府采购项目履约保证金退付意见书》，采购人在收到合格材料后5个工作日内办理退还手续（不计利息）。</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广西职业技术学院 （广西壮族自治区农垦干部学校）</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农行南宁明阳支行（在广西区外转账，若找不到明阳支行，则录入：农行南宁五象支行,行号103611003075）</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开户行行号：</w:t>
            </w:r>
            <w:r>
              <w:rPr>
                <w:rFonts w:hint="eastAsia" w:ascii="宋体" w:hAnsi="宋体" w:cs="宋体"/>
                <w:color w:val="auto"/>
                <w:szCs w:val="21"/>
                <w:highlight w:val="none"/>
                <w:u w:val="single"/>
              </w:rPr>
              <w:t>103611003075</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2003 0701 0400 00371</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1. </w:t>
            </w:r>
            <w:bookmarkStart w:id="101" w:name="_Hlk54170335"/>
            <w:r>
              <w:rPr>
                <w:rFonts w:hint="eastAsia" w:ascii="宋体" w:hAnsi="宋体" w:cs="宋体"/>
                <w:b/>
                <w:color w:val="auto"/>
                <w:szCs w:val="21"/>
                <w:highlight w:val="none"/>
              </w:rPr>
              <w:t>根据《广西壮族自治区财政厅关于规范政府采购货物和服务项目保证金管理的通知》（桂财规〔2022〕8号）规定，鼓励采购人在与中标人签订政府采购合同时，免收履约保证金或者降低收取比例，有必要收取履约保证金的，收取的履约保证金不得超过政府采购合同金额的5%，对中小企业收取的履约保证金数额不得超过政府采购合同金额的2%。</w:t>
            </w:r>
            <w:bookmarkEnd w:id="101"/>
            <w:r>
              <w:rPr>
                <w:rFonts w:hint="eastAsia" w:ascii="宋体" w:hAnsi="宋体" w:cs="宋体"/>
                <w:b/>
                <w:color w:val="auto"/>
                <w:szCs w:val="21"/>
                <w:highlight w:val="none"/>
              </w:rPr>
              <w:br w:type="textWrapping"/>
            </w:r>
            <w:r>
              <w:rPr>
                <w:rFonts w:hint="eastAsia" w:ascii="宋体" w:hAnsi="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color w:val="auto"/>
                <w:szCs w:val="21"/>
                <w:highlight w:val="none"/>
              </w:rPr>
              <w:br w:type="textWrapping"/>
            </w:r>
            <w:r>
              <w:rPr>
                <w:rFonts w:hint="eastAsia" w:ascii="宋体" w:hAnsi="宋体" w:cs="宋体"/>
                <w:b/>
                <w:color w:val="auto"/>
                <w:szCs w:val="21"/>
                <w:highlight w:val="none"/>
              </w:rPr>
              <w:t xml:space="preserve">  3.采用金融、担保机构出具的保函的，必须为无条件保函，否则不予签订合同。</w:t>
            </w:r>
          </w:p>
          <w:p>
            <w:pPr>
              <w:autoSpaceDE w:val="0"/>
              <w:autoSpaceDN w:val="0"/>
              <w:snapToGrid w:val="0"/>
              <w:spacing w:line="380" w:lineRule="exact"/>
              <w:jc w:val="left"/>
              <w:textAlignment w:val="bottom"/>
              <w:rPr>
                <w:rFonts w:ascii="宋体" w:hAnsi="宋体" w:cs="宋体"/>
                <w:color w:val="auto"/>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102" w:name="_40.1"/>
            <w:bookmarkEnd w:id="102"/>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（1）名称：</w:t>
            </w:r>
            <w:bookmarkStart w:id="103" w:name="PO_3000001867_PM031_3"/>
            <w:r>
              <w:rPr>
                <w:rFonts w:hint="eastAsia" w:ascii="宋体" w:hAnsi="宋体" w:cs="宋体"/>
                <w:color w:val="auto"/>
                <w:szCs w:val="21"/>
                <w:highlight w:val="none"/>
              </w:rPr>
              <w:t>广西科联招标中心有限公司</w:t>
            </w:r>
            <w:bookmarkEnd w:id="103"/>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 0771-3486228</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通讯地址：广西科联招标中心有限公司307室（广西南宁市大学东路170号广西农机研究院内）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（2）名称：广西职业技术学院</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联系电话：0771-4213479，电子邮箱：gzyjcs@gxzjy.com</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通讯地址：南宁市明阳工业区明阳大道19号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分，下午</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pPr>
              <w:snapToGrid w:val="0"/>
              <w:spacing w:line="380" w:lineRule="exact"/>
              <w:rPr>
                <w:rFonts w:ascii="宋体" w:hAnsi="宋体" w:cs="宋体"/>
                <w:color w:val="auto"/>
                <w:highlight w:val="none"/>
              </w:rPr>
            </w:pPr>
            <w:r>
              <w:rPr>
                <w:rFonts w:hint="eastAsia" w:ascii="宋体" w:hAnsi="宋体" w:cs="宋体"/>
                <w:color w:val="auto"/>
                <w:szCs w:val="21"/>
                <w:highlight w:val="none"/>
              </w:rPr>
              <w:t>2、通讯</w:t>
            </w:r>
            <w:r>
              <w:rPr>
                <w:rFonts w:hint="eastAsia" w:ascii="宋体" w:hAnsi="宋体" w:cs="宋体"/>
                <w:color w:val="auto"/>
                <w:highlight w:val="none"/>
              </w:rPr>
              <w:t>方式</w:t>
            </w:r>
          </w:p>
          <w:p>
            <w:pPr>
              <w:snapToGrid w:val="0"/>
              <w:spacing w:line="360" w:lineRule="auto"/>
              <w:rPr>
                <w:rFonts w:ascii="宋体" w:hAnsi="宋体" w:cs="宋体"/>
                <w:color w:val="auto"/>
                <w:highlight w:val="none"/>
              </w:rPr>
            </w:pPr>
            <w:bookmarkStart w:id="104" w:name="PO_3000001867_PM038"/>
            <w:r>
              <w:rPr>
                <w:rFonts w:hint="eastAsia" w:ascii="宋体" w:hAnsi="宋体" w:cs="宋体"/>
                <w:color w:val="auto"/>
                <w:highlight w:val="none"/>
              </w:rPr>
              <w:t>名称：</w:t>
            </w:r>
            <w:bookmarkStart w:id="105" w:name="PO_3000001867_PM036"/>
            <w:r>
              <w:rPr>
                <w:rFonts w:hint="eastAsia" w:ascii="宋体" w:hAnsi="宋体" w:cs="宋体"/>
                <w:color w:val="auto"/>
                <w:highlight w:val="none"/>
              </w:rPr>
              <w:t xml:space="preserve">广西壮族自治区财政厅政府采购监督管理处 </w:t>
            </w:r>
            <w:bookmarkEnd w:id="105"/>
          </w:p>
          <w:p>
            <w:pPr>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106" w:name="PO_3000001867_PM039"/>
            <w:r>
              <w:rPr>
                <w:rFonts w:hint="eastAsia" w:ascii="宋体" w:hAnsi="宋体" w:cs="宋体"/>
                <w:color w:val="auto"/>
                <w:highlight w:val="none"/>
              </w:rPr>
              <w:t xml:space="preserve">南宁市桃源路69号广西财政大厦7楼 </w:t>
            </w:r>
            <w:bookmarkEnd w:id="106"/>
          </w:p>
          <w:p>
            <w:pPr>
              <w:snapToGrid w:val="0"/>
              <w:spacing w:line="360" w:lineRule="auto"/>
              <w:rPr>
                <w:rFonts w:ascii="宋体" w:hAnsi="宋体" w:cs="宋体"/>
                <w:color w:val="auto"/>
                <w:szCs w:val="21"/>
                <w:highlight w:val="none"/>
              </w:rPr>
            </w:pPr>
            <w:r>
              <w:rPr>
                <w:rFonts w:hint="eastAsia" w:ascii="宋体" w:hAnsi="宋体" w:cs="宋体"/>
                <w:color w:val="auto"/>
                <w:highlight w:val="none"/>
              </w:rPr>
              <w:t xml:space="preserve">联系电话：0771-2189091 </w:t>
            </w:r>
            <w:bookmarkEnd w:id="10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bookmarkStart w:id="107" w:name="_42"/>
            <w:bookmarkEnd w:id="107"/>
            <w:bookmarkStart w:id="108" w:name="_41"/>
            <w:bookmarkEnd w:id="108"/>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pPr>
              <w:pStyle w:val="13"/>
              <w:snapToGrid w:val="0"/>
              <w:spacing w:line="380" w:lineRule="exact"/>
              <w:rPr>
                <w:rFonts w:hAnsi="宋体" w:cs="宋体"/>
                <w:color w:val="auto"/>
                <w:szCs w:val="21"/>
                <w:highlight w:val="none"/>
              </w:rPr>
            </w:pPr>
            <w:r>
              <w:rPr>
                <w:rFonts w:hint="eastAsia" w:hAnsi="宋体" w:cs="宋体"/>
                <w:color w:val="auto"/>
                <w:szCs w:val="21"/>
                <w:highlight w:val="none"/>
              </w:rPr>
              <w:t>☑ 本项目采购代理服务费由</w:t>
            </w:r>
            <w:r>
              <w:rPr>
                <w:rFonts w:hint="eastAsia" w:hAnsi="宋体" w:cs="宋体"/>
                <w:color w:val="auto"/>
                <w:szCs w:val="21"/>
                <w:highlight w:val="none"/>
                <w:u w:val="single"/>
              </w:rPr>
              <w:t>中标人</w:t>
            </w:r>
            <w:r>
              <w:rPr>
                <w:rFonts w:hint="eastAsia" w:hAnsi="宋体" w:cs="宋体"/>
                <w:color w:val="auto"/>
                <w:highlight w:val="none"/>
              </w:rPr>
              <w:t>在签订合同前，以银行转账、电汇等方式一次性向采购代理机构支付</w:t>
            </w:r>
            <w:r>
              <w:rPr>
                <w:rFonts w:hint="eastAsia" w:hAnsi="宋体" w:cs="宋体"/>
                <w:color w:val="auto"/>
                <w:szCs w:val="21"/>
                <w:highlight w:val="none"/>
              </w:rPr>
              <w:t>。</w:t>
            </w:r>
          </w:p>
          <w:p>
            <w:pPr>
              <w:pStyle w:val="13"/>
              <w:snapToGrid w:val="0"/>
              <w:spacing w:line="380" w:lineRule="exact"/>
              <w:rPr>
                <w:rFonts w:hAnsi="宋体" w:cs="宋体"/>
                <w:color w:val="auto"/>
                <w:szCs w:val="21"/>
                <w:highlight w:val="none"/>
              </w:rPr>
            </w:pPr>
            <w:r>
              <w:rPr>
                <w:rFonts w:hint="eastAsia" w:hAnsi="宋体" w:cs="宋体"/>
                <w:color w:val="auto"/>
                <w:szCs w:val="21"/>
                <w:highlight w:val="none"/>
              </w:rPr>
              <w:t>□采购人支付</w:t>
            </w:r>
            <w:r>
              <w:rPr>
                <w:rFonts w:hint="eastAsia" w:hAnsi="宋体" w:cs="宋体"/>
                <w:color w:val="auto"/>
                <w:highlight w:val="none"/>
              </w:rPr>
              <w:t>：</w:t>
            </w:r>
          </w:p>
          <w:p>
            <w:pPr>
              <w:pStyle w:val="13"/>
              <w:snapToGrid w:val="0"/>
              <w:spacing w:line="380" w:lineRule="exact"/>
              <w:rPr>
                <w:rFonts w:hAnsi="宋体" w:cs="宋体"/>
                <w:color w:val="auto"/>
                <w:szCs w:val="21"/>
                <w:highlight w:val="none"/>
              </w:rPr>
            </w:pPr>
            <w:r>
              <w:rPr>
                <w:rFonts w:hint="eastAsia" w:hAnsi="宋体" w:cs="宋体"/>
                <w:color w:val="auto"/>
                <w:szCs w:val="21"/>
                <w:highlight w:val="none"/>
              </w:rPr>
              <w:t>□本项目不收取采购代理服务费。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 以</w:t>
            </w:r>
            <w:r>
              <w:rPr>
                <w:rFonts w:hint="eastAsia" w:hAnsi="宋体" w:cs="宋体"/>
                <w:color w:val="auto"/>
                <w:kern w:val="0"/>
                <w:szCs w:val="21"/>
                <w:highlight w:val="none"/>
              </w:rPr>
              <w:t>项目</w:t>
            </w:r>
            <w:r>
              <w:rPr>
                <w:rFonts w:hint="eastAsia" w:ascii="宋体" w:hAnsi="宋体" w:cs="宋体"/>
                <w:color w:val="auto"/>
                <w:szCs w:val="20"/>
                <w:highlight w:val="none"/>
              </w:rPr>
              <w:t>（☑ 中标金额/□采购预算/□暂定中标金额/□其他）为计费额，按本须知正文第40.2条规定的收费计算标准（服务类）采用差额定率累进法计算出收费基准价格，采购代理收费以（☑ 收费基准价格/□收费基准价格下浮</w:t>
            </w:r>
            <w:r>
              <w:rPr>
                <w:rFonts w:hint="eastAsia" w:ascii="宋体" w:hAnsi="宋体" w:cs="宋体"/>
                <w:color w:val="auto"/>
                <w:szCs w:val="20"/>
                <w:highlight w:val="none"/>
                <w:u w:val="single"/>
              </w:rPr>
              <w:t>%</w:t>
            </w:r>
            <w:r>
              <w:rPr>
                <w:rFonts w:ascii="宋体" w:hAnsi="宋体" w:cs="宋体"/>
                <w:color w:val="auto"/>
                <w:szCs w:val="20"/>
                <w:highlight w:val="none"/>
              </w:rPr>
              <w:t>/</w:t>
            </w:r>
            <w:r>
              <w:rPr>
                <w:rFonts w:hint="eastAsia" w:ascii="宋体" w:hAnsi="宋体" w:cs="宋体"/>
                <w:color w:val="auto"/>
                <w:szCs w:val="20"/>
                <w:highlight w:val="none"/>
              </w:rPr>
              <w:t>□收费基准价格上浮</w:t>
            </w:r>
            <w:r>
              <w:rPr>
                <w:rFonts w:hint="eastAsia" w:ascii="宋体" w:hAnsi="宋体" w:cs="宋体"/>
                <w:color w:val="auto"/>
                <w:szCs w:val="20"/>
                <w:highlight w:val="none"/>
                <w:u w:val="single"/>
              </w:rPr>
              <w:t>%</w:t>
            </w:r>
            <w:r>
              <w:rPr>
                <w:rFonts w:hint="eastAsia" w:ascii="宋体" w:hAnsi="宋体" w:cs="宋体"/>
                <w:color w:val="auto"/>
                <w:szCs w:val="20"/>
                <w:highlight w:val="none"/>
              </w:rPr>
              <w:t>）收取。</w:t>
            </w:r>
          </w:p>
          <w:p>
            <w:pPr>
              <w:pStyle w:val="13"/>
              <w:snapToGrid w:val="0"/>
              <w:spacing w:line="380" w:lineRule="exact"/>
              <w:rPr>
                <w:rFonts w:hAnsi="宋体" w:cs="宋体"/>
                <w:color w:val="auto"/>
                <w:szCs w:val="21"/>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pPr>
              <w:pStyle w:val="13"/>
              <w:snapToGrid w:val="0"/>
              <w:spacing w:line="380" w:lineRule="exact"/>
              <w:rPr>
                <w:rFonts w:hAnsi="宋体" w:cs="宋体"/>
                <w:color w:val="auto"/>
                <w:szCs w:val="21"/>
                <w:highlight w:val="none"/>
              </w:rPr>
            </w:pPr>
            <w:r>
              <w:rPr>
                <w:rFonts w:hint="eastAsia" w:hAnsi="宋体" w:cs="宋体"/>
                <w:color w:val="auto"/>
                <w:szCs w:val="21"/>
                <w:highlight w:val="none"/>
              </w:rPr>
              <w:t>开户名称：广西科联招标中心有限公司</w:t>
            </w:r>
          </w:p>
          <w:p>
            <w:pPr>
              <w:pStyle w:val="13"/>
              <w:snapToGrid w:val="0"/>
              <w:spacing w:line="380" w:lineRule="exact"/>
              <w:rPr>
                <w:rFonts w:hAnsi="宋体" w:cs="宋体"/>
                <w:color w:val="auto"/>
                <w:szCs w:val="21"/>
                <w:highlight w:val="none"/>
              </w:rPr>
            </w:pPr>
            <w:r>
              <w:rPr>
                <w:rFonts w:hint="eastAsia" w:hAnsi="宋体" w:cs="宋体"/>
                <w:color w:val="auto"/>
                <w:szCs w:val="21"/>
                <w:highlight w:val="none"/>
              </w:rPr>
              <w:t>开户银行：中国工商银行南宁市高新科技支行</w:t>
            </w:r>
          </w:p>
          <w:p>
            <w:pPr>
              <w:pStyle w:val="13"/>
              <w:snapToGrid w:val="0"/>
              <w:spacing w:line="380" w:lineRule="exact"/>
              <w:rPr>
                <w:rFonts w:hAnsi="宋体" w:cs="宋体"/>
                <w:color w:val="auto"/>
                <w:szCs w:val="21"/>
                <w:highlight w:val="none"/>
              </w:rPr>
            </w:pPr>
            <w:r>
              <w:rPr>
                <w:rFonts w:hint="eastAsia" w:hAnsi="宋体" w:cs="宋体"/>
                <w:color w:val="auto"/>
                <w:szCs w:val="21"/>
                <w:highlight w:val="none"/>
              </w:rPr>
              <w:t>银行账号：2102111229300032105</w:t>
            </w:r>
          </w:p>
          <w:p>
            <w:pPr>
              <w:pStyle w:val="13"/>
              <w:snapToGrid w:val="0"/>
              <w:spacing w:line="380" w:lineRule="exact"/>
              <w:rPr>
                <w:rFonts w:hAnsi="宋体" w:cs="宋体"/>
                <w:color w:val="auto"/>
                <w:szCs w:val="21"/>
                <w:highlight w:val="none"/>
              </w:rPr>
            </w:pPr>
            <w:r>
              <w:rPr>
                <w:rFonts w:hint="eastAsia" w:hAnsi="宋体" w:cs="宋体"/>
                <w:color w:val="auto"/>
                <w:szCs w:val="21"/>
                <w:highlight w:val="none"/>
              </w:rPr>
              <w:t>开户行行号：10261101110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法律责任：</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9"/>
              <w:ind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pPr>
              <w:pStyle w:val="9"/>
              <w:tabs>
                <w:tab w:val="center" w:pos="4153"/>
                <w:tab w:val="right" w:pos="8306"/>
              </w:tabs>
              <w:ind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pPr>
              <w:pStyle w:val="9"/>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9"/>
              <w:ind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pPr>
        <w:widowControl/>
        <w:spacing w:line="412" w:lineRule="auto"/>
        <w:jc w:val="left"/>
        <w:rPr>
          <w:rFonts w:ascii="Arial" w:hAnsi="Arial" w:eastAsia="黑体"/>
          <w:b/>
          <w:bCs/>
          <w:color w:val="auto"/>
          <w:sz w:val="32"/>
          <w:szCs w:val="32"/>
          <w:highlight w:val="none"/>
        </w:rPr>
        <w:sectPr>
          <w:footerReference r:id="rId11" w:type="default"/>
          <w:pgSz w:w="11905" w:h="16838"/>
          <w:pgMar w:top="1134" w:right="1134" w:bottom="1134" w:left="1134" w:header="850" w:footer="850" w:gutter="0"/>
          <w:cols w:space="0" w:num="1"/>
          <w:titlePg/>
          <w:docGrid w:linePitch="331" w:charSpace="0"/>
        </w:sectPr>
      </w:pPr>
    </w:p>
    <w:p>
      <w:pPr>
        <w:rPr>
          <w:color w:val="auto"/>
          <w:highlight w:val="none"/>
        </w:rPr>
      </w:pPr>
    </w:p>
    <w:p>
      <w:pPr>
        <w:pStyle w:val="4"/>
        <w:jc w:val="center"/>
        <w:rPr>
          <w:color w:val="auto"/>
          <w:highlight w:val="none"/>
        </w:rPr>
      </w:pPr>
      <w:bookmarkStart w:id="109" w:name="_Toc25117"/>
      <w:bookmarkStart w:id="110" w:name="_Toc8807"/>
      <w:bookmarkStart w:id="111" w:name="_Toc7784"/>
      <w:bookmarkStart w:id="112" w:name="_Toc13813"/>
      <w:bookmarkStart w:id="113" w:name="_Toc453"/>
      <w:bookmarkStart w:id="114" w:name="_Toc29311"/>
      <w:bookmarkStart w:id="115" w:name="_Toc30841"/>
      <w:bookmarkStart w:id="116" w:name="_Toc11336"/>
      <w:bookmarkStart w:id="117" w:name="_Toc24313"/>
      <w:bookmarkStart w:id="118" w:name="_Toc1030"/>
      <w:r>
        <w:rPr>
          <w:rFonts w:hint="eastAsia"/>
          <w:color w:val="auto"/>
          <w:highlight w:val="none"/>
        </w:rPr>
        <w:t>第二节投标人须知正文</w:t>
      </w:r>
      <w:bookmarkEnd w:id="109"/>
      <w:bookmarkEnd w:id="110"/>
      <w:bookmarkEnd w:id="111"/>
      <w:bookmarkEnd w:id="112"/>
      <w:bookmarkEnd w:id="113"/>
      <w:bookmarkEnd w:id="114"/>
      <w:bookmarkEnd w:id="115"/>
      <w:bookmarkEnd w:id="116"/>
      <w:bookmarkEnd w:id="117"/>
      <w:bookmarkEnd w:id="118"/>
    </w:p>
    <w:p>
      <w:pPr>
        <w:pStyle w:val="5"/>
        <w:keepNext w:val="0"/>
        <w:keepLines w:val="0"/>
        <w:spacing w:line="400" w:lineRule="exact"/>
        <w:jc w:val="center"/>
        <w:rPr>
          <w:color w:val="auto"/>
          <w:highlight w:val="none"/>
        </w:rPr>
      </w:pPr>
      <w:bookmarkStart w:id="119" w:name="_Toc15523"/>
      <w:bookmarkStart w:id="120" w:name="_Toc6594"/>
      <w:bookmarkStart w:id="121" w:name="_Toc21176"/>
      <w:bookmarkStart w:id="122" w:name="_Toc3607"/>
      <w:bookmarkStart w:id="123" w:name="_Toc3522"/>
      <w:bookmarkStart w:id="124" w:name="_Toc18594"/>
      <w:bookmarkStart w:id="125" w:name="_Toc19454"/>
      <w:bookmarkStart w:id="126" w:name="_Toc30794"/>
      <w:bookmarkStart w:id="127" w:name="_Toc22266"/>
      <w:bookmarkStart w:id="128" w:name="_Toc28360"/>
      <w:r>
        <w:rPr>
          <w:rFonts w:hint="eastAsia"/>
          <w:color w:val="auto"/>
          <w:highlight w:val="none"/>
        </w:rPr>
        <w:t>一、总则</w:t>
      </w:r>
      <w:bookmarkEnd w:id="119"/>
      <w:bookmarkEnd w:id="120"/>
      <w:bookmarkEnd w:id="121"/>
      <w:bookmarkEnd w:id="122"/>
      <w:bookmarkEnd w:id="123"/>
      <w:bookmarkEnd w:id="124"/>
      <w:bookmarkEnd w:id="125"/>
      <w:bookmarkEnd w:id="126"/>
      <w:bookmarkEnd w:id="127"/>
      <w:bookmarkEnd w:id="128"/>
    </w:p>
    <w:p>
      <w:pPr>
        <w:spacing w:line="360" w:lineRule="auto"/>
        <w:ind w:firstLine="480" w:firstLineChars="200"/>
        <w:rPr>
          <w:rFonts w:ascii="黑体" w:hAnsi="黑体" w:eastAsia="黑体"/>
          <w:color w:val="auto"/>
          <w:sz w:val="24"/>
          <w:highlight w:val="none"/>
        </w:rPr>
      </w:pPr>
      <w:bookmarkStart w:id="129" w:name="_Toc254970668"/>
      <w:bookmarkStart w:id="130" w:name="_Toc254970527"/>
      <w:r>
        <w:rPr>
          <w:rFonts w:hint="eastAsia" w:ascii="黑体" w:hAnsi="黑体" w:eastAsia="黑体"/>
          <w:color w:val="auto"/>
          <w:sz w:val="24"/>
          <w:highlight w:val="none"/>
        </w:rPr>
        <w:t>1.适用范围</w:t>
      </w:r>
      <w:bookmarkEnd w:id="129"/>
      <w:bookmarkEnd w:id="13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spacing w:line="360" w:lineRule="auto"/>
        <w:ind w:firstLine="480" w:firstLineChars="200"/>
        <w:rPr>
          <w:rFonts w:ascii="黑体" w:hAnsi="黑体" w:eastAsia="黑体"/>
          <w:color w:val="auto"/>
          <w:sz w:val="24"/>
          <w:highlight w:val="none"/>
        </w:rPr>
      </w:pPr>
      <w:bookmarkStart w:id="131" w:name="_Toc254970528"/>
      <w:bookmarkStart w:id="132" w:name="_Toc254970669"/>
      <w:r>
        <w:rPr>
          <w:rFonts w:hint="eastAsia" w:ascii="黑体" w:hAnsi="黑体" w:eastAsia="黑体"/>
          <w:color w:val="auto"/>
          <w:sz w:val="24"/>
          <w:highlight w:val="none"/>
        </w:rPr>
        <w:t>2.定义</w:t>
      </w:r>
      <w:bookmarkEnd w:id="131"/>
      <w:bookmarkEnd w:id="132"/>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2.4“投标人”是指响应招标、参加投标竞争的法人、非法人组织或者自然人。</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2.7“实质性要求”是指招标文件中已经指明不满足则投标无效的条款，或者不能负偏离的条款，或者采购需求中带“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bookmarkStart w:id="133" w:name="_Toc254970670"/>
      <w:bookmarkStart w:id="134" w:name="_Toc254970529"/>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bookmarkEnd w:id="133"/>
      <w:bookmarkEnd w:id="134"/>
      <w:r>
        <w:rPr>
          <w:rFonts w:hint="eastAsia" w:ascii="黑体" w:hAnsi="黑体" w:eastAsia="黑体"/>
          <w:color w:val="auto"/>
          <w:sz w:val="24"/>
          <w:highlight w:val="none"/>
        </w:rPr>
        <w:t>投标人的资格要求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pPr>
        <w:spacing w:line="360" w:lineRule="auto"/>
        <w:ind w:firstLine="480" w:firstLineChars="200"/>
        <w:rPr>
          <w:rFonts w:ascii="黑体" w:hAnsi="黑体" w:eastAsia="黑体"/>
          <w:color w:val="auto"/>
          <w:sz w:val="24"/>
          <w:highlight w:val="none"/>
        </w:rPr>
      </w:pPr>
      <w:bookmarkStart w:id="135" w:name="_Toc254970671"/>
      <w:bookmarkStart w:id="136" w:name="_Toc254970530"/>
      <w:r>
        <w:rPr>
          <w:rFonts w:hint="eastAsia" w:ascii="黑体" w:hAnsi="黑体" w:eastAsia="黑体"/>
          <w:color w:val="auto"/>
          <w:sz w:val="24"/>
          <w:highlight w:val="none"/>
        </w:rPr>
        <w:t>4.投标委托</w:t>
      </w:r>
      <w:bookmarkEnd w:id="135"/>
      <w:bookmarkEnd w:id="13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黑体" w:hAnsi="黑体" w:eastAsia="黑体"/>
          <w:color w:val="auto"/>
          <w:sz w:val="24"/>
          <w:highlight w:val="none"/>
        </w:rPr>
      </w:pPr>
      <w:bookmarkStart w:id="137" w:name="_5.投标费用"/>
      <w:bookmarkEnd w:id="137"/>
      <w:bookmarkStart w:id="138" w:name="_Toc254970531"/>
      <w:bookmarkStart w:id="139" w:name="_Toc254970672"/>
      <w:r>
        <w:rPr>
          <w:rFonts w:hint="eastAsia" w:ascii="黑体" w:hAnsi="黑体" w:eastAsia="黑体"/>
          <w:color w:val="auto"/>
          <w:sz w:val="24"/>
          <w:highlight w:val="none"/>
        </w:rPr>
        <w:t>5.投标费用</w:t>
      </w:r>
      <w:bookmarkEnd w:id="138"/>
      <w:bookmarkEnd w:id="139"/>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 本项目不允许转包。</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ascii="黑体" w:hAnsi="黑体" w:eastAsia="黑体"/>
          <w:color w:val="auto"/>
          <w:sz w:val="24"/>
          <w:highlight w:val="none"/>
        </w:rPr>
      </w:pPr>
      <w:bookmarkStart w:id="140" w:name="_Toc254970673"/>
      <w:bookmarkStart w:id="141" w:name="_Toc254970532"/>
      <w:r>
        <w:rPr>
          <w:rFonts w:hint="eastAsia" w:ascii="黑体" w:hAnsi="黑体" w:eastAsia="黑体"/>
          <w:color w:val="auto"/>
          <w:sz w:val="24"/>
          <w:highlight w:val="none"/>
        </w:rPr>
        <w:t>8.特别说明：</w:t>
      </w:r>
      <w:bookmarkEnd w:id="140"/>
      <w:bookmarkEnd w:id="141"/>
      <w:bookmarkStart w:id="142" w:name="_8.1提供相同品牌产品且通过资格审查、符合性审查的不同投标人参加同一合"/>
      <w:bookmarkEnd w:id="142"/>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8.1如果本招标文件要求投标人提供资格、信誉、荣誉、业绩与企业认证等材料的，则投标人所提供的以上材料必须为该投标人所拥有。</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9.回避与串通投标</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（3）供应商之间协商报价、技术方案等投标文件的实质性内容；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b/>
          <w:color w:val="auto"/>
          <w:highlight w:val="none"/>
        </w:rPr>
      </w:pPr>
    </w:p>
    <w:p>
      <w:pPr>
        <w:pStyle w:val="5"/>
        <w:keepNext w:val="0"/>
        <w:keepLines w:val="0"/>
        <w:spacing w:line="400" w:lineRule="exact"/>
        <w:jc w:val="center"/>
        <w:rPr>
          <w:color w:val="auto"/>
          <w:highlight w:val="none"/>
        </w:rPr>
      </w:pPr>
      <w:bookmarkStart w:id="143" w:name="_Toc9988"/>
      <w:bookmarkStart w:id="144" w:name="_Toc11054"/>
      <w:bookmarkStart w:id="145" w:name="_Toc18580"/>
      <w:bookmarkStart w:id="146" w:name="_Toc128"/>
      <w:bookmarkStart w:id="147" w:name="_Toc17855"/>
      <w:bookmarkStart w:id="148" w:name="_Toc25104"/>
      <w:bookmarkStart w:id="149" w:name="_Toc254970534"/>
      <w:bookmarkStart w:id="150" w:name="_Toc19016"/>
      <w:bookmarkStart w:id="151" w:name="_Toc254970675"/>
      <w:bookmarkStart w:id="152" w:name="_Toc22911"/>
      <w:bookmarkStart w:id="153" w:name="_Toc10320"/>
      <w:bookmarkStart w:id="154" w:name="_Toc6920"/>
      <w:r>
        <w:rPr>
          <w:rFonts w:hint="eastAsia"/>
          <w:color w:val="auto"/>
          <w:highlight w:val="none"/>
        </w:rPr>
        <w:t>二、招标文件</w:t>
      </w:r>
      <w:bookmarkEnd w:id="143"/>
      <w:bookmarkEnd w:id="144"/>
      <w:bookmarkEnd w:id="145"/>
      <w:bookmarkEnd w:id="146"/>
      <w:bookmarkEnd w:id="147"/>
      <w:bookmarkEnd w:id="148"/>
      <w:bookmarkEnd w:id="149"/>
      <w:bookmarkEnd w:id="150"/>
      <w:bookmarkEnd w:id="151"/>
      <w:bookmarkEnd w:id="152"/>
      <w:bookmarkEnd w:id="153"/>
      <w:bookmarkEnd w:id="154"/>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评标方法和评标标准；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pPr>
        <w:spacing w:line="360" w:lineRule="auto"/>
        <w:ind w:firstLine="420" w:firstLineChars="200"/>
        <w:rPr>
          <w:rFonts w:hAnsi="宋体"/>
          <w:color w:val="auto"/>
          <w:highlight w:val="none"/>
        </w:rPr>
      </w:pPr>
      <w:r>
        <w:rPr>
          <w:rFonts w:hint="eastAsia" w:hAnsi="宋体"/>
          <w:color w:val="auto"/>
          <w:highlight w:val="none"/>
        </w:rPr>
        <w:t>根据本章</w:t>
      </w:r>
      <w:r>
        <w:rPr>
          <w:rFonts w:hint="eastAsia" w:ascii="宋体" w:hAnsi="宋体" w:cs="宋体"/>
          <w:color w:val="auto"/>
          <w:highlight w:val="none"/>
        </w:rPr>
        <w:t>第11.1</w:t>
      </w:r>
      <w:r>
        <w:rPr>
          <w:rFonts w:hint="eastAsia" w:hAnsi="宋体"/>
          <w:color w:val="auto"/>
          <w:highlight w:val="none"/>
        </w:rPr>
        <w:t>项的规定对招标文件所做的澄清、修改，构成招标文件的组成部分。当招标文件与招标文件的澄清和修改就同一内容的表述不一致时，</w:t>
      </w:r>
      <w:r>
        <w:rPr>
          <w:rFonts w:hint="eastAsia"/>
          <w:color w:val="auto"/>
          <w:highlight w:val="none"/>
        </w:rPr>
        <w:t>以最后澄清或修改公告为准。</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55"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5"/>
    <w:p>
      <w:pPr>
        <w:pStyle w:val="5"/>
        <w:keepNext w:val="0"/>
        <w:keepLines w:val="0"/>
        <w:spacing w:line="400" w:lineRule="exact"/>
        <w:jc w:val="center"/>
        <w:rPr>
          <w:color w:val="auto"/>
          <w:highlight w:val="none"/>
        </w:rPr>
      </w:pPr>
      <w:bookmarkStart w:id="156" w:name="_Toc32154"/>
      <w:bookmarkStart w:id="157" w:name="_Toc32499"/>
      <w:bookmarkStart w:id="158" w:name="_Toc28419"/>
      <w:bookmarkStart w:id="159" w:name="_Toc254970535"/>
      <w:bookmarkStart w:id="160" w:name="_Toc7841"/>
      <w:bookmarkStart w:id="161" w:name="_Toc2635"/>
      <w:bookmarkStart w:id="162" w:name="_Toc254970676"/>
      <w:bookmarkStart w:id="163" w:name="_Toc24872"/>
      <w:bookmarkStart w:id="164" w:name="_Toc27367"/>
      <w:bookmarkStart w:id="165" w:name="_Toc20"/>
      <w:bookmarkStart w:id="166" w:name="_Toc16623"/>
      <w:bookmarkStart w:id="167" w:name="_Toc12080"/>
      <w:r>
        <w:rPr>
          <w:rFonts w:hint="eastAsia"/>
          <w:color w:val="auto"/>
          <w:highlight w:val="none"/>
        </w:rPr>
        <w:t>三、投标文件的编制</w:t>
      </w:r>
      <w:bookmarkEnd w:id="156"/>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rPr>
          <w:rFonts w:ascii="黑体" w:hAnsi="黑体" w:eastAsia="黑体"/>
          <w:color w:val="auto"/>
          <w:sz w:val="24"/>
          <w:highlight w:val="none"/>
        </w:rPr>
      </w:pPr>
      <w:bookmarkStart w:id="168" w:name="_Toc254970677"/>
      <w:bookmarkStart w:id="169" w:name="_Toc254970536"/>
      <w:r>
        <w:rPr>
          <w:rFonts w:hint="eastAsia" w:ascii="黑体" w:hAnsi="黑体" w:eastAsia="黑体"/>
          <w:color w:val="auto"/>
          <w:sz w:val="24"/>
          <w:highlight w:val="none"/>
        </w:rPr>
        <w:t>12.投标文件的编制原则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68"/>
      <w:bookmarkEnd w:id="16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pPr>
        <w:spacing w:line="360" w:lineRule="auto"/>
        <w:ind w:firstLine="420" w:firstLineChars="200"/>
        <w:rPr>
          <w:rFonts w:ascii="宋体" w:hAnsi="宋体"/>
          <w:bCs/>
          <w:color w:val="auto"/>
          <w:szCs w:val="21"/>
          <w:highlight w:val="none"/>
        </w:rPr>
      </w:pPr>
      <w:bookmarkStart w:id="170" w:name="_13.2资格证明文件：具体材料见“投标人须知前附表”。"/>
      <w:bookmarkEnd w:id="170"/>
      <w:bookmarkStart w:id="171" w:name="_13.1报价文件:_具体材料见“投标人须知前附表”。"/>
      <w:bookmarkEnd w:id="171"/>
      <w:r>
        <w:rPr>
          <w:rFonts w:hint="eastAsia" w:ascii="宋体" w:hAnsi="宋体"/>
          <w:bCs/>
          <w:color w:val="auto"/>
          <w:szCs w:val="21"/>
          <w:highlight w:val="none"/>
        </w:rPr>
        <w:t>（1）资格证明文件：具体材料见“投标人须知前附表”。</w:t>
      </w:r>
    </w:p>
    <w:p>
      <w:pPr>
        <w:spacing w:line="360" w:lineRule="auto"/>
        <w:ind w:firstLine="420" w:firstLineChars="200"/>
        <w:rPr>
          <w:rFonts w:ascii="宋体" w:hAnsi="宋体"/>
          <w:bCs/>
          <w:color w:val="auto"/>
          <w:szCs w:val="21"/>
          <w:highlight w:val="none"/>
        </w:rPr>
      </w:pPr>
      <w:bookmarkStart w:id="172" w:name="_13.3商务文件:_具体材料见“投标人须知前附表”。"/>
      <w:bookmarkEnd w:id="172"/>
      <w:r>
        <w:rPr>
          <w:rFonts w:hint="eastAsia" w:ascii="宋体" w:hAnsi="宋体"/>
          <w:bCs/>
          <w:color w:val="auto"/>
          <w:szCs w:val="21"/>
          <w:highlight w:val="none"/>
        </w:rPr>
        <w:t>（2）商务文件：具体材料见“投标人须知前附表”。</w:t>
      </w:r>
    </w:p>
    <w:p>
      <w:pPr>
        <w:spacing w:line="360" w:lineRule="auto"/>
        <w:ind w:firstLine="420" w:firstLineChars="200"/>
        <w:rPr>
          <w:rFonts w:ascii="宋体" w:hAnsi="宋体"/>
          <w:bCs/>
          <w:color w:val="auto"/>
          <w:szCs w:val="21"/>
          <w:highlight w:val="none"/>
        </w:rPr>
      </w:pPr>
      <w:bookmarkStart w:id="173" w:name="_13.4技术文件：具体材料见“投标人须知前附表”。"/>
      <w:bookmarkEnd w:id="173"/>
      <w:r>
        <w:rPr>
          <w:rFonts w:hint="eastAsia" w:ascii="宋体" w:hAnsi="宋体"/>
          <w:bCs/>
          <w:color w:val="auto"/>
          <w:szCs w:val="21"/>
          <w:highlight w:val="none"/>
        </w:rPr>
        <w:t xml:space="preserve">（3）技术文件：具体材料见“投标人须知前附表”。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 具体材料见“投标人须知前附表”。</w:t>
      </w:r>
    </w:p>
    <w:p>
      <w:pPr>
        <w:spacing w:line="360" w:lineRule="auto"/>
        <w:ind w:firstLine="420" w:firstLineChars="200"/>
        <w:rPr>
          <w:rFonts w:ascii="宋体" w:hAnsi="宋体"/>
          <w:bCs/>
          <w:color w:val="auto"/>
          <w:szCs w:val="21"/>
          <w:highlight w:val="none"/>
        </w:rPr>
      </w:pPr>
      <w:bookmarkStart w:id="174" w:name="_13.5投标文件电子版：具体材料见“投标人须知前附表”。"/>
      <w:bookmarkEnd w:id="174"/>
      <w:r>
        <w:rPr>
          <w:rFonts w:hint="eastAsia" w:ascii="宋体" w:hAnsi="宋体"/>
          <w:bCs/>
          <w:color w:val="auto"/>
          <w:szCs w:val="21"/>
          <w:highlight w:val="none"/>
        </w:rPr>
        <w:t>13.2投标文件电子版：具体要求见本节19.投标文件编制。</w:t>
      </w:r>
    </w:p>
    <w:p>
      <w:pPr>
        <w:spacing w:line="360" w:lineRule="auto"/>
        <w:ind w:firstLine="480" w:firstLineChars="200"/>
        <w:rPr>
          <w:rFonts w:ascii="黑体" w:hAnsi="黑体" w:eastAsia="黑体"/>
          <w:color w:val="auto"/>
          <w:sz w:val="24"/>
          <w:highlight w:val="none"/>
        </w:rPr>
      </w:pPr>
      <w:bookmarkStart w:id="175" w:name="_Toc254970678"/>
      <w:bookmarkStart w:id="176" w:name="_Toc254970537"/>
      <w:r>
        <w:rPr>
          <w:rFonts w:hint="eastAsia" w:ascii="黑体" w:hAnsi="黑体" w:eastAsia="黑体"/>
          <w:color w:val="auto"/>
          <w:sz w:val="24"/>
          <w:highlight w:val="none"/>
        </w:rPr>
        <w:t>14.投标文件的语言及计量</w:t>
      </w:r>
      <w:bookmarkEnd w:id="175"/>
      <w:bookmarkEnd w:id="176"/>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spacing w:line="360" w:lineRule="auto"/>
        <w:ind w:firstLine="420" w:firstLineChars="200"/>
        <w:rPr>
          <w:rFonts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color w:val="auto"/>
          <w:sz w:val="24"/>
          <w:highlight w:val="none"/>
        </w:rPr>
      </w:pPr>
      <w:bookmarkStart w:id="177" w:name="_Toc254970538"/>
      <w:bookmarkStart w:id="178" w:name="_Toc254970679"/>
      <w:r>
        <w:rPr>
          <w:rFonts w:hint="eastAsia" w:ascii="黑体" w:hAnsi="黑体" w:eastAsia="黑体"/>
          <w:color w:val="auto"/>
          <w:sz w:val="24"/>
          <w:highlight w:val="none"/>
        </w:rPr>
        <w:t>16.投标报价</w:t>
      </w:r>
      <w:bookmarkEnd w:id="177"/>
      <w:bookmarkEnd w:id="178"/>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pPr>
        <w:spacing w:line="360" w:lineRule="auto"/>
        <w:ind w:firstLine="420" w:firstLineChars="200"/>
        <w:rPr>
          <w:rFonts w:ascii="宋体" w:hAnsi="宋体"/>
          <w:bCs/>
          <w:color w:val="auto"/>
          <w:szCs w:val="21"/>
          <w:highlight w:val="none"/>
        </w:rPr>
      </w:pPr>
      <w:bookmarkStart w:id="179" w:name="_16.2投标报价具体定义见投标人须知前附表。"/>
      <w:bookmarkEnd w:id="179"/>
      <w:r>
        <w:rPr>
          <w:rFonts w:hint="eastAsia" w:ascii="宋体" w:hAnsi="宋体"/>
          <w:bCs/>
          <w:color w:val="auto"/>
          <w:szCs w:val="21"/>
          <w:highlight w:val="none"/>
        </w:rPr>
        <w:t>16.2投标报价具体包括内容详见“投标人须知前附表”。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spacing w:line="360" w:lineRule="auto"/>
        <w:ind w:firstLine="420" w:firstLineChars="200"/>
        <w:rPr>
          <w:rFonts w:ascii="宋体" w:hAnsi="宋体"/>
          <w:bCs/>
          <w:color w:val="auto"/>
          <w:szCs w:val="21"/>
          <w:highlight w:val="none"/>
        </w:rPr>
      </w:pPr>
      <w:bookmarkStart w:id="180" w:name="_17.1投标有效期应按“投标人须知中的前附表”规定的期限。"/>
      <w:bookmarkEnd w:id="180"/>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181" w:name="_Toc254970681"/>
      <w:bookmarkStart w:id="182" w:name="_Toc254970540"/>
      <w:r>
        <w:rPr>
          <w:rFonts w:hint="eastAsia" w:ascii="宋体" w:hAnsi="宋体"/>
          <w:bCs/>
          <w:color w:val="auto"/>
          <w:szCs w:val="21"/>
          <w:highlight w:val="none"/>
        </w:rPr>
        <w:t xml:space="preserve"> 投标有效期应按规定的期限作出承诺，具体详见“投标人须知前附表”。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81"/>
      <w:bookmarkEnd w:id="182"/>
    </w:p>
    <w:p>
      <w:pPr>
        <w:spacing w:line="360" w:lineRule="auto"/>
        <w:ind w:firstLine="480" w:firstLineChars="200"/>
        <w:rPr>
          <w:rFonts w:ascii="黑体" w:hAnsi="黑体" w:eastAsia="黑体"/>
          <w:color w:val="auto"/>
          <w:sz w:val="24"/>
          <w:highlight w:val="none"/>
        </w:rPr>
      </w:pPr>
      <w:bookmarkStart w:id="183" w:name="_18.投标保证金"/>
      <w:bookmarkEnd w:id="183"/>
      <w:bookmarkStart w:id="184" w:name="_Toc254970541"/>
      <w:bookmarkStart w:id="185" w:name="_Toc254970682"/>
      <w:r>
        <w:rPr>
          <w:rFonts w:hint="eastAsia" w:ascii="黑体" w:hAnsi="黑体" w:eastAsia="黑体"/>
          <w:color w:val="auto"/>
          <w:sz w:val="24"/>
          <w:highlight w:val="none"/>
        </w:rPr>
        <w:t>18.投标保证金</w:t>
      </w:r>
      <w:bookmarkEnd w:id="184"/>
      <w:bookmarkEnd w:id="185"/>
    </w:p>
    <w:p>
      <w:pPr>
        <w:pStyle w:val="6"/>
        <w:keepNext w:val="0"/>
        <w:keepLines w:val="0"/>
        <w:spacing w:before="0" w:after="0" w:line="360" w:lineRule="auto"/>
        <w:ind w:left="420" w:leftChars="200"/>
        <w:rPr>
          <w:rFonts w:ascii="宋体" w:hAnsi="宋体" w:cs="宋体"/>
          <w:b w:val="0"/>
          <w:color w:val="auto"/>
          <w:sz w:val="21"/>
          <w:szCs w:val="21"/>
          <w:highlight w:val="none"/>
        </w:rPr>
      </w:pPr>
      <w:bookmarkStart w:id="186" w:name="_Toc254970683"/>
      <w:bookmarkStart w:id="187" w:name="_Toc254970542"/>
      <w:r>
        <w:rPr>
          <w:rFonts w:hint="eastAsia" w:ascii="宋体" w:hAnsi="宋体" w:cs="宋体"/>
          <w:b w:val="0"/>
          <w:color w:val="auto"/>
          <w:sz w:val="21"/>
          <w:szCs w:val="21"/>
          <w:highlight w:val="none"/>
        </w:rPr>
        <w:t>18.1投标人须按“投标人须知前附表” 的规定提交投标保证金。</w:t>
      </w:r>
    </w:p>
    <w:p>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18.2.1未中标人的投标保证金自中标通知书发出之日起4个工作日内退还，退还方式如下：</w:t>
      </w:r>
    </w:p>
    <w:p>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pPr>
        <w:pStyle w:val="7"/>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18.2.2中标人的投标保证金自采购合同签订之日起4个工作日内退还，退还方式同本须知正文第18.2.1，或者转为中标人的履约保证金。 </w:t>
      </w:r>
    </w:p>
    <w:p>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186"/>
      <w:bookmarkEnd w:id="187"/>
      <w:r>
        <w:rPr>
          <w:rFonts w:hint="eastAsia" w:ascii="黑体" w:hAnsi="黑体" w:eastAsia="黑体"/>
          <w:color w:val="auto"/>
          <w:sz w:val="24"/>
          <w:highlight w:val="none"/>
        </w:rPr>
        <w:t>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8" w:name="_19.2投标文件应按报价文件、资格证明文件、商务文件、技术文件分别编制"/>
      <w:bookmarkEnd w:id="188"/>
    </w:p>
    <w:p>
      <w:pPr>
        <w:pStyle w:val="27"/>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pPr>
        <w:pStyle w:val="27"/>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firstLineChars="200"/>
        <w:rPr>
          <w:rFonts w:hAnsi="宋体"/>
          <w:b/>
          <w:color w:val="auto"/>
          <w:highlight w:val="none"/>
        </w:rPr>
      </w:pPr>
      <w:bookmarkStart w:id="189" w:name="_21.1投标人必须在“投标人须知中的前附表”规定的投标文件接收时间和投"/>
      <w:bookmarkEnd w:id="189"/>
      <w:r>
        <w:rPr>
          <w:rFonts w:hint="eastAsia" w:ascii="宋体" w:hAnsi="宋体" w:cs="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认证锁）进行电子签章、加密，然后通过网络将加密的电子投标文件递交至“政采云”平台。</w:t>
      </w:r>
    </w:p>
    <w:p>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21.2未在规定时间内提交或者未按照招标文件要求密封或者标记的电子投标文件，“政采云”平台将拒收。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90" w:name="_Toc254970543"/>
      <w:bookmarkStart w:id="191" w:name="_Toc254970684"/>
    </w:p>
    <w:p>
      <w:pPr>
        <w:spacing w:line="360" w:lineRule="auto"/>
        <w:ind w:firstLine="420" w:firstLineChars="200"/>
        <w:rPr>
          <w:rFonts w:ascii="黑体" w:hAnsi="黑体" w:eastAsia="黑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政采云”平台将拒收。</w:t>
      </w:r>
    </w:p>
    <w:p>
      <w:pPr>
        <w:pStyle w:val="27"/>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22.2“政采云”平台收到投标文件，将妥善保存并即时向投标人发出确认回执通知。在投标截止时间前，除投标人补充、修改或者撤回投标文件外，任何单位和个人不得解密或提取投标文件。</w:t>
      </w:r>
    </w:p>
    <w:bookmarkEnd w:id="190"/>
    <w:bookmarkEnd w:id="191"/>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22.3在投标截止时间止提交电子版投标文件的投标人不足3家时，电子版投标文件由采购代理机构在“政采云”平台操作退回，除此之外采购人和采购代理机构对已提交的投标文件概不退回。</w:t>
      </w:r>
    </w:p>
    <w:p>
      <w:pPr>
        <w:pStyle w:val="11"/>
        <w:snapToGrid w:val="0"/>
        <w:spacing w:line="400" w:lineRule="exact"/>
        <w:ind w:firstLine="739"/>
        <w:rPr>
          <w:rFonts w:hAnsi="宋体"/>
          <w:snapToGrid w:val="0"/>
          <w:color w:val="auto"/>
          <w:sz w:val="21"/>
          <w:szCs w:val="21"/>
          <w:highlight w:val="none"/>
        </w:rPr>
      </w:pPr>
    </w:p>
    <w:p>
      <w:pPr>
        <w:pStyle w:val="5"/>
        <w:keepNext w:val="0"/>
        <w:keepLines w:val="0"/>
        <w:spacing w:line="400" w:lineRule="exact"/>
        <w:jc w:val="center"/>
        <w:rPr>
          <w:color w:val="auto"/>
          <w:highlight w:val="none"/>
        </w:rPr>
      </w:pPr>
      <w:bookmarkStart w:id="192" w:name="_Toc12790"/>
      <w:bookmarkStart w:id="193" w:name="_Toc22661"/>
      <w:bookmarkStart w:id="194" w:name="_Toc27037"/>
      <w:bookmarkStart w:id="195" w:name="_Toc14091"/>
      <w:bookmarkStart w:id="196" w:name="_Toc810"/>
      <w:bookmarkStart w:id="197" w:name="_Toc32494"/>
      <w:bookmarkStart w:id="198" w:name="_Toc2573"/>
      <w:bookmarkStart w:id="199" w:name="_Toc13250"/>
      <w:bookmarkStart w:id="200" w:name="_Toc1356"/>
      <w:bookmarkStart w:id="201" w:name="_Toc254970544"/>
      <w:bookmarkStart w:id="202" w:name="_Toc1586"/>
      <w:bookmarkStart w:id="203" w:name="_Toc254970685"/>
      <w:r>
        <w:rPr>
          <w:rFonts w:hint="eastAsia"/>
          <w:color w:val="auto"/>
          <w:highlight w:val="none"/>
        </w:rPr>
        <w:t>四、开标</w:t>
      </w:r>
      <w:bookmarkEnd w:id="192"/>
      <w:bookmarkEnd w:id="193"/>
      <w:bookmarkEnd w:id="194"/>
      <w:bookmarkEnd w:id="195"/>
      <w:bookmarkEnd w:id="196"/>
      <w:bookmarkEnd w:id="197"/>
      <w:bookmarkEnd w:id="198"/>
      <w:bookmarkEnd w:id="199"/>
      <w:bookmarkEnd w:id="200"/>
      <w:bookmarkEnd w:id="201"/>
      <w:bookmarkEnd w:id="202"/>
      <w:bookmarkEnd w:id="203"/>
    </w:p>
    <w:p>
      <w:pPr>
        <w:spacing w:line="360" w:lineRule="auto"/>
        <w:ind w:firstLine="480" w:firstLineChars="200"/>
        <w:rPr>
          <w:rFonts w:ascii="黑体" w:hAnsi="黑体" w:eastAsia="黑体"/>
          <w:color w:val="auto"/>
          <w:sz w:val="24"/>
          <w:highlight w:val="none"/>
        </w:rPr>
      </w:pPr>
      <w:bookmarkStart w:id="204" w:name="_23.开标时间和地点"/>
      <w:bookmarkEnd w:id="204"/>
      <w:r>
        <w:rPr>
          <w:rFonts w:hint="eastAsia" w:ascii="黑体" w:hAnsi="黑体" w:eastAsia="黑体"/>
          <w:color w:val="auto"/>
          <w:sz w:val="24"/>
          <w:highlight w:val="none"/>
        </w:rPr>
        <w:t>23.开标时间和地点</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投标人成功解密投标文件，但未在“政采云”电子开标大厅参加开标的，视同认可开标过程和结果，</w:t>
      </w:r>
      <w:r>
        <w:rPr>
          <w:rFonts w:hint="eastAsia" w:ascii="宋体" w:hAnsi="宋体" w:cs="宋体"/>
          <w:color w:val="auto"/>
          <w:highlight w:val="none"/>
        </w:rPr>
        <w:t>由此产生的后果由投标人自行负责。 投标人不足3家的，不得开标。</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开标的准备工作由采购代理机构负责落实，采购代理机构必须基于“政采云”平台依法抽取评审专家，如采购代理机构未按规定抽取专家的，视为本次开评标无效，应当重新采购；</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pPr>
        <w:pStyle w:val="13"/>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rPr>
        <w:t>“</w:t>
      </w:r>
      <w:r>
        <w:rPr>
          <w:rFonts w:hint="eastAsia" w:hAnsi="宋体" w:cs="仿宋_GB2312"/>
          <w:color w:val="auto"/>
          <w:szCs w:val="21"/>
          <w:highlight w:val="none"/>
        </w:rPr>
        <w:t>政采云”平台按开标时间自动提取所有投标文件。采购代理机构依托“政采云”平台</w:t>
      </w:r>
      <w:r>
        <w:rPr>
          <w:rFonts w:hint="eastAsia" w:hAnsi="宋体"/>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b/>
          <w:color w:val="auto"/>
          <w:szCs w:val="21"/>
          <w:highlight w:val="none"/>
        </w:rPr>
        <w:t>须携带加密时所用的CA锁准时登录到“政采云”平台电子开标大厅签到并对电子投标文件在线解密</w:t>
      </w:r>
      <w:r>
        <w:rPr>
          <w:rFonts w:hint="eastAsia" w:hAnsi="宋体"/>
          <w:color w:val="auto"/>
          <w:szCs w:val="21"/>
          <w:highlight w:val="none"/>
        </w:rPr>
        <w:t>。</w:t>
      </w:r>
      <w:r>
        <w:rPr>
          <w:rFonts w:hint="eastAsia" w:hAnsi="宋体"/>
          <w:b/>
          <w:bCs/>
          <w:color w:val="auto"/>
          <w:szCs w:val="21"/>
          <w:highlight w:val="none"/>
        </w:rPr>
        <w:t>投标文件未按时解密的，</w:t>
      </w:r>
      <w:r>
        <w:rPr>
          <w:rFonts w:hint="eastAsia" w:hAnsi="宋体"/>
          <w:b/>
          <w:color w:val="auto"/>
          <w:szCs w:val="21"/>
          <w:highlight w:val="none"/>
        </w:rPr>
        <w:t>均视为无效投标。</w:t>
      </w:r>
    </w:p>
    <w:p>
      <w:pPr>
        <w:pStyle w:val="13"/>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投标文件解密结束，各投标人报价均在“政采云”平台远程不见面开标大厅展示；</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（5）开标结束。</w:t>
      </w:r>
    </w:p>
    <w:p>
      <w:pPr>
        <w:pStyle w:val="13"/>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如遇“政采云”平台电子化开标或评审程序调整的，按调整后执行。</w:t>
      </w:r>
    </w:p>
    <w:p>
      <w:pPr>
        <w:pStyle w:val="13"/>
        <w:snapToGrid w:val="0"/>
        <w:spacing w:line="400" w:lineRule="exact"/>
        <w:ind w:left="689" w:leftChars="228" w:hanging="210" w:hangingChars="100"/>
        <w:rPr>
          <w:rFonts w:hAnsi="宋体"/>
          <w:color w:val="auto"/>
          <w:highlight w:val="none"/>
        </w:rPr>
      </w:pPr>
    </w:p>
    <w:p>
      <w:pPr>
        <w:pStyle w:val="5"/>
        <w:keepNext w:val="0"/>
        <w:keepLines w:val="0"/>
        <w:spacing w:line="400" w:lineRule="exact"/>
        <w:jc w:val="center"/>
        <w:rPr>
          <w:color w:val="auto"/>
          <w:highlight w:val="none"/>
        </w:rPr>
      </w:pPr>
      <w:bookmarkStart w:id="205" w:name="_Toc31994"/>
      <w:bookmarkStart w:id="206" w:name="_Toc6866"/>
      <w:bookmarkStart w:id="207" w:name="_Toc8919"/>
      <w:bookmarkStart w:id="208" w:name="_Toc23512"/>
      <w:bookmarkStart w:id="209" w:name="_Toc1489"/>
      <w:bookmarkStart w:id="210" w:name="_Toc19053"/>
      <w:bookmarkStart w:id="211" w:name="_Toc2575"/>
      <w:bookmarkStart w:id="212" w:name="_Toc25053"/>
      <w:bookmarkStart w:id="213" w:name="_Toc22509"/>
      <w:bookmarkStart w:id="214" w:name="_Toc29189"/>
      <w:r>
        <w:rPr>
          <w:rFonts w:hint="eastAsia"/>
          <w:color w:val="auto"/>
          <w:highlight w:val="none"/>
        </w:rPr>
        <w:t>五、资格审查</w:t>
      </w:r>
      <w:bookmarkEnd w:id="205"/>
      <w:bookmarkEnd w:id="206"/>
      <w:bookmarkEnd w:id="207"/>
      <w:bookmarkEnd w:id="208"/>
      <w:bookmarkEnd w:id="209"/>
      <w:bookmarkEnd w:id="210"/>
      <w:bookmarkEnd w:id="211"/>
      <w:bookmarkEnd w:id="212"/>
      <w:bookmarkEnd w:id="213"/>
      <w:bookmarkEnd w:id="214"/>
    </w:p>
    <w:p>
      <w:pPr>
        <w:pStyle w:val="6"/>
        <w:keepNext w:val="0"/>
        <w:keepLines w:val="0"/>
        <w:spacing w:before="0" w:after="0" w:line="360" w:lineRule="auto"/>
        <w:ind w:firstLine="482" w:firstLineChars="200"/>
        <w:rPr>
          <w:rFonts w:ascii="黑体" w:hAnsi="黑体" w:eastAsia="黑体"/>
          <w:color w:val="auto"/>
          <w:sz w:val="24"/>
          <w:highlight w:val="none"/>
        </w:rPr>
      </w:pPr>
      <w:r>
        <w:rPr>
          <w:rFonts w:hint="eastAsia" w:ascii="黑体" w:hAnsi="黑体" w:eastAsia="黑体"/>
          <w:color w:val="auto"/>
          <w:sz w:val="24"/>
          <w:highlight w:val="none"/>
        </w:rPr>
        <w:t>25.资格审查</w:t>
      </w:r>
    </w:p>
    <w:p>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25.1开标结束后，采购人或采购代理机构依法通过电子投标文件对投标人的资格进行线上审查。</w:t>
      </w:r>
    </w:p>
    <w:p>
      <w:pPr>
        <w:spacing w:line="360" w:lineRule="auto"/>
        <w:ind w:firstLine="420" w:firstLineChars="200"/>
        <w:rPr>
          <w:rFonts w:ascii="宋体" w:hAnsi="宋体"/>
          <w:color w:val="auto"/>
          <w:highlight w:val="none"/>
        </w:rPr>
      </w:pPr>
      <w:r>
        <w:rPr>
          <w:rFonts w:hint="eastAsia" w:ascii="宋体" w:hAnsi="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b/>
          <w:bCs/>
          <w:color w:val="auto"/>
          <w:szCs w:val="20"/>
          <w:highlight w:val="none"/>
        </w:rPr>
      </w:pPr>
      <w:bookmarkStart w:id="215" w:name="_25.3_投标人有下列情形之一的，资格审查不通过而导致其投标无效："/>
      <w:bookmarkEnd w:id="215"/>
      <w:r>
        <w:rPr>
          <w:rFonts w:hint="eastAsia" w:ascii="宋体" w:hAnsi="宋体"/>
          <w:b/>
          <w:bCs/>
          <w:color w:val="auto"/>
          <w:szCs w:val="20"/>
          <w:highlight w:val="none"/>
        </w:rPr>
        <w:t>25.3投标人有下列情形之一的，资格审查不通过，作无效投标处理：</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）不具备招标文件中规定的资格要求的；（注：其中信用查询规则见“投标人须知前附表”，“政采云”平台已与“信用中国”平台做接口，采购人或者采购代理机构可直接在线查询）</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）投标文件未提供任一项“投标人须知前附表”资格证明文件规定的“必须提供”的文件资料的；</w:t>
      </w:r>
    </w:p>
    <w:p>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firstLine="420" w:firstLineChars="200"/>
        <w:rPr>
          <w:rFonts w:ascii="宋体" w:hAnsi="宋体"/>
          <w:b w:val="0"/>
          <w:bCs w:val="0"/>
          <w:color w:val="auto"/>
          <w:sz w:val="21"/>
          <w:szCs w:val="20"/>
          <w:highlight w:val="none"/>
        </w:rPr>
      </w:pPr>
      <w:r>
        <w:rPr>
          <w:rFonts w:hint="eastAsia" w:ascii="宋体" w:hAnsi="宋体"/>
          <w:b w:val="0"/>
          <w:bCs w:val="0"/>
          <w:color w:val="auto"/>
          <w:sz w:val="21"/>
          <w:szCs w:val="20"/>
          <w:highlight w:val="none"/>
        </w:rPr>
        <w:t>25.4资格审查的合格投标人不足3家的，不得评标。</w:t>
      </w:r>
    </w:p>
    <w:p>
      <w:pPr>
        <w:pStyle w:val="5"/>
        <w:keepNext w:val="0"/>
        <w:keepLines w:val="0"/>
        <w:spacing w:line="360" w:lineRule="auto"/>
        <w:jc w:val="center"/>
        <w:rPr>
          <w:color w:val="auto"/>
          <w:highlight w:val="none"/>
        </w:rPr>
      </w:pPr>
      <w:bookmarkStart w:id="216" w:name="_Toc15749"/>
      <w:bookmarkStart w:id="217" w:name="_Toc3548"/>
      <w:bookmarkStart w:id="218" w:name="_Toc20446"/>
      <w:bookmarkStart w:id="219" w:name="_Toc11169"/>
      <w:bookmarkStart w:id="220" w:name="_Toc19035"/>
      <w:bookmarkStart w:id="221" w:name="_Toc2770"/>
      <w:bookmarkStart w:id="222" w:name="_Toc20983"/>
      <w:bookmarkStart w:id="223" w:name="_Toc1454"/>
      <w:bookmarkStart w:id="224" w:name="_Toc29412"/>
      <w:bookmarkStart w:id="225" w:name="_Toc21152"/>
      <w:r>
        <w:rPr>
          <w:rFonts w:hint="eastAsia"/>
          <w:color w:val="auto"/>
          <w:highlight w:val="none"/>
        </w:rPr>
        <w:t>六、评标</w:t>
      </w:r>
      <w:bookmarkEnd w:id="216"/>
      <w:bookmarkEnd w:id="217"/>
      <w:bookmarkEnd w:id="218"/>
      <w:bookmarkEnd w:id="219"/>
      <w:bookmarkEnd w:id="220"/>
      <w:bookmarkEnd w:id="221"/>
      <w:bookmarkEnd w:id="222"/>
      <w:bookmarkEnd w:id="223"/>
      <w:bookmarkEnd w:id="224"/>
      <w:bookmarkEnd w:id="225"/>
    </w:p>
    <w:p>
      <w:pPr>
        <w:spacing w:line="360" w:lineRule="auto"/>
        <w:ind w:firstLine="480" w:firstLineChars="200"/>
        <w:rPr>
          <w:rFonts w:ascii="黑体" w:hAnsi="黑体" w:eastAsia="黑体"/>
          <w:color w:val="auto"/>
          <w:sz w:val="24"/>
          <w:highlight w:val="none"/>
        </w:rPr>
      </w:pPr>
      <w:bookmarkStart w:id="226" w:name="_26.组建评标委员会"/>
      <w:bookmarkEnd w:id="226"/>
      <w:r>
        <w:rPr>
          <w:rFonts w:hint="eastAsia" w:ascii="黑体" w:hAnsi="黑体" w:eastAsia="黑体"/>
          <w:color w:val="auto"/>
          <w:sz w:val="24"/>
          <w:highlight w:val="none"/>
        </w:rPr>
        <w:t>26.组建评标委员会</w:t>
      </w:r>
    </w:p>
    <w:p>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“第四章评标方法和评标标准”</w:t>
      </w:r>
      <w:r>
        <w:rPr>
          <w:rFonts w:hint="eastAsia" w:hAnsi="宋体"/>
          <w:color w:val="auto"/>
          <w:highlight w:val="none"/>
        </w:rPr>
        <w:t>没有规定的方法、评审因素和标准，不作为评标依据。</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227" w:name="_28.3评标方法。本项目将按须知前附表规定的评标办法进行评标，具体评标"/>
      <w:bookmarkEnd w:id="22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28.4评标过程的监控。本项目电子评标过程实行网上留痕、全程录音、录像监控，投标人在评标过程中所进行的试图影响评标结果的不公正活动，可能导致其投标作无效处理。</w:t>
      </w:r>
    </w:p>
    <w:p>
      <w:pPr>
        <w:widowControl/>
        <w:spacing w:line="560" w:lineRule="exact"/>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29.评标方法和评标标准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3"/>
        <w:snapToGrid w:val="0"/>
        <w:spacing w:line="400" w:lineRule="exact"/>
        <w:ind w:firstLine="420" w:firstLineChars="200"/>
        <w:rPr>
          <w:rFonts w:hAnsi="宋体"/>
          <w:color w:val="auto"/>
          <w:highlight w:val="none"/>
        </w:rPr>
      </w:pPr>
    </w:p>
    <w:p>
      <w:pPr>
        <w:pStyle w:val="5"/>
        <w:keepNext w:val="0"/>
        <w:keepLines w:val="0"/>
        <w:spacing w:line="400" w:lineRule="exact"/>
        <w:jc w:val="center"/>
        <w:rPr>
          <w:color w:val="auto"/>
          <w:highlight w:val="none"/>
        </w:rPr>
      </w:pPr>
      <w:bookmarkStart w:id="228" w:name="_Toc254970546"/>
      <w:bookmarkStart w:id="229" w:name="_Toc254970687"/>
      <w:bookmarkStart w:id="230" w:name="_Toc10427"/>
      <w:bookmarkStart w:id="231" w:name="_Toc15452"/>
      <w:bookmarkStart w:id="232" w:name="_Toc24771"/>
      <w:bookmarkStart w:id="233" w:name="_Toc31226"/>
      <w:bookmarkStart w:id="234" w:name="_Toc14661"/>
      <w:bookmarkStart w:id="235" w:name="_Toc10518"/>
      <w:bookmarkStart w:id="236" w:name="_Toc32339"/>
      <w:bookmarkStart w:id="237" w:name="_Toc4688"/>
      <w:bookmarkStart w:id="238" w:name="_Toc31698"/>
      <w:bookmarkStart w:id="239" w:name="_Toc2302"/>
      <w:r>
        <w:rPr>
          <w:rFonts w:hint="eastAsia"/>
          <w:color w:val="auto"/>
          <w:highlight w:val="none"/>
        </w:rPr>
        <w:t>七、</w:t>
      </w:r>
      <w:bookmarkEnd w:id="228"/>
      <w:bookmarkEnd w:id="229"/>
      <w:r>
        <w:rPr>
          <w:rFonts w:hint="eastAsia"/>
          <w:color w:val="auto"/>
          <w:highlight w:val="none"/>
        </w:rPr>
        <w:t>中标和合同</w:t>
      </w:r>
      <w:bookmarkEnd w:id="230"/>
      <w:bookmarkEnd w:id="231"/>
      <w:bookmarkEnd w:id="232"/>
      <w:bookmarkEnd w:id="233"/>
      <w:bookmarkEnd w:id="234"/>
      <w:bookmarkEnd w:id="235"/>
      <w:bookmarkEnd w:id="236"/>
      <w:bookmarkEnd w:id="237"/>
      <w:bookmarkEnd w:id="238"/>
      <w:bookmarkEnd w:id="239"/>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pPr>
        <w:spacing w:line="360" w:lineRule="auto"/>
        <w:ind w:firstLine="420" w:firstLineChars="200"/>
        <w:rPr>
          <w:rFonts w:ascii="宋体" w:hAnsi="宋体" w:cs="Courier New"/>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color w:val="auto"/>
          <w:highlight w:val="none"/>
        </w:rPr>
        <w:t>“投标人须知前附表”</w:t>
      </w:r>
      <w:r>
        <w:rPr>
          <w:rFonts w:ascii="宋体" w:hAnsi="宋体" w:cs="宋体"/>
          <w:color w:val="auto"/>
          <w:highlight w:val="none"/>
        </w:rPr>
        <w:t>规定的方式确定中标人；招标文件未规定的，采取随机抽取的方式确定。</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30.3中标人无正当理由拒签合同的，根据《中华人民共和国政府采购法》第七十七条第一款规定处理。</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rFonts w:hint="eastAsia"/>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32.1在发布中标公告的同时，采购代理机构向中标人通过“政采云”平台发出电子中标通知书。</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240" w:name="_39.1中标人须于签订合同前按本须知前附表规定的金额转账或电汇到指定账"/>
      <w:bookmarkEnd w:id="240"/>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pPr>
        <w:spacing w:line="360" w:lineRule="auto"/>
        <w:ind w:firstLine="422" w:firstLineChars="200"/>
        <w:rPr>
          <w:rFonts w:ascii="宋体" w:hAnsi="宋体" w:cs="宋体"/>
          <w:b/>
          <w:bCs/>
          <w:i/>
          <w:iCs/>
          <w:color w:val="auto"/>
          <w:szCs w:val="21"/>
          <w:highlight w:val="none"/>
        </w:rPr>
      </w:pPr>
      <w:bookmarkStart w:id="241" w:name="_40.1投标人接到中标通知书后，按须知前附表规定向采购人出示相关资格证"/>
      <w:bookmarkEnd w:id="241"/>
      <w:r>
        <w:rPr>
          <w:rFonts w:hint="eastAsia" w:ascii="宋体" w:hAnsi="宋体" w:cs="宋体"/>
          <w:b/>
          <w:bCs/>
          <w:color w:val="auto"/>
          <w:szCs w:val="21"/>
          <w:highlight w:val="none"/>
        </w:rPr>
        <w:t>36.1中标人在中标通知书发出之日起，</w:t>
      </w:r>
      <w:r>
        <w:rPr>
          <w:rFonts w:hint="eastAsia" w:ascii="宋体" w:hAnsi="宋体" w:cs="宋体"/>
          <w:color w:val="auto"/>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pPr>
        <w:spacing w:line="360" w:lineRule="auto"/>
        <w:ind w:firstLine="420" w:firstLineChars="200"/>
        <w:rPr>
          <w:rFonts w:ascii="宋体" w:hAnsi="宋体" w:cs="宋体"/>
          <w:b/>
          <w:bCs/>
          <w:i/>
          <w:iCs/>
          <w:color w:val="auto"/>
          <w:szCs w:val="21"/>
          <w:highlight w:val="none"/>
        </w:rPr>
      </w:pPr>
      <w:r>
        <w:rPr>
          <w:rFonts w:hint="eastAsia" w:ascii="宋体" w:hAnsi="宋体"/>
          <w:color w:val="auto"/>
          <w:szCs w:val="21"/>
          <w:highlight w:val="none"/>
          <w:lang w:val="zh-CN"/>
        </w:rPr>
        <w:t>36.2采购合同由采购人与中标人根据招标文件、投标文件等内容签订。</w:t>
      </w:r>
    </w:p>
    <w:p>
      <w:pPr>
        <w:pStyle w:val="27"/>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如签订合同并生效后，中标人无故拒绝或延期，除按照合同条款处理外，将承担相应的法律责任。</w:t>
      </w:r>
    </w:p>
    <w:p>
      <w:pPr>
        <w:spacing w:line="360" w:lineRule="auto"/>
        <w:ind w:firstLine="480" w:firstLineChars="200"/>
        <w:rPr>
          <w:rFonts w:ascii="黑体" w:hAnsi="黑体" w:eastAsia="黑体"/>
          <w:color w:val="auto"/>
          <w:sz w:val="24"/>
          <w:highlight w:val="none"/>
        </w:rPr>
      </w:pPr>
      <w:bookmarkStart w:id="242" w:name="_41.政府采购合同公告"/>
      <w:bookmarkEnd w:id="242"/>
      <w:r>
        <w:rPr>
          <w:rFonts w:hint="eastAsia" w:ascii="黑体" w:hAnsi="黑体" w:eastAsia="黑体"/>
          <w:color w:val="auto"/>
          <w:sz w:val="24"/>
          <w:highlight w:val="none"/>
        </w:rPr>
        <w:t>37.政府采购合同公告</w:t>
      </w:r>
    </w:p>
    <w:p>
      <w:pPr>
        <w:spacing w:line="360" w:lineRule="auto"/>
        <w:ind w:firstLine="420" w:firstLineChars="200"/>
        <w:rPr>
          <w:rFonts w:ascii="宋体" w:hAnsi="宋体"/>
          <w:color w:val="auto"/>
          <w:highlight w:val="none"/>
        </w:rPr>
      </w:pPr>
      <w:r>
        <w:rPr>
          <w:rFonts w:hint="eastAsia" w:hAnsi="宋体"/>
          <w:color w:val="auto"/>
          <w:highlight w:val="none"/>
        </w:rPr>
        <w:t>采购人应当自政府采购合同签订之日起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在省级以上人民政府财政部门指定的媒体</w:t>
      </w:r>
      <w:r>
        <w:rPr>
          <w:rFonts w:hint="eastAsia" w:hAnsi="宋体"/>
          <w:color w:val="auto"/>
          <w:highlight w:val="none"/>
        </w:rPr>
        <w:t>上公告，但政府采购合同中涉及国家秘密、商业秘密的内容除外。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 询问、质疑和投诉</w:t>
      </w:r>
    </w:p>
    <w:p>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38.2质疑</w:t>
      </w:r>
    </w:p>
    <w:p>
      <w:pPr>
        <w:spacing w:line="360" w:lineRule="auto"/>
        <w:ind w:firstLine="422" w:firstLineChars="200"/>
        <w:rPr>
          <w:rFonts w:ascii="宋体" w:hAnsi="宋体"/>
          <w:b/>
          <w:color w:val="auto"/>
          <w:szCs w:val="21"/>
          <w:highlight w:val="none"/>
        </w:rPr>
      </w:pPr>
      <w:r>
        <w:rPr>
          <w:rFonts w:hint="eastAsia" w:ascii="宋体" w:hAnsi="宋体"/>
          <w:b/>
          <w:bCs/>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pPr>
        <w:spacing w:line="360" w:lineRule="auto"/>
        <w:ind w:firstLine="422" w:firstLineChars="200"/>
        <w:rPr>
          <w:rFonts w:ascii="宋体" w:hAnsi="宋体"/>
          <w:b/>
          <w:bCs/>
          <w:color w:val="auto"/>
          <w:szCs w:val="21"/>
          <w:highlight w:val="none"/>
        </w:rPr>
      </w:pPr>
      <w:bookmarkStart w:id="243" w:name="_9.2质疑、投诉应当采用书面形式，质疑函、投诉书均应明确阐述招标文件、"/>
      <w:bookmarkEnd w:id="243"/>
      <w:r>
        <w:rPr>
          <w:rFonts w:hint="eastAsia" w:ascii="宋体" w:hAnsi="宋体"/>
          <w:b/>
          <w:bCs/>
          <w:color w:val="auto"/>
          <w:szCs w:val="21"/>
          <w:highlight w:val="none"/>
        </w:rPr>
        <w:t xml:space="preserve"> 38.2.5 </w:t>
      </w:r>
      <w:r>
        <w:rPr>
          <w:rFonts w:hint="eastAsia" w:hAnsi="宋体"/>
          <w:b/>
          <w:bCs/>
          <w:color w:val="auto"/>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Ansi="宋体"/>
          <w:bCs/>
          <w:color w:val="auto"/>
          <w:highlight w:val="none"/>
        </w:rPr>
      </w:pPr>
      <w:r>
        <w:rPr>
          <w:rFonts w:hint="eastAsia" w:hAnsi="宋体"/>
          <w:bCs/>
          <w:color w:val="auto"/>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auto"/>
          <w:highlight w:val="none"/>
        </w:rPr>
      </w:pPr>
      <w:r>
        <w:rPr>
          <w:rFonts w:hint="eastAsia" w:hAnsi="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pPr>
        <w:snapToGrid w:val="0"/>
        <w:spacing w:line="360" w:lineRule="auto"/>
        <w:ind w:left="120" w:leftChars="57" w:firstLine="482" w:firstLineChars="150"/>
        <w:jc w:val="center"/>
        <w:outlineLvl w:val="2"/>
        <w:rPr>
          <w:b/>
          <w:bCs/>
          <w:color w:val="auto"/>
          <w:sz w:val="32"/>
          <w:szCs w:val="32"/>
          <w:highlight w:val="none"/>
        </w:rPr>
      </w:pPr>
      <w:bookmarkStart w:id="244" w:name="_Toc25946"/>
      <w:bookmarkStart w:id="245" w:name="_Toc23239"/>
      <w:bookmarkStart w:id="246" w:name="_Toc1756"/>
      <w:bookmarkStart w:id="247" w:name="_Toc7828"/>
      <w:bookmarkStart w:id="248" w:name="_Toc29288"/>
      <w:bookmarkStart w:id="249" w:name="_Toc26583"/>
      <w:bookmarkStart w:id="250" w:name="_Toc8731"/>
      <w:bookmarkStart w:id="251" w:name="_Toc14937"/>
      <w:bookmarkStart w:id="252" w:name="_Toc27653"/>
      <w:bookmarkStart w:id="253" w:name="_Toc13659"/>
      <w:r>
        <w:rPr>
          <w:rFonts w:hint="eastAsia"/>
          <w:b/>
          <w:bCs/>
          <w:color w:val="auto"/>
          <w:sz w:val="32"/>
          <w:szCs w:val="32"/>
          <w:highlight w:val="none"/>
        </w:rPr>
        <w:t>八、验收</w:t>
      </w:r>
      <w:bookmarkEnd w:id="244"/>
      <w:bookmarkEnd w:id="245"/>
      <w:bookmarkEnd w:id="246"/>
      <w:bookmarkEnd w:id="247"/>
      <w:bookmarkEnd w:id="248"/>
      <w:bookmarkEnd w:id="249"/>
      <w:bookmarkEnd w:id="250"/>
      <w:bookmarkEnd w:id="251"/>
      <w:bookmarkEnd w:id="252"/>
      <w:bookmarkEnd w:id="253"/>
    </w:p>
    <w:p>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13"/>
        <w:snapToGrid w:val="0"/>
        <w:spacing w:line="400" w:lineRule="exact"/>
        <w:rPr>
          <w:rFonts w:hAnsi="宋体"/>
          <w:color w:val="auto"/>
          <w:highlight w:val="none"/>
        </w:rPr>
      </w:pPr>
    </w:p>
    <w:p>
      <w:pPr>
        <w:pStyle w:val="5"/>
        <w:keepNext w:val="0"/>
        <w:keepLines w:val="0"/>
        <w:spacing w:line="360" w:lineRule="auto"/>
        <w:jc w:val="center"/>
        <w:rPr>
          <w:color w:val="auto"/>
          <w:highlight w:val="none"/>
        </w:rPr>
      </w:pPr>
      <w:bookmarkStart w:id="254" w:name="_八、其他事项"/>
      <w:bookmarkEnd w:id="254"/>
      <w:bookmarkStart w:id="255" w:name="_Toc14814"/>
      <w:bookmarkStart w:id="256" w:name="_Toc24348"/>
      <w:bookmarkStart w:id="257" w:name="_Toc13612"/>
      <w:bookmarkStart w:id="258" w:name="_Toc16509"/>
      <w:bookmarkStart w:id="259" w:name="_Toc28972"/>
      <w:bookmarkStart w:id="260" w:name="_Toc5795"/>
      <w:bookmarkStart w:id="261" w:name="_Toc31560"/>
      <w:bookmarkStart w:id="262" w:name="_Toc27249"/>
      <w:bookmarkStart w:id="263" w:name="_Toc13217"/>
      <w:bookmarkStart w:id="264" w:name="_Toc32163"/>
      <w:r>
        <w:rPr>
          <w:rFonts w:hint="eastAsia"/>
          <w:color w:val="auto"/>
          <w:highlight w:val="none"/>
        </w:rPr>
        <w:t>九、其他事项</w:t>
      </w:r>
      <w:bookmarkEnd w:id="255"/>
      <w:bookmarkEnd w:id="256"/>
      <w:bookmarkEnd w:id="257"/>
      <w:bookmarkEnd w:id="258"/>
      <w:bookmarkEnd w:id="259"/>
      <w:bookmarkEnd w:id="260"/>
      <w:bookmarkEnd w:id="261"/>
      <w:bookmarkEnd w:id="262"/>
      <w:bookmarkEnd w:id="263"/>
      <w:bookmarkEnd w:id="264"/>
    </w:p>
    <w:p>
      <w:pPr>
        <w:spacing w:line="360" w:lineRule="auto"/>
        <w:ind w:firstLine="480" w:firstLineChars="200"/>
        <w:rPr>
          <w:rFonts w:ascii="黑体" w:hAnsi="黑体" w:eastAsia="黑体"/>
          <w:color w:val="auto"/>
          <w:sz w:val="24"/>
          <w:highlight w:val="none"/>
        </w:rPr>
      </w:pPr>
      <w:bookmarkStart w:id="265" w:name="_42.代理服务费"/>
      <w:bookmarkEnd w:id="265"/>
      <w:r>
        <w:rPr>
          <w:rFonts w:hint="eastAsia" w:ascii="黑体" w:hAnsi="黑体" w:eastAsia="黑体"/>
          <w:color w:val="auto"/>
          <w:sz w:val="24"/>
          <w:highlight w:val="none"/>
        </w:rPr>
        <w:t>40.采购代理服务费</w:t>
      </w:r>
    </w:p>
    <w:p>
      <w:pPr>
        <w:spacing w:line="360" w:lineRule="auto"/>
        <w:ind w:firstLine="420" w:firstLineChars="200"/>
        <w:rPr>
          <w:rFonts w:ascii="宋体" w:hAnsi="宋体"/>
          <w:b/>
          <w:color w:val="auto"/>
          <w:szCs w:val="21"/>
          <w:highlight w:val="none"/>
        </w:rPr>
      </w:pPr>
      <w:r>
        <w:rPr>
          <w:rFonts w:hint="eastAsia" w:ascii="宋体" w:hAnsi="宋体"/>
          <w:bCs/>
          <w:color w:val="auto"/>
          <w:szCs w:val="21"/>
          <w:highlight w:val="none"/>
        </w:rPr>
        <w:t>40.1采购代理服务费收费标准及缴费账户详见“投标人须知前附表”，投标人为联合体的，可以由联合体中的一方或者多方共同缴纳采购代理服务费。</w:t>
      </w:r>
    </w:p>
    <w:p>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19"/>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×0.8％＝0.8万元</w:t>
      </w:r>
    </w:p>
    <w:p>
      <w:pPr>
        <w:pStyle w:val="13"/>
        <w:snapToGrid w:val="0"/>
        <w:spacing w:before="120" w:after="120" w:line="360" w:lineRule="auto"/>
        <w:ind w:firstLine="420" w:firstLineChars="200"/>
        <w:rPr>
          <w:rFonts w:hAnsi="宋体" w:cs="宋体"/>
          <w:color w:val="auto"/>
          <w:highlight w:val="none"/>
        </w:rPr>
      </w:pPr>
      <w:r>
        <w:rPr>
          <w:rFonts w:hint="eastAsia" w:hAnsi="宋体" w:cs="宋体"/>
          <w:color w:val="auto"/>
          <w:highlight w:val="none"/>
        </w:rPr>
        <w:t>合计收费＝ 1.5+0.8＝ 2.3（万元）</w:t>
      </w:r>
    </w:p>
    <w:p>
      <w:pPr>
        <w:pStyle w:val="2"/>
        <w:rPr>
          <w:color w:val="auto"/>
          <w:highlight w:val="none"/>
        </w:rPr>
      </w:pP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 需要补充的其他内容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pPr>
        <w:spacing w:line="580" w:lineRule="exact"/>
        <w:jc w:val="center"/>
        <w:rPr>
          <w:rFonts w:ascii="宋体" w:hAnsi="宋体" w:cs="宋体"/>
          <w:color w:val="auto"/>
          <w:sz w:val="44"/>
          <w:szCs w:val="44"/>
          <w:highlight w:val="none"/>
        </w:rPr>
      </w:pPr>
    </w:p>
    <w:p>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pPr>
        <w:spacing w:line="580" w:lineRule="exact"/>
        <w:ind w:firstLine="420" w:firstLineChars="200"/>
        <w:rPr>
          <w:rFonts w:ascii="宋体" w:hAnsi="宋体" w:cs="宋体"/>
          <w:color w:val="auto"/>
          <w:szCs w:val="32"/>
          <w:highlight w:val="none"/>
        </w:rPr>
      </w:pPr>
    </w:p>
    <w:p>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3"/>
          <w:rFonts w:hint="default" w:ascii="宋体" w:hAnsi="宋体" w:eastAsia="宋体" w:cs="宋体"/>
          <w:color w:val="auto"/>
          <w:szCs w:val="21"/>
          <w:highlight w:val="none"/>
        </w:rPr>
        <w:t>https://www.crcrfsp.com/</w:t>
      </w:r>
      <w:r>
        <w:rPr>
          <w:rStyle w:val="23"/>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pPr>
        <w:numPr>
          <w:ilvl w:val="0"/>
          <w:numId w:val="4"/>
        </w:numPr>
        <w:spacing w:line="360" w:lineRule="auto"/>
        <w:ind w:firstLine="420" w:firstLineChars="200"/>
        <w:jc w:val="left"/>
        <w:rPr>
          <w:rFonts w:hAnsi="宋体"/>
          <w:color w:val="auto"/>
          <w:highlight w:val="none"/>
        </w:rPr>
      </w:pPr>
      <w:r>
        <w:rPr>
          <w:rFonts w:hAnsi="宋体"/>
          <w:color w:val="auto"/>
          <w:highlight w:val="none"/>
        </w:rPr>
        <w:br w:type="page"/>
      </w:r>
      <w:bookmarkStart w:id="266" w:name="_Toc532545043"/>
    </w:p>
    <w:p>
      <w:pPr>
        <w:pStyle w:val="13"/>
        <w:jc w:val="center"/>
        <w:outlineLvl w:val="0"/>
        <w:rPr>
          <w:rFonts w:ascii="Times New Roman" w:hAnsi="Times New Roman"/>
          <w:b/>
          <w:color w:val="auto"/>
          <w:sz w:val="36"/>
          <w:highlight w:val="none"/>
        </w:rPr>
      </w:pPr>
      <w:bookmarkStart w:id="267" w:name="_Toc31952"/>
      <w:bookmarkStart w:id="268" w:name="_Toc18631"/>
      <w:bookmarkStart w:id="269" w:name="_Toc12751"/>
      <w:bookmarkStart w:id="270" w:name="_Toc26567"/>
      <w:bookmarkStart w:id="271" w:name="_Toc14666"/>
      <w:bookmarkStart w:id="272" w:name="_Toc2789"/>
      <w:bookmarkStart w:id="273" w:name="_Toc24569"/>
      <w:bookmarkStart w:id="274" w:name="_Toc11694"/>
      <w:bookmarkStart w:id="275" w:name="_Toc28468"/>
      <w:bookmarkStart w:id="276" w:name="_Toc19117"/>
      <w:bookmarkStart w:id="277" w:name="_Toc10034"/>
      <w:bookmarkStart w:id="278" w:name="_Toc10118"/>
      <w:bookmarkStart w:id="279" w:name="_Toc3584"/>
      <w:r>
        <w:rPr>
          <w:rFonts w:hint="eastAsia" w:ascii="Times New Roman" w:hAnsi="Times New Roman"/>
          <w:b/>
          <w:color w:val="auto"/>
          <w:sz w:val="36"/>
          <w:highlight w:val="none"/>
        </w:rPr>
        <w:t>第四章</w:t>
      </w:r>
      <w:bookmarkEnd w:id="266"/>
      <w:bookmarkEnd w:id="267"/>
      <w:bookmarkEnd w:id="268"/>
      <w:bookmarkEnd w:id="269"/>
      <w:bookmarkEnd w:id="270"/>
      <w:bookmarkEnd w:id="271"/>
      <w:bookmarkEnd w:id="272"/>
      <w:bookmarkEnd w:id="273"/>
      <w:bookmarkEnd w:id="274"/>
      <w:r>
        <w:rPr>
          <w:rFonts w:hint="eastAsia" w:ascii="Times New Roman" w:hAnsi="Times New Roman"/>
          <w:b/>
          <w:color w:val="auto"/>
          <w:sz w:val="36"/>
          <w:highlight w:val="none"/>
        </w:rPr>
        <w:t>评标方法和评标标准</w:t>
      </w:r>
      <w:bookmarkEnd w:id="275"/>
      <w:bookmarkEnd w:id="276"/>
      <w:bookmarkEnd w:id="277"/>
      <w:bookmarkEnd w:id="278"/>
      <w:bookmarkEnd w:id="279"/>
    </w:p>
    <w:p>
      <w:pPr>
        <w:pStyle w:val="13"/>
        <w:jc w:val="center"/>
        <w:outlineLvl w:val="1"/>
        <w:rPr>
          <w:rFonts w:ascii="Times New Roman" w:hAnsi="Times New Roman"/>
          <w:b/>
          <w:bCs/>
          <w:color w:val="auto"/>
          <w:sz w:val="32"/>
          <w:szCs w:val="32"/>
          <w:highlight w:val="none"/>
        </w:rPr>
      </w:pPr>
      <w:bookmarkStart w:id="280" w:name="_Toc12345"/>
      <w:bookmarkStart w:id="281" w:name="_Toc14342"/>
      <w:bookmarkStart w:id="282" w:name="_Toc3574"/>
      <w:bookmarkStart w:id="283" w:name="_Toc6104"/>
      <w:bookmarkStart w:id="284" w:name="_Toc28074"/>
      <w:bookmarkStart w:id="285" w:name="_Toc5889"/>
      <w:bookmarkStart w:id="286" w:name="_Toc20519"/>
      <w:bookmarkStart w:id="287" w:name="_Toc9604"/>
      <w:bookmarkStart w:id="288" w:name="_Toc29945"/>
      <w:bookmarkStart w:id="289" w:name="_Toc28945"/>
      <w:r>
        <w:rPr>
          <w:rFonts w:hint="eastAsia" w:ascii="Times New Roman" w:hAnsi="Times New Roman"/>
          <w:b/>
          <w:bCs/>
          <w:color w:val="auto"/>
          <w:sz w:val="32"/>
          <w:szCs w:val="32"/>
          <w:highlight w:val="none"/>
        </w:rPr>
        <w:t>第一节评标方法</w:t>
      </w:r>
      <w:bookmarkEnd w:id="280"/>
      <w:bookmarkEnd w:id="281"/>
      <w:bookmarkEnd w:id="282"/>
      <w:bookmarkEnd w:id="283"/>
      <w:bookmarkEnd w:id="284"/>
      <w:bookmarkEnd w:id="285"/>
      <w:bookmarkEnd w:id="286"/>
      <w:bookmarkEnd w:id="287"/>
      <w:bookmarkEnd w:id="288"/>
      <w:bookmarkEnd w:id="289"/>
    </w:p>
    <w:p>
      <w:pPr>
        <w:pStyle w:val="13"/>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以下勾选的方式</w:t>
      </w:r>
      <w:r>
        <w:rPr>
          <w:rFonts w:hint="eastAsia" w:hAnsi="宋体" w:cs="宋体"/>
          <w:color w:val="auto"/>
          <w:szCs w:val="21"/>
          <w:highlight w:val="none"/>
        </w:rPr>
        <w:t>进行评审。</w:t>
      </w:r>
    </w:p>
    <w:p>
      <w:pPr>
        <w:pStyle w:val="13"/>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pPr>
        <w:autoSpaceDE w:val="0"/>
        <w:autoSpaceDN w:val="0"/>
        <w:adjustRightInd w:val="0"/>
        <w:spacing w:line="440" w:lineRule="exact"/>
        <w:ind w:firstLine="420" w:firstLineChars="200"/>
        <w:rPr>
          <w:rFonts w:ascii="宋体" w:hAnsi="宋体"/>
          <w:color w:val="auto"/>
          <w:sz w:val="24"/>
          <w:highlight w:val="none"/>
        </w:rPr>
      </w:pP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pPr>
        <w:pStyle w:val="13"/>
        <w:spacing w:line="360" w:lineRule="auto"/>
        <w:ind w:firstLine="420"/>
        <w:rPr>
          <w:rFonts w:hAnsi="宋体"/>
          <w:color w:val="auto"/>
          <w:highlight w:val="none"/>
        </w:rPr>
      </w:pPr>
    </w:p>
    <w:p>
      <w:pPr>
        <w:pStyle w:val="13"/>
        <w:tabs>
          <w:tab w:val="left" w:pos="2472"/>
        </w:tabs>
        <w:spacing w:line="460" w:lineRule="exact"/>
        <w:jc w:val="center"/>
        <w:outlineLvl w:val="1"/>
        <w:rPr>
          <w:rFonts w:ascii="Times New Roman" w:hAnsi="Times New Roman"/>
          <w:b/>
          <w:bCs/>
          <w:color w:val="auto"/>
          <w:sz w:val="32"/>
          <w:szCs w:val="32"/>
          <w:highlight w:val="none"/>
        </w:rPr>
      </w:pPr>
      <w:bookmarkStart w:id="290" w:name="_Toc10545"/>
      <w:bookmarkStart w:id="291" w:name="_Toc24507"/>
      <w:bookmarkStart w:id="292" w:name="_Toc18477"/>
      <w:bookmarkStart w:id="293" w:name="_Toc1643"/>
      <w:bookmarkStart w:id="294" w:name="_Toc9259"/>
      <w:bookmarkStart w:id="295" w:name="_Toc30114"/>
      <w:bookmarkStart w:id="296" w:name="_Toc9023"/>
      <w:bookmarkStart w:id="297" w:name="_Toc4190"/>
      <w:bookmarkStart w:id="298" w:name="_Toc23151"/>
      <w:bookmarkStart w:id="299" w:name="_Toc588"/>
      <w:r>
        <w:rPr>
          <w:rFonts w:hint="eastAsia" w:ascii="Times New Roman" w:hAnsi="Times New Roman"/>
          <w:b/>
          <w:bCs/>
          <w:color w:val="auto"/>
          <w:sz w:val="32"/>
          <w:szCs w:val="32"/>
          <w:highlight w:val="none"/>
        </w:rPr>
        <w:t>第二节评标程序</w:t>
      </w:r>
      <w:bookmarkEnd w:id="290"/>
      <w:bookmarkEnd w:id="291"/>
      <w:bookmarkEnd w:id="292"/>
      <w:bookmarkEnd w:id="293"/>
      <w:bookmarkEnd w:id="294"/>
      <w:bookmarkEnd w:id="295"/>
      <w:bookmarkEnd w:id="296"/>
      <w:bookmarkEnd w:id="297"/>
      <w:bookmarkEnd w:id="298"/>
      <w:bookmarkEnd w:id="299"/>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pPr>
        <w:spacing w:line="360" w:lineRule="auto"/>
        <w:ind w:firstLine="420" w:firstLineChars="200"/>
        <w:rPr>
          <w:rFonts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w:t>
      </w:r>
      <w:r>
        <w:rPr>
          <w:rFonts w:hint="eastAsia" w:ascii="宋体" w:hAnsi="宋体" w:cs="宋体"/>
          <w:color w:val="auto"/>
          <w:szCs w:val="21"/>
          <w:highlight w:val="none"/>
        </w:rPr>
        <w:t>项目/分标</w:t>
      </w:r>
      <w:r>
        <w:rPr>
          <w:rFonts w:hint="eastAsia" w:ascii="宋体" w:hAnsi="宋体"/>
          <w:color w:val="auto"/>
          <w:szCs w:val="21"/>
          <w:highlight w:val="none"/>
        </w:rPr>
        <w:t>进行报价或者存在漏项报价；投标人未就所投</w:t>
      </w:r>
      <w:r>
        <w:rPr>
          <w:rFonts w:hint="eastAsia" w:ascii="宋体" w:hAnsi="宋体" w:cs="宋体"/>
          <w:color w:val="auto"/>
          <w:szCs w:val="21"/>
          <w:highlight w:val="none"/>
        </w:rPr>
        <w:t>项目/分标</w:t>
      </w:r>
      <w:r>
        <w:rPr>
          <w:rFonts w:hint="eastAsia" w:ascii="宋体" w:hAnsi="宋体"/>
          <w:color w:val="auto"/>
          <w:szCs w:val="21"/>
          <w:highlight w:val="none"/>
        </w:rPr>
        <w:t>的单项内容作唯一报价；投标人未就所投</w:t>
      </w:r>
      <w:r>
        <w:rPr>
          <w:rFonts w:hint="eastAsia" w:ascii="宋体" w:hAnsi="宋体" w:cs="宋体"/>
          <w:color w:val="auto"/>
          <w:szCs w:val="21"/>
          <w:highlight w:val="none"/>
        </w:rPr>
        <w:t>项目/分标</w:t>
      </w:r>
      <w:r>
        <w:rPr>
          <w:rFonts w:hint="eastAsia" w:ascii="宋体" w:hAnsi="宋体"/>
          <w:color w:val="auto"/>
          <w:szCs w:val="21"/>
          <w:highlight w:val="none"/>
        </w:rPr>
        <w:t>的全部内容作唯一总价报价；存在有选择、有条件报价的（招标文件允许有备选方案或者其他约定的除外）；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（2）委托代理人未能出具有效身份证明或者出具的身份证明与授权委托书中的信息不符的；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（3）为无效投标保证金的或者未按照招标文件的规定提交投标保证金的；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（4）投标文件未提供“投标人须知前附表”第13.1条规定中“必须提供”或者“委托时必须提供”的文件资料的;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（5）投标有效期、项目完成时间（交货时间、服务完成时间或者服务期等）、质保期及招标文件中标“▲”的商务条款发生负偏离的；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（6）商务条款评审允许负偏离的条款数超过“投标人须知前附表”规定项数的。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（7）投标文件的实质性内容未使用中文表述、使用计量单位不符合招标文件要求的；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（8）投标文件中的文件资料因填写不齐全或者内容虚假或者出现其他情形而导致被评标委员会认定无效的；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（9）投标文件含有采购人不能接受的附加条件的；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（10）未响应招标文件实质性要求的；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（11）属于投标人须知正文第9.2条情形的；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（12）法律、法规和招标文件规定的其他无效情形。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5.2评标委员会各成员独立对每个投标人的投标文件进行评价，并汇总每个投标人的得分。</w:t>
      </w:r>
    </w:p>
    <w:p>
      <w:pPr>
        <w:widowControl/>
        <w:numPr>
          <w:ilvl w:val="0"/>
          <w:numId w:val="5"/>
        </w:numPr>
        <w:spacing w:after="150" w:line="48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widowControl/>
        <w:numPr>
          <w:ilvl w:val="0"/>
          <w:numId w:val="5"/>
        </w:numPr>
        <w:spacing w:after="150" w:line="48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5.4各投标人的得分为评标委员会各成员的有效评分的算术平均数。</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Ansi="宋体"/>
          <w:color w:val="auto"/>
          <w:highlight w:val="none"/>
        </w:rPr>
      </w:pPr>
      <w:r>
        <w:rPr>
          <w:rFonts w:hint="eastAsia" w:ascii="宋体" w:hAnsi="宋体" w:cs="宋体"/>
          <w:color w:val="auto"/>
          <w:highlight w:val="none"/>
        </w:rPr>
        <w:t>6.2</w:t>
      </w:r>
      <w:r>
        <w:rPr>
          <w:rFonts w:hint="eastAsia" w:hAnsi="宋体"/>
          <w:color w:val="auto"/>
          <w:highlight w:val="none"/>
        </w:rPr>
        <w:t>评标结果汇总完成后，除下列情形外，任何人不得修改评标结果：</w:t>
      </w:r>
    </w:p>
    <w:p>
      <w:pPr>
        <w:widowControl/>
        <w:spacing w:line="560" w:lineRule="exact"/>
        <w:jc w:val="left"/>
        <w:textAlignment w:val="baseline"/>
        <w:rPr>
          <w:rFonts w:hAnsi="宋体"/>
          <w:color w:val="auto"/>
          <w:highlight w:val="none"/>
        </w:rPr>
      </w:pPr>
      <w:r>
        <w:rPr>
          <w:rFonts w:hint="eastAsia" w:hAnsi="宋体"/>
          <w:color w:val="auto"/>
          <w:highlight w:val="none"/>
        </w:rPr>
        <w:t>　　（一）分值汇总计算错误的；</w:t>
      </w:r>
    </w:p>
    <w:p>
      <w:pPr>
        <w:widowControl/>
        <w:spacing w:line="560" w:lineRule="exact"/>
        <w:jc w:val="left"/>
        <w:textAlignment w:val="baseline"/>
        <w:rPr>
          <w:rFonts w:hAnsi="宋体"/>
          <w:color w:val="auto"/>
          <w:highlight w:val="none"/>
        </w:rPr>
      </w:pPr>
      <w:r>
        <w:rPr>
          <w:rFonts w:hint="eastAsia" w:hAnsi="宋体"/>
          <w:color w:val="auto"/>
          <w:highlight w:val="none"/>
        </w:rPr>
        <w:t>　　（二）分项评分超出评分标准范围的；</w:t>
      </w:r>
    </w:p>
    <w:p>
      <w:pPr>
        <w:widowControl/>
        <w:spacing w:line="560" w:lineRule="exact"/>
        <w:jc w:val="left"/>
        <w:textAlignment w:val="baseline"/>
        <w:rPr>
          <w:rFonts w:hAnsi="宋体"/>
          <w:color w:val="auto"/>
          <w:highlight w:val="none"/>
        </w:rPr>
      </w:pPr>
      <w:r>
        <w:rPr>
          <w:rFonts w:hint="eastAsia" w:hAnsi="宋体"/>
          <w:color w:val="auto"/>
          <w:highlight w:val="none"/>
        </w:rPr>
        <w:t>　　（三）评标委员会成员对客观评审因素评分不一致的；</w:t>
      </w:r>
    </w:p>
    <w:p>
      <w:pPr>
        <w:widowControl/>
        <w:spacing w:line="560" w:lineRule="exact"/>
        <w:jc w:val="left"/>
        <w:textAlignment w:val="baseline"/>
        <w:rPr>
          <w:rFonts w:hAnsi="宋体"/>
          <w:color w:val="auto"/>
          <w:highlight w:val="none"/>
        </w:rPr>
      </w:pPr>
      <w:r>
        <w:rPr>
          <w:rFonts w:hint="eastAsia" w:hAnsi="宋体"/>
          <w:color w:val="auto"/>
          <w:highlight w:val="none"/>
        </w:rPr>
        <w:t>　　（四）经评标委员会认定评分畸高、畸低的。</w:t>
      </w:r>
    </w:p>
    <w:p>
      <w:pPr>
        <w:spacing w:line="360" w:lineRule="auto"/>
        <w:ind w:firstLine="420" w:firstLineChars="200"/>
        <w:rPr>
          <w:rFonts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jc w:val="center"/>
        <w:rPr>
          <w:b w:val="0"/>
          <w:color w:val="auto"/>
          <w:sz w:val="30"/>
          <w:szCs w:val="30"/>
          <w:highlight w:val="none"/>
        </w:rPr>
      </w:pPr>
      <w:bookmarkStart w:id="300" w:name="_Toc17834"/>
      <w:bookmarkStart w:id="301" w:name="_Toc28829"/>
      <w:bookmarkStart w:id="302" w:name="_Toc25728"/>
      <w:bookmarkStart w:id="303" w:name="_Toc5755"/>
      <w:bookmarkStart w:id="304" w:name="_Toc27331"/>
      <w:bookmarkStart w:id="305" w:name="_Toc19942"/>
      <w:bookmarkStart w:id="306" w:name="_Toc22963"/>
      <w:bookmarkStart w:id="307" w:name="_Toc28193"/>
      <w:bookmarkStart w:id="308" w:name="_Toc13548"/>
      <w:bookmarkStart w:id="309" w:name="_Toc4866"/>
      <w:r>
        <w:rPr>
          <w:rFonts w:hint="eastAsia"/>
          <w:b w:val="0"/>
          <w:color w:val="auto"/>
          <w:sz w:val="30"/>
          <w:szCs w:val="30"/>
          <w:highlight w:val="none"/>
        </w:rPr>
        <w:t>第三节评分标准</w:t>
      </w:r>
      <w:bookmarkEnd w:id="300"/>
      <w:bookmarkEnd w:id="301"/>
      <w:bookmarkEnd w:id="302"/>
      <w:bookmarkEnd w:id="303"/>
      <w:bookmarkEnd w:id="304"/>
      <w:bookmarkEnd w:id="305"/>
      <w:bookmarkEnd w:id="306"/>
      <w:bookmarkEnd w:id="307"/>
      <w:bookmarkEnd w:id="308"/>
      <w:bookmarkEnd w:id="309"/>
    </w:p>
    <w:p>
      <w:pPr>
        <w:pStyle w:val="13"/>
        <w:ind w:firstLine="602" w:firstLineChars="200"/>
        <w:jc w:val="center"/>
        <w:rPr>
          <w:rFonts w:ascii="Times New Roman" w:hAnsi="Times New Roman"/>
          <w:b/>
          <w:color w:val="auto"/>
          <w:sz w:val="30"/>
          <w:szCs w:val="30"/>
          <w:highlight w:val="none"/>
        </w:rPr>
      </w:pPr>
      <w:r>
        <w:rPr>
          <w:rFonts w:hint="eastAsia" w:hAnsi="宋体" w:cs="宋体"/>
          <w:b/>
          <w:color w:val="auto"/>
          <w:sz w:val="30"/>
          <w:szCs w:val="30"/>
          <w:highlight w:val="none"/>
        </w:rPr>
        <w:t>二、</w:t>
      </w:r>
      <w:r>
        <w:rPr>
          <w:rFonts w:hint="eastAsia" w:ascii="Times New Roman" w:hAnsi="Times New Roman"/>
          <w:b/>
          <w:color w:val="auto"/>
          <w:sz w:val="30"/>
          <w:szCs w:val="30"/>
          <w:highlight w:val="none"/>
        </w:rPr>
        <w:t>综合评分法</w:t>
      </w:r>
    </w:p>
    <w:p>
      <w:pPr>
        <w:spacing w:line="360" w:lineRule="auto"/>
        <w:ind w:firstLine="420"/>
        <w:rPr>
          <w:rFonts w:ascii="宋体" w:hAnsi="宋体"/>
          <w:bCs/>
          <w:color w:val="auto"/>
          <w:szCs w:val="20"/>
          <w:highlight w:val="none"/>
        </w:rPr>
      </w:pPr>
    </w:p>
    <w:p>
      <w:pPr>
        <w:spacing w:line="360" w:lineRule="auto"/>
        <w:ind w:firstLine="420"/>
        <w:rPr>
          <w:rFonts w:ascii="宋体" w:hAnsi="宋体"/>
          <w:bCs/>
          <w:color w:val="auto"/>
          <w:szCs w:val="20"/>
          <w:highlight w:val="none"/>
        </w:rPr>
      </w:pPr>
      <w:r>
        <w:rPr>
          <w:rFonts w:hint="eastAsia" w:ascii="宋体" w:hAnsi="宋体"/>
          <w:bCs/>
          <w:color w:val="auto"/>
          <w:szCs w:val="20"/>
          <w:highlight w:val="none"/>
        </w:rPr>
        <w:t>注：计分方法按四舍五入取至百分位。</w:t>
      </w:r>
    </w:p>
    <w:tbl>
      <w:tblPr>
        <w:tblStyle w:val="19"/>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20"/>
        <w:gridCol w:w="720"/>
        <w:gridCol w:w="887"/>
        <w:gridCol w:w="718"/>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2002" w:type="dxa"/>
            <w:gridSpan w:val="3"/>
            <w:vAlign w:val="center"/>
          </w:tcPr>
          <w:p>
            <w:pPr>
              <w:adjustRightInd w:val="0"/>
              <w:spacing w:line="41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605" w:type="dxa"/>
            <w:gridSpan w:val="2"/>
            <w:vAlign w:val="center"/>
          </w:tcPr>
          <w:p>
            <w:pPr>
              <w:adjustRightInd w:val="0"/>
              <w:spacing w:line="41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901" w:type="dxa"/>
            <w:vAlign w:val="center"/>
          </w:tcPr>
          <w:p>
            <w:pPr>
              <w:adjustRightInd w:val="0"/>
              <w:spacing w:line="41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8" w:hRule="atLeast"/>
          <w:jc w:val="center"/>
        </w:trPr>
        <w:tc>
          <w:tcPr>
            <w:tcW w:w="562" w:type="dxa"/>
            <w:vAlign w:val="center"/>
          </w:tcPr>
          <w:p>
            <w:pPr>
              <w:adjustRightInd w:val="0"/>
              <w:spacing w:line="360" w:lineRule="exact"/>
              <w:jc w:val="center"/>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440" w:type="dxa"/>
            <w:gridSpan w:val="2"/>
            <w:vAlign w:val="center"/>
          </w:tcPr>
          <w:p>
            <w:pPr>
              <w:widowControl/>
              <w:snapToGrid w:val="0"/>
              <w:spacing w:line="360" w:lineRule="atLeast"/>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价格分</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（满分</w:t>
            </w:r>
            <w:r>
              <w:rPr>
                <w:rFonts w:hint="eastAsia" w:asciiTheme="minorEastAsia" w:hAnsiTheme="minorEastAsia" w:eastAsiaTheme="minorEastAsia" w:cstheme="minorEastAsia"/>
                <w:bCs/>
                <w:color w:val="auto"/>
                <w:kern w:val="0"/>
                <w:szCs w:val="21"/>
                <w:highlight w:val="none"/>
                <w:u w:val="single"/>
              </w:rPr>
              <w:t>10</w:t>
            </w:r>
            <w:r>
              <w:rPr>
                <w:rFonts w:hint="eastAsia" w:asciiTheme="minorEastAsia" w:hAnsiTheme="minorEastAsia" w:eastAsiaTheme="minorEastAsia" w:cstheme="minorEastAsia"/>
                <w:bCs/>
                <w:color w:val="auto"/>
                <w:kern w:val="0"/>
                <w:szCs w:val="21"/>
                <w:highlight w:val="none"/>
              </w:rPr>
              <w:t>分）</w:t>
            </w:r>
          </w:p>
          <w:p>
            <w:pPr>
              <w:widowControl/>
              <w:snapToGrid w:val="0"/>
              <w:spacing w:line="360" w:lineRule="atLeast"/>
              <w:rPr>
                <w:rFonts w:asciiTheme="minorEastAsia" w:hAnsiTheme="minorEastAsia" w:eastAsiaTheme="minorEastAsia" w:cstheme="minorEastAsia"/>
                <w:bCs/>
                <w:color w:val="auto"/>
                <w:kern w:val="0"/>
                <w:szCs w:val="21"/>
                <w:highlight w:val="none"/>
              </w:rPr>
            </w:pPr>
          </w:p>
        </w:tc>
        <w:tc>
          <w:tcPr>
            <w:tcW w:w="1605" w:type="dxa"/>
            <w:gridSpan w:val="2"/>
            <w:vAlign w:val="center"/>
          </w:tcPr>
          <w:p>
            <w:pPr>
              <w:widowControl/>
              <w:snapToGrid w:val="0"/>
              <w:spacing w:line="360" w:lineRule="atLeast"/>
              <w:jc w:val="center"/>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投标报价</w:t>
            </w:r>
          </w:p>
        </w:tc>
        <w:tc>
          <w:tcPr>
            <w:tcW w:w="5901" w:type="dxa"/>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1.本项目为专门面向中小企业采购的项目，按照《政府采购促进中小企业发展管理办法》（财库〔2020〕46号）的规定，对供应商最后报价不再执行价格评审优惠的扶持政策。</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2.评审报价为供应商的最后报价，评审报价只是作为评审时使用。最终成交供应商的成交金额等于最后报价（如有修正，以确认修正后的最后报价为准）。</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3.以进入比较与评价环节的最低的评审报价为基准价，基准价得分为10分。</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4.价格分计算公式：</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报价得分=（基准价/评审报价）×10分</w:t>
            </w:r>
          </w:p>
          <w:p>
            <w:pPr>
              <w:widowControl/>
              <w:snapToGrid w:val="0"/>
              <w:spacing w:line="360" w:lineRule="atLeast"/>
              <w:rPr>
                <w:rFonts w:asciiTheme="minorEastAsia" w:hAnsiTheme="minorEastAsia" w:eastAsiaTheme="minorEastAsia" w:cs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2" w:type="dxa"/>
            <w:vMerge w:val="restart"/>
            <w:vAlign w:val="center"/>
          </w:tcPr>
          <w:p>
            <w:pPr>
              <w:adjustRightInd w:val="0"/>
              <w:snapToGrid w:val="0"/>
              <w:spacing w:line="360" w:lineRule="atLeast"/>
              <w:jc w:val="center"/>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720" w:type="dxa"/>
            <w:vMerge w:val="restart"/>
            <w:vAlign w:val="center"/>
          </w:tcPr>
          <w:p>
            <w:pPr>
              <w:adjustRightInd w:val="0"/>
              <w:snapToGrid w:val="0"/>
              <w:spacing w:line="360" w:lineRule="atLeast"/>
              <w:ind w:left="-105" w:leftChars="-50" w:right="-105" w:rightChars="-50"/>
              <w:jc w:val="center"/>
              <w:textAlignment w:val="baseline"/>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技术分</w:t>
            </w:r>
          </w:p>
          <w:p>
            <w:pPr>
              <w:adjustRightInd w:val="0"/>
              <w:snapToGrid w:val="0"/>
              <w:spacing w:line="360" w:lineRule="atLeast"/>
              <w:ind w:left="-105" w:leftChars="-50" w:right="-105" w:rightChars="-50"/>
              <w:jc w:val="center"/>
              <w:textAlignment w:val="baseline"/>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（满分</w:t>
            </w:r>
            <w:r>
              <w:rPr>
                <w:rFonts w:hint="eastAsia" w:asciiTheme="minorEastAsia" w:hAnsiTheme="minorEastAsia" w:eastAsiaTheme="minorEastAsia" w:cstheme="minorEastAsia"/>
                <w:bCs/>
                <w:color w:val="auto"/>
                <w:kern w:val="0"/>
                <w:szCs w:val="21"/>
                <w:highlight w:val="none"/>
                <w:u w:val="single"/>
              </w:rPr>
              <w:t xml:space="preserve">   66</w:t>
            </w:r>
            <w:r>
              <w:rPr>
                <w:rFonts w:hint="eastAsia" w:asciiTheme="minorEastAsia" w:hAnsiTheme="minorEastAsia" w:eastAsiaTheme="minorEastAsia" w:cstheme="minorEastAsia"/>
                <w:bCs/>
                <w:color w:val="auto"/>
                <w:kern w:val="0"/>
                <w:szCs w:val="21"/>
                <w:highlight w:val="none"/>
              </w:rPr>
              <w:t>分）</w:t>
            </w:r>
          </w:p>
        </w:tc>
        <w:tc>
          <w:tcPr>
            <w:tcW w:w="1607" w:type="dxa"/>
            <w:gridSpan w:val="2"/>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管理规章制度与档案管理制度分</w:t>
            </w:r>
            <w:r>
              <w:rPr>
                <w:rFonts w:hint="eastAsia" w:asciiTheme="minorEastAsia" w:hAnsiTheme="minorEastAsia" w:eastAsiaTheme="minorEastAsia" w:cstheme="minorEastAsia"/>
                <w:bCs/>
                <w:color w:val="auto"/>
                <w:kern w:val="0"/>
                <w:szCs w:val="21"/>
                <w:highlight w:val="none"/>
              </w:rPr>
              <w:t>（15分）</w:t>
            </w:r>
          </w:p>
        </w:tc>
        <w:tc>
          <w:tcPr>
            <w:tcW w:w="6619" w:type="dxa"/>
            <w:gridSpan w:val="2"/>
            <w:vAlign w:val="center"/>
          </w:tcPr>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一档（5分）:有基本的管理规章制度与档案管理制度，但组织管理制度不健全；建档记录没有或缺漏巡视记录、保安巡逻记录、其他管理服务活动记录等管理内容。</w:t>
            </w:r>
          </w:p>
          <w:p>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10分）:有较健全的组织管理制度，人员的岗位职责较明确、考核细则较明确，能针对本项目的招标要求提供有针对性的管理制度及考核制度；建档记录有投诉与回访记录、其他管理服务活动记录等管理内容。</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kern w:val="0"/>
                <w:szCs w:val="21"/>
                <w:highlight w:val="none"/>
              </w:rPr>
              <w:t>三档（15分）:有健全的组织管理制度，公司管理制度、保安培训制度、员工守则等，人员的岗位职责明确、考核细则明确，能针对本项目的要求提供有针对性的管理制度及考核制度。档案收集、储存、使用等管理非常严格，建档记录有巡视记录、保安巡逻、投诉与回访记录、其他管理服务活动记录等管理内容，且完整齐全</w:t>
            </w:r>
            <w:r>
              <w:rPr>
                <w:rFonts w:hint="eastAsia" w:asciiTheme="minorEastAsia" w:hAnsiTheme="minorEastAsia" w:eastAsiaTheme="minorEastAsia" w:cs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2" w:type="dxa"/>
            <w:vMerge w:val="continue"/>
          </w:tcPr>
          <w:p>
            <w:pPr>
              <w:adjustRightInd w:val="0"/>
              <w:snapToGrid w:val="0"/>
              <w:spacing w:line="360" w:lineRule="atLeast"/>
              <w:jc w:val="center"/>
              <w:textAlignment w:val="baseline"/>
              <w:rPr>
                <w:rFonts w:asciiTheme="minorEastAsia" w:hAnsiTheme="minorEastAsia" w:eastAsiaTheme="minorEastAsia" w:cstheme="minorEastAsia"/>
                <w:color w:val="auto"/>
                <w:szCs w:val="21"/>
                <w:highlight w:val="none"/>
              </w:rPr>
            </w:pPr>
          </w:p>
        </w:tc>
        <w:tc>
          <w:tcPr>
            <w:tcW w:w="720" w:type="dxa"/>
            <w:vMerge w:val="continue"/>
          </w:tcPr>
          <w:p>
            <w:pPr>
              <w:widowControl/>
              <w:snapToGrid w:val="0"/>
              <w:spacing w:line="360" w:lineRule="atLeast"/>
              <w:rPr>
                <w:rFonts w:asciiTheme="minorEastAsia" w:hAnsiTheme="minorEastAsia" w:eastAsiaTheme="minorEastAsia" w:cstheme="minorEastAsia"/>
                <w:bCs/>
                <w:color w:val="auto"/>
                <w:kern w:val="0"/>
                <w:szCs w:val="21"/>
                <w:highlight w:val="none"/>
              </w:rPr>
            </w:pPr>
          </w:p>
        </w:tc>
        <w:tc>
          <w:tcPr>
            <w:tcW w:w="1607" w:type="dxa"/>
            <w:gridSpan w:val="2"/>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工作方案分</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（12分）</w:t>
            </w:r>
          </w:p>
        </w:tc>
        <w:tc>
          <w:tcPr>
            <w:tcW w:w="6619" w:type="dxa"/>
            <w:gridSpan w:val="2"/>
            <w:tcMar>
              <w:left w:w="57" w:type="dxa"/>
              <w:right w:w="57" w:type="dxa"/>
            </w:tcMar>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一档（4 分）：有基本的工作方案，但项目实施内容、措施不够具体；</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二档（8分）：工作方案有具体的项目实施内容、措施，合理的人员岗位配置；</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三档（12分）：工作方案有具体的项目实施内容、措施，有交通、治安、消防管理工作方案，合理的人员岗位配置，岗位人员安排符合采购需求，能针对学校安防情况提出合理的建议。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2" w:type="dxa"/>
            <w:vMerge w:val="continue"/>
          </w:tcPr>
          <w:p>
            <w:pPr>
              <w:adjustRightInd w:val="0"/>
              <w:snapToGrid w:val="0"/>
              <w:spacing w:line="360" w:lineRule="atLeast"/>
              <w:jc w:val="center"/>
              <w:textAlignment w:val="baseline"/>
              <w:rPr>
                <w:rFonts w:asciiTheme="minorEastAsia" w:hAnsiTheme="minorEastAsia" w:eastAsiaTheme="minorEastAsia" w:cstheme="minorEastAsia"/>
                <w:color w:val="auto"/>
                <w:szCs w:val="21"/>
                <w:highlight w:val="none"/>
              </w:rPr>
            </w:pPr>
          </w:p>
        </w:tc>
        <w:tc>
          <w:tcPr>
            <w:tcW w:w="720" w:type="dxa"/>
            <w:vMerge w:val="continue"/>
          </w:tcPr>
          <w:p>
            <w:pPr>
              <w:widowControl/>
              <w:snapToGrid w:val="0"/>
              <w:spacing w:line="360" w:lineRule="atLeast"/>
              <w:rPr>
                <w:rFonts w:asciiTheme="minorEastAsia" w:hAnsiTheme="minorEastAsia" w:eastAsiaTheme="minorEastAsia" w:cstheme="minorEastAsia"/>
                <w:bCs/>
                <w:color w:val="auto"/>
                <w:kern w:val="0"/>
                <w:szCs w:val="21"/>
                <w:highlight w:val="none"/>
              </w:rPr>
            </w:pPr>
          </w:p>
        </w:tc>
        <w:tc>
          <w:tcPr>
            <w:tcW w:w="1607" w:type="dxa"/>
            <w:gridSpan w:val="2"/>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物资装备配备（9分）</w:t>
            </w:r>
          </w:p>
        </w:tc>
        <w:tc>
          <w:tcPr>
            <w:tcW w:w="6619" w:type="dxa"/>
            <w:gridSpan w:val="2"/>
            <w:tcMar>
              <w:left w:w="57" w:type="dxa"/>
              <w:right w:w="57" w:type="dxa"/>
            </w:tcMar>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一档(3分):物资装备配备合理，物资装备方案内容不全、设备陈旧、不专业，基本满足项目采购需求。</w:t>
            </w:r>
            <w:r>
              <w:rPr>
                <w:rFonts w:hint="eastAsia" w:asciiTheme="minorEastAsia" w:hAnsiTheme="minorEastAsia" w:eastAsiaTheme="minorEastAsia" w:cstheme="minorEastAsia"/>
                <w:bCs/>
                <w:color w:val="auto"/>
                <w:kern w:val="0"/>
                <w:szCs w:val="21"/>
                <w:highlight w:val="none"/>
              </w:rPr>
              <w:cr/>
            </w:r>
            <w:r>
              <w:rPr>
                <w:rFonts w:hint="eastAsia" w:asciiTheme="minorEastAsia" w:hAnsiTheme="minorEastAsia" w:eastAsiaTheme="minorEastAsia" w:cstheme="minorEastAsia"/>
                <w:bCs/>
                <w:color w:val="auto"/>
                <w:kern w:val="0"/>
                <w:szCs w:val="21"/>
                <w:highlight w:val="none"/>
              </w:rPr>
              <w:t>二档(6分):物资装备配备完整，物资配置方案内容具有针对性，针对采购人的整体布局特点提出针对性配置方案且经评委认可，整个方案满足项目采购需求。</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cr/>
            </w:r>
            <w:r>
              <w:rPr>
                <w:rFonts w:hint="eastAsia" w:asciiTheme="minorEastAsia" w:hAnsiTheme="minorEastAsia" w:eastAsiaTheme="minorEastAsia" w:cstheme="minorEastAsia"/>
                <w:bCs/>
                <w:color w:val="auto"/>
                <w:kern w:val="0"/>
                <w:szCs w:val="21"/>
                <w:highlight w:val="none"/>
              </w:rPr>
              <w:t>三档(9分):物资装备配备合理、完整、详细，物资配置方案内容详细、全面，针对采购人的整体布局特点提出针对性配置方案且经评委认可，整个方案优于并满足项目采购需求。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2" w:type="dxa"/>
            <w:vMerge w:val="continue"/>
          </w:tcPr>
          <w:p>
            <w:pPr>
              <w:adjustRightInd w:val="0"/>
              <w:snapToGrid w:val="0"/>
              <w:spacing w:line="360" w:lineRule="atLeast"/>
              <w:jc w:val="center"/>
              <w:textAlignment w:val="baseline"/>
              <w:rPr>
                <w:rFonts w:asciiTheme="minorEastAsia" w:hAnsiTheme="minorEastAsia" w:eastAsiaTheme="minorEastAsia" w:cstheme="minorEastAsia"/>
                <w:color w:val="auto"/>
                <w:szCs w:val="21"/>
                <w:highlight w:val="none"/>
              </w:rPr>
            </w:pPr>
          </w:p>
        </w:tc>
        <w:tc>
          <w:tcPr>
            <w:tcW w:w="720" w:type="dxa"/>
            <w:vMerge w:val="continue"/>
          </w:tcPr>
          <w:p>
            <w:pPr>
              <w:widowControl/>
              <w:snapToGrid w:val="0"/>
              <w:spacing w:line="360" w:lineRule="atLeast"/>
              <w:rPr>
                <w:rFonts w:asciiTheme="minorEastAsia" w:hAnsiTheme="minorEastAsia" w:eastAsiaTheme="minorEastAsia" w:cstheme="minorEastAsia"/>
                <w:bCs/>
                <w:color w:val="auto"/>
                <w:kern w:val="0"/>
                <w:szCs w:val="21"/>
                <w:highlight w:val="none"/>
              </w:rPr>
            </w:pPr>
          </w:p>
        </w:tc>
        <w:tc>
          <w:tcPr>
            <w:tcW w:w="1607" w:type="dxa"/>
            <w:gridSpan w:val="2"/>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应急方案（9分）</w:t>
            </w:r>
          </w:p>
        </w:tc>
        <w:tc>
          <w:tcPr>
            <w:tcW w:w="6619" w:type="dxa"/>
            <w:gridSpan w:val="2"/>
            <w:tcMar>
              <w:left w:w="57" w:type="dxa"/>
              <w:right w:w="57" w:type="dxa"/>
            </w:tcMar>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一档（3分）：包含有基本的应急机制。</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二档（6分）：应急机制合理，应急机制含突发治安、火灾事件、处置群体性事件、疫情突发等内容。</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三档（9分）：应急机制全面、具有可行性，针对突发治安、火灾事件、处置群体性事件、疫情突发分别制定专项应急方案、措施。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562" w:type="dxa"/>
            <w:vMerge w:val="continue"/>
          </w:tcPr>
          <w:p>
            <w:pPr>
              <w:adjustRightInd w:val="0"/>
              <w:snapToGrid w:val="0"/>
              <w:spacing w:line="360" w:lineRule="atLeast"/>
              <w:jc w:val="center"/>
              <w:textAlignment w:val="baseline"/>
              <w:rPr>
                <w:rFonts w:asciiTheme="minorEastAsia" w:hAnsiTheme="minorEastAsia" w:eastAsiaTheme="minorEastAsia" w:cstheme="minorEastAsia"/>
                <w:color w:val="auto"/>
                <w:szCs w:val="21"/>
                <w:highlight w:val="none"/>
              </w:rPr>
            </w:pPr>
          </w:p>
        </w:tc>
        <w:tc>
          <w:tcPr>
            <w:tcW w:w="720" w:type="dxa"/>
            <w:vMerge w:val="continue"/>
          </w:tcPr>
          <w:p>
            <w:pPr>
              <w:widowControl/>
              <w:snapToGrid w:val="0"/>
              <w:spacing w:line="360" w:lineRule="atLeast"/>
              <w:rPr>
                <w:rFonts w:asciiTheme="minorEastAsia" w:hAnsiTheme="minorEastAsia" w:eastAsiaTheme="minorEastAsia" w:cstheme="minorEastAsia"/>
                <w:bCs/>
                <w:color w:val="auto"/>
                <w:kern w:val="0"/>
                <w:szCs w:val="21"/>
                <w:highlight w:val="none"/>
              </w:rPr>
            </w:pPr>
          </w:p>
        </w:tc>
        <w:tc>
          <w:tcPr>
            <w:tcW w:w="1607" w:type="dxa"/>
            <w:gridSpan w:val="2"/>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配备人员素质能力（15分）</w:t>
            </w:r>
          </w:p>
        </w:tc>
        <w:tc>
          <w:tcPr>
            <w:tcW w:w="6619" w:type="dxa"/>
            <w:gridSpan w:val="2"/>
            <w:tcMar>
              <w:left w:w="57" w:type="dxa"/>
              <w:right w:w="57" w:type="dxa"/>
            </w:tcMar>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拟配备项目管理人员（含驻校保安队长&lt;正副&gt;）满足项目采购需求，其中任意驻校保安队长具有与本项目相关的中级职称、物业经理证书、人力资源和社会保障部门颁发的保安员证、安全评价师等相关职业资格证及相同等级职业技能培训证书的，每证1分，本项满分4分（投标文件中须提供证书复印件并加盖投标单位公章，否则不予计分）</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（2）整体保安队伍明显年轻化，学校保安员优于项目采购需求，学校保安员≤35岁的，每1人1分，本项最高得分11分。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62" w:type="dxa"/>
            <w:vMerge w:val="continue"/>
          </w:tcPr>
          <w:p>
            <w:pPr>
              <w:adjustRightInd w:val="0"/>
              <w:snapToGrid w:val="0"/>
              <w:spacing w:line="360" w:lineRule="atLeast"/>
              <w:jc w:val="center"/>
              <w:textAlignment w:val="baseline"/>
              <w:rPr>
                <w:rFonts w:asciiTheme="minorEastAsia" w:hAnsiTheme="minorEastAsia" w:eastAsiaTheme="minorEastAsia" w:cstheme="minorEastAsia"/>
                <w:color w:val="auto"/>
                <w:szCs w:val="21"/>
                <w:highlight w:val="none"/>
              </w:rPr>
            </w:pPr>
          </w:p>
        </w:tc>
        <w:tc>
          <w:tcPr>
            <w:tcW w:w="720" w:type="dxa"/>
            <w:vMerge w:val="continue"/>
          </w:tcPr>
          <w:p>
            <w:pPr>
              <w:widowControl/>
              <w:snapToGrid w:val="0"/>
              <w:spacing w:line="360" w:lineRule="atLeast"/>
              <w:rPr>
                <w:rFonts w:asciiTheme="minorEastAsia" w:hAnsiTheme="minorEastAsia" w:eastAsiaTheme="minorEastAsia" w:cstheme="minorEastAsia"/>
                <w:bCs/>
                <w:color w:val="auto"/>
                <w:kern w:val="0"/>
                <w:szCs w:val="21"/>
                <w:highlight w:val="none"/>
              </w:rPr>
            </w:pPr>
          </w:p>
        </w:tc>
        <w:tc>
          <w:tcPr>
            <w:tcW w:w="1607" w:type="dxa"/>
            <w:gridSpan w:val="2"/>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服务承诺分（6分）</w:t>
            </w:r>
          </w:p>
        </w:tc>
        <w:tc>
          <w:tcPr>
            <w:tcW w:w="6619" w:type="dxa"/>
            <w:gridSpan w:val="2"/>
            <w:tcMar>
              <w:left w:w="57" w:type="dxa"/>
              <w:right w:w="57" w:type="dxa"/>
            </w:tcMar>
            <w:vAlign w:val="center"/>
          </w:tcPr>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一档（2分）：有基本的服务承诺。</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二档（4分）：服务承诺具体，有响应措施，对项目的质量有保障。</w:t>
            </w:r>
          </w:p>
          <w:p>
            <w:pPr>
              <w:widowControl/>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三档（6分）：服务承诺具体、有特色，响应时间清晰明确，对项目的服务质量保障性高，优于采购需求。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5" w:hRule="atLeast"/>
          <w:jc w:val="center"/>
        </w:trPr>
        <w:tc>
          <w:tcPr>
            <w:tcW w:w="562" w:type="dxa"/>
            <w:vMerge w:val="restart"/>
            <w:vAlign w:val="center"/>
          </w:tcPr>
          <w:p>
            <w:pPr>
              <w:snapToGrid w:val="0"/>
              <w:spacing w:line="360" w:lineRule="atLeas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440" w:type="dxa"/>
            <w:gridSpan w:val="2"/>
            <w:vMerge w:val="restart"/>
            <w:vAlign w:val="center"/>
          </w:tcPr>
          <w:p>
            <w:pPr>
              <w:adjustRightInd w:val="0"/>
              <w:snapToGrid w:val="0"/>
              <w:spacing w:line="360" w:lineRule="atLeast"/>
              <w:ind w:left="-105" w:leftChars="-50" w:right="-105" w:rightChars="-50"/>
              <w:jc w:val="center"/>
              <w:textAlignment w:val="baseline"/>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商务分</w:t>
            </w:r>
          </w:p>
          <w:p>
            <w:pPr>
              <w:snapToGrid w:val="0"/>
              <w:spacing w:line="360" w:lineRule="atLeast"/>
              <w:jc w:val="center"/>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（满分</w:t>
            </w:r>
            <w:r>
              <w:rPr>
                <w:rFonts w:hint="eastAsia" w:asciiTheme="minorEastAsia" w:hAnsiTheme="minorEastAsia" w:eastAsiaTheme="minorEastAsia" w:cstheme="minorEastAsia"/>
                <w:bCs/>
                <w:color w:val="auto"/>
                <w:kern w:val="0"/>
                <w:szCs w:val="21"/>
                <w:highlight w:val="none"/>
                <w:u w:val="single"/>
              </w:rPr>
              <w:t>2</w:t>
            </w:r>
            <w:r>
              <w:rPr>
                <w:rFonts w:hint="eastAsia" w:asciiTheme="minorEastAsia" w:hAnsiTheme="minorEastAsia" w:eastAsiaTheme="minorEastAsia" w:cstheme="minorEastAsia"/>
                <w:bCs/>
                <w:color w:val="auto"/>
                <w:kern w:val="0"/>
                <w:sz w:val="24"/>
                <w:highlight w:val="none"/>
                <w:u w:val="single"/>
              </w:rPr>
              <w:t>4</w:t>
            </w:r>
            <w:r>
              <w:rPr>
                <w:rFonts w:hint="eastAsia" w:asciiTheme="minorEastAsia" w:hAnsiTheme="minorEastAsia" w:eastAsiaTheme="minorEastAsia" w:cstheme="minorEastAsia"/>
                <w:bCs/>
                <w:color w:val="auto"/>
                <w:kern w:val="0"/>
                <w:szCs w:val="21"/>
                <w:highlight w:val="none"/>
              </w:rPr>
              <w:t>分）</w:t>
            </w:r>
          </w:p>
        </w:tc>
        <w:tc>
          <w:tcPr>
            <w:tcW w:w="1605" w:type="dxa"/>
            <w:gridSpan w:val="2"/>
            <w:vAlign w:val="center"/>
          </w:tcPr>
          <w:p>
            <w:pPr>
              <w:snapToGrid w:val="0"/>
              <w:spacing w:line="360" w:lineRule="atLeast"/>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信誉分分</w:t>
            </w:r>
          </w:p>
          <w:p>
            <w:pPr>
              <w:snapToGrid w:val="0"/>
              <w:spacing w:line="360" w:lineRule="atLeast"/>
              <w:jc w:val="center"/>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（满分</w:t>
            </w:r>
            <w:r>
              <w:rPr>
                <w:rFonts w:hint="eastAsia" w:asciiTheme="minorEastAsia" w:hAnsiTheme="minorEastAsia" w:eastAsiaTheme="minorEastAsia" w:cstheme="minorEastAsia"/>
                <w:bCs/>
                <w:color w:val="auto"/>
                <w:kern w:val="0"/>
                <w:szCs w:val="21"/>
                <w:highlight w:val="none"/>
                <w:u w:val="single"/>
              </w:rPr>
              <w:t>12</w:t>
            </w:r>
            <w:r>
              <w:rPr>
                <w:rFonts w:hint="eastAsia" w:asciiTheme="minorEastAsia" w:hAnsiTheme="minorEastAsia" w:eastAsiaTheme="minorEastAsia" w:cstheme="minorEastAsia"/>
                <w:bCs/>
                <w:color w:val="auto"/>
                <w:kern w:val="0"/>
                <w:szCs w:val="21"/>
                <w:highlight w:val="none"/>
              </w:rPr>
              <w:t>分）</w:t>
            </w:r>
          </w:p>
        </w:tc>
        <w:tc>
          <w:tcPr>
            <w:tcW w:w="5901" w:type="dxa"/>
          </w:tcPr>
          <w:p>
            <w:pPr>
              <w:numPr>
                <w:ilvl w:val="0"/>
                <w:numId w:val="6"/>
              </w:numPr>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投标人提供有效的ISO9001质量管理体系认证，得1.5分。本项最高分1.5分。</w:t>
            </w:r>
          </w:p>
          <w:p>
            <w:pPr>
              <w:numPr>
                <w:ilvl w:val="0"/>
                <w:numId w:val="6"/>
              </w:numPr>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投标人提供有效的</w:t>
            </w:r>
            <w:r>
              <w:rPr>
                <w:rFonts w:hint="eastAsia" w:asciiTheme="minorEastAsia" w:hAnsiTheme="minorEastAsia" w:eastAsiaTheme="minorEastAsia" w:cstheme="minorEastAsia"/>
                <w:color w:val="auto"/>
                <w:szCs w:val="21"/>
                <w:highlight w:val="none"/>
              </w:rPr>
              <w:t>ISO45001职业健康安全体系认证证书</w:t>
            </w:r>
            <w:r>
              <w:rPr>
                <w:rFonts w:hint="eastAsia" w:asciiTheme="minorEastAsia" w:hAnsiTheme="minorEastAsia" w:eastAsiaTheme="minorEastAsia" w:cstheme="minorEastAsia"/>
                <w:bCs/>
                <w:color w:val="auto"/>
                <w:kern w:val="0"/>
                <w:szCs w:val="21"/>
                <w:highlight w:val="none"/>
              </w:rPr>
              <w:t>得1.5分。本项最高分1.5分。</w:t>
            </w:r>
          </w:p>
          <w:p>
            <w:pPr>
              <w:numPr>
                <w:ilvl w:val="0"/>
                <w:numId w:val="6"/>
              </w:numPr>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投标人提供有效的GA/T594-2006</w:t>
            </w:r>
            <w:r>
              <w:rPr>
                <w:rFonts w:hint="eastAsia" w:asciiTheme="minorEastAsia" w:hAnsiTheme="minorEastAsia" w:eastAsiaTheme="minorEastAsia" w:cstheme="minorEastAsia"/>
                <w:color w:val="auto"/>
                <w:szCs w:val="21"/>
                <w:highlight w:val="none"/>
              </w:rPr>
              <w:t>保安管理服务体系认证证书</w:t>
            </w:r>
            <w:r>
              <w:rPr>
                <w:rFonts w:hint="eastAsia" w:asciiTheme="minorEastAsia" w:hAnsiTheme="minorEastAsia" w:eastAsiaTheme="minorEastAsia" w:cstheme="minorEastAsia"/>
                <w:bCs/>
                <w:color w:val="auto"/>
                <w:kern w:val="0"/>
                <w:szCs w:val="21"/>
                <w:highlight w:val="none"/>
              </w:rPr>
              <w:t>得1.5分。本项最高分1.5分。</w:t>
            </w:r>
          </w:p>
          <w:p>
            <w:pPr>
              <w:numPr>
                <w:ilvl w:val="0"/>
                <w:numId w:val="6"/>
              </w:numPr>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投标人提供有效的GB/T15496</w:t>
            </w:r>
            <w:r>
              <w:rPr>
                <w:rFonts w:hint="eastAsia" w:asciiTheme="minorEastAsia" w:hAnsiTheme="minorEastAsia" w:eastAsiaTheme="minorEastAsia" w:cstheme="minorEastAsia"/>
                <w:color w:val="auto"/>
                <w:szCs w:val="21"/>
                <w:highlight w:val="none"/>
              </w:rPr>
              <w:t>企业标准化管理体系认证证书</w:t>
            </w:r>
            <w:r>
              <w:rPr>
                <w:rFonts w:hint="eastAsia" w:asciiTheme="minorEastAsia" w:hAnsiTheme="minorEastAsia" w:eastAsiaTheme="minorEastAsia" w:cstheme="minorEastAsia"/>
                <w:bCs/>
                <w:color w:val="auto"/>
                <w:kern w:val="0"/>
                <w:szCs w:val="21"/>
                <w:highlight w:val="none"/>
              </w:rPr>
              <w:t>得1.5分。本项最高分1.5分。</w:t>
            </w:r>
          </w:p>
          <w:p>
            <w:pPr>
              <w:numPr>
                <w:ilvl w:val="0"/>
                <w:numId w:val="6"/>
              </w:numPr>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投标人提供有效的</w:t>
            </w:r>
            <w:r>
              <w:rPr>
                <w:rFonts w:hint="eastAsia" w:asciiTheme="minorEastAsia" w:hAnsiTheme="minorEastAsia" w:eastAsiaTheme="minorEastAsia" w:cstheme="minorEastAsia"/>
                <w:color w:val="auto"/>
                <w:szCs w:val="21"/>
                <w:highlight w:val="none"/>
              </w:rPr>
              <w:t>GB/T31950-2015企业诚信管理体系认证证书</w:t>
            </w:r>
            <w:r>
              <w:rPr>
                <w:rFonts w:hint="eastAsia" w:asciiTheme="minorEastAsia" w:hAnsiTheme="minorEastAsia" w:eastAsiaTheme="minorEastAsia" w:cstheme="minorEastAsia"/>
                <w:bCs/>
                <w:color w:val="auto"/>
                <w:kern w:val="0"/>
                <w:szCs w:val="21"/>
                <w:highlight w:val="none"/>
              </w:rPr>
              <w:t>得1分。本项最高分1分</w:t>
            </w:r>
          </w:p>
          <w:p>
            <w:pPr>
              <w:snapToGrid w:val="0"/>
              <w:spacing w:line="360" w:lineRule="atLeast"/>
              <w:jc w:val="lef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（6）投标人2020年至投标截止时间内获得省级行政主管部门颁发的与本项目相关的荣誉证书得3分，获得市级行政主管部门颁发的与本项目相关的荣誉证书得2分，本项满分5分。</w:t>
            </w:r>
          </w:p>
          <w:p>
            <w:pPr>
              <w:snapToGrid w:val="0"/>
              <w:spacing w:line="360" w:lineRule="atLeas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注：投标文件中提供证书或证明材料复印件并加盖投标单位公章，否则不得分</w:t>
            </w:r>
          </w:p>
          <w:p>
            <w:pPr>
              <w:snapToGrid w:val="0"/>
              <w:spacing w:line="360" w:lineRule="atLeast"/>
              <w:rPr>
                <w:rFonts w:asciiTheme="minorEastAsia" w:hAnsiTheme="minorEastAsia" w:eastAsiaTheme="minorEastAsia" w:cs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562" w:type="dxa"/>
            <w:vMerge w:val="continue"/>
            <w:vAlign w:val="center"/>
          </w:tcPr>
          <w:p>
            <w:pPr>
              <w:snapToGrid w:val="0"/>
              <w:spacing w:line="360" w:lineRule="atLeast"/>
              <w:jc w:val="center"/>
              <w:rPr>
                <w:rFonts w:asciiTheme="minorEastAsia" w:hAnsiTheme="minorEastAsia" w:eastAsiaTheme="minorEastAsia" w:cstheme="minorEastAsia"/>
                <w:color w:val="auto"/>
                <w:szCs w:val="21"/>
                <w:highlight w:val="none"/>
              </w:rPr>
            </w:pPr>
          </w:p>
        </w:tc>
        <w:tc>
          <w:tcPr>
            <w:tcW w:w="1440" w:type="dxa"/>
            <w:gridSpan w:val="2"/>
            <w:vMerge w:val="continue"/>
            <w:vAlign w:val="center"/>
          </w:tcPr>
          <w:p>
            <w:pPr>
              <w:snapToGrid w:val="0"/>
              <w:spacing w:line="360" w:lineRule="atLeast"/>
              <w:jc w:val="center"/>
              <w:rPr>
                <w:rFonts w:asciiTheme="minorEastAsia" w:hAnsiTheme="minorEastAsia" w:eastAsiaTheme="minorEastAsia" w:cstheme="minorEastAsia"/>
                <w:bCs/>
                <w:color w:val="auto"/>
                <w:kern w:val="0"/>
                <w:szCs w:val="21"/>
                <w:highlight w:val="none"/>
              </w:rPr>
            </w:pPr>
          </w:p>
        </w:tc>
        <w:tc>
          <w:tcPr>
            <w:tcW w:w="1605" w:type="dxa"/>
            <w:gridSpan w:val="2"/>
            <w:vAlign w:val="center"/>
          </w:tcPr>
          <w:p>
            <w:pPr>
              <w:snapToGrid w:val="0"/>
              <w:spacing w:line="360" w:lineRule="atLeast"/>
              <w:jc w:val="center"/>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业绩分</w:t>
            </w:r>
          </w:p>
          <w:p>
            <w:pPr>
              <w:snapToGrid w:val="0"/>
              <w:spacing w:line="360" w:lineRule="atLeast"/>
              <w:jc w:val="center"/>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（满分</w:t>
            </w:r>
            <w:r>
              <w:rPr>
                <w:rFonts w:hint="eastAsia" w:asciiTheme="minorEastAsia" w:hAnsiTheme="minorEastAsia" w:eastAsiaTheme="minorEastAsia" w:cstheme="minorEastAsia"/>
                <w:bCs/>
                <w:color w:val="auto"/>
                <w:kern w:val="0"/>
                <w:szCs w:val="21"/>
                <w:highlight w:val="none"/>
                <w:u w:val="single"/>
              </w:rPr>
              <w:t xml:space="preserve">12 </w:t>
            </w:r>
            <w:r>
              <w:rPr>
                <w:rFonts w:hint="eastAsia" w:asciiTheme="minorEastAsia" w:hAnsiTheme="minorEastAsia" w:eastAsiaTheme="minorEastAsia" w:cstheme="minorEastAsia"/>
                <w:bCs/>
                <w:color w:val="auto"/>
                <w:kern w:val="0"/>
                <w:szCs w:val="21"/>
                <w:highlight w:val="none"/>
              </w:rPr>
              <w:t>分）</w:t>
            </w:r>
          </w:p>
        </w:tc>
        <w:tc>
          <w:tcPr>
            <w:tcW w:w="5901" w:type="dxa"/>
          </w:tcPr>
          <w:p>
            <w:pPr>
              <w:snapToGrid w:val="0"/>
              <w:spacing w:line="360" w:lineRule="atLeast"/>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u w:val="single"/>
              </w:rPr>
              <w:t>19</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rPr>
              <w:t>日至提交投标文件截止时间止，投标人具有成功案例（保安服务）的业绩，每项得1.5分，满分12分。【需在投标文件中提供项目业绩的合同或者中标（成交）通知书复印件并加盖投标人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508" w:type="dxa"/>
            <w:gridSpan w:val="6"/>
            <w:vAlign w:val="center"/>
          </w:tcPr>
          <w:p>
            <w:pPr>
              <w:snapToGrid w:val="0"/>
              <w:spacing w:line="360" w:lineRule="atLeas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总得分=1+2+3</w:t>
            </w:r>
          </w:p>
        </w:tc>
      </w:tr>
    </w:tbl>
    <w:p>
      <w:pPr>
        <w:rPr>
          <w:color w:val="auto"/>
          <w:highlight w:val="none"/>
        </w:rPr>
      </w:pPr>
    </w:p>
    <w:p>
      <w:pPr>
        <w:pStyle w:val="4"/>
        <w:jc w:val="center"/>
        <w:rPr>
          <w:b w:val="0"/>
          <w:color w:val="auto"/>
          <w:sz w:val="30"/>
          <w:szCs w:val="30"/>
          <w:highlight w:val="none"/>
        </w:rPr>
      </w:pPr>
      <w:bookmarkStart w:id="310" w:name="_Toc9480"/>
      <w:bookmarkStart w:id="311" w:name="_Toc15061"/>
      <w:bookmarkStart w:id="312" w:name="_Toc18582"/>
      <w:bookmarkStart w:id="313" w:name="_Toc11083"/>
      <w:bookmarkStart w:id="314" w:name="_Toc2202"/>
      <w:bookmarkStart w:id="315" w:name="_Toc12855"/>
      <w:bookmarkStart w:id="316" w:name="_Toc16466"/>
      <w:bookmarkStart w:id="317" w:name="_Toc10751"/>
      <w:bookmarkStart w:id="318" w:name="_Toc23906"/>
      <w:bookmarkStart w:id="319" w:name="_Toc20313"/>
      <w:r>
        <w:rPr>
          <w:rFonts w:hint="eastAsia"/>
          <w:b w:val="0"/>
          <w:color w:val="auto"/>
          <w:sz w:val="30"/>
          <w:szCs w:val="30"/>
          <w:highlight w:val="none"/>
        </w:rPr>
        <w:t>第四节中标候选人推荐原则</w:t>
      </w:r>
      <w:bookmarkEnd w:id="310"/>
      <w:bookmarkEnd w:id="311"/>
      <w:bookmarkEnd w:id="312"/>
      <w:bookmarkEnd w:id="313"/>
      <w:bookmarkEnd w:id="314"/>
      <w:bookmarkEnd w:id="315"/>
      <w:bookmarkEnd w:id="316"/>
      <w:bookmarkEnd w:id="317"/>
      <w:bookmarkEnd w:id="318"/>
      <w:bookmarkEnd w:id="319"/>
    </w:p>
    <w:p>
      <w:pPr>
        <w:pStyle w:val="13"/>
        <w:spacing w:line="360" w:lineRule="auto"/>
        <w:ind w:left="472"/>
        <w:contextualSpacing/>
        <w:rPr>
          <w:rFonts w:hAnsi="宋体"/>
          <w:b/>
          <w:bCs/>
          <w:color w:val="auto"/>
          <w:sz w:val="24"/>
          <w:szCs w:val="24"/>
          <w:highlight w:val="none"/>
        </w:rPr>
      </w:pPr>
      <w:r>
        <w:rPr>
          <w:rFonts w:hint="eastAsia" w:hAnsi="宋体"/>
          <w:b/>
          <w:bCs/>
          <w:color w:val="auto"/>
          <w:sz w:val="24"/>
          <w:szCs w:val="24"/>
          <w:highlight w:val="none"/>
        </w:rPr>
        <w:t>（一）综合评分法</w:t>
      </w:r>
    </w:p>
    <w:p>
      <w:pPr>
        <w:pStyle w:val="13"/>
        <w:spacing w:line="360" w:lineRule="auto"/>
        <w:ind w:firstLine="420" w:firstLineChars="200"/>
        <w:rPr>
          <w:rFonts w:hAnsi="宋体"/>
          <w:color w:val="auto"/>
          <w:highlight w:val="none"/>
        </w:rPr>
      </w:pPr>
      <w:r>
        <w:rPr>
          <w:rFonts w:hint="eastAsia" w:hAnsi="宋体"/>
          <w:color w:val="auto"/>
          <w:highlight w:val="none"/>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13"/>
        <w:spacing w:line="360" w:lineRule="auto"/>
        <w:ind w:firstLine="482" w:firstLineChars="200"/>
        <w:rPr>
          <w:rFonts w:hAnsi="宋体"/>
          <w:color w:val="auto"/>
          <w:highlight w:val="none"/>
        </w:rPr>
      </w:pPr>
      <w:r>
        <w:rPr>
          <w:rFonts w:hint="eastAsia" w:hAnsi="宋体"/>
          <w:b/>
          <w:bCs/>
          <w:color w:val="auto"/>
          <w:sz w:val="24"/>
          <w:szCs w:val="24"/>
          <w:highlight w:val="none"/>
        </w:rPr>
        <w:t>（二）最低评标报价法</w:t>
      </w:r>
    </w:p>
    <w:p>
      <w:pPr>
        <w:pStyle w:val="13"/>
        <w:tabs>
          <w:tab w:val="left" w:pos="2472"/>
        </w:tabs>
        <w:spacing w:line="480" w:lineRule="exact"/>
        <w:ind w:firstLine="420" w:firstLineChars="200"/>
        <w:rPr>
          <w:color w:val="auto"/>
          <w:highlight w:val="none"/>
        </w:rPr>
      </w:pPr>
      <w:r>
        <w:rPr>
          <w:rFonts w:hint="eastAsia" w:hAnsi="宋体"/>
          <w:color w:val="auto"/>
          <w:highlight w:val="none"/>
        </w:rPr>
        <w:t>评标委员会将按照有效评标报价从低到高顺序排列，评标报价相同的并列。投标文件满足招标文件全部实质性要求且评标报价最低的投标人为排名第一的中标候选人。</w:t>
      </w:r>
    </w:p>
    <w:p>
      <w:pPr>
        <w:pStyle w:val="4"/>
        <w:spacing w:line="360" w:lineRule="auto"/>
        <w:ind w:firstLine="600" w:firstLineChars="200"/>
        <w:jc w:val="center"/>
        <w:rPr>
          <w:b w:val="0"/>
          <w:color w:val="auto"/>
          <w:sz w:val="30"/>
          <w:szCs w:val="30"/>
          <w:highlight w:val="none"/>
        </w:rPr>
      </w:pPr>
      <w:bookmarkStart w:id="320" w:name="_Toc11545"/>
      <w:bookmarkStart w:id="321" w:name="_Toc7971"/>
      <w:bookmarkStart w:id="322" w:name="_Toc11073"/>
      <w:bookmarkStart w:id="323" w:name="_Toc29218"/>
      <w:bookmarkStart w:id="324" w:name="_Toc9602"/>
      <w:bookmarkStart w:id="325" w:name="_Toc13808"/>
      <w:bookmarkStart w:id="326" w:name="_Toc22384"/>
      <w:bookmarkStart w:id="327" w:name="_Toc27419"/>
      <w:bookmarkStart w:id="328" w:name="_Toc11695"/>
      <w:bookmarkStart w:id="329" w:name="_Toc13625"/>
      <w:r>
        <w:rPr>
          <w:rFonts w:hint="eastAsia"/>
          <w:b w:val="0"/>
          <w:color w:val="auto"/>
          <w:sz w:val="30"/>
          <w:szCs w:val="30"/>
          <w:highlight w:val="none"/>
        </w:rPr>
        <w:t>第五节评标报告</w:t>
      </w:r>
      <w:bookmarkEnd w:id="320"/>
      <w:bookmarkEnd w:id="321"/>
      <w:bookmarkEnd w:id="322"/>
      <w:bookmarkEnd w:id="323"/>
      <w:bookmarkEnd w:id="324"/>
      <w:bookmarkEnd w:id="325"/>
      <w:bookmarkEnd w:id="326"/>
      <w:bookmarkEnd w:id="327"/>
      <w:bookmarkEnd w:id="328"/>
      <w:bookmarkEnd w:id="329"/>
    </w:p>
    <w:p>
      <w:pPr>
        <w:pStyle w:val="27"/>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pPr>
        <w:pStyle w:val="13"/>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pPr>
        <w:pStyle w:val="13"/>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auto"/>
          <w:sz w:val="36"/>
          <w:szCs w:val="20"/>
          <w:highlight w:val="none"/>
        </w:rPr>
        <w:sectPr>
          <w:pgSz w:w="11905" w:h="16838"/>
          <w:pgMar w:top="1134" w:right="1134" w:bottom="1134" w:left="1134" w:header="850" w:footer="850" w:gutter="0"/>
          <w:cols w:space="0" w:num="1"/>
          <w:titlePg/>
          <w:docGrid w:linePitch="331" w:charSpace="0"/>
        </w:sect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outlineLvl w:val="0"/>
        <w:rPr>
          <w:rFonts w:ascii="Times New Roman" w:hAnsi="Times New Roman"/>
          <w:b/>
          <w:color w:val="auto"/>
          <w:sz w:val="36"/>
          <w:highlight w:val="none"/>
        </w:rPr>
      </w:pPr>
      <w:bookmarkStart w:id="330" w:name="_Toc9058"/>
      <w:bookmarkStart w:id="331" w:name="_Toc26262"/>
      <w:bookmarkStart w:id="332" w:name="_Toc9012"/>
      <w:bookmarkStart w:id="333" w:name="_Toc3422"/>
      <w:bookmarkStart w:id="334" w:name="_Toc17049"/>
      <w:bookmarkStart w:id="335" w:name="_Toc3838"/>
      <w:bookmarkStart w:id="336" w:name="_Toc7167"/>
      <w:bookmarkStart w:id="337" w:name="_Toc29347"/>
      <w:bookmarkStart w:id="338" w:name="_Toc31791"/>
      <w:bookmarkStart w:id="339" w:name="_Toc32021"/>
      <w:bookmarkStart w:id="340" w:name="_Toc20993"/>
      <w:bookmarkStart w:id="341" w:name="_Toc25572"/>
      <w:bookmarkStart w:id="342" w:name="_Toc27014"/>
      <w:r>
        <w:rPr>
          <w:rFonts w:hint="eastAsia" w:ascii="Times New Roman" w:hAnsi="Times New Roman"/>
          <w:b/>
          <w:color w:val="auto"/>
          <w:sz w:val="36"/>
          <w:highlight w:val="none"/>
        </w:rPr>
        <w:t>第五章拟签订的合同文本</w:t>
      </w:r>
      <w:bookmarkEnd w:id="330"/>
      <w:bookmarkEnd w:id="331"/>
      <w:bookmarkEnd w:id="332"/>
      <w:bookmarkEnd w:id="333"/>
      <w:bookmarkEnd w:id="334"/>
      <w:bookmarkEnd w:id="335"/>
      <w:bookmarkEnd w:id="336"/>
      <w:bookmarkEnd w:id="337"/>
      <w:bookmarkEnd w:id="338"/>
      <w:bookmarkEnd w:id="339"/>
      <w:bookmarkEnd w:id="340"/>
      <w:bookmarkEnd w:id="341"/>
      <w:bookmarkEnd w:id="342"/>
    </w:p>
    <w:p>
      <w:pPr>
        <w:widowControl/>
        <w:jc w:val="left"/>
        <w:rPr>
          <w:rFonts w:ascii="宋体" w:hAnsi="Courier New"/>
          <w:bCs/>
          <w:color w:val="auto"/>
          <w:szCs w:val="20"/>
          <w:highlight w:val="none"/>
        </w:rPr>
        <w:sectPr>
          <w:pgSz w:w="11905" w:h="16838"/>
          <w:pgMar w:top="1134" w:right="1134" w:bottom="1134" w:left="1134" w:header="850" w:footer="850" w:gutter="0"/>
          <w:cols w:space="0" w:num="1"/>
          <w:titlePg/>
          <w:docGrid w:linePitch="331" w:charSpace="0"/>
        </w:sectPr>
      </w:pPr>
    </w:p>
    <w:p>
      <w:pPr>
        <w:spacing w:line="360" w:lineRule="auto"/>
        <w:rPr>
          <w:rFonts w:ascii="仿宋_GB2312" w:hAnsi="楷体" w:eastAsia="仿宋_GB2312"/>
          <w:color w:val="auto"/>
          <w:sz w:val="24"/>
          <w:highlight w:val="none"/>
        </w:rPr>
      </w:pPr>
    </w:p>
    <w:p>
      <w:pPr>
        <w:snapToGrid w:val="0"/>
        <w:spacing w:line="400" w:lineRule="exact"/>
        <w:jc w:val="center"/>
        <w:rPr>
          <w:rFonts w:ascii="宋体" w:hAnsi="宋体" w:cs="宋体"/>
          <w:color w:val="auto"/>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pPr>
        <w:spacing w:line="520" w:lineRule="exact"/>
        <w:rPr>
          <w:rFonts w:ascii="宋体" w:hAnsi="宋体" w:cs="宋体"/>
          <w:b/>
          <w:color w:val="auto"/>
          <w:sz w:val="32"/>
          <w:szCs w:val="32"/>
          <w:highlight w:val="none"/>
        </w:rPr>
      </w:pPr>
    </w:p>
    <w:p>
      <w:pPr>
        <w:spacing w:line="360" w:lineRule="auto"/>
        <w:ind w:right="800" w:firstLine="6090" w:firstLineChars="2900"/>
        <w:rPr>
          <w:rFonts w:ascii="宋体" w:hAnsi="宋体" w:cs="宋体"/>
          <w:color w:val="auto"/>
          <w:szCs w:val="21"/>
          <w:highlight w:val="none"/>
          <w:u w:val="single"/>
        </w:rPr>
      </w:pPr>
      <w:r>
        <w:rPr>
          <w:rFonts w:hint="eastAsia" w:ascii="宋体" w:hAnsi="宋体" w:cs="宋体"/>
          <w:bCs/>
          <w:color w:val="auto"/>
          <w:szCs w:val="21"/>
          <w:highlight w:val="none"/>
        </w:rPr>
        <w:t>合同编号：</w:t>
      </w:r>
    </w:p>
    <w:p>
      <w:pPr>
        <w:spacing w:line="360" w:lineRule="auto"/>
        <w:ind w:right="800" w:firstLine="6090" w:firstLineChars="2900"/>
        <w:rPr>
          <w:rFonts w:ascii="宋体" w:hAnsi="宋体" w:cs="宋体"/>
          <w:color w:val="auto"/>
          <w:szCs w:val="21"/>
          <w:highlight w:val="none"/>
        </w:rPr>
      </w:pPr>
      <w:r>
        <w:rPr>
          <w:rFonts w:hint="eastAsia" w:ascii="宋体" w:hAnsi="宋体" w:cs="宋体"/>
          <w:color w:val="auto"/>
          <w:szCs w:val="21"/>
          <w:highlight w:val="none"/>
        </w:rPr>
        <w:t>采购计划号：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采购人（甲方）：</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中标供应商（乙方）：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                    签订时间：</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根据《中华人民共和国政府采购法》、《中华人民共和国民法典》等法律、法规规定，按照招标文件规定条款和乙方投标文件及其承诺，甲乙双方签订本合同。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1、合同总金额：（大写）</w:t>
      </w:r>
      <w:r>
        <w:rPr>
          <w:rFonts w:hint="eastAsia" w:ascii="宋体" w:hAnsi="宋体" w:cs="宋体"/>
          <w:color w:val="auto"/>
          <w:szCs w:val="21"/>
          <w:highlight w:val="none"/>
          <w:u w:val="single"/>
        </w:rPr>
        <w:t xml:space="preserve">人民币                      </w:t>
      </w:r>
      <w:r>
        <w:rPr>
          <w:rFonts w:hint="eastAsia" w:ascii="宋体" w:hAnsi="宋体" w:cs="宋体"/>
          <w:color w:val="auto"/>
          <w:szCs w:val="21"/>
          <w:highlight w:val="none"/>
        </w:rPr>
        <w:t>（小写）¥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2、服务内容一览表（详见附件中的开标一览表）</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3、合同总金额</w:t>
      </w:r>
      <w:r>
        <w:rPr>
          <w:rFonts w:hint="eastAsia"/>
          <w:color w:val="auto"/>
          <w:highlight w:val="none"/>
        </w:rPr>
        <w:t>是履行合同的最终价格，必须包含满足本次投标全部采购需求所应提供的服务，人员的工资（基本工资、管理人员津贴、级别工资）、劳保和器械（服装、手电筒、对讲机、电池、胶（木）棒、钢叉、雨具和常用办公用品），社保费（意外伤害保险、医疗保险、养老保险、失业保险、大病医疗互助险、生育保险）和福利待遇（春节慰问、中秋节月饼费、清凉补贴费、水电费、队员培训费、国家法定节日加班费等），以及管理和服务人员意外伤亡赔偿抚恤金、税费、奖金、企业利润等其他管理费用</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1、服务期限：；服务地点：。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3、乙方未能履行合同或不符合招标约定要求，</w:t>
      </w:r>
      <w:r>
        <w:rPr>
          <w:rFonts w:hint="eastAsia" w:ascii="宋体" w:hAnsi="宋体" w:cs="宋体"/>
          <w:color w:val="auto"/>
          <w:kern w:val="0"/>
          <w:szCs w:val="21"/>
          <w:highlight w:val="none"/>
        </w:rPr>
        <w:t>甲方有权书面敦促乙方整改，乙方应在收到甲方书面通知之日起七日内给予书面答复并进行整改，逾期未整改或整改不合格的，甲方有权书面通知乙方解除服务合同，且无需支付合同解除后的合同后续费用</w:t>
      </w:r>
      <w:r>
        <w:rPr>
          <w:rFonts w:hint="eastAsia" w:ascii="宋体" w:hAnsi="宋体" w:cs="宋体"/>
          <w:color w:val="auto"/>
          <w:szCs w:val="21"/>
          <w:highlight w:val="none"/>
        </w:rPr>
        <w:t>。</w:t>
      </w:r>
    </w:p>
    <w:p>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第五条　付款方式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付款方式：</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履约保证金</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履约保证金，相关要求如下：</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1.履约保证金金额：按中标总金额的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2.履约保证金递交方式：中标人在签订合同前以银行转账、支票、汇票、本票或者金融机构、担保机构出具的保函等非现金方式向</w:t>
      </w:r>
      <w:r>
        <w:rPr>
          <w:rFonts w:hint="eastAsia" w:ascii="宋体" w:hAnsi="宋体" w:cs="宋体"/>
          <w:color w:val="auto"/>
          <w:szCs w:val="21"/>
          <w:highlight w:val="none"/>
          <w:u w:val="single"/>
        </w:rPr>
        <w:t>采购人</w:t>
      </w:r>
      <w:r>
        <w:rPr>
          <w:rFonts w:hint="eastAsia" w:ascii="宋体" w:hAnsi="宋体" w:cs="宋体"/>
          <w:color w:val="auto"/>
          <w:szCs w:val="21"/>
          <w:highlight w:val="none"/>
        </w:rPr>
        <w:t>提交。</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3.履约保证金退付方式、时间及条件：</w:t>
      </w:r>
      <w:r>
        <w:rPr>
          <w:rFonts w:hint="eastAsia" w:ascii="宋体" w:hAnsi="宋体" w:cs="宋体"/>
          <w:color w:val="auto"/>
          <w:szCs w:val="21"/>
          <w:highlight w:val="none"/>
          <w:u w:val="single"/>
        </w:rPr>
        <w:t xml:space="preserve">              。</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开户名称：</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开户银行：</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银行账号：</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违约责任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安保管理费总和的违约金，并赔偿由此给甲方造成的全部损失。</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不得将本合同项目转包或分包给第三方，否则甲方有权以书面通知形式单方终止本合同，乙方应承担因此给甲方造成的经济损失，包括但不限于依法应重新招标产生的各项费用、甲方向乙方追偿而支出的律师费、诉讼费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4、任何一方违约解除合同或因违约被解除合同的，应向对方支付共为三个月的安保管理费总和的违约金，并赔偿由此给对方造成的全部损失</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5、其它违约责任见</w:t>
      </w:r>
      <w:r>
        <w:rPr>
          <w:rFonts w:hint="eastAsia" w:ascii="宋体" w:hAnsi="宋体" w:cs="宋体"/>
          <w:b/>
          <w:bCs/>
          <w:color w:val="auto"/>
          <w:szCs w:val="21"/>
          <w:highlight w:val="none"/>
        </w:rPr>
        <w:t>《商务条款偏离表》</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不可抗力事件处理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第十条  合同争议解决</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合同生效及其他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1、合同经双方法定代表人或者其委托代理人签字并加盖单位公章后生效（委托代理人签字的需后附法定代表人授权委托书，格式自拟）。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合同的变更、终止与转让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本合同书与下列文件一起构成合同文件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3、商务条款偏离表和服务要求偏离表；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5、开标一览表；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7、其他合同文件。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8、上述合同文件互相补充和解释。如果合同文件之间存在矛盾或者不一致之处，以上述文件的排列顺序在先者为准。</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第十四条　</w:t>
      </w:r>
      <w:r>
        <w:rPr>
          <w:rFonts w:hint="eastAsia" w:ascii="宋体" w:hAnsi="宋体" w:cs="宋体"/>
          <w:color w:val="auto"/>
          <w:szCs w:val="21"/>
          <w:highlight w:val="none"/>
        </w:rPr>
        <w:t>本合同一式捌份，具有同等法律效力，财政部门（政府采购监管部门）、采购代理机构各一份，甲乙双方各叁份（可根据需要另增加）。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19"/>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ind w:firstLine="945" w:firstLineChars="450"/>
              <w:jc w:val="right"/>
              <w:rPr>
                <w:rFonts w:ascii="宋体" w:hAnsi="宋体" w:cs="宋体"/>
                <w:color w:val="auto"/>
                <w:szCs w:val="21"/>
                <w:highlight w:val="none"/>
              </w:rPr>
            </w:pPr>
          </w:p>
          <w:p>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jc w:val="right"/>
              <w:rPr>
                <w:rFonts w:ascii="宋体" w:hAnsi="宋体" w:cs="宋体"/>
                <w:color w:val="auto"/>
                <w:szCs w:val="21"/>
                <w:highlight w:val="none"/>
              </w:rPr>
            </w:pPr>
          </w:p>
          <w:p>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pPr>
        <w:snapToGrid w:val="0"/>
        <w:jc w:val="center"/>
        <w:rPr>
          <w:rFonts w:ascii="宋体" w:hAnsi="宋体" w:cs="宋体"/>
          <w:b/>
          <w:bCs/>
          <w:color w:val="auto"/>
          <w:sz w:val="32"/>
          <w:szCs w:val="32"/>
          <w:highlight w:val="none"/>
        </w:rPr>
      </w:pPr>
    </w:p>
    <w:p>
      <w:pPr>
        <w:snapToGrid w:val="0"/>
        <w:spacing w:line="360" w:lineRule="auto"/>
        <w:ind w:left="420" w:hanging="420" w:hangingChars="200"/>
        <w:rPr>
          <w:rFonts w:ascii="宋体" w:hAnsi="宋体" w:cs="宋体"/>
          <w:color w:val="auto"/>
          <w:szCs w:val="21"/>
          <w:highlight w:val="none"/>
        </w:rPr>
      </w:pPr>
    </w:p>
    <w:p>
      <w:pPr>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br w:type="page"/>
      </w:r>
    </w:p>
    <w:p>
      <w:pPr>
        <w:snapToGrid w:val="0"/>
        <w:spacing w:line="360" w:lineRule="auto"/>
        <w:jc w:val="left"/>
        <w:rPr>
          <w:rFonts w:ascii="宋体" w:hAnsi="宋体" w:cs="宋体"/>
          <w:color w:val="auto"/>
          <w:szCs w:val="21"/>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outlineLvl w:val="0"/>
        <w:rPr>
          <w:rFonts w:ascii="Times New Roman" w:hAnsi="Times New Roman"/>
          <w:b/>
          <w:color w:val="auto"/>
          <w:sz w:val="36"/>
          <w:highlight w:val="none"/>
        </w:rPr>
      </w:pPr>
      <w:bookmarkStart w:id="343" w:name="_Toc19106"/>
      <w:bookmarkStart w:id="344" w:name="_Toc32149"/>
      <w:bookmarkStart w:id="345" w:name="_Toc20832"/>
      <w:bookmarkStart w:id="346" w:name="_Toc11043"/>
      <w:bookmarkStart w:id="347" w:name="_Toc19350"/>
      <w:bookmarkStart w:id="348" w:name="_Toc2517"/>
      <w:bookmarkStart w:id="349" w:name="_Toc9123"/>
      <w:bookmarkStart w:id="350" w:name="_Toc2377"/>
      <w:bookmarkStart w:id="351" w:name="_Toc5736"/>
      <w:bookmarkStart w:id="352" w:name="_Toc26390"/>
      <w:bookmarkStart w:id="353" w:name="_Toc20296"/>
      <w:bookmarkStart w:id="354" w:name="_Toc26884"/>
      <w:bookmarkStart w:id="355" w:name="_Toc24704"/>
      <w:r>
        <w:rPr>
          <w:rFonts w:hint="eastAsia" w:ascii="Times New Roman" w:hAnsi="Times New Roman"/>
          <w:b/>
          <w:color w:val="auto"/>
          <w:sz w:val="36"/>
          <w:highlight w:val="none"/>
        </w:rPr>
        <w:t>第六章投标文件格式</w:t>
      </w:r>
      <w:bookmarkEnd w:id="343"/>
      <w:bookmarkEnd w:id="344"/>
      <w:bookmarkEnd w:id="345"/>
      <w:bookmarkEnd w:id="346"/>
      <w:bookmarkEnd w:id="347"/>
      <w:bookmarkEnd w:id="348"/>
      <w:bookmarkEnd w:id="349"/>
      <w:bookmarkEnd w:id="350"/>
      <w:bookmarkEnd w:id="351"/>
      <w:bookmarkEnd w:id="352"/>
      <w:bookmarkEnd w:id="353"/>
      <w:bookmarkEnd w:id="354"/>
      <w:bookmarkEnd w:id="355"/>
    </w:p>
    <w:p>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cols w:space="0" w:num="1"/>
          <w:titlePg/>
          <w:docGrid w:linePitch="331" w:charSpace="0"/>
        </w:sectPr>
      </w:pPr>
    </w:p>
    <w:p>
      <w:pPr>
        <w:pStyle w:val="13"/>
        <w:jc w:val="center"/>
        <w:outlineLvl w:val="1"/>
        <w:rPr>
          <w:rFonts w:hAnsi="宋体"/>
          <w:b/>
          <w:bCs/>
          <w:color w:val="auto"/>
          <w:sz w:val="28"/>
          <w:szCs w:val="28"/>
          <w:highlight w:val="none"/>
        </w:rPr>
      </w:pPr>
      <w:bookmarkStart w:id="356" w:name="_Toc24486"/>
      <w:bookmarkStart w:id="357" w:name="_Toc23486"/>
      <w:bookmarkStart w:id="358" w:name="_Toc21700"/>
      <w:bookmarkStart w:id="359" w:name="_Toc7817"/>
      <w:bookmarkStart w:id="360" w:name="_Toc16890"/>
      <w:bookmarkStart w:id="361" w:name="_Toc11854"/>
      <w:bookmarkStart w:id="362" w:name="_Toc32508"/>
      <w:bookmarkStart w:id="363" w:name="_Toc4270"/>
      <w:bookmarkStart w:id="364" w:name="_Toc32370"/>
      <w:bookmarkStart w:id="365" w:name="_Toc20281"/>
      <w:r>
        <w:rPr>
          <w:rFonts w:hint="eastAsia" w:hAnsi="宋体"/>
          <w:b/>
          <w:bCs/>
          <w:color w:val="auto"/>
          <w:sz w:val="28"/>
          <w:szCs w:val="28"/>
          <w:highlight w:val="none"/>
        </w:rPr>
        <w:t>第一节 资格证明文件格式</w:t>
      </w:r>
      <w:bookmarkEnd w:id="356"/>
      <w:bookmarkEnd w:id="357"/>
      <w:bookmarkEnd w:id="358"/>
      <w:bookmarkEnd w:id="359"/>
      <w:bookmarkEnd w:id="360"/>
      <w:bookmarkEnd w:id="361"/>
      <w:bookmarkEnd w:id="362"/>
      <w:bookmarkEnd w:id="363"/>
      <w:bookmarkEnd w:id="364"/>
      <w:bookmarkEnd w:id="365"/>
    </w:p>
    <w:p>
      <w:pPr>
        <w:pStyle w:val="13"/>
        <w:spacing w:line="360" w:lineRule="auto"/>
        <w:ind w:firstLine="420"/>
        <w:rPr>
          <w:rFonts w:hAnsi="宋体"/>
          <w:color w:val="auto"/>
          <w:sz w:val="30"/>
          <w:highlight w:val="none"/>
        </w:rPr>
      </w:pPr>
    </w:p>
    <w:p>
      <w:pPr>
        <w:pStyle w:val="8"/>
        <w:ind w:left="0"/>
        <w:jc w:val="left"/>
        <w:rPr>
          <w:rFonts w:hAnsi="宋体"/>
          <w:color w:val="auto"/>
          <w:sz w:val="30"/>
          <w:highlight w:val="none"/>
        </w:rPr>
      </w:pPr>
      <w:r>
        <w:rPr>
          <w:rFonts w:hint="eastAsia" w:hAnsi="宋体" w:cs="宋体"/>
          <w:b/>
          <w:bCs/>
          <w:color w:val="auto"/>
          <w:sz w:val="28"/>
          <w:szCs w:val="28"/>
          <w:highlight w:val="none"/>
        </w:rPr>
        <w:t>1.资格证明文件封面的格式：</w:t>
      </w:r>
    </w:p>
    <w:p>
      <w:pPr>
        <w:rPr>
          <w:color w:val="auto"/>
          <w:highlight w:val="none"/>
        </w:rPr>
      </w:pPr>
    </w:p>
    <w:p>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pPr>
        <w:snapToGrid w:val="0"/>
        <w:spacing w:beforeLines="50" w:after="50"/>
        <w:rPr>
          <w:rFonts w:ascii="宋体" w:hAnsi="宋体"/>
          <w:color w:val="auto"/>
          <w:sz w:val="24"/>
          <w:szCs w:val="20"/>
          <w:highlight w:val="none"/>
        </w:rPr>
      </w:pPr>
    </w:p>
    <w:p>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rPr>
          <w:rFonts w:ascii="宋体" w:hAnsi="宋体"/>
          <w:bCs/>
          <w:color w:val="auto"/>
          <w:sz w:val="24"/>
          <w:szCs w:val="20"/>
          <w:highlight w:val="none"/>
        </w:rPr>
      </w:pPr>
    </w:p>
    <w:p>
      <w:pPr>
        <w:snapToGrid w:val="0"/>
        <w:spacing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Lines="50" w:after="50"/>
        <w:ind w:firstLine="540" w:firstLineChars="225"/>
        <w:rPr>
          <w:rFonts w:ascii="宋体" w:hAnsi="宋体"/>
          <w:bCs/>
          <w:color w:val="auto"/>
          <w:sz w:val="24"/>
          <w:szCs w:val="20"/>
          <w:highlight w:val="none"/>
        </w:rPr>
      </w:pPr>
    </w:p>
    <w:p>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bCs/>
          <w:color w:val="auto"/>
          <w:sz w:val="24"/>
          <w:highlight w:val="none"/>
        </w:rPr>
        <w:t>：</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960" w:firstLineChars="400"/>
        <w:rPr>
          <w:rFonts w:ascii="宋体" w:hAnsi="宋体"/>
          <w:bCs/>
          <w:color w:val="auto"/>
          <w:sz w:val="24"/>
          <w:szCs w:val="24"/>
          <w:highlight w:val="none"/>
        </w:rPr>
      </w:pPr>
    </w:p>
    <w:p>
      <w:pPr>
        <w:snapToGrid w:val="0"/>
        <w:spacing w:beforeLines="50" w:after="50"/>
        <w:ind w:firstLine="645"/>
        <w:jc w:val="center"/>
        <w:rPr>
          <w:rFonts w:ascii="宋体" w:hAnsi="宋体"/>
          <w:color w:val="auto"/>
          <w:sz w:val="24"/>
          <w:highlight w:val="none"/>
        </w:rPr>
      </w:pPr>
    </w:p>
    <w:p>
      <w:pPr>
        <w:snapToGrid w:val="0"/>
        <w:spacing w:beforeLines="50" w:after="50"/>
        <w:ind w:firstLine="645"/>
        <w:jc w:val="center"/>
        <w:rPr>
          <w:rFonts w:ascii="宋体" w:hAnsi="宋体"/>
          <w:color w:val="auto"/>
          <w:sz w:val="24"/>
          <w:highlight w:val="none"/>
        </w:rPr>
      </w:pPr>
    </w:p>
    <w:p>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cols w:space="0" w:num="1"/>
          <w:titlePg/>
          <w:docGrid w:linePitch="331" w:charSpace="0"/>
        </w:sectPr>
      </w:pP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2.资格证明文件目录</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pPr>
        <w:spacing w:line="360" w:lineRule="auto"/>
        <w:rPr>
          <w:rFonts w:ascii="仿宋_GB2312" w:hAnsi="仿宋" w:eastAsia="仿宋_GB2312" w:cs="仿宋_GB2312"/>
          <w:b/>
          <w:bCs/>
          <w:color w:val="auto"/>
          <w:sz w:val="24"/>
          <w:highlight w:val="none"/>
        </w:rPr>
      </w:pPr>
    </w:p>
    <w:p>
      <w:pPr>
        <w:snapToGrid w:val="0"/>
        <w:spacing w:line="360" w:lineRule="auto"/>
        <w:rPr>
          <w:rFonts w:ascii="仿宋_GB2312" w:hAnsi="仿宋" w:eastAsia="仿宋_GB2312" w:cs="仿宋_GB2312"/>
          <w:b/>
          <w:color w:val="auto"/>
          <w:kern w:val="0"/>
          <w:sz w:val="32"/>
          <w:szCs w:val="32"/>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right="480"/>
        <w:jc w:val="center"/>
        <w:rPr>
          <w:rFonts w:ascii="仿宋_GB2312" w:hAnsi="仿宋" w:eastAsia="仿宋_GB2312" w:cs="仿宋_GB2312"/>
          <w:b/>
          <w:color w:val="auto"/>
          <w:kern w:val="0"/>
          <w:sz w:val="32"/>
          <w:szCs w:val="32"/>
          <w:highlight w:val="none"/>
          <w:lang w:val="zh-CN"/>
        </w:rPr>
      </w:pPr>
    </w:p>
    <w:p>
      <w:pPr>
        <w:snapToGrid w:val="0"/>
        <w:spacing w:line="360" w:lineRule="auto"/>
        <w:ind w:right="480"/>
        <w:jc w:val="center"/>
        <w:rPr>
          <w:rFonts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pStyle w:val="10"/>
        <w:rPr>
          <w:color w:val="auto"/>
          <w:highlight w:val="none"/>
        </w:rPr>
      </w:pP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投标资格声明函的格式</w:t>
      </w:r>
      <w:r>
        <w:rPr>
          <w:rFonts w:hint="eastAsia"/>
          <w:color w:val="auto"/>
          <w:sz w:val="28"/>
          <w:szCs w:val="28"/>
          <w:highlight w:val="none"/>
        </w:rPr>
        <w:t>：</w:t>
      </w:r>
    </w:p>
    <w:p>
      <w:pPr>
        <w:snapToGrid w:val="0"/>
        <w:spacing w:before="50" w:afterLines="50"/>
        <w:jc w:val="center"/>
        <w:rPr>
          <w:rFonts w:ascii="宋体" w:hAnsi="宋体"/>
          <w:b/>
          <w:color w:val="auto"/>
          <w:sz w:val="32"/>
          <w:szCs w:val="32"/>
          <w:highlight w:val="none"/>
        </w:rPr>
      </w:pPr>
      <w:r>
        <w:rPr>
          <w:rFonts w:hint="eastAsia" w:ascii="宋体" w:hAnsi="宋体"/>
          <w:b/>
          <w:color w:val="auto"/>
          <w:sz w:val="32"/>
          <w:szCs w:val="32"/>
          <w:highlight w:val="none"/>
        </w:rPr>
        <w:t>投标资格声明函</w:t>
      </w:r>
    </w:p>
    <w:p>
      <w:pPr>
        <w:tabs>
          <w:tab w:val="left" w:pos="7200"/>
        </w:tabs>
        <w:spacing w:line="360" w:lineRule="auto"/>
        <w:rPr>
          <w:rFonts w:ascii="宋体" w:hAnsi="宋体"/>
          <w:color w:val="auto"/>
          <w:szCs w:val="21"/>
          <w:highlight w:val="none"/>
          <w:u w:val="single"/>
        </w:rPr>
      </w:pPr>
      <w:r>
        <w:rPr>
          <w:rFonts w:hint="eastAsia" w:ascii="宋体" w:hAnsi="宋体"/>
          <w:color w:val="auto"/>
          <w:szCs w:val="21"/>
          <w:highlight w:val="none"/>
        </w:rPr>
        <w:t>致：</w:t>
      </w:r>
      <w:bookmarkStart w:id="366" w:name="PO_3000001866_PM031_5"/>
      <w:r>
        <w:rPr>
          <w:rFonts w:hint="eastAsia" w:ascii="宋体" w:hAnsi="宋体"/>
          <w:color w:val="auto"/>
          <w:szCs w:val="21"/>
          <w:highlight w:val="none"/>
          <w:u w:val="single"/>
        </w:rPr>
        <w:t>广西科联招标中心有限公司</w:t>
      </w:r>
      <w:bookmarkEnd w:id="366"/>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            ）项目的投标，为便于贵方公正、择优地确定中标人，我方就本次投标有关事项郑重声明如下：</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3.经查询，在“信用中国”和“中国政府采购网”网站我方未被列入失信被执行人、重大税收违法失信主体、政府采购严重违法失信行为记录名单。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pPr>
        <w:tabs>
          <w:tab w:val="left" w:pos="7200"/>
        </w:tabs>
        <w:spacing w:line="360" w:lineRule="auto"/>
        <w:ind w:firstLine="270" w:firstLineChars="150"/>
        <w:rPr>
          <w:rFonts w:ascii="宋体" w:hAnsi="宋体"/>
          <w:color w:val="auto"/>
          <w:sz w:val="18"/>
          <w:szCs w:val="18"/>
          <w:highlight w:val="none"/>
        </w:rPr>
      </w:pPr>
      <w:r>
        <w:rPr>
          <w:rFonts w:hint="eastAsia" w:ascii="宋体" w:hAnsi="宋体"/>
          <w:color w:val="auto"/>
          <w:sz w:val="18"/>
          <w:szCs w:val="18"/>
          <w:highlight w:val="none"/>
        </w:rPr>
        <w:t>说明：</w:t>
      </w:r>
    </w:p>
    <w:p>
      <w:pPr>
        <w:spacing w:line="360" w:lineRule="auto"/>
        <w:ind w:firstLine="360" w:firstLineChars="200"/>
        <w:jc w:val="left"/>
        <w:rPr>
          <w:rFonts w:ascii="宋体" w:hAnsi="宋体"/>
          <w:color w:val="auto"/>
          <w:sz w:val="18"/>
          <w:szCs w:val="18"/>
          <w:highlight w:val="none"/>
        </w:rPr>
      </w:pPr>
      <w:r>
        <w:rPr>
          <w:rFonts w:hint="eastAsia" w:ascii="宋体" w:hAnsi="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pPr>
        <w:spacing w:line="360" w:lineRule="auto"/>
        <w:ind w:firstLine="360" w:firstLineChars="200"/>
        <w:jc w:val="left"/>
        <w:rPr>
          <w:rFonts w:ascii="宋体" w:hAnsi="宋体"/>
          <w:color w:val="auto"/>
          <w:sz w:val="18"/>
          <w:szCs w:val="18"/>
          <w:highlight w:val="none"/>
        </w:rPr>
      </w:pPr>
      <w:r>
        <w:rPr>
          <w:rFonts w:hint="eastAsia" w:ascii="宋体" w:hAnsi="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Lines="50"/>
        <w:jc w:val="left"/>
        <w:rPr>
          <w:rFonts w:ascii="宋体" w:hAnsi="宋体"/>
          <w:color w:val="auto"/>
          <w:sz w:val="18"/>
          <w:szCs w:val="18"/>
          <w:highlight w:val="none"/>
        </w:rPr>
      </w:pPr>
      <w:r>
        <w:rPr>
          <w:rFonts w:hint="eastAsia" w:ascii="宋体" w:hAnsi="宋体"/>
          <w:b/>
          <w:color w:val="auto"/>
          <w:sz w:val="18"/>
          <w:szCs w:val="18"/>
          <w:highlight w:val="none"/>
        </w:rPr>
        <w:t xml:space="preserve">  3.如为联合体投标，盖章处须加盖联合体各方公章，否则投标无效。</w:t>
      </w:r>
    </w:p>
    <w:p>
      <w:pPr>
        <w:snapToGrid w:val="0"/>
        <w:spacing w:before="50" w:afterLines="100" w:line="360" w:lineRule="auto"/>
        <w:jc w:val="left"/>
        <w:rPr>
          <w:rFonts w:ascii="宋体" w:hAnsi="宋体" w:cs="宋体"/>
          <w:color w:val="auto"/>
          <w:sz w:val="24"/>
          <w:highlight w:val="none"/>
        </w:rPr>
      </w:pPr>
    </w:p>
    <w:p>
      <w:pPr>
        <w:snapToGrid w:val="0"/>
        <w:spacing w:before="50" w:afterLines="100" w:line="360" w:lineRule="auto"/>
        <w:ind w:left="7428" w:leftChars="2223" w:hanging="2760" w:hangingChars="1150"/>
        <w:jc w:val="left"/>
        <w:rPr>
          <w:rFonts w:ascii="仿宋_GB2312" w:hAnsi="仿宋" w:eastAsia="仿宋_GB2312" w:cs="仿宋_GB2312"/>
          <w:color w:val="auto"/>
          <w:kern w:val="0"/>
          <w:sz w:val="24"/>
          <w:highlight w:val="none"/>
          <w:lang w:val="zh-CN"/>
        </w:rPr>
      </w:pPr>
      <w:r>
        <w:rPr>
          <w:rFonts w:hint="eastAsia" w:ascii="宋体" w:hAnsi="宋体" w:cs="宋体"/>
          <w:color w:val="auto"/>
          <w:kern w:val="0"/>
          <w:sz w:val="24"/>
          <w:highlight w:val="none"/>
          <w:lang w:val="zh-CN"/>
        </w:rPr>
        <w:t>投标人名称(盖公章)：</w:t>
      </w:r>
      <w:r>
        <w:rPr>
          <w:rFonts w:hint="eastAsia" w:ascii="宋体" w:hAnsi="宋体"/>
          <w:color w:val="auto"/>
          <w:szCs w:val="21"/>
          <w:highlight w:val="none"/>
        </w:rPr>
        <w:t xml:space="preserve">                                     年    月    日</w:t>
      </w:r>
    </w:p>
    <w:p>
      <w:pPr>
        <w:rPr>
          <w:b/>
          <w:bCs/>
          <w:color w:val="auto"/>
          <w:sz w:val="30"/>
          <w:szCs w:val="30"/>
          <w:highlight w:val="none"/>
        </w:rPr>
      </w:pPr>
      <w:r>
        <w:rPr>
          <w:rFonts w:hint="eastAsia"/>
          <w:b/>
          <w:bCs/>
          <w:color w:val="auto"/>
          <w:sz w:val="30"/>
          <w:szCs w:val="30"/>
          <w:highlight w:val="none"/>
        </w:rPr>
        <w:br w:type="page"/>
      </w:r>
    </w:p>
    <w:p>
      <w:pPr>
        <w:pStyle w:val="8"/>
        <w:ind w:left="0"/>
        <w:jc w:val="left"/>
        <w:rPr>
          <w:color w:val="auto"/>
          <w:highlight w:val="none"/>
        </w:rPr>
      </w:pPr>
      <w:r>
        <w:rPr>
          <w:rFonts w:hint="eastAsia" w:hAnsi="宋体" w:cs="宋体"/>
          <w:b/>
          <w:bCs/>
          <w:color w:val="auto"/>
          <w:sz w:val="28"/>
          <w:szCs w:val="28"/>
          <w:highlight w:val="none"/>
        </w:rPr>
        <w:t>4.联合体投标协议书的格式：</w:t>
      </w:r>
    </w:p>
    <w:p>
      <w:pPr>
        <w:pStyle w:val="13"/>
        <w:spacing w:line="600" w:lineRule="exact"/>
        <w:jc w:val="center"/>
        <w:rPr>
          <w:rFonts w:hAnsi="宋体" w:cs="宋体"/>
          <w:b/>
          <w:bCs/>
          <w:color w:val="auto"/>
          <w:sz w:val="28"/>
          <w:szCs w:val="28"/>
          <w:highlight w:val="none"/>
        </w:rPr>
      </w:pPr>
    </w:p>
    <w:p>
      <w:pPr>
        <w:pStyle w:val="13"/>
        <w:spacing w:line="600" w:lineRule="exact"/>
        <w:jc w:val="center"/>
        <w:rPr>
          <w:rFonts w:hAnsi="宋体" w:cs="宋体"/>
          <w:color w:val="auto"/>
          <w:sz w:val="28"/>
          <w:szCs w:val="28"/>
          <w:highlight w:val="none"/>
        </w:rPr>
      </w:pPr>
      <w:r>
        <w:rPr>
          <w:rFonts w:hint="eastAsia" w:hAnsi="宋体" w:cs="宋体"/>
          <w:b/>
          <w:bCs/>
          <w:color w:val="auto"/>
          <w:sz w:val="28"/>
          <w:szCs w:val="28"/>
          <w:highlight w:val="none"/>
        </w:rPr>
        <w:t>联合体投标协议书</w:t>
      </w:r>
    </w:p>
    <w:p>
      <w:pPr>
        <w:autoSpaceDE w:val="0"/>
        <w:autoSpaceDN w:val="0"/>
        <w:adjustRightInd w:val="0"/>
        <w:spacing w:line="360" w:lineRule="auto"/>
        <w:jc w:val="left"/>
        <w:rPr>
          <w:rFonts w:ascii="宋体" w:hAnsi="宋体" w:cs="宋体"/>
          <w:color w:val="auto"/>
          <w:kern w:val="0"/>
          <w:szCs w:val="21"/>
          <w:highlight w:val="none"/>
          <w:u w:val="singl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（所有成员单位名称）自愿组成联合体，共同参加</w:t>
      </w:r>
      <w:bookmarkStart w:id="367" w:name="PO_3000001919_PM031_1"/>
      <w:r>
        <w:rPr>
          <w:rFonts w:hint="eastAsia" w:ascii="宋体" w:hAnsi="宋体" w:cs="宋体"/>
          <w:color w:val="auto"/>
          <w:kern w:val="0"/>
          <w:szCs w:val="21"/>
          <w:highlight w:val="none"/>
          <w:u w:val="single"/>
        </w:rPr>
        <w:t>广西科联招标中心有限公司</w:t>
      </w:r>
      <w:bookmarkEnd w:id="367"/>
      <w:r>
        <w:rPr>
          <w:rFonts w:hint="eastAsia" w:ascii="宋体" w:hAnsi="宋体" w:cs="宋体"/>
          <w:color w:val="auto"/>
          <w:kern w:val="0"/>
          <w:szCs w:val="21"/>
          <w:highlight w:val="none"/>
        </w:rPr>
        <w:t>组织的</w:t>
      </w:r>
      <w:r>
        <w:rPr>
          <w:rFonts w:hint="eastAsia" w:ascii="宋体" w:hAnsi="宋体" w:cs="宋体"/>
          <w:i/>
          <w:iCs/>
          <w:color w:val="auto"/>
          <w:kern w:val="0"/>
          <w:szCs w:val="21"/>
          <w:highlight w:val="none"/>
          <w:u w:val="single"/>
        </w:rPr>
        <w:t>（项目名称）</w:t>
      </w:r>
      <w:r>
        <w:rPr>
          <w:rFonts w:hint="eastAsia" w:ascii="宋体" w:hAnsi="宋体" w:cs="宋体"/>
          <w:color w:val="auto"/>
          <w:kern w:val="0"/>
          <w:szCs w:val="21"/>
          <w:highlight w:val="none"/>
        </w:rPr>
        <w:t>（项目编号：）投标。现就联合体投标事宜订立如下协议：</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1、（某成员单位名称）为联合体名称牵头人。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360" w:lineRule="auto"/>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pPr>
        <w:pStyle w:val="13"/>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，（某成员单位名称）为</w:t>
      </w:r>
      <w:r>
        <w:rPr>
          <w:rFonts w:hint="eastAsia" w:hAnsi="宋体" w:cs="宋体"/>
          <w:color w:val="auto"/>
          <w:highlight w:val="none"/>
        </w:rPr>
        <w:t>（请填写：中型、小型、微型）企业，其协议合同金额占联合体协议合同总金额的%。【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7、本协议书一式份，联合体成员和采购代理机构各执一份。</w:t>
      </w:r>
    </w:p>
    <w:p>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牵头人名称：（盖公章）</w:t>
      </w: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成员一名称：（盖公章）</w:t>
      </w: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成员二名称：（盖公章）</w:t>
      </w:r>
    </w:p>
    <w:p>
      <w:pPr>
        <w:pStyle w:val="13"/>
        <w:spacing w:line="360" w:lineRule="auto"/>
        <w:rPr>
          <w:rFonts w:hAnsi="宋体" w:cs="宋体"/>
          <w:color w:val="auto"/>
          <w:kern w:val="0"/>
          <w:szCs w:val="21"/>
          <w:highlight w:val="none"/>
        </w:rPr>
      </w:pPr>
      <w:r>
        <w:rPr>
          <w:rFonts w:hint="eastAsia" w:hAnsi="宋体" w:cs="宋体"/>
          <w:color w:val="auto"/>
          <w:kern w:val="0"/>
          <w:szCs w:val="21"/>
          <w:highlight w:val="none"/>
        </w:rPr>
        <w:t>法定代表人或其委托代理人：（签字）</w:t>
      </w:r>
    </w:p>
    <w:p>
      <w:pPr>
        <w:pStyle w:val="7"/>
        <w:overflowPunct w:val="0"/>
        <w:spacing w:line="360" w:lineRule="auto"/>
        <w:ind w:firstLineChars="175"/>
        <w:rPr>
          <w:rFonts w:ascii="宋体" w:hAnsi="宋体" w:cs="宋体"/>
          <w:color w:val="auto"/>
          <w:sz w:val="24"/>
          <w:highlight w:val="none"/>
        </w:rPr>
      </w:pPr>
      <w:r>
        <w:rPr>
          <w:rFonts w:hint="eastAsia" w:ascii="宋体" w:hAnsi="宋体" w:cs="宋体"/>
          <w:color w:val="auto"/>
          <w:sz w:val="24"/>
          <w:highlight w:val="none"/>
        </w:rPr>
        <w:t>……</w:t>
      </w:r>
    </w:p>
    <w:p>
      <w:pPr>
        <w:pStyle w:val="7"/>
        <w:overflowPunct w:val="0"/>
        <w:spacing w:line="360" w:lineRule="auto"/>
        <w:ind w:firstLineChars="175"/>
        <w:rPr>
          <w:rFonts w:ascii="宋体" w:hAnsi="宋体" w:cs="宋体"/>
          <w:color w:val="auto"/>
          <w:sz w:val="24"/>
          <w:highlight w:val="none"/>
        </w:rPr>
      </w:pPr>
    </w:p>
    <w:p>
      <w:pPr>
        <w:pStyle w:val="7"/>
        <w:overflowPunct w:val="0"/>
        <w:spacing w:line="360" w:lineRule="auto"/>
        <w:ind w:firstLine="7140" w:firstLineChars="2975"/>
        <w:rPr>
          <w:rFonts w:ascii="宋体" w:hAnsi="宋体" w:cs="宋体"/>
          <w:color w:val="auto"/>
          <w:sz w:val="24"/>
          <w:highlight w:val="none"/>
        </w:rPr>
        <w:sectPr>
          <w:pgSz w:w="11905" w:h="16838"/>
          <w:pgMar w:top="1134" w:right="1134" w:bottom="1134" w:left="1134" w:header="850" w:footer="850" w:gutter="0"/>
          <w:cols w:space="0" w:num="1"/>
          <w:titlePg/>
          <w:docGrid w:linePitch="331" w:charSpace="0"/>
        </w:sect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pPr>
        <w:pStyle w:val="13"/>
        <w:jc w:val="left"/>
        <w:rPr>
          <w:rFonts w:ascii="Times New Roman" w:hAnsi="Times New Roman"/>
          <w:b/>
          <w:color w:val="auto"/>
          <w:sz w:val="30"/>
          <w:szCs w:val="30"/>
          <w:highlight w:val="none"/>
        </w:rPr>
      </w:pPr>
      <w:r>
        <w:rPr>
          <w:rFonts w:hint="eastAsia" w:hAnsi="宋体" w:cs="宋体"/>
          <w:b/>
          <w:color w:val="auto"/>
          <w:sz w:val="28"/>
          <w:szCs w:val="28"/>
          <w:highlight w:val="none"/>
        </w:rPr>
        <w:t>5.中小企业声明函的格式：</w:t>
      </w:r>
    </w:p>
    <w:p>
      <w:pPr>
        <w:pStyle w:val="13"/>
        <w:jc w:val="center"/>
        <w:rPr>
          <w:rFonts w:ascii="Times New Roman" w:hAnsi="Times New Roman"/>
          <w:b/>
          <w:color w:val="auto"/>
          <w:sz w:val="30"/>
          <w:szCs w:val="30"/>
          <w:highlight w:val="none"/>
        </w:rPr>
      </w:pPr>
    </w:p>
    <w:p>
      <w:pPr>
        <w:pStyle w:val="13"/>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pPr>
        <w:pStyle w:val="11"/>
        <w:spacing w:line="240" w:lineRule="auto"/>
        <w:ind w:firstLine="404" w:firstLineChars="200"/>
        <w:rPr>
          <w:rFonts w:ascii="Times New Roman" w:hAnsi="宋体"/>
          <w:color w:val="auto"/>
          <w:sz w:val="21"/>
          <w:szCs w:val="21"/>
          <w:highlight w:val="none"/>
        </w:rPr>
      </w:pPr>
    </w:p>
    <w:p>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i/>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i/>
          <w:color w:val="auto"/>
          <w:kern w:val="0"/>
          <w:szCs w:val="21"/>
          <w:highlight w:val="none"/>
          <w:u w:val="single"/>
        </w:rPr>
        <w:t>（项目名称）</w:t>
      </w:r>
      <w:r>
        <w:rPr>
          <w:rFonts w:hint="eastAsia"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，从业人员人，营业收入为万元，资产总额为万元，属于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，从业人员人，营业收入为万元，资产总额为万元，属于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pPr>
        <w:pStyle w:val="13"/>
        <w:spacing w:line="360" w:lineRule="auto"/>
        <w:ind w:firstLine="420" w:firstLineChars="200"/>
        <w:rPr>
          <w:rFonts w:hAnsi="宋体"/>
          <w:color w:val="auto"/>
          <w:szCs w:val="21"/>
          <w:highlight w:val="none"/>
        </w:rPr>
      </w:pPr>
    </w:p>
    <w:p>
      <w:pPr>
        <w:pStyle w:val="13"/>
        <w:spacing w:line="360" w:lineRule="auto"/>
        <w:ind w:firstLine="420" w:firstLineChars="200"/>
        <w:rPr>
          <w:rFonts w:hAnsi="宋体" w:cs="宋体"/>
          <w:color w:val="auto"/>
          <w:szCs w:val="21"/>
          <w:highlight w:val="none"/>
        </w:rPr>
      </w:pPr>
    </w:p>
    <w:p>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pStyle w:val="13"/>
        <w:spacing w:line="360" w:lineRule="auto"/>
        <w:ind w:firstLine="420" w:firstLineChars="200"/>
        <w:rPr>
          <w:rFonts w:hAnsi="宋体"/>
          <w:color w:val="auto"/>
          <w:szCs w:val="21"/>
          <w:highlight w:val="none"/>
        </w:rPr>
      </w:pPr>
    </w:p>
    <w:p>
      <w:pPr>
        <w:snapToGrid w:val="0"/>
        <w:spacing w:before="50" w:afterLines="50"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w:t>
      </w:r>
    </w:p>
    <w:p>
      <w:pPr>
        <w:numPr>
          <w:ilvl w:val="0"/>
          <w:numId w:val="7"/>
        </w:num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pPr>
        <w:snapToGrid w:val="0"/>
        <w:spacing w:before="50" w:afterLines="50"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pPr>
        <w:pStyle w:val="11"/>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3、小型、微型企业提供中型企业提供的服务的，视同为中型企业。</w:t>
      </w:r>
    </w:p>
    <w:p>
      <w:pPr>
        <w:pStyle w:val="2"/>
        <w:rPr>
          <w:rFonts w:ascii="宋体" w:hAnsi="宋体" w:cs="宋体"/>
          <w:color w:val="auto"/>
          <w:highlight w:val="none"/>
        </w:rPr>
        <w:sectPr>
          <w:pgSz w:w="11905" w:h="16838"/>
          <w:pgMar w:top="1134" w:right="1134" w:bottom="1134" w:left="1134" w:header="850" w:footer="850" w:gutter="0"/>
          <w:cols w:space="0" w:num="1"/>
          <w:titlePg/>
          <w:docGrid w:linePitch="331" w:charSpace="0"/>
        </w:sectPr>
      </w:pPr>
    </w:p>
    <w:p>
      <w:pPr>
        <w:jc w:val="left"/>
        <w:rPr>
          <w:rFonts w:ascii="宋体" w:hAnsi="宋体" w:cs="宋体"/>
          <w:b/>
          <w:color w:val="auto"/>
          <w:sz w:val="28"/>
          <w:szCs w:val="28"/>
          <w:highlight w:val="none"/>
        </w:rPr>
      </w:pPr>
      <w:r>
        <w:rPr>
          <w:rFonts w:hint="eastAsia" w:ascii="宋体" w:hAnsi="宋体" w:cs="宋体"/>
          <w:b/>
          <w:color w:val="auto"/>
          <w:sz w:val="28"/>
          <w:szCs w:val="28"/>
          <w:highlight w:val="none"/>
        </w:rPr>
        <w:t>6.残疾人福利性单位声明函的格式：</w:t>
      </w:r>
    </w:p>
    <w:p>
      <w:pPr>
        <w:jc w:val="left"/>
        <w:rPr>
          <w:rFonts w:hAnsi="宋体" w:cs="宋体"/>
          <w:b/>
          <w:color w:val="auto"/>
          <w:sz w:val="28"/>
          <w:szCs w:val="28"/>
          <w:highlight w:val="none"/>
        </w:rPr>
      </w:pPr>
    </w:p>
    <w:p>
      <w:pPr>
        <w:jc w:val="left"/>
        <w:rPr>
          <w:rFonts w:hAnsi="宋体" w:cs="宋体"/>
          <w:b/>
          <w:color w:val="auto"/>
          <w:sz w:val="28"/>
          <w:szCs w:val="28"/>
          <w:highlight w:val="none"/>
        </w:rPr>
      </w:pPr>
    </w:p>
    <w:p>
      <w:pPr>
        <w:pStyle w:val="13"/>
        <w:spacing w:line="360" w:lineRule="auto"/>
        <w:jc w:val="center"/>
        <w:rPr>
          <w:b/>
          <w:color w:val="auto"/>
          <w:sz w:val="30"/>
          <w:szCs w:val="30"/>
          <w:highlight w:val="none"/>
        </w:rPr>
      </w:pPr>
      <w:r>
        <w:rPr>
          <w:rFonts w:hint="eastAsia"/>
          <w:b/>
          <w:color w:val="auto"/>
          <w:sz w:val="30"/>
          <w:szCs w:val="30"/>
          <w:highlight w:val="none"/>
        </w:rPr>
        <w:t>残疾人福利性单位声明函</w:t>
      </w:r>
    </w:p>
    <w:p>
      <w:pPr>
        <w:pStyle w:val="13"/>
        <w:spacing w:line="360" w:lineRule="auto"/>
        <w:jc w:val="center"/>
        <w:rPr>
          <w:b/>
          <w:color w:val="auto"/>
          <w:sz w:val="30"/>
          <w:szCs w:val="30"/>
          <w:highlight w:val="none"/>
        </w:rPr>
      </w:pPr>
    </w:p>
    <w:p>
      <w:pPr>
        <w:pStyle w:val="13"/>
        <w:spacing w:line="360" w:lineRule="auto"/>
        <w:jc w:val="left"/>
        <w:rPr>
          <w:rFonts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13"/>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pPr>
        <w:pStyle w:val="13"/>
        <w:spacing w:line="360" w:lineRule="auto"/>
        <w:jc w:val="left"/>
        <w:rPr>
          <w:rFonts w:hAnsi="宋体" w:cs="宋体"/>
          <w:b/>
          <w:color w:val="auto"/>
          <w:szCs w:val="21"/>
          <w:highlight w:val="none"/>
        </w:rPr>
      </w:pPr>
    </w:p>
    <w:p>
      <w:pPr>
        <w:pStyle w:val="13"/>
        <w:spacing w:line="360" w:lineRule="auto"/>
        <w:jc w:val="left"/>
        <w:rPr>
          <w:rFonts w:hAnsi="宋体" w:cs="宋体"/>
          <w:b/>
          <w:color w:val="auto"/>
          <w:szCs w:val="21"/>
          <w:highlight w:val="none"/>
        </w:rPr>
      </w:pPr>
    </w:p>
    <w:p>
      <w:pPr>
        <w:snapToGrid w:val="0"/>
        <w:spacing w:line="360" w:lineRule="auto"/>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pStyle w:val="13"/>
        <w:spacing w:line="360" w:lineRule="auto"/>
        <w:ind w:left="5132" w:leftChars="1979" w:hanging="976" w:hangingChars="488"/>
        <w:rPr>
          <w:rFonts w:hAnsi="宋体" w:cs="宋体"/>
          <w:color w:val="auto"/>
          <w:sz w:val="20"/>
          <w:highlight w:val="none"/>
        </w:rPr>
      </w:pPr>
    </w:p>
    <w:p>
      <w:pPr>
        <w:spacing w:line="360" w:lineRule="auto"/>
        <w:ind w:right="420" w:firstLine="480" w:firstLineChars="200"/>
        <w:rPr>
          <w:rFonts w:ascii="宋体" w:hAnsi="宋体" w:cs="宋体"/>
          <w:color w:val="auto"/>
          <w:sz w:val="24"/>
          <w:highlight w:val="none"/>
        </w:rPr>
      </w:pPr>
    </w:p>
    <w:p>
      <w:pPr>
        <w:spacing w:line="360" w:lineRule="auto"/>
        <w:ind w:right="420" w:firstLine="480" w:firstLineChars="200"/>
        <w:rPr>
          <w:rFonts w:ascii="宋体" w:hAnsi="宋体" w:cs="宋体"/>
          <w:color w:val="auto"/>
          <w:sz w:val="24"/>
          <w:highlight w:val="none"/>
        </w:rPr>
      </w:pPr>
    </w:p>
    <w:p>
      <w:pPr>
        <w:pStyle w:val="7"/>
        <w:overflowPunct w:val="0"/>
        <w:spacing w:line="360" w:lineRule="auto"/>
        <w:ind w:firstLine="6247" w:firstLineChars="2975"/>
        <w:rPr>
          <w:rFonts w:ascii="宋体" w:hAnsi="宋体" w:cs="宋体"/>
          <w:color w:val="auto"/>
          <w:sz w:val="24"/>
          <w:highlight w:val="none"/>
        </w:rPr>
        <w:sectPr>
          <w:pgSz w:w="11905" w:h="16838"/>
          <w:pgMar w:top="1134" w:right="1134" w:bottom="1134" w:left="1134" w:header="850" w:footer="850" w:gutter="0"/>
          <w:cols w:space="0" w:num="1"/>
          <w:titlePg/>
          <w:docGrid w:linePitch="331" w:charSpace="0"/>
        </w:sect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overflowPunct w:val="0"/>
        <w:spacing w:line="360" w:lineRule="auto"/>
        <w:ind w:firstLine="7140" w:firstLineChars="2975"/>
        <w:rPr>
          <w:rFonts w:ascii="宋体" w:hAnsi="宋体" w:cs="宋体"/>
          <w:color w:val="auto"/>
          <w:sz w:val="24"/>
          <w:highlight w:val="none"/>
        </w:rPr>
      </w:pPr>
    </w:p>
    <w:p>
      <w:pPr>
        <w:pStyle w:val="13"/>
        <w:spacing w:line="600" w:lineRule="exact"/>
        <w:jc w:val="center"/>
        <w:rPr>
          <w:rFonts w:hAnsi="宋体" w:cs="宋体"/>
          <w:color w:val="auto"/>
          <w:kern w:val="0"/>
          <w:szCs w:val="21"/>
          <w:highlight w:val="none"/>
        </w:rPr>
      </w:pPr>
    </w:p>
    <w:p>
      <w:pPr>
        <w:pStyle w:val="13"/>
        <w:rPr>
          <w:rFonts w:hAnsi="宋体"/>
          <w:color w:val="auto"/>
          <w:szCs w:val="21"/>
          <w:highlight w:val="none"/>
        </w:rPr>
      </w:pPr>
    </w:p>
    <w:p>
      <w:pPr>
        <w:pStyle w:val="13"/>
        <w:jc w:val="center"/>
        <w:outlineLvl w:val="1"/>
        <w:rPr>
          <w:rFonts w:hAnsi="宋体"/>
          <w:b/>
          <w:bCs/>
          <w:color w:val="auto"/>
          <w:sz w:val="28"/>
          <w:szCs w:val="28"/>
          <w:highlight w:val="none"/>
        </w:rPr>
      </w:pPr>
      <w:bookmarkStart w:id="368" w:name="_Toc2566"/>
      <w:bookmarkStart w:id="369" w:name="_Toc24133"/>
      <w:bookmarkStart w:id="370" w:name="_Toc13159"/>
      <w:bookmarkStart w:id="371" w:name="_Toc6839"/>
      <w:bookmarkStart w:id="372" w:name="_Toc31528"/>
      <w:bookmarkStart w:id="373" w:name="_Toc8189"/>
      <w:bookmarkStart w:id="374" w:name="_Toc16062"/>
      <w:bookmarkStart w:id="375" w:name="_Toc12624"/>
      <w:bookmarkStart w:id="376" w:name="_Toc3944"/>
      <w:bookmarkStart w:id="377" w:name="_Toc20777"/>
      <w:bookmarkStart w:id="378" w:name="_Toc19686838"/>
    </w:p>
    <w:p>
      <w:pPr>
        <w:pStyle w:val="13"/>
        <w:jc w:val="center"/>
        <w:outlineLvl w:val="1"/>
        <w:rPr>
          <w:rFonts w:hAnsi="宋体"/>
          <w:b/>
          <w:bCs/>
          <w:color w:val="auto"/>
          <w:sz w:val="28"/>
          <w:szCs w:val="28"/>
          <w:highlight w:val="none"/>
        </w:rPr>
      </w:pPr>
      <w:r>
        <w:rPr>
          <w:rFonts w:hint="eastAsia" w:hAnsi="宋体"/>
          <w:b/>
          <w:bCs/>
          <w:color w:val="auto"/>
          <w:sz w:val="28"/>
          <w:szCs w:val="28"/>
          <w:highlight w:val="none"/>
        </w:rPr>
        <w:t>第二节 商务文件格式</w:t>
      </w:r>
      <w:bookmarkEnd w:id="368"/>
      <w:bookmarkEnd w:id="369"/>
      <w:bookmarkEnd w:id="370"/>
      <w:bookmarkEnd w:id="371"/>
      <w:bookmarkEnd w:id="372"/>
      <w:bookmarkEnd w:id="373"/>
      <w:bookmarkEnd w:id="374"/>
      <w:bookmarkEnd w:id="375"/>
      <w:bookmarkEnd w:id="376"/>
      <w:bookmarkEnd w:id="377"/>
      <w:bookmarkEnd w:id="378"/>
    </w:p>
    <w:p>
      <w:pPr>
        <w:snapToGrid w:val="0"/>
        <w:spacing w:beforeLines="50" w:after="50"/>
        <w:rPr>
          <w:rFonts w:ascii="宋体" w:hAnsi="宋体"/>
          <w:color w:val="auto"/>
          <w:sz w:val="30"/>
          <w:szCs w:val="20"/>
          <w:highlight w:val="none"/>
        </w:rPr>
      </w:pPr>
    </w:p>
    <w:p>
      <w:pPr>
        <w:pStyle w:val="2"/>
        <w:rPr>
          <w:color w:val="auto"/>
          <w:highlight w:val="none"/>
        </w:rPr>
      </w:pPr>
      <w:r>
        <w:rPr>
          <w:rFonts w:hint="eastAsia" w:ascii="宋体" w:hAnsi="宋体" w:cs="宋体"/>
          <w:b/>
          <w:color w:val="auto"/>
          <w:sz w:val="28"/>
          <w:szCs w:val="28"/>
          <w:highlight w:val="none"/>
        </w:rPr>
        <w:t>1.商务文件封面的格式：</w:t>
      </w:r>
    </w:p>
    <w:p>
      <w:pPr>
        <w:snapToGrid w:val="0"/>
        <w:spacing w:beforeLines="50" w:after="50"/>
        <w:rPr>
          <w:rFonts w:ascii="宋体" w:hAnsi="宋体"/>
          <w:bCs/>
          <w:color w:val="auto"/>
          <w:sz w:val="32"/>
          <w:szCs w:val="20"/>
          <w:highlight w:val="none"/>
        </w:rPr>
      </w:pPr>
      <w:r>
        <w:rPr>
          <w:rFonts w:hint="eastAsia" w:ascii="宋体" w:hAnsi="宋体"/>
          <w:bCs/>
          <w:color w:val="auto"/>
          <w:highlight w:val="none"/>
        </w:rPr>
        <w:t xml:space="preserve">             电子投标文件</w:t>
      </w:r>
    </w:p>
    <w:p>
      <w:pPr>
        <w:snapToGrid w:val="0"/>
        <w:spacing w:beforeLines="50" w:after="50"/>
        <w:rPr>
          <w:rFonts w:ascii="宋体" w:hAnsi="宋体"/>
          <w:color w:val="auto"/>
          <w:sz w:val="24"/>
          <w:szCs w:val="20"/>
          <w:highlight w:val="none"/>
        </w:rPr>
      </w:pPr>
    </w:p>
    <w:p>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w:t>
      </w:r>
    </w:p>
    <w:p>
      <w:pPr>
        <w:snapToGrid w:val="0"/>
        <w:spacing w:beforeLines="50" w:after="50"/>
        <w:rPr>
          <w:rFonts w:ascii="宋体" w:hAnsi="宋体"/>
          <w:bCs/>
          <w:color w:val="auto"/>
          <w:sz w:val="24"/>
          <w:szCs w:val="20"/>
          <w:highlight w:val="none"/>
        </w:rPr>
      </w:pPr>
    </w:p>
    <w:p>
      <w:pPr>
        <w:snapToGrid w:val="0"/>
        <w:spacing w:beforeLines="50" w:after="50"/>
        <w:ind w:firstLine="540" w:firstLineChars="225"/>
        <w:rPr>
          <w:rFonts w:ascii="宋体" w:hAnsi="宋体"/>
          <w:bCs/>
          <w:color w:val="auto"/>
          <w:sz w:val="24"/>
          <w:highlight w:val="none"/>
        </w:rPr>
      </w:pPr>
    </w:p>
    <w:p>
      <w:pPr>
        <w:snapToGrid w:val="0"/>
        <w:spacing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项目编号： </w:t>
      </w:r>
    </w:p>
    <w:p>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pPr>
        <w:snapToGrid w:val="0"/>
        <w:spacing w:beforeLines="50" w:after="50"/>
        <w:ind w:firstLine="540" w:firstLineChars="225"/>
        <w:rPr>
          <w:rFonts w:ascii="宋体" w:hAnsi="宋体"/>
          <w:bCs/>
          <w:color w:val="auto"/>
          <w:sz w:val="24"/>
          <w:szCs w:val="20"/>
          <w:highlight w:val="none"/>
        </w:rPr>
      </w:pPr>
    </w:p>
    <w:p>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7"/>
        <w:snapToGrid w:val="0"/>
        <w:spacing w:before="50" w:after="50"/>
        <w:ind w:firstLine="540" w:firstLineChars="225"/>
        <w:rPr>
          <w:rFonts w:ascii="宋体" w:hAnsi="宋体"/>
          <w:bCs/>
          <w:color w:val="auto"/>
          <w:sz w:val="24"/>
          <w:szCs w:val="24"/>
          <w:highlight w:val="none"/>
        </w:rPr>
      </w:pPr>
    </w:p>
    <w:p>
      <w:pPr>
        <w:pStyle w:val="7"/>
        <w:snapToGrid w:val="0"/>
        <w:spacing w:before="50" w:after="50"/>
        <w:ind w:firstLine="960" w:firstLineChars="400"/>
        <w:rPr>
          <w:rFonts w:ascii="宋体" w:hAnsi="宋体"/>
          <w:bCs/>
          <w:color w:val="auto"/>
          <w:sz w:val="24"/>
          <w:szCs w:val="24"/>
          <w:highlight w:val="none"/>
        </w:rPr>
      </w:pPr>
    </w:p>
    <w:p>
      <w:pPr>
        <w:snapToGrid w:val="0"/>
        <w:spacing w:beforeLines="50" w:after="50"/>
        <w:ind w:firstLine="645"/>
        <w:rPr>
          <w:rFonts w:ascii="宋体" w:hAnsi="宋体"/>
          <w:color w:val="auto"/>
          <w:sz w:val="24"/>
          <w:highlight w:val="none"/>
        </w:rPr>
      </w:pPr>
    </w:p>
    <w:p>
      <w:pPr>
        <w:snapToGrid w:val="0"/>
        <w:spacing w:beforeLines="50" w:after="50"/>
        <w:ind w:firstLine="645"/>
        <w:rPr>
          <w:rFonts w:ascii="宋体" w:hAnsi="宋体"/>
          <w:color w:val="auto"/>
          <w:sz w:val="24"/>
          <w:highlight w:val="none"/>
        </w:rPr>
      </w:pPr>
    </w:p>
    <w:p>
      <w:pPr>
        <w:snapToGrid w:val="0"/>
        <w:spacing w:beforeLines="50" w:after="50"/>
        <w:ind w:firstLine="645"/>
        <w:rPr>
          <w:rFonts w:ascii="宋体" w:hAnsi="宋体"/>
          <w:color w:val="auto"/>
          <w:sz w:val="24"/>
          <w:highlight w:val="none"/>
        </w:rPr>
      </w:pPr>
    </w:p>
    <w:p>
      <w:pPr>
        <w:snapToGrid w:val="0"/>
        <w:spacing w:beforeLines="50" w:after="50"/>
        <w:ind w:firstLine="645"/>
        <w:rPr>
          <w:rFonts w:ascii="宋体" w:hAnsi="宋体"/>
          <w:color w:val="auto"/>
          <w:sz w:val="24"/>
          <w:highlight w:val="none"/>
        </w:rPr>
      </w:pPr>
    </w:p>
    <w:p>
      <w:pPr>
        <w:snapToGrid w:val="0"/>
        <w:spacing w:beforeLines="50" w:after="50"/>
        <w:ind w:firstLine="645"/>
        <w:rPr>
          <w:rFonts w:ascii="宋体" w:hAnsi="宋体"/>
          <w:color w:val="auto"/>
          <w:sz w:val="24"/>
          <w:highlight w:val="none"/>
        </w:rPr>
      </w:pPr>
    </w:p>
    <w:p>
      <w:pPr>
        <w:snapToGrid w:val="0"/>
        <w:spacing w:beforeLines="50" w:after="50"/>
        <w:ind w:firstLine="4329" w:firstLineChars="1804"/>
        <w:rPr>
          <w:rFonts w:ascii="宋体" w:hAnsi="宋体"/>
          <w:color w:val="auto"/>
          <w:sz w:val="24"/>
          <w:highlight w:val="none"/>
        </w:rPr>
      </w:pPr>
      <w:r>
        <w:rPr>
          <w:rFonts w:hint="eastAsia" w:ascii="宋体" w:hAnsi="宋体"/>
          <w:color w:val="auto"/>
          <w:sz w:val="24"/>
          <w:highlight w:val="none"/>
        </w:rPr>
        <w:t xml:space="preserve"> 年  月  日</w:t>
      </w:r>
    </w:p>
    <w:p>
      <w:pPr>
        <w:spacing w:line="360" w:lineRule="auto"/>
        <w:ind w:right="420"/>
        <w:rPr>
          <w:rFonts w:ascii="仿宋_GB2312" w:hAnsi="仿宋" w:eastAsia="仿宋_GB2312" w:cs="仿宋_GB2312"/>
          <w:b/>
          <w:color w:val="auto"/>
          <w:kern w:val="0"/>
          <w:sz w:val="36"/>
          <w:szCs w:val="36"/>
          <w:highlight w:val="none"/>
        </w:rPr>
      </w:pPr>
    </w:p>
    <w:p>
      <w:pP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2.商务文件目录</w:t>
      </w:r>
    </w:p>
    <w:p>
      <w:pPr>
        <w:jc w:val="left"/>
        <w:rPr>
          <w:b/>
          <w:bCs/>
          <w:color w:val="auto"/>
          <w:sz w:val="30"/>
          <w:szCs w:val="30"/>
          <w:highlight w:val="none"/>
        </w:rPr>
      </w:pPr>
      <w:r>
        <w:rPr>
          <w:rFonts w:hint="eastAsia" w:ascii="宋体" w:hAnsi="宋体" w:cs="宋体"/>
          <w:color w:val="auto"/>
          <w:kern w:val="0"/>
          <w:sz w:val="24"/>
          <w:highlight w:val="none"/>
        </w:rPr>
        <w:t>根据招标文件规定及投标人提供的材料自行编写目录（部分格式后附）。</w:t>
      </w:r>
      <w:r>
        <w:rPr>
          <w:rFonts w:hint="eastAsia"/>
          <w:b/>
          <w:bCs/>
          <w:color w:val="auto"/>
          <w:sz w:val="30"/>
          <w:szCs w:val="30"/>
          <w:highlight w:val="none"/>
        </w:rPr>
        <w:br w:type="page"/>
      </w:r>
    </w:p>
    <w:p>
      <w:pPr>
        <w:snapToGrid w:val="0"/>
        <w:spacing w:beforeLines="50" w:after="50"/>
        <w:rPr>
          <w:b/>
          <w:bCs/>
          <w:color w:val="auto"/>
          <w:sz w:val="30"/>
          <w:szCs w:val="30"/>
          <w:highlight w:val="none"/>
        </w:rPr>
      </w:pPr>
      <w:r>
        <w:rPr>
          <w:rFonts w:hint="eastAsia" w:ascii="宋体" w:hAnsi="宋体" w:cs="宋体"/>
          <w:b/>
          <w:bCs/>
          <w:color w:val="auto"/>
          <w:sz w:val="28"/>
          <w:szCs w:val="28"/>
          <w:highlight w:val="none"/>
        </w:rPr>
        <w:t>3.无串通投标行为的承诺函的格式：</w:t>
      </w:r>
    </w:p>
    <w:p>
      <w:pPr>
        <w:snapToGrid w:val="0"/>
        <w:spacing w:beforeLines="50" w:after="50"/>
        <w:ind w:left="420"/>
        <w:jc w:val="center"/>
        <w:rPr>
          <w:rFonts w:ascii="宋体" w:hAnsi="宋体"/>
          <w:b/>
          <w:color w:val="auto"/>
          <w:sz w:val="32"/>
          <w:szCs w:val="32"/>
          <w:highlight w:val="none"/>
        </w:rPr>
      </w:pPr>
    </w:p>
    <w:p>
      <w:pPr>
        <w:snapToGrid w:val="0"/>
        <w:spacing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参加本项目无</w:t>
      </w:r>
      <w:r>
        <w:rPr>
          <w:rFonts w:hint="eastAsia"/>
          <w:b/>
          <w:bCs/>
          <w:color w:val="auto"/>
          <w:sz w:val="32"/>
          <w:szCs w:val="32"/>
          <w:highlight w:val="none"/>
        </w:rPr>
        <w:t>串通投</w:t>
      </w:r>
      <w:r>
        <w:rPr>
          <w:rFonts w:hint="eastAsia" w:ascii="宋体" w:hAnsi="宋体"/>
          <w:b/>
          <w:color w:val="auto"/>
          <w:sz w:val="32"/>
          <w:szCs w:val="32"/>
          <w:highlight w:val="none"/>
        </w:rPr>
        <w:t>标行为的承诺函</w:t>
      </w:r>
    </w:p>
    <w:p>
      <w:pPr>
        <w:snapToGrid w:val="0"/>
        <w:spacing w:beforeLines="50" w:after="50"/>
        <w:rPr>
          <w:rFonts w:ascii="宋体" w:hAnsi="宋体"/>
          <w:b/>
          <w:color w:val="auto"/>
          <w:szCs w:val="21"/>
          <w:highlight w:val="none"/>
        </w:rPr>
      </w:pPr>
    </w:p>
    <w:p>
      <w:pPr>
        <w:snapToGrid w:val="0"/>
        <w:spacing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pPr>
        <w:snapToGrid w:val="0"/>
        <w:spacing w:beforeLines="50" w:after="50" w:line="360" w:lineRule="auto"/>
        <w:ind w:firstLine="411" w:firstLineChars="196"/>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.不同投标人的投标保证金从同一单位或者个人账户转出。</w:t>
      </w:r>
    </w:p>
    <w:p>
      <w:pPr>
        <w:snapToGrid w:val="0"/>
        <w:spacing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3.投标人之间协商报价、技术方案等投标文件的实质性内容；</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pPr>
        <w:snapToGrid w:val="0"/>
        <w:spacing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10"/>
        <w:rPr>
          <w:color w:val="auto"/>
          <w:highlight w:val="none"/>
        </w:rPr>
      </w:pPr>
    </w:p>
    <w:p>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pStyle w:val="13"/>
        <w:snapToGrid w:val="0"/>
        <w:spacing w:before="295" w:after="295" w:line="360" w:lineRule="auto"/>
        <w:rPr>
          <w:rFonts w:hAnsi="宋体"/>
          <w:b/>
          <w:color w:val="auto"/>
          <w:sz w:val="24"/>
          <w:highlight w:val="none"/>
        </w:rPr>
      </w:pPr>
      <w:r>
        <w:rPr>
          <w:rFonts w:hint="eastAsia" w:hAnsi="宋体"/>
          <w:b/>
          <w:color w:val="auto"/>
          <w:sz w:val="24"/>
          <w:highlight w:val="none"/>
        </w:rPr>
        <w:br w:type="page"/>
      </w:r>
      <w:r>
        <w:rPr>
          <w:rFonts w:hint="eastAsia" w:hAnsi="宋体" w:cs="宋体"/>
          <w:b/>
          <w:bCs/>
          <w:color w:val="auto"/>
          <w:sz w:val="28"/>
          <w:szCs w:val="28"/>
          <w:highlight w:val="none"/>
        </w:rPr>
        <w:t>4.法定代表人身份证明的格式：</w:t>
      </w:r>
    </w:p>
    <w:p>
      <w:pPr>
        <w:spacing w:beforeLines="100" w:afterLines="50"/>
        <w:ind w:left="540"/>
        <w:jc w:val="center"/>
        <w:rPr>
          <w:rFonts w:ascii="宋体" w:hAnsi="Courier New"/>
          <w:b/>
          <w:color w:val="auto"/>
          <w:sz w:val="32"/>
          <w:szCs w:val="32"/>
          <w:highlight w:val="none"/>
        </w:rPr>
      </w:pPr>
    </w:p>
    <w:p>
      <w:pPr>
        <w:spacing w:beforeLines="10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p>
    <w:p>
      <w:pPr>
        <w:spacing w:line="500" w:lineRule="exact"/>
        <w:ind w:left="540"/>
        <w:rPr>
          <w:rFonts w:ascii="宋体" w:hAnsi="宋体"/>
          <w:color w:val="auto"/>
          <w:sz w:val="24"/>
          <w:highlight w:val="none"/>
        </w:rPr>
      </w:pPr>
      <w:r>
        <w:rPr>
          <w:rFonts w:hint="eastAsia" w:ascii="宋体" w:hAnsi="宋体"/>
          <w:color w:val="auto"/>
          <w:sz w:val="24"/>
          <w:highlight w:val="none"/>
        </w:rPr>
        <w:t>姓    名：性      别：</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龄：职      务：</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i/>
          <w:iCs/>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beforeLines="50" w:after="50"/>
        <w:jc w:val="center"/>
        <w:rPr>
          <w:rFonts w:ascii="宋体" w:hAnsi="宋体"/>
          <w:b/>
          <w:color w:val="auto"/>
          <w:sz w:val="24"/>
          <w:highlight w:val="none"/>
        </w:rPr>
      </w:pPr>
    </w:p>
    <w:p>
      <w:pPr>
        <w:snapToGrid w:val="0"/>
        <w:spacing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pPr>
        <w:snapToGrid w:val="0"/>
        <w:spacing w:beforeLines="50" w:after="50"/>
        <w:ind w:firstLine="600" w:firstLineChars="250"/>
        <w:jc w:val="left"/>
        <w:rPr>
          <w:rFonts w:ascii="宋体" w:hAnsi="宋体"/>
          <w:color w:val="auto"/>
          <w:sz w:val="24"/>
          <w:highlight w:val="none"/>
        </w:rPr>
      </w:pPr>
    </w:p>
    <w:p>
      <w:pPr>
        <w:snapToGrid w:val="0"/>
        <w:spacing w:beforeLines="50" w:after="50"/>
        <w:ind w:firstLine="602" w:firstLineChars="250"/>
        <w:jc w:val="left"/>
        <w:rPr>
          <w:rFonts w:ascii="宋体" w:hAnsi="宋体"/>
          <w:b/>
          <w:color w:val="auto"/>
          <w:sz w:val="24"/>
          <w:szCs w:val="20"/>
          <w:highlight w:val="none"/>
        </w:rPr>
      </w:pPr>
    </w:p>
    <w:tbl>
      <w:tblPr>
        <w:tblStyle w:val="19"/>
        <w:tblpPr w:leftFromText="180" w:rightFromText="180" w:vertAnchor="text" w:horzAnchor="margin" w:tblpXSpec="center" w:tblpY="116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ascii="宋体"/>
                <w:b/>
                <w:color w:val="auto"/>
                <w:sz w:val="24"/>
                <w:highlight w:val="none"/>
              </w:rPr>
              <w:t>法定代表人有效身份证复印件粘帖处（正、反面）</w:t>
            </w:r>
          </w:p>
        </w:tc>
      </w:tr>
    </w:tbl>
    <w:p>
      <w:pPr>
        <w:pStyle w:val="13"/>
        <w:snapToGrid w:val="0"/>
        <w:spacing w:before="295" w:after="295" w:line="360" w:lineRule="auto"/>
        <w:jc w:val="left"/>
        <w:rPr>
          <w:rFonts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hAnsi="宋体" w:cs="宋体"/>
          <w:b/>
          <w:bCs/>
          <w:color w:val="auto"/>
          <w:sz w:val="30"/>
          <w:szCs w:val="30"/>
          <w:highlight w:val="none"/>
        </w:rPr>
        <w:t>5.法定代表人授权委托书的格式：</w:t>
      </w:r>
    </w:p>
    <w:p>
      <w:pPr>
        <w:snapToGrid w:val="0"/>
        <w:spacing w:beforeLines="50" w:after="50"/>
        <w:jc w:val="center"/>
        <w:rPr>
          <w:rFonts w:ascii="宋体" w:hAnsi="宋体"/>
          <w:b/>
          <w:color w:val="auto"/>
          <w:sz w:val="32"/>
          <w:szCs w:val="32"/>
          <w:highlight w:val="none"/>
        </w:rPr>
      </w:pPr>
    </w:p>
    <w:p>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法定代表人授权委托书（如有委托时）</w:t>
      </w:r>
    </w:p>
    <w:p>
      <w:pPr>
        <w:snapToGrid w:val="0"/>
        <w:spacing w:beforeLines="50" w:after="50"/>
        <w:jc w:val="center"/>
        <w:rPr>
          <w:rFonts w:ascii="宋体" w:hAnsi="宋体"/>
          <w:b/>
          <w:color w:val="auto"/>
          <w:sz w:val="24"/>
          <w:highlight w:val="none"/>
        </w:rPr>
      </w:pPr>
    </w:p>
    <w:p>
      <w:pPr>
        <w:pStyle w:val="13"/>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bookmarkStart w:id="379" w:name="PO_3000001866_PM031_7"/>
      <w:r>
        <w:rPr>
          <w:rFonts w:hint="eastAsia" w:ascii="Times New Roman" w:hAnsi="Times New Roman"/>
          <w:color w:val="auto"/>
          <w:highlight w:val="none"/>
          <w:u w:val="single"/>
        </w:rPr>
        <w:t>广西科联招标中心有限公司</w:t>
      </w:r>
      <w:bookmarkEnd w:id="379"/>
    </w:p>
    <w:p>
      <w:pPr>
        <w:pStyle w:val="13"/>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本人（姓名）系（投标人名称）的法定代表人，现授权我单位在职正式员工（姓名和职务）为我方代理人。代理人根据授权，以我方名义签署、澄清、说明、补正、递交、撤回、修改贵方组织的</w:t>
      </w:r>
      <w:r>
        <w:rPr>
          <w:rFonts w:hint="eastAsia"/>
          <w:i/>
          <w:iCs/>
          <w:color w:val="auto"/>
          <w:highlight w:val="none"/>
          <w:u w:val="single"/>
        </w:rPr>
        <w:t>（项目名称）</w:t>
      </w:r>
      <w:r>
        <w:rPr>
          <w:rFonts w:hint="eastAsia"/>
          <w:color w:val="auto"/>
          <w:highlight w:val="none"/>
        </w:rPr>
        <w:t>项目（项目编号：）</w:t>
      </w:r>
      <w:r>
        <w:rPr>
          <w:rFonts w:hint="eastAsia" w:ascii="Times New Roman" w:hAnsi="Times New Roman"/>
          <w:color w:val="auto"/>
          <w:highlight w:val="none"/>
        </w:rPr>
        <w:t>的投标文件、签订合同和处理一切有关事宜，其法律后果由我方承担。</w:t>
      </w:r>
    </w:p>
    <w:p>
      <w:pPr>
        <w:pStyle w:val="13"/>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本授权书于年月日签字生效，委托期限：。</w:t>
      </w:r>
    </w:p>
    <w:p>
      <w:pPr>
        <w:pStyle w:val="13"/>
        <w:spacing w:line="360" w:lineRule="exact"/>
        <w:ind w:firstLine="420"/>
        <w:rPr>
          <w:rFonts w:ascii="Times New Roman" w:hAnsi="Times New Roman"/>
          <w:color w:val="auto"/>
          <w:highlight w:val="none"/>
        </w:rPr>
      </w:pPr>
      <w:r>
        <w:rPr>
          <w:rFonts w:hint="eastAsia" w:ascii="Times New Roman" w:hAnsi="Times New Roman"/>
          <w:color w:val="auto"/>
          <w:highlight w:val="none"/>
        </w:rPr>
        <w:t>代理人无转委托权。</w:t>
      </w:r>
    </w:p>
    <w:p>
      <w:pPr>
        <w:pStyle w:val="13"/>
        <w:spacing w:line="360" w:lineRule="exact"/>
        <w:ind w:firstLine="420"/>
        <w:rPr>
          <w:rFonts w:ascii="Times New Roman" w:hAnsi="Times New Roman"/>
          <w:color w:val="auto"/>
          <w:highlight w:val="none"/>
        </w:rPr>
      </w:pPr>
    </w:p>
    <w:p>
      <w:pPr>
        <w:pStyle w:val="13"/>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投标人名称（或联合体投标</w:t>
      </w:r>
      <w:r>
        <w:rPr>
          <w:rFonts w:hint="eastAsia" w:cs="宋体"/>
          <w:color w:val="auto"/>
          <w:kern w:val="0"/>
          <w:szCs w:val="21"/>
          <w:highlight w:val="none"/>
        </w:rPr>
        <w:t>牵头人名称</w:t>
      </w:r>
      <w:r>
        <w:rPr>
          <w:rFonts w:hint="eastAsia" w:ascii="Times New Roman" w:hAnsi="Times New Roman"/>
          <w:color w:val="auto"/>
          <w:highlight w:val="none"/>
        </w:rPr>
        <w:t>）（盖公章）：</w:t>
      </w:r>
    </w:p>
    <w:p>
      <w:pPr>
        <w:pStyle w:val="13"/>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p>
    <w:p>
      <w:pPr>
        <w:pStyle w:val="13"/>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p>
    <w:p>
      <w:pPr>
        <w:pStyle w:val="13"/>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w:t>
      </w:r>
    </w:p>
    <w:p>
      <w:pPr>
        <w:pStyle w:val="13"/>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p>
    <w:p>
      <w:pPr>
        <w:pStyle w:val="13"/>
        <w:spacing w:line="360" w:lineRule="exact"/>
        <w:ind w:firstLine="420"/>
        <w:rPr>
          <w:rFonts w:ascii="Times New Roman" w:hAnsi="Times New Roman"/>
          <w:color w:val="auto"/>
          <w:highlight w:val="none"/>
          <w:u w:val="single"/>
        </w:rPr>
      </w:pPr>
    </w:p>
    <w:p>
      <w:pPr>
        <w:pStyle w:val="13"/>
        <w:spacing w:line="360" w:lineRule="exact"/>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（盖公章）：</w:t>
      </w:r>
    </w:p>
    <w:p>
      <w:pPr>
        <w:pStyle w:val="13"/>
        <w:spacing w:line="360" w:lineRule="exact"/>
        <w:ind w:firstLine="420"/>
        <w:rPr>
          <w:rFonts w:hAnsi="宋体" w:cs="宋体"/>
          <w:color w:val="auto"/>
          <w:highlight w:val="none"/>
          <w:u w:val="single"/>
        </w:rPr>
      </w:pPr>
      <w:r>
        <w:rPr>
          <w:rFonts w:hint="eastAsia" w:hAnsi="宋体" w:cs="宋体"/>
          <w:color w:val="auto"/>
          <w:highlight w:val="none"/>
        </w:rPr>
        <w:t>法定代表人（签字）：</w:t>
      </w:r>
    </w:p>
    <w:p>
      <w:pPr>
        <w:pStyle w:val="8"/>
        <w:spacing w:line="360" w:lineRule="exact"/>
        <w:ind w:left="0" w:firstLine="420" w:firstLineChars="200"/>
        <w:rPr>
          <w:rFonts w:ascii="宋体" w:hAnsi="宋体" w:cs="宋体"/>
          <w:color w:val="auto"/>
          <w:highlight w:val="none"/>
          <w:u w:val="single"/>
        </w:rPr>
      </w:pPr>
      <w:r>
        <w:rPr>
          <w:rFonts w:hint="eastAsia" w:ascii="宋体" w:hAnsi="宋体" w:cs="宋体"/>
          <w:color w:val="auto"/>
          <w:highlight w:val="none"/>
        </w:rPr>
        <w:t>委托代理人（签字）：</w:t>
      </w:r>
    </w:p>
    <w:p>
      <w:pPr>
        <w:spacing w:line="360" w:lineRule="exact"/>
        <w:ind w:firstLine="420" w:firstLineChars="200"/>
        <w:rPr>
          <w:color w:val="auto"/>
          <w:highlight w:val="none"/>
        </w:rPr>
      </w:pPr>
      <w:r>
        <w:rPr>
          <w:rFonts w:hint="eastAsia" w:ascii="宋体" w:hAnsi="宋体" w:cs="宋体"/>
          <w:color w:val="auto"/>
          <w:highlight w:val="none"/>
        </w:rPr>
        <w:t>委托代理人身份证号码：</w:t>
      </w:r>
    </w:p>
    <w:p>
      <w:pPr>
        <w:pStyle w:val="13"/>
        <w:spacing w:line="360" w:lineRule="exact"/>
        <w:ind w:firstLine="420"/>
        <w:rPr>
          <w:rFonts w:hAnsi="宋体" w:cs="宋体"/>
          <w:color w:val="auto"/>
          <w:highlight w:val="none"/>
          <w:u w:val="single"/>
        </w:rPr>
      </w:pPr>
    </w:p>
    <w:p>
      <w:pPr>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成员二名称（盖公章）：</w:t>
      </w:r>
    </w:p>
    <w:p>
      <w:pPr>
        <w:autoSpaceDE w:val="0"/>
        <w:autoSpaceDN w:val="0"/>
        <w:adjustRightInd w:val="0"/>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法定代表人（签字）：</w:t>
      </w:r>
    </w:p>
    <w:p>
      <w:pPr>
        <w:pStyle w:val="8"/>
        <w:spacing w:line="360" w:lineRule="exact"/>
        <w:ind w:left="0" w:firstLine="420" w:firstLineChars="200"/>
        <w:rPr>
          <w:rFonts w:ascii="宋体" w:hAnsi="宋体" w:cs="宋体"/>
          <w:color w:val="auto"/>
          <w:highlight w:val="none"/>
          <w:u w:val="single"/>
        </w:rPr>
      </w:pPr>
      <w:r>
        <w:rPr>
          <w:rFonts w:hint="eastAsia" w:ascii="宋体" w:hAnsi="宋体" w:cs="宋体"/>
          <w:color w:val="auto"/>
          <w:highlight w:val="none"/>
        </w:rPr>
        <w:t>委托代理人（签字）：</w:t>
      </w:r>
    </w:p>
    <w:p>
      <w:pPr>
        <w:spacing w:line="360" w:lineRule="exact"/>
        <w:ind w:firstLine="420" w:firstLineChars="200"/>
        <w:rPr>
          <w:color w:val="auto"/>
          <w:highlight w:val="none"/>
        </w:rPr>
      </w:pPr>
      <w:r>
        <w:rPr>
          <w:rFonts w:hint="eastAsia" w:ascii="宋体" w:hAnsi="宋体" w:cs="宋体"/>
          <w:color w:val="auto"/>
          <w:highlight w:val="none"/>
        </w:rPr>
        <w:t>委托代理人身份证号码：</w:t>
      </w:r>
    </w:p>
    <w:p>
      <w:pPr>
        <w:pStyle w:val="13"/>
        <w:spacing w:line="360" w:lineRule="exact"/>
        <w:ind w:firstLine="420" w:firstLineChars="200"/>
        <w:rPr>
          <w:color w:val="auto"/>
          <w:highlight w:val="none"/>
        </w:rPr>
      </w:pPr>
      <w:r>
        <w:rPr>
          <w:rFonts w:hint="eastAsia"/>
          <w:color w:val="auto"/>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pPr>
        <w:snapToGrid w:val="0"/>
        <w:spacing w:before="5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pPr>
        <w:spacing w:line="360" w:lineRule="auto"/>
        <w:rPr>
          <w:rFonts w:ascii="宋体"/>
          <w:b/>
          <w:color w:val="auto"/>
          <w:sz w:val="24"/>
          <w:highlight w:val="none"/>
        </w:rPr>
      </w:pPr>
    </w:p>
    <w:p>
      <w:pPr>
        <w:rPr>
          <w:rFonts w:ascii="宋体"/>
          <w:b/>
          <w:color w:val="auto"/>
          <w:sz w:val="24"/>
          <w:highlight w:val="none"/>
        </w:rPr>
      </w:pPr>
      <w:r>
        <w:rPr>
          <w:rFonts w:hint="eastAsia" w:ascii="宋体"/>
          <w:b/>
          <w:color w:val="auto"/>
          <w:sz w:val="24"/>
          <w:highlight w:val="none"/>
        </w:rPr>
        <w:br w:type="page"/>
      </w:r>
    </w:p>
    <w:p>
      <w:pPr>
        <w:spacing w:line="360" w:lineRule="auto"/>
        <w:rPr>
          <w:b/>
          <w:color w:val="auto"/>
          <w:sz w:val="24"/>
          <w:highlight w:val="none"/>
        </w:rPr>
      </w:pPr>
      <w:r>
        <w:rPr>
          <w:rFonts w:hint="eastAsia" w:ascii="宋体"/>
          <w:b/>
          <w:color w:val="auto"/>
          <w:sz w:val="24"/>
          <w:highlight w:val="none"/>
        </w:rPr>
        <w:t>附件：</w:t>
      </w:r>
    </w:p>
    <w:tbl>
      <w:tblPr>
        <w:tblStyle w:val="19"/>
        <w:tblpPr w:leftFromText="180" w:rightFromText="180" w:vertAnchor="text" w:horzAnchor="margin" w:tblpXSpec="center" w:tblpY="263"/>
        <w:tblW w:w="7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b/>
                <w:bCs/>
                <w:color w:val="auto"/>
                <w:sz w:val="24"/>
                <w:highlight w:val="none"/>
              </w:rPr>
              <w:t>委托代理人有效</w:t>
            </w:r>
            <w:r>
              <w:rPr>
                <w:rFonts w:hint="eastAsia" w:ascii="宋体"/>
                <w:b/>
                <w:color w:val="auto"/>
                <w:sz w:val="24"/>
                <w:highlight w:val="none"/>
              </w:rPr>
              <w:t>身份证复印件粘帖处（正、反面）</w:t>
            </w:r>
          </w:p>
        </w:tc>
      </w:tr>
    </w:tbl>
    <w:p>
      <w:pPr>
        <w:snapToGrid w:val="0"/>
        <w:spacing w:before="50" w:afterLines="50" w:line="360" w:lineRule="auto"/>
        <w:jc w:val="left"/>
        <w:rPr>
          <w:rFonts w:ascii="仿宋_GB2312" w:hAnsi="仿宋_GB2312" w:eastAsia="仿宋_GB2312" w:cs="仿宋_GB2312"/>
          <w:color w:val="auto"/>
          <w:szCs w:val="21"/>
          <w:highlight w:val="none"/>
        </w:rPr>
      </w:pPr>
    </w:p>
    <w:p>
      <w:pPr>
        <w:snapToGrid w:val="0"/>
        <w:spacing w:beforeLines="50" w:after="50"/>
        <w:ind w:firstLine="566" w:firstLineChars="236"/>
        <w:jc w:val="center"/>
        <w:rPr>
          <w:rFonts w:ascii="宋体" w:hAnsi="宋体"/>
          <w:color w:val="auto"/>
          <w:sz w:val="24"/>
          <w:highlight w:val="none"/>
        </w:rPr>
      </w:pPr>
    </w:p>
    <w:p>
      <w:pPr>
        <w:snapToGrid w:val="0"/>
        <w:spacing w:beforeLines="50" w:after="50"/>
        <w:ind w:firstLine="660" w:firstLineChars="236"/>
        <w:rPr>
          <w:rFonts w:ascii="宋体" w:hAnsi="宋体"/>
          <w:color w:val="auto"/>
          <w:sz w:val="28"/>
          <w:szCs w:val="28"/>
          <w:highlight w:val="none"/>
        </w:rPr>
      </w:pPr>
    </w:p>
    <w:p>
      <w:pPr>
        <w:snapToGrid w:val="0"/>
        <w:spacing w:beforeLines="50" w:after="50"/>
        <w:ind w:firstLine="660" w:firstLineChars="236"/>
        <w:rPr>
          <w:rFonts w:ascii="宋体" w:hAnsi="宋体"/>
          <w:color w:val="auto"/>
          <w:sz w:val="28"/>
          <w:szCs w:val="28"/>
          <w:highlight w:val="none"/>
        </w:rPr>
      </w:pPr>
    </w:p>
    <w:p>
      <w:pPr>
        <w:snapToGrid w:val="0"/>
        <w:spacing w:beforeLines="50" w:after="50"/>
        <w:ind w:firstLine="660" w:firstLineChars="236"/>
        <w:rPr>
          <w:rFonts w:ascii="宋体" w:hAnsi="宋体"/>
          <w:color w:val="auto"/>
          <w:sz w:val="28"/>
          <w:szCs w:val="28"/>
          <w:highlight w:val="none"/>
        </w:rPr>
      </w:pPr>
    </w:p>
    <w:p>
      <w:pPr>
        <w:snapToGrid w:val="0"/>
        <w:spacing w:beforeLines="50" w:after="50"/>
        <w:ind w:firstLine="660" w:firstLineChars="236"/>
        <w:rPr>
          <w:rFonts w:ascii="宋体" w:hAnsi="宋体"/>
          <w:color w:val="auto"/>
          <w:sz w:val="28"/>
          <w:szCs w:val="28"/>
          <w:highlight w:val="none"/>
        </w:rPr>
      </w:pPr>
    </w:p>
    <w:p>
      <w:pPr>
        <w:snapToGrid w:val="0"/>
        <w:spacing w:beforeLines="50" w:after="50"/>
        <w:ind w:firstLine="660" w:firstLineChars="236"/>
        <w:rPr>
          <w:rFonts w:ascii="宋体" w:hAnsi="宋体"/>
          <w:color w:val="auto"/>
          <w:sz w:val="28"/>
          <w:szCs w:val="28"/>
          <w:highlight w:val="none"/>
        </w:rPr>
      </w:pPr>
    </w:p>
    <w:p>
      <w:pPr>
        <w:snapToGrid w:val="0"/>
        <w:spacing w:beforeLines="50" w:after="50"/>
        <w:ind w:firstLine="660" w:firstLineChars="236"/>
        <w:rPr>
          <w:rFonts w:ascii="宋体" w:hAnsi="宋体"/>
          <w:color w:val="auto"/>
          <w:sz w:val="28"/>
          <w:szCs w:val="28"/>
          <w:highlight w:val="none"/>
        </w:rPr>
      </w:pPr>
    </w:p>
    <w:p>
      <w:pPr>
        <w:snapToGrid w:val="0"/>
        <w:spacing w:beforeLines="50" w:after="50"/>
        <w:ind w:firstLine="566" w:firstLineChars="236"/>
        <w:rPr>
          <w:rFonts w:ascii="宋体" w:hAnsi="宋体"/>
          <w:color w:val="auto"/>
          <w:highlight w:val="none"/>
        </w:rPr>
      </w:pPr>
      <w:r>
        <w:rPr>
          <w:rFonts w:hint="eastAsia" w:ascii="宋体" w:hAnsi="宋体"/>
          <w:color w:val="auto"/>
          <w:sz w:val="24"/>
          <w:highlight w:val="none"/>
        </w:rPr>
        <w:br w:type="page"/>
      </w:r>
    </w:p>
    <w:p>
      <w:pPr>
        <w:jc w:val="left"/>
        <w:rPr>
          <w:b/>
          <w:bCs/>
          <w:color w:val="auto"/>
          <w:sz w:val="30"/>
          <w:szCs w:val="30"/>
          <w:highlight w:val="none"/>
        </w:rPr>
      </w:pPr>
      <w:r>
        <w:rPr>
          <w:rFonts w:hint="eastAsia" w:ascii="宋体" w:hAnsi="宋体" w:cs="宋体"/>
          <w:b/>
          <w:color w:val="auto"/>
          <w:sz w:val="28"/>
          <w:szCs w:val="28"/>
          <w:highlight w:val="none"/>
        </w:rPr>
        <w:t>6.商务条款偏离表的格式：</w:t>
      </w:r>
    </w:p>
    <w:p>
      <w:pPr>
        <w:jc w:val="center"/>
        <w:rPr>
          <w:b/>
          <w:bCs/>
          <w:color w:val="auto"/>
          <w:sz w:val="30"/>
          <w:szCs w:val="30"/>
          <w:highlight w:val="none"/>
        </w:rPr>
      </w:pPr>
    </w:p>
    <w:p>
      <w:pPr>
        <w:jc w:val="center"/>
        <w:rPr>
          <w:b/>
          <w:bCs/>
          <w:color w:val="auto"/>
          <w:sz w:val="30"/>
          <w:szCs w:val="30"/>
          <w:highlight w:val="none"/>
        </w:rPr>
      </w:pPr>
      <w:r>
        <w:rPr>
          <w:rFonts w:hint="eastAsia"/>
          <w:b/>
          <w:bCs/>
          <w:color w:val="auto"/>
          <w:sz w:val="30"/>
          <w:szCs w:val="30"/>
          <w:highlight w:val="none"/>
        </w:rPr>
        <w:t>商务条款偏离表</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p>
    <w:p>
      <w:pPr>
        <w:spacing w:line="360" w:lineRule="auto"/>
        <w:contextualSpacing/>
        <w:jc w:val="left"/>
        <w:rPr>
          <w:rFonts w:ascii="宋体" w:hAnsi="宋体" w:cs="宋体"/>
          <w:color w:val="auto"/>
          <w:sz w:val="24"/>
          <w:highlight w:val="none"/>
          <w:u w:val="single"/>
        </w:rPr>
      </w:pPr>
      <w:r>
        <w:rPr>
          <w:rFonts w:hint="eastAsia" w:ascii="宋体" w:hAnsi="宋体" w:cs="宋体"/>
          <w:color w:val="auto"/>
          <w:sz w:val="24"/>
          <w:highlight w:val="none"/>
        </w:rPr>
        <w:t>项目编号：</w:t>
      </w:r>
    </w:p>
    <w:p>
      <w:pPr>
        <w:pStyle w:val="13"/>
        <w:spacing w:line="480" w:lineRule="auto"/>
        <w:ind w:left="-422" w:leftChars="-201" w:firstLine="424"/>
        <w:rPr>
          <w:color w:val="auto"/>
          <w:highlight w:val="none"/>
        </w:rPr>
      </w:pPr>
      <w:r>
        <w:rPr>
          <w:rFonts w:hint="eastAsia" w:hAnsi="宋体" w:cs="宋体"/>
          <w:color w:val="auto"/>
          <w:sz w:val="24"/>
          <w:szCs w:val="24"/>
          <w:highlight w:val="none"/>
        </w:rPr>
        <w:t>所投分标</w:t>
      </w:r>
      <w:r>
        <w:rPr>
          <w:rFonts w:hint="eastAsia" w:hAnsi="宋体" w:cs="宋体"/>
          <w:color w:val="auto"/>
          <w:szCs w:val="21"/>
          <w:highlight w:val="none"/>
        </w:rPr>
        <w:t>（此处有分标时填写具体分标号，无分标时填写“无”）</w:t>
      </w:r>
      <w:r>
        <w:rPr>
          <w:rFonts w:hint="eastAsia" w:hAnsi="宋体" w:cs="宋体"/>
          <w:color w:val="auto"/>
          <w:sz w:val="24"/>
          <w:szCs w:val="24"/>
          <w:highlight w:val="none"/>
        </w:rPr>
        <w:t>：</w:t>
      </w:r>
    </w:p>
    <w:tbl>
      <w:tblPr>
        <w:tblStyle w:val="19"/>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bl>
    <w:p>
      <w:pPr>
        <w:pStyle w:val="13"/>
        <w:spacing w:line="360" w:lineRule="auto"/>
        <w:ind w:left="-708" w:leftChars="-337"/>
        <w:rPr>
          <w:rFonts w:ascii="Times New Roman" w:hAnsi="Times New Roman"/>
          <w:color w:val="auto"/>
          <w:highlight w:val="none"/>
        </w:rPr>
      </w:pPr>
    </w:p>
    <w:p>
      <w:pPr>
        <w:pStyle w:val="13"/>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注：</w:t>
      </w:r>
    </w:p>
    <w:p>
      <w:pPr>
        <w:pStyle w:val="13"/>
        <w:spacing w:line="360" w:lineRule="auto"/>
        <w:ind w:firstLine="420" w:firstLineChars="200"/>
        <w:rPr>
          <w:rFonts w:hAnsi="宋体" w:cs="宋体"/>
          <w:color w:val="auto"/>
          <w:highlight w:val="none"/>
        </w:rPr>
      </w:pPr>
      <w:r>
        <w:rPr>
          <w:rFonts w:hint="eastAsia" w:hAnsi="宋体" w:cs="宋体"/>
          <w:color w:val="auto"/>
          <w:highlight w:val="none"/>
        </w:rPr>
        <w:t>1.表格内容均需按要求填写并加盖投标人公章。</w:t>
      </w:r>
    </w:p>
    <w:p>
      <w:pPr>
        <w:pStyle w:val="13"/>
        <w:spacing w:line="360" w:lineRule="auto"/>
        <w:ind w:left="-424" w:leftChars="-202" w:firstLine="846"/>
        <w:rPr>
          <w:rFonts w:hAnsi="宋体" w:cs="宋体"/>
          <w:color w:val="auto"/>
          <w:highlight w:val="none"/>
        </w:rPr>
      </w:pPr>
      <w:r>
        <w:rPr>
          <w:rFonts w:hint="eastAsia" w:hAnsi="宋体" w:cs="宋体"/>
          <w:color w:val="auto"/>
          <w:highlight w:val="none"/>
        </w:rPr>
        <w:t xml:space="preserve">2.请逐条对应本项目招标文件“第二章  </w:t>
      </w:r>
      <w:r>
        <w:rPr>
          <w:rFonts w:hint="eastAsia" w:hAnsi="宋体" w:cs="宋体"/>
          <w:b/>
          <w:color w:val="auto"/>
          <w:szCs w:val="21"/>
          <w:highlight w:val="none"/>
        </w:rPr>
        <w:t>采购需求</w:t>
      </w:r>
      <w:r>
        <w:rPr>
          <w:rFonts w:hint="eastAsia" w:hAnsi="宋体" w:cs="宋体"/>
          <w:color w:val="auto"/>
          <w:highlight w:val="none"/>
        </w:rPr>
        <w:t>”中“商务条款”的要求，详细填写相应的具体内容。“偏离说明”一栏应当选择“正偏离”或“负偏离”或“无偏离”进行填写。</w:t>
      </w:r>
    </w:p>
    <w:p>
      <w:pPr>
        <w:pStyle w:val="13"/>
        <w:spacing w:line="360" w:lineRule="auto"/>
        <w:ind w:left="-603" w:leftChars="-287" w:firstLine="945" w:firstLineChars="4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pPr>
        <w:pStyle w:val="13"/>
        <w:spacing w:line="360" w:lineRule="auto"/>
        <w:ind w:left="-708" w:leftChars="-337" w:firstLine="1050" w:firstLineChars="500"/>
        <w:rPr>
          <w:rFonts w:hAnsi="宋体" w:cs="宋体"/>
          <w:color w:val="auto"/>
          <w:szCs w:val="21"/>
          <w:highlight w:val="none"/>
        </w:rPr>
      </w:pPr>
    </w:p>
    <w:p>
      <w:pPr>
        <w:snapToGrid w:val="0"/>
        <w:spacing w:before="50" w:after="50"/>
        <w:rPr>
          <w:rFonts w:ascii="宋体" w:hAnsi="宋体"/>
          <w:color w:val="auto"/>
          <w:sz w:val="24"/>
          <w:highlight w:val="none"/>
        </w:rPr>
      </w:pPr>
    </w:p>
    <w:p>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rPr>
          <w:color w:val="auto"/>
          <w:highlight w:val="none"/>
        </w:rPr>
      </w:pPr>
    </w:p>
    <w:p>
      <w:pPr>
        <w:widowControl/>
        <w:jc w:val="left"/>
        <w:rPr>
          <w:b/>
          <w:bCs/>
          <w:color w:val="auto"/>
          <w:sz w:val="30"/>
          <w:szCs w:val="30"/>
          <w:highlight w:val="none"/>
        </w:rPr>
        <w:sectPr>
          <w:pgSz w:w="11905" w:h="16838"/>
          <w:pgMar w:top="1134" w:right="1134" w:bottom="1134" w:left="1134" w:header="850" w:footer="850" w:gutter="0"/>
          <w:cols w:space="0" w:num="1"/>
          <w:titlePg/>
          <w:docGrid w:linePitch="331" w:charSpace="0"/>
        </w:sectPr>
      </w:pPr>
    </w:p>
    <w:p>
      <w:pPr>
        <w:pStyle w:val="13"/>
        <w:jc w:val="center"/>
        <w:outlineLvl w:val="1"/>
        <w:rPr>
          <w:rFonts w:hAnsi="宋体"/>
          <w:b/>
          <w:bCs/>
          <w:color w:val="auto"/>
          <w:sz w:val="28"/>
          <w:szCs w:val="28"/>
          <w:highlight w:val="none"/>
        </w:rPr>
      </w:pPr>
      <w:bookmarkStart w:id="380" w:name="_Toc23685"/>
      <w:bookmarkStart w:id="381" w:name="_Toc10435"/>
      <w:bookmarkStart w:id="382" w:name="_Toc19686839"/>
      <w:bookmarkStart w:id="383" w:name="_Toc1161"/>
      <w:bookmarkStart w:id="384" w:name="_Toc10197"/>
      <w:bookmarkStart w:id="385" w:name="_Toc27757"/>
      <w:bookmarkStart w:id="386" w:name="_Toc585"/>
      <w:bookmarkStart w:id="387" w:name="_Toc24098"/>
      <w:bookmarkStart w:id="388" w:name="_Toc8889"/>
      <w:bookmarkStart w:id="389" w:name="_Toc17437"/>
      <w:bookmarkStart w:id="390" w:name="_Toc24407"/>
      <w:r>
        <w:rPr>
          <w:rFonts w:hint="eastAsia" w:hAnsi="宋体"/>
          <w:b/>
          <w:bCs/>
          <w:color w:val="auto"/>
          <w:sz w:val="28"/>
          <w:szCs w:val="28"/>
          <w:highlight w:val="none"/>
        </w:rPr>
        <w:t>第三节 技术文件格式</w:t>
      </w:r>
      <w:bookmarkEnd w:id="380"/>
      <w:bookmarkEnd w:id="381"/>
      <w:bookmarkEnd w:id="382"/>
      <w:bookmarkEnd w:id="383"/>
      <w:bookmarkEnd w:id="384"/>
      <w:bookmarkEnd w:id="385"/>
      <w:bookmarkEnd w:id="386"/>
      <w:bookmarkEnd w:id="387"/>
      <w:bookmarkEnd w:id="388"/>
      <w:bookmarkEnd w:id="389"/>
      <w:bookmarkEnd w:id="390"/>
    </w:p>
    <w:p>
      <w:pPr>
        <w:snapToGrid w:val="0"/>
        <w:spacing w:beforeLines="50" w:after="50"/>
        <w:rPr>
          <w:rFonts w:ascii="宋体" w:hAnsi="宋体"/>
          <w:color w:val="auto"/>
          <w:sz w:val="24"/>
          <w:highlight w:val="none"/>
        </w:rPr>
      </w:pPr>
    </w:p>
    <w:p>
      <w:pPr>
        <w:snapToGrid w:val="0"/>
        <w:spacing w:beforeLines="50" w:after="50"/>
        <w:rPr>
          <w:rFonts w:ascii="宋体" w:hAnsi="宋体"/>
          <w:color w:val="auto"/>
          <w:sz w:val="24"/>
          <w:highlight w:val="none"/>
        </w:rPr>
      </w:pPr>
      <w:r>
        <w:rPr>
          <w:rFonts w:hint="eastAsia" w:ascii="宋体" w:hAnsi="宋体" w:cs="宋体"/>
          <w:b/>
          <w:color w:val="auto"/>
          <w:sz w:val="28"/>
          <w:szCs w:val="28"/>
          <w:highlight w:val="none"/>
        </w:rPr>
        <w:t>1. 技术文件封面的格式：</w:t>
      </w:r>
    </w:p>
    <w:p>
      <w:pPr>
        <w:snapToGrid w:val="0"/>
        <w:spacing w:beforeLines="50" w:after="50"/>
        <w:ind w:firstLine="1050" w:firstLineChars="500"/>
        <w:rPr>
          <w:rFonts w:ascii="宋体" w:hAnsi="宋体"/>
          <w:bCs/>
          <w:color w:val="auto"/>
          <w:sz w:val="32"/>
          <w:szCs w:val="20"/>
          <w:highlight w:val="none"/>
        </w:rPr>
      </w:pPr>
      <w:r>
        <w:rPr>
          <w:rFonts w:hint="eastAsia" w:ascii="宋体" w:hAnsi="宋体"/>
          <w:bCs/>
          <w:color w:val="auto"/>
          <w:highlight w:val="none"/>
        </w:rPr>
        <w:t>电子投标文件</w:t>
      </w:r>
    </w:p>
    <w:p>
      <w:pPr>
        <w:snapToGrid w:val="0"/>
        <w:spacing w:beforeLines="50" w:after="50"/>
        <w:rPr>
          <w:rFonts w:ascii="宋体" w:hAnsi="宋体"/>
          <w:color w:val="auto"/>
          <w:sz w:val="24"/>
          <w:szCs w:val="20"/>
          <w:highlight w:val="none"/>
        </w:rPr>
      </w:pPr>
    </w:p>
    <w:p>
      <w:pPr>
        <w:snapToGrid w:val="0"/>
        <w:spacing w:beforeLines="50" w:after="50"/>
        <w:jc w:val="center"/>
        <w:rPr>
          <w:rFonts w:ascii="宋体" w:hAnsi="宋体"/>
          <w:b/>
          <w:bCs/>
          <w:color w:val="auto"/>
          <w:sz w:val="32"/>
          <w:szCs w:val="32"/>
          <w:highlight w:val="none"/>
        </w:rPr>
      </w:pPr>
    </w:p>
    <w:p>
      <w:pPr>
        <w:snapToGrid w:val="0"/>
        <w:spacing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Lines="50" w:after="50"/>
        <w:rPr>
          <w:rFonts w:ascii="宋体" w:hAnsi="宋体"/>
          <w:bCs/>
          <w:color w:val="auto"/>
          <w:sz w:val="24"/>
          <w:szCs w:val="20"/>
          <w:highlight w:val="none"/>
        </w:rPr>
      </w:pPr>
    </w:p>
    <w:p>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Lines="50" w:after="50"/>
        <w:ind w:firstLine="645"/>
        <w:jc w:val="center"/>
        <w:rPr>
          <w:rFonts w:ascii="宋体" w:hAnsi="宋体"/>
          <w:color w:val="auto"/>
          <w:sz w:val="24"/>
          <w:highlight w:val="none"/>
        </w:rPr>
      </w:pPr>
    </w:p>
    <w:p>
      <w:pPr>
        <w:snapToGrid w:val="0"/>
        <w:spacing w:beforeLines="50" w:after="50"/>
        <w:ind w:firstLine="645"/>
        <w:jc w:val="center"/>
        <w:rPr>
          <w:rFonts w:ascii="宋体" w:hAnsi="宋体"/>
          <w:color w:val="auto"/>
          <w:sz w:val="24"/>
          <w:highlight w:val="none"/>
        </w:rPr>
      </w:pPr>
    </w:p>
    <w:p>
      <w:pPr>
        <w:snapToGrid w:val="0"/>
        <w:spacing w:beforeLines="50" w:after="50"/>
        <w:ind w:firstLine="645"/>
        <w:jc w:val="center"/>
        <w:rPr>
          <w:rFonts w:ascii="宋体" w:hAnsi="宋体"/>
          <w:color w:val="auto"/>
          <w:sz w:val="24"/>
          <w:highlight w:val="none"/>
        </w:rPr>
      </w:pPr>
    </w:p>
    <w:p>
      <w:pPr>
        <w:snapToGrid w:val="0"/>
        <w:spacing w:beforeLines="50" w:after="50"/>
        <w:ind w:firstLine="645"/>
        <w:jc w:val="center"/>
        <w:rPr>
          <w:rFonts w:ascii="宋体" w:hAnsi="宋体"/>
          <w:color w:val="auto"/>
          <w:sz w:val="24"/>
          <w:highlight w:val="none"/>
        </w:rPr>
      </w:pPr>
    </w:p>
    <w:p>
      <w:pPr>
        <w:snapToGrid w:val="0"/>
        <w:spacing w:beforeLines="50" w:after="50"/>
        <w:ind w:firstLine="645"/>
        <w:jc w:val="center"/>
        <w:rPr>
          <w:rFonts w:ascii="宋体" w:hAnsi="宋体"/>
          <w:color w:val="auto"/>
          <w:sz w:val="24"/>
          <w:highlight w:val="none"/>
        </w:rPr>
      </w:pPr>
    </w:p>
    <w:p>
      <w:pPr>
        <w:snapToGrid w:val="0"/>
        <w:spacing w:beforeLines="50" w:after="50"/>
        <w:ind w:firstLine="645"/>
        <w:jc w:val="center"/>
        <w:rPr>
          <w:rFonts w:ascii="宋体" w:hAnsi="宋体"/>
          <w:color w:val="auto"/>
          <w:sz w:val="24"/>
          <w:highlight w:val="none"/>
        </w:rPr>
      </w:pPr>
    </w:p>
    <w:p>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Lines="50" w:after="50"/>
        <w:ind w:firstLine="645"/>
        <w:jc w:val="center"/>
        <w:rPr>
          <w:rFonts w:ascii="宋体" w:hAnsi="宋体"/>
          <w:color w:val="auto"/>
          <w:sz w:val="24"/>
          <w:szCs w:val="20"/>
          <w:highlight w:val="none"/>
        </w:rPr>
      </w:pPr>
    </w:p>
    <w:p>
      <w:pPr>
        <w:jc w:val="center"/>
        <w:rPr>
          <w:rFonts w:ascii="宋体" w:hAnsi="宋体"/>
          <w:b/>
          <w:bCs/>
          <w:color w:val="auto"/>
          <w:sz w:val="24"/>
          <w:highlight w:val="none"/>
        </w:rPr>
      </w:pPr>
      <w:r>
        <w:rPr>
          <w:rFonts w:hint="eastAsia" w:ascii="宋体" w:hAnsi="宋体"/>
          <w:b/>
          <w:bCs/>
          <w:color w:val="auto"/>
          <w:sz w:val="24"/>
          <w:highlight w:val="none"/>
        </w:rPr>
        <w:br w:type="page"/>
      </w:r>
    </w:p>
    <w:p>
      <w:pPr>
        <w:numPr>
          <w:ilvl w:val="0"/>
          <w:numId w:val="8"/>
        </w:numPr>
        <w:snapToGrid w:val="0"/>
        <w:spacing w:beforeLines="50" w:after="50"/>
        <w:ind w:left="14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技术文件目录</w:t>
      </w:r>
    </w:p>
    <w:p>
      <w:pPr>
        <w:snapToGrid w:val="0"/>
        <w:spacing w:beforeLines="50" w:after="50"/>
        <w:ind w:left="142"/>
        <w:jc w:val="left"/>
        <w:rPr>
          <w:rFonts w:ascii="宋体" w:hAnsi="宋体"/>
          <w:b/>
          <w:color w:val="auto"/>
          <w:sz w:val="24"/>
          <w:highlight w:val="none"/>
        </w:rPr>
      </w:pPr>
      <w:r>
        <w:rPr>
          <w:rFonts w:hint="eastAsia" w:ascii="宋体" w:hAnsi="宋体" w:cs="宋体"/>
          <w:color w:val="auto"/>
          <w:kern w:val="0"/>
          <w:sz w:val="24"/>
          <w:highlight w:val="none"/>
        </w:rPr>
        <w:t>根据招标文件规定及投标人提供的材料自行编写目录（部分格式后附）。</w:t>
      </w:r>
    </w:p>
    <w:p>
      <w:pPr>
        <w:snapToGrid w:val="0"/>
        <w:spacing w:beforeLines="50" w:after="50"/>
        <w:jc w:val="left"/>
        <w:rPr>
          <w:rFonts w:ascii="宋体" w:hAnsi="宋体"/>
          <w:b/>
          <w:color w:val="auto"/>
          <w:sz w:val="24"/>
          <w:highlight w:val="none"/>
        </w:rPr>
      </w:pPr>
      <w:r>
        <w:rPr>
          <w:rFonts w:hint="eastAsia" w:ascii="宋体" w:hAnsi="宋体"/>
          <w:b/>
          <w:color w:val="auto"/>
          <w:sz w:val="24"/>
          <w:highlight w:val="none"/>
        </w:rPr>
        <w:br w:type="page"/>
      </w:r>
      <w:r>
        <w:rPr>
          <w:rFonts w:hint="eastAsia" w:ascii="宋体" w:hAnsi="宋体" w:cs="宋体"/>
          <w:b/>
          <w:color w:val="auto"/>
          <w:sz w:val="28"/>
          <w:szCs w:val="28"/>
          <w:highlight w:val="none"/>
        </w:rPr>
        <w:t>3. 服务要求偏离表</w:t>
      </w:r>
      <w:r>
        <w:rPr>
          <w:rFonts w:hint="eastAsia" w:hAnsi="宋体" w:cs="宋体"/>
          <w:b/>
          <w:color w:val="auto"/>
          <w:sz w:val="28"/>
          <w:szCs w:val="28"/>
          <w:highlight w:val="none"/>
        </w:rPr>
        <w:t>的</w:t>
      </w:r>
      <w:r>
        <w:rPr>
          <w:rFonts w:hint="eastAsia" w:ascii="宋体" w:hAnsi="宋体" w:cs="宋体"/>
          <w:b/>
          <w:color w:val="auto"/>
          <w:sz w:val="28"/>
          <w:szCs w:val="28"/>
          <w:highlight w:val="none"/>
        </w:rPr>
        <w:t>格式</w:t>
      </w:r>
      <w:r>
        <w:rPr>
          <w:rFonts w:hint="eastAsia" w:hAnsi="宋体" w:cs="宋体"/>
          <w:b/>
          <w:color w:val="auto"/>
          <w:sz w:val="28"/>
          <w:szCs w:val="28"/>
          <w:highlight w:val="none"/>
        </w:rPr>
        <w:t>：</w:t>
      </w:r>
    </w:p>
    <w:p>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服务要求偏离表</w:t>
      </w:r>
    </w:p>
    <w:p>
      <w:pPr>
        <w:pStyle w:val="13"/>
        <w:spacing w:line="440" w:lineRule="exact"/>
        <w:ind w:firstLine="420" w:firstLineChars="200"/>
        <w:rPr>
          <w:color w:val="auto"/>
          <w:highlight w:val="none"/>
        </w:rPr>
      </w:pP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p>
    <w:p>
      <w:pPr>
        <w:pStyle w:val="13"/>
        <w:spacing w:line="600" w:lineRule="exact"/>
        <w:rPr>
          <w:rFonts w:hAnsi="宋体" w:cs="宋体"/>
          <w:color w:val="auto"/>
          <w:sz w:val="24"/>
          <w:highlight w:val="none"/>
          <w:u w:val="single"/>
        </w:rPr>
      </w:pPr>
      <w:r>
        <w:rPr>
          <w:rFonts w:hint="eastAsia" w:hAnsi="宋体" w:cs="宋体"/>
          <w:color w:val="auto"/>
          <w:sz w:val="24"/>
          <w:highlight w:val="none"/>
        </w:rPr>
        <w:t>项目编号：</w:t>
      </w:r>
    </w:p>
    <w:p>
      <w:pPr>
        <w:pStyle w:val="8"/>
        <w:rPr>
          <w:color w:val="auto"/>
          <w:highlight w:val="none"/>
        </w:rPr>
      </w:pPr>
    </w:p>
    <w:p>
      <w:pPr>
        <w:pStyle w:val="8"/>
        <w:ind w:left="0"/>
        <w:rPr>
          <w:rFonts w:ascii="宋体" w:hAnsi="宋体" w:cs="宋体"/>
          <w:color w:val="auto"/>
          <w:sz w:val="24"/>
          <w:highlight w:val="none"/>
          <w:u w:val="single"/>
        </w:rPr>
      </w:pPr>
      <w:r>
        <w:rPr>
          <w:rFonts w:hint="eastAsia" w:hAnsi="宋体" w:cs="宋体"/>
          <w:color w:val="auto"/>
          <w:sz w:val="24"/>
          <w:szCs w:val="20"/>
          <w:highlight w:val="none"/>
        </w:rPr>
        <w:t>所投</w:t>
      </w:r>
      <w:r>
        <w:rPr>
          <w:rFonts w:hint="eastAsia" w:ascii="宋体" w:hAnsi="宋体" w:cs="宋体"/>
          <w:color w:val="auto"/>
          <w:sz w:val="24"/>
          <w:szCs w:val="20"/>
          <w:highlight w:val="none"/>
        </w:rPr>
        <w:t>分标</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p>
    <w:p>
      <w:pPr>
        <w:rPr>
          <w:color w:val="auto"/>
          <w:highlight w:val="none"/>
        </w:rPr>
      </w:pPr>
    </w:p>
    <w:tbl>
      <w:tblPr>
        <w:tblStyle w:val="19"/>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133"/>
        <w:gridCol w:w="3769"/>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项号</w:t>
            </w:r>
          </w:p>
        </w:tc>
        <w:tc>
          <w:tcPr>
            <w:tcW w:w="1262"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标的名称</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招标文件服务内容</w:t>
            </w:r>
          </w:p>
        </w:tc>
        <w:tc>
          <w:tcPr>
            <w:tcW w:w="3769"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投标文件服务内容</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37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pStyle w:val="13"/>
        <w:spacing w:line="360" w:lineRule="auto"/>
        <w:rPr>
          <w:rFonts w:hAnsi="宋体" w:cs="宋体"/>
          <w:color w:val="auto"/>
          <w:szCs w:val="21"/>
          <w:highlight w:val="none"/>
        </w:rPr>
      </w:pP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注：</w:t>
      </w:r>
    </w:p>
    <w:p>
      <w:pPr>
        <w:pStyle w:val="13"/>
        <w:spacing w:line="360" w:lineRule="auto"/>
        <w:ind w:firstLine="420" w:firstLineChars="200"/>
        <w:rPr>
          <w:rFonts w:hAnsi="宋体" w:cs="宋体"/>
          <w:color w:val="auto"/>
          <w:szCs w:val="21"/>
          <w:highlight w:val="none"/>
        </w:rPr>
      </w:pPr>
      <w:r>
        <w:rPr>
          <w:rFonts w:hint="eastAsia" w:hAnsi="宋体" w:cs="宋体"/>
          <w:color w:val="auto"/>
          <w:szCs w:val="21"/>
          <w:highlight w:val="none"/>
        </w:rPr>
        <w:t>1.表格内容均需按要求填写并加盖投标人公章。</w:t>
      </w:r>
    </w:p>
    <w:p>
      <w:pPr>
        <w:pStyle w:val="13"/>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2.</w:t>
      </w:r>
      <w:r>
        <w:rPr>
          <w:rFonts w:hint="eastAsia" w:hAnsi="宋体" w:cs="宋体"/>
          <w:color w:val="auto"/>
          <w:szCs w:val="21"/>
          <w:highlight w:val="none"/>
        </w:rPr>
        <w:t>请根据所投服务内容，逐条对应本项目招标文件“第二章 采购需求”中“服务要求”的内容详细填写相应的具体内容。“偏离说明”一栏应当选择“正偏离”或“负偏离”或“无偏离”进行填写。</w:t>
      </w:r>
    </w:p>
    <w:p>
      <w:pPr>
        <w:pStyle w:val="13"/>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3.当投标文件的服务内容低于招标文件要求时，投标人应当如实写明“负偏离”，否则视为虚假应标。</w:t>
      </w:r>
    </w:p>
    <w:p>
      <w:pPr>
        <w:pStyle w:val="8"/>
        <w:rPr>
          <w:rFonts w:hAnsi="宋体" w:cs="宋体"/>
          <w:color w:val="auto"/>
          <w:szCs w:val="21"/>
          <w:highlight w:val="none"/>
        </w:rPr>
      </w:pPr>
    </w:p>
    <w:p>
      <w:pPr>
        <w:rPr>
          <w:rFonts w:hAnsi="宋体" w:cs="宋体"/>
          <w:color w:val="auto"/>
          <w:szCs w:val="21"/>
          <w:highlight w:val="none"/>
        </w:rPr>
      </w:pPr>
    </w:p>
    <w:p>
      <w:pPr>
        <w:snapToGrid w:val="0"/>
        <w:spacing w:line="360" w:lineRule="auto"/>
        <w:ind w:firstLine="5640" w:firstLineChars="2350"/>
        <w:rPr>
          <w:rFonts w:ascii="仿宋_GB2312" w:hAnsi="仿宋" w:eastAsia="仿宋_GB2312" w:cs="仿宋_GB2312"/>
          <w:color w:val="auto"/>
          <w:kern w:val="0"/>
          <w:sz w:val="24"/>
          <w:highlight w:val="none"/>
          <w:lang w:val="zh-CN"/>
        </w:rPr>
      </w:pPr>
    </w:p>
    <w:p>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widowControl/>
        <w:jc w:val="left"/>
        <w:rPr>
          <w:rFonts w:ascii="宋体" w:hAnsi="宋体"/>
          <w:color w:val="auto"/>
          <w:sz w:val="30"/>
          <w:szCs w:val="20"/>
          <w:highlight w:val="none"/>
        </w:rPr>
        <w:sectPr>
          <w:pgSz w:w="11905" w:h="16838"/>
          <w:pgMar w:top="1134" w:right="1134" w:bottom="1134" w:left="1134" w:header="850" w:footer="850" w:gutter="0"/>
          <w:cols w:space="0" w:num="1"/>
          <w:titlePg/>
          <w:docGrid w:linePitch="331" w:charSpace="0"/>
        </w:sectPr>
      </w:pPr>
    </w:p>
    <w:p>
      <w:pPr>
        <w:snapToGrid w:val="0"/>
        <w:spacing w:beforeLines="50" w:after="50"/>
        <w:ind w:left="142"/>
        <w:jc w:val="left"/>
        <w:rPr>
          <w:rFonts w:ascii="宋体" w:hAnsi="宋体"/>
          <w:b/>
          <w:color w:val="auto"/>
          <w:sz w:val="32"/>
          <w:szCs w:val="32"/>
          <w:highlight w:val="none"/>
        </w:rPr>
      </w:pPr>
      <w:r>
        <w:rPr>
          <w:rFonts w:hint="eastAsia" w:ascii="宋体" w:hAnsi="宋体" w:cs="宋体"/>
          <w:b/>
          <w:color w:val="auto"/>
          <w:sz w:val="28"/>
          <w:szCs w:val="28"/>
          <w:highlight w:val="none"/>
        </w:rPr>
        <w:t>4. 售后服务机构情况表、售后服务人员情况表的格式</w:t>
      </w:r>
      <w:r>
        <w:rPr>
          <w:rFonts w:hint="eastAsia" w:ascii="宋体" w:hAnsi="宋体" w:cs="宋体"/>
          <w:b/>
          <w:bCs/>
          <w:color w:val="auto"/>
          <w:sz w:val="30"/>
          <w:szCs w:val="30"/>
          <w:highlight w:val="none"/>
        </w:rPr>
        <w:t>：</w:t>
      </w:r>
    </w:p>
    <w:p>
      <w:pPr>
        <w:snapToGrid w:val="0"/>
        <w:spacing w:beforeLines="50" w:after="50"/>
        <w:ind w:left="142"/>
        <w:jc w:val="center"/>
        <w:rPr>
          <w:rFonts w:ascii="宋体" w:hAnsi="宋体"/>
          <w:b/>
          <w:color w:val="auto"/>
          <w:sz w:val="32"/>
          <w:szCs w:val="32"/>
          <w:highlight w:val="none"/>
        </w:rPr>
      </w:pPr>
    </w:p>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（如有要求，参照此格式自制）</w:t>
      </w:r>
    </w:p>
    <w:tbl>
      <w:tblPr>
        <w:tblStyle w:val="19"/>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r>
    </w:tbl>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color w:val="auto"/>
          <w:kern w:val="0"/>
          <w:sz w:val="24"/>
          <w:highlight w:val="none"/>
        </w:rPr>
      </w:pP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（如有要求，参照此格式自制）</w:t>
      </w:r>
    </w:p>
    <w:tbl>
      <w:tblPr>
        <w:tblStyle w:val="19"/>
        <w:tblW w:w="10002" w:type="dxa"/>
        <w:jc w:val="center"/>
        <w:tblInd w:w="0" w:type="dxa"/>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Layout w:type="fixed"/>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Layout w:type="fixed"/>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r>
    </w:tbl>
    <w:p>
      <w:pPr>
        <w:snapToGrid w:val="0"/>
        <w:spacing w:beforeLines="50" w:after="50"/>
        <w:ind w:left="142"/>
        <w:jc w:val="center"/>
        <w:rPr>
          <w:rFonts w:ascii="宋体" w:hAnsi="宋体"/>
          <w:b/>
          <w:color w:val="auto"/>
          <w:sz w:val="32"/>
          <w:szCs w:val="32"/>
          <w:highlight w:val="none"/>
        </w:rPr>
      </w:pPr>
    </w:p>
    <w:p>
      <w:pPr>
        <w:snapToGrid w:val="0"/>
        <w:spacing w:beforeLines="50" w:line="360" w:lineRule="auto"/>
        <w:ind w:right="480" w:firstLine="3967" w:firstLineChars="1653"/>
        <w:rPr>
          <w:rFonts w:ascii="宋体" w:hAnsi="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widowControl/>
        <w:spacing w:line="360" w:lineRule="auto"/>
        <w:jc w:val="left"/>
        <w:rPr>
          <w:rFonts w:ascii="宋体" w:hAnsi="宋体"/>
          <w:color w:val="auto"/>
          <w:sz w:val="24"/>
          <w:highlight w:val="none"/>
        </w:rPr>
        <w:sectPr>
          <w:pgSz w:w="11905" w:h="16838"/>
          <w:pgMar w:top="1134" w:right="1134" w:bottom="1134" w:left="1134" w:header="850" w:footer="850" w:gutter="0"/>
          <w:cols w:space="0" w:num="1"/>
          <w:titlePg/>
          <w:docGrid w:linePitch="331" w:charSpace="0"/>
        </w:sectPr>
      </w:pPr>
    </w:p>
    <w:p>
      <w:pPr>
        <w:snapToGrid w:val="0"/>
        <w:spacing w:beforeLines="50" w:after="50"/>
        <w:ind w:left="142"/>
        <w:jc w:val="left"/>
        <w:rPr>
          <w:rFonts w:ascii="宋体" w:hAnsi="宋体"/>
          <w:b/>
          <w:color w:val="auto"/>
          <w:sz w:val="32"/>
          <w:szCs w:val="32"/>
          <w:highlight w:val="none"/>
        </w:rPr>
      </w:pPr>
      <w:r>
        <w:rPr>
          <w:rFonts w:hint="eastAsia" w:ascii="宋体" w:hAnsi="宋体" w:cs="宋体"/>
          <w:b/>
          <w:color w:val="auto"/>
          <w:sz w:val="28"/>
          <w:szCs w:val="28"/>
          <w:highlight w:val="none"/>
        </w:rPr>
        <w:t>5. 项目实施人员一览表的格式</w:t>
      </w:r>
      <w:r>
        <w:rPr>
          <w:rFonts w:hint="eastAsia" w:ascii="宋体" w:hAnsi="宋体" w:cs="宋体"/>
          <w:b/>
          <w:bCs/>
          <w:color w:val="auto"/>
          <w:sz w:val="30"/>
          <w:szCs w:val="30"/>
          <w:highlight w:val="none"/>
        </w:rPr>
        <w:t>：</w:t>
      </w:r>
    </w:p>
    <w:p>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r>
        <w:rPr>
          <w:rFonts w:hint="eastAsia" w:ascii="宋体" w:hAnsi="宋体"/>
          <w:b/>
          <w:i/>
          <w:iCs/>
          <w:color w:val="auto"/>
          <w:sz w:val="32"/>
          <w:szCs w:val="32"/>
          <w:highlight w:val="none"/>
        </w:rPr>
        <w:t>（如有要求）</w:t>
      </w:r>
    </w:p>
    <w:p>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3"/>
        <w:rPr>
          <w:color w:val="auto"/>
          <w:sz w:val="24"/>
          <w:szCs w:val="24"/>
          <w:highlight w:val="none"/>
        </w:rPr>
      </w:pPr>
    </w:p>
    <w:p>
      <w:pPr>
        <w:pStyle w:val="13"/>
        <w:rPr>
          <w:color w:val="auto"/>
          <w:sz w:val="24"/>
          <w:szCs w:val="24"/>
          <w:highlight w:val="none"/>
        </w:rPr>
      </w:pPr>
      <w:r>
        <w:rPr>
          <w:rFonts w:hint="eastAsia"/>
          <w:color w:val="auto"/>
          <w:sz w:val="24"/>
          <w:szCs w:val="24"/>
          <w:highlight w:val="none"/>
        </w:rPr>
        <w:t>所投分标（此处有分标时填写具体分标号，无分标时填写“无”）：</w:t>
      </w:r>
    </w:p>
    <w:p>
      <w:pPr>
        <w:keepNext/>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19"/>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Layout w:type="fixed"/>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 w:eastAsia="仿宋_GB2312" w:cs="仿宋_GB2312"/>
                <w:color w:val="auto"/>
                <w:sz w:val="24"/>
                <w:highlight w:val="none"/>
              </w:rPr>
            </w:pPr>
          </w:p>
        </w:tc>
      </w:tr>
    </w:tbl>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（参照此格式自制）</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Layout w:type="fixed"/>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color w:val="auto"/>
                <w:sz w:val="24"/>
                <w:highlight w:val="none"/>
              </w:rPr>
            </w:pPr>
          </w:p>
        </w:tc>
      </w:tr>
    </w:tbl>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注：投标人可参照上述的格式自行编制，须随表提交相应的证书复印件并注明所在投标技术文件页码。</w:t>
      </w:r>
    </w:p>
    <w:p>
      <w:pPr>
        <w:snapToGrid w:val="0"/>
        <w:spacing w:line="360" w:lineRule="auto"/>
        <w:ind w:firstLine="4320" w:firstLineChars="1800"/>
        <w:rPr>
          <w:rFonts w:ascii="仿宋_GB2312" w:hAnsi="仿宋" w:eastAsia="仿宋_GB2312" w:cs="仿宋_GB2312"/>
          <w:color w:val="auto"/>
          <w:kern w:val="0"/>
          <w:sz w:val="24"/>
          <w:highlight w:val="none"/>
          <w:lang w:val="zh-CN"/>
        </w:rPr>
      </w:pPr>
    </w:p>
    <w:p>
      <w:pPr>
        <w:snapToGrid w:val="0"/>
        <w:spacing w:line="360" w:lineRule="auto"/>
        <w:ind w:firstLine="4320" w:firstLineChars="1800"/>
        <w:rPr>
          <w:rFonts w:ascii="仿宋_GB2312" w:hAnsi="仿宋" w:eastAsia="仿宋_GB2312" w:cs="仿宋_GB2312"/>
          <w:color w:val="auto"/>
          <w:kern w:val="0"/>
          <w:sz w:val="24"/>
          <w:highlight w:val="none"/>
          <w:lang w:val="zh-CN"/>
        </w:rPr>
      </w:pPr>
    </w:p>
    <w:p>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pPr>
        <w:snapToGrid w:val="0"/>
        <w:spacing w:before="50" w:after="50"/>
        <w:rPr>
          <w:rFonts w:ascii="宋体" w:hAnsi="宋体"/>
          <w:color w:val="auto"/>
          <w:sz w:val="24"/>
          <w:highlight w:val="none"/>
        </w:rPr>
      </w:pPr>
    </w:p>
    <w:p>
      <w:pPr>
        <w:pStyle w:val="13"/>
        <w:jc w:val="center"/>
        <w:outlineLvl w:val="1"/>
        <w:rPr>
          <w:rFonts w:hAnsi="宋体"/>
          <w:b/>
          <w:bCs/>
          <w:color w:val="auto"/>
          <w:sz w:val="28"/>
          <w:szCs w:val="28"/>
          <w:highlight w:val="none"/>
        </w:rPr>
      </w:pPr>
      <w:bookmarkStart w:id="391" w:name="_Toc31920"/>
      <w:bookmarkStart w:id="392" w:name="_Toc28617"/>
      <w:bookmarkStart w:id="393" w:name="_Toc3481"/>
      <w:bookmarkStart w:id="394" w:name="_Toc12868"/>
      <w:bookmarkStart w:id="395" w:name="_Toc22926"/>
      <w:bookmarkStart w:id="396" w:name="_Toc1343"/>
      <w:bookmarkStart w:id="397" w:name="_Toc9015"/>
      <w:bookmarkStart w:id="398" w:name="_Toc12675"/>
      <w:bookmarkStart w:id="399" w:name="_Toc30951"/>
      <w:bookmarkStart w:id="400" w:name="_Toc17719"/>
      <w:r>
        <w:rPr>
          <w:rFonts w:hint="eastAsia" w:hAnsi="宋体"/>
          <w:b/>
          <w:bCs/>
          <w:color w:val="auto"/>
          <w:sz w:val="28"/>
          <w:szCs w:val="28"/>
          <w:highlight w:val="none"/>
        </w:rPr>
        <w:t>第四节 报价文件格式</w:t>
      </w:r>
      <w:bookmarkEnd w:id="391"/>
      <w:bookmarkEnd w:id="392"/>
      <w:bookmarkEnd w:id="393"/>
      <w:bookmarkEnd w:id="394"/>
      <w:bookmarkEnd w:id="395"/>
      <w:bookmarkEnd w:id="396"/>
      <w:bookmarkEnd w:id="397"/>
      <w:bookmarkEnd w:id="398"/>
      <w:bookmarkEnd w:id="399"/>
      <w:bookmarkEnd w:id="400"/>
    </w:p>
    <w:p>
      <w:pPr>
        <w:snapToGrid w:val="0"/>
        <w:spacing w:beforeLines="50" w:after="50" w:line="400" w:lineRule="exact"/>
        <w:jc w:val="left"/>
        <w:rPr>
          <w:rFonts w:ascii="宋体" w:hAnsi="宋体"/>
          <w:color w:val="auto"/>
          <w:sz w:val="24"/>
          <w:highlight w:val="none"/>
        </w:rPr>
      </w:pPr>
      <w:r>
        <w:rPr>
          <w:rFonts w:hint="eastAsia" w:ascii="宋体" w:hAnsi="宋体" w:cs="宋体"/>
          <w:b/>
          <w:bCs/>
          <w:color w:val="auto"/>
          <w:sz w:val="28"/>
          <w:szCs w:val="28"/>
          <w:highlight w:val="none"/>
        </w:rPr>
        <w:t>1.报价文件封面的格式：</w:t>
      </w:r>
    </w:p>
    <w:p>
      <w:pPr>
        <w:snapToGrid w:val="0"/>
        <w:spacing w:beforeLines="50" w:after="50" w:line="400" w:lineRule="exact"/>
        <w:rPr>
          <w:rFonts w:ascii="宋体" w:hAnsi="宋体"/>
          <w:color w:val="auto"/>
          <w:sz w:val="24"/>
          <w:highlight w:val="none"/>
        </w:rPr>
      </w:pPr>
    </w:p>
    <w:p>
      <w:pPr>
        <w:snapToGrid w:val="0"/>
        <w:spacing w:beforeLines="50" w:after="50" w:line="400" w:lineRule="exact"/>
        <w:rPr>
          <w:rFonts w:ascii="宋体" w:hAnsi="宋体"/>
          <w:bCs/>
          <w:color w:val="auto"/>
          <w:sz w:val="32"/>
          <w:szCs w:val="20"/>
          <w:highlight w:val="none"/>
        </w:rPr>
      </w:pPr>
      <w:r>
        <w:rPr>
          <w:rFonts w:hint="eastAsia" w:ascii="宋体" w:hAnsi="宋体"/>
          <w:bCs/>
          <w:color w:val="auto"/>
          <w:highlight w:val="none"/>
        </w:rPr>
        <w:t>电子投标文件</w:t>
      </w:r>
    </w:p>
    <w:p>
      <w:pPr>
        <w:snapToGrid w:val="0"/>
        <w:spacing w:beforeLines="50" w:after="50" w:line="400" w:lineRule="exact"/>
        <w:jc w:val="center"/>
        <w:rPr>
          <w:rFonts w:ascii="宋体" w:hAnsi="宋体"/>
          <w:bCs/>
          <w:color w:val="auto"/>
          <w:sz w:val="24"/>
          <w:szCs w:val="20"/>
          <w:highlight w:val="none"/>
        </w:rPr>
      </w:pPr>
    </w:p>
    <w:p>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w:t>
      </w:r>
    </w:p>
    <w:p>
      <w:pPr>
        <w:snapToGrid w:val="0"/>
        <w:spacing w:beforeLines="50" w:after="50" w:line="400" w:lineRule="exact"/>
        <w:rPr>
          <w:rFonts w:ascii="宋体" w:hAnsi="宋体"/>
          <w:bCs/>
          <w:color w:val="auto"/>
          <w:sz w:val="24"/>
          <w:szCs w:val="20"/>
          <w:highlight w:val="none"/>
        </w:rPr>
      </w:pPr>
    </w:p>
    <w:p>
      <w:pPr>
        <w:snapToGrid w:val="0"/>
        <w:spacing w:beforeLines="50" w:after="50" w:line="400" w:lineRule="exact"/>
        <w:rPr>
          <w:rFonts w:ascii="宋体" w:hAnsi="宋体"/>
          <w:bCs/>
          <w:color w:val="auto"/>
          <w:sz w:val="24"/>
          <w:szCs w:val="20"/>
          <w:highlight w:val="none"/>
        </w:rPr>
      </w:pPr>
    </w:p>
    <w:p>
      <w:pPr>
        <w:snapToGrid w:val="0"/>
        <w:spacing w:beforeLines="50" w:after="50" w:line="400" w:lineRule="exact"/>
        <w:rPr>
          <w:rFonts w:ascii="宋体" w:hAnsi="宋体"/>
          <w:bCs/>
          <w:color w:val="auto"/>
          <w:sz w:val="24"/>
          <w:szCs w:val="20"/>
          <w:highlight w:val="none"/>
        </w:rPr>
      </w:pPr>
    </w:p>
    <w:p>
      <w:pPr>
        <w:snapToGrid w:val="0"/>
        <w:spacing w:beforeLines="50" w:after="50" w:line="400" w:lineRule="exact"/>
        <w:rPr>
          <w:rFonts w:ascii="宋体" w:hAnsi="宋体"/>
          <w:bCs/>
          <w:color w:val="auto"/>
          <w:sz w:val="24"/>
          <w:szCs w:val="20"/>
          <w:highlight w:val="none"/>
        </w:rPr>
      </w:pPr>
    </w:p>
    <w:p>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Lines="50" w:after="50" w:line="400" w:lineRule="exact"/>
        <w:ind w:firstLine="360" w:firstLineChars="150"/>
        <w:rPr>
          <w:rFonts w:ascii="宋体" w:hAnsi="宋体"/>
          <w:bCs/>
          <w:color w:val="auto"/>
          <w:sz w:val="24"/>
          <w:highlight w:val="none"/>
        </w:rPr>
      </w:pPr>
    </w:p>
    <w:p>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Lines="50" w:after="50" w:line="400" w:lineRule="exact"/>
        <w:ind w:firstLine="360" w:firstLineChars="150"/>
        <w:rPr>
          <w:rFonts w:ascii="宋体" w:hAnsi="宋体"/>
          <w:bCs/>
          <w:color w:val="auto"/>
          <w:sz w:val="24"/>
          <w:highlight w:val="none"/>
        </w:rPr>
      </w:pPr>
    </w:p>
    <w:p>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pPr>
        <w:snapToGrid w:val="0"/>
        <w:spacing w:beforeLines="50" w:after="50" w:line="400" w:lineRule="exact"/>
        <w:ind w:firstLine="360" w:firstLineChars="150"/>
        <w:rPr>
          <w:rFonts w:ascii="宋体" w:hAnsi="宋体"/>
          <w:bCs/>
          <w:color w:val="auto"/>
          <w:sz w:val="24"/>
          <w:highlight w:val="none"/>
        </w:rPr>
      </w:pPr>
    </w:p>
    <w:p>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Lines="50" w:after="50" w:line="400" w:lineRule="exact"/>
        <w:ind w:firstLine="360" w:firstLineChars="150"/>
        <w:rPr>
          <w:rFonts w:ascii="宋体" w:hAnsi="宋体"/>
          <w:bCs/>
          <w:color w:val="auto"/>
          <w:sz w:val="24"/>
          <w:highlight w:val="none"/>
        </w:rPr>
      </w:pPr>
    </w:p>
    <w:p>
      <w:pPr>
        <w:pStyle w:val="7"/>
        <w:snapToGrid w:val="0"/>
        <w:spacing w:before="50" w:after="50" w:line="400" w:lineRule="exact"/>
        <w:ind w:firstLine="960" w:firstLineChars="400"/>
        <w:rPr>
          <w:rFonts w:ascii="宋体" w:hAnsi="宋体"/>
          <w:bCs/>
          <w:color w:val="auto"/>
          <w:sz w:val="24"/>
          <w:szCs w:val="24"/>
          <w:highlight w:val="none"/>
        </w:rPr>
      </w:pPr>
    </w:p>
    <w:p>
      <w:pPr>
        <w:snapToGrid w:val="0"/>
        <w:spacing w:beforeLines="50" w:after="50" w:line="400" w:lineRule="exact"/>
        <w:rPr>
          <w:rFonts w:ascii="宋体" w:hAnsi="宋体"/>
          <w:color w:val="auto"/>
          <w:sz w:val="24"/>
          <w:highlight w:val="none"/>
        </w:rPr>
      </w:pPr>
    </w:p>
    <w:p>
      <w:pPr>
        <w:snapToGrid w:val="0"/>
        <w:spacing w:beforeLines="50" w:after="50" w:line="400" w:lineRule="exact"/>
        <w:ind w:firstLine="3120" w:firstLineChars="1300"/>
        <w:rPr>
          <w:rFonts w:ascii="宋体" w:hAnsi="宋体"/>
          <w:color w:val="auto"/>
          <w:sz w:val="24"/>
          <w:highlight w:val="none"/>
        </w:rPr>
      </w:pPr>
    </w:p>
    <w:p>
      <w:pPr>
        <w:snapToGrid w:val="0"/>
        <w:spacing w:beforeLines="50" w:after="50" w:line="400" w:lineRule="exact"/>
        <w:ind w:firstLine="4320" w:firstLineChars="1800"/>
        <w:rPr>
          <w:rFonts w:ascii="宋体" w:hAnsi="宋体"/>
          <w:color w:val="auto"/>
          <w:sz w:val="24"/>
          <w:highlight w:val="none"/>
        </w:rPr>
      </w:pPr>
      <w:r>
        <w:rPr>
          <w:rFonts w:hint="eastAsia" w:ascii="宋体" w:hAnsi="宋体"/>
          <w:color w:val="auto"/>
          <w:sz w:val="24"/>
          <w:highlight w:val="none"/>
        </w:rPr>
        <w:t xml:space="preserve">  年  月  日</w:t>
      </w:r>
    </w:p>
    <w:p>
      <w:pPr>
        <w:widowControl/>
        <w:jc w:val="left"/>
        <w:rPr>
          <w:rFonts w:ascii="宋体" w:hAnsi="宋体"/>
          <w:color w:val="auto"/>
          <w:sz w:val="24"/>
          <w:highlight w:val="none"/>
        </w:rPr>
        <w:sectPr>
          <w:pgSz w:w="11905" w:h="16838"/>
          <w:pgMar w:top="1134" w:right="1134" w:bottom="1134" w:left="1134" w:header="850" w:footer="850" w:gutter="0"/>
          <w:cols w:space="0" w:num="1"/>
          <w:titlePg/>
          <w:docGrid w:linePitch="331" w:charSpace="0"/>
        </w:sectPr>
      </w:pPr>
    </w:p>
    <w:p>
      <w:pPr>
        <w:snapToGrid w:val="0"/>
        <w:spacing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pPr>
        <w:snapToGrid w:val="0"/>
        <w:spacing w:before="5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pPr>
        <w:spacing w:line="500" w:lineRule="exact"/>
        <w:jc w:val="center"/>
        <w:rPr>
          <w:b/>
          <w:bCs/>
          <w:color w:val="auto"/>
          <w:sz w:val="30"/>
          <w:szCs w:val="30"/>
          <w:highlight w:val="none"/>
        </w:rPr>
      </w:pPr>
      <w:r>
        <w:rPr>
          <w:rFonts w:hint="eastAsia"/>
          <w:b/>
          <w:bCs/>
          <w:color w:val="auto"/>
          <w:sz w:val="30"/>
          <w:szCs w:val="30"/>
          <w:highlight w:val="none"/>
        </w:rPr>
        <w:br w:type="page"/>
      </w:r>
    </w:p>
    <w:p>
      <w:pPr>
        <w:pStyle w:val="13"/>
        <w:spacing w:line="500" w:lineRule="exact"/>
        <w:jc w:val="left"/>
        <w:rPr>
          <w:rFonts w:ascii="Times New Roman" w:hAnsi="Times New Roman"/>
          <w:b/>
          <w:bCs/>
          <w:color w:val="auto"/>
          <w:sz w:val="30"/>
          <w:szCs w:val="30"/>
          <w:highlight w:val="none"/>
        </w:rPr>
      </w:pPr>
      <w:r>
        <w:rPr>
          <w:rFonts w:hint="eastAsia" w:hAnsi="宋体" w:cs="宋体"/>
          <w:b/>
          <w:bCs/>
          <w:color w:val="auto"/>
          <w:sz w:val="28"/>
          <w:szCs w:val="28"/>
          <w:highlight w:val="none"/>
        </w:rPr>
        <w:t>3.投标函的格式：</w:t>
      </w:r>
    </w:p>
    <w:p>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w:t>
      </w:r>
    </w:p>
    <w:p>
      <w:pPr>
        <w:pStyle w:val="13"/>
        <w:spacing w:line="440" w:lineRule="exact"/>
        <w:ind w:firstLine="420" w:firstLineChars="200"/>
        <w:rPr>
          <w:rFonts w:ascii="Times New Roman" w:hAnsi="Times New Roman"/>
          <w:color w:val="auto"/>
          <w:highlight w:val="none"/>
        </w:rPr>
      </w:pPr>
    </w:p>
    <w:p>
      <w:pPr>
        <w:pStyle w:val="13"/>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bookmarkStart w:id="401" w:name="PO_3000001866_PM031_4"/>
      <w:r>
        <w:rPr>
          <w:rFonts w:hint="eastAsia" w:ascii="Times New Roman" w:hAnsi="Times New Roman"/>
          <w:color w:val="auto"/>
          <w:highlight w:val="none"/>
          <w:u w:val="single"/>
        </w:rPr>
        <w:t>广西科联招标中心有限公司</w:t>
      </w:r>
      <w:bookmarkEnd w:id="401"/>
    </w:p>
    <w:p>
      <w:pPr>
        <w:pStyle w:val="13"/>
        <w:spacing w:line="440" w:lineRule="exact"/>
        <w:ind w:firstLine="420" w:firstLineChars="200"/>
        <w:rPr>
          <w:color w:val="auto"/>
          <w:highlight w:val="none"/>
        </w:rPr>
      </w:pPr>
      <w:r>
        <w:rPr>
          <w:rFonts w:hint="eastAsia"/>
          <w:color w:val="auto"/>
          <w:highlight w:val="none"/>
        </w:rPr>
        <w:t>我方已仔细阅读了贵方组织的</w:t>
      </w:r>
      <w:r>
        <w:rPr>
          <w:rFonts w:hint="eastAsia" w:hAnsi="宋体" w:cs="宋体"/>
          <w:i/>
          <w:iCs/>
          <w:color w:val="auto"/>
          <w:highlight w:val="none"/>
          <w:u w:val="single"/>
        </w:rPr>
        <w:t>（项目名称）</w:t>
      </w:r>
      <w:r>
        <w:rPr>
          <w:rFonts w:hint="eastAsia"/>
          <w:color w:val="auto"/>
          <w:highlight w:val="none"/>
        </w:rPr>
        <w:t xml:space="preserve">项目（项目编号：）的招标文件的全部内容，授权(全权代表姓名) (职务、职称)为全权代表，现正式递交下述文件参加贵方组织的本次政府采购活动： </w:t>
      </w:r>
    </w:p>
    <w:p>
      <w:pPr>
        <w:pStyle w:val="13"/>
        <w:spacing w:line="440" w:lineRule="exact"/>
        <w:ind w:firstLine="420" w:firstLineChars="200"/>
        <w:rPr>
          <w:color w:val="auto"/>
          <w:highlight w:val="none"/>
        </w:rPr>
      </w:pPr>
      <w:r>
        <w:rPr>
          <w:rFonts w:hint="eastAsia"/>
          <w:color w:val="auto"/>
          <w:highlight w:val="none"/>
        </w:rPr>
        <w:t>一、报价文件电子版（包含按投标人须知前附表要求提交的全部文件）；</w:t>
      </w:r>
    </w:p>
    <w:p>
      <w:pPr>
        <w:pStyle w:val="13"/>
        <w:spacing w:line="440" w:lineRule="exact"/>
        <w:ind w:firstLine="482"/>
        <w:rPr>
          <w:color w:val="auto"/>
          <w:highlight w:val="none"/>
        </w:rPr>
      </w:pPr>
      <w:r>
        <w:rPr>
          <w:rFonts w:hint="eastAsia"/>
          <w:color w:val="auto"/>
          <w:highlight w:val="none"/>
        </w:rPr>
        <w:t>二、资格文件电子版（包含按投标人须知前附表要求提交的全部文件）；</w:t>
      </w:r>
    </w:p>
    <w:p>
      <w:pPr>
        <w:pStyle w:val="13"/>
        <w:spacing w:line="44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文件电子版（包含按投标人须知前附表要求提交的全部文件）；</w:t>
      </w:r>
    </w:p>
    <w:p>
      <w:pPr>
        <w:pStyle w:val="13"/>
        <w:spacing w:line="440" w:lineRule="exact"/>
        <w:ind w:firstLine="482"/>
        <w:rPr>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电子版（包含按投标人须知前附表要求提交的全部文件）；</w:t>
      </w:r>
    </w:p>
    <w:p>
      <w:pPr>
        <w:pStyle w:val="13"/>
        <w:spacing w:line="440" w:lineRule="exact"/>
        <w:ind w:firstLine="482"/>
        <w:rPr>
          <w:rFonts w:ascii="Times New Roman" w:hAnsi="Times New Roman"/>
          <w:color w:val="auto"/>
          <w:highlight w:val="none"/>
        </w:rPr>
      </w:pPr>
      <w:r>
        <w:rPr>
          <w:rFonts w:hint="eastAsia"/>
          <w:color w:val="auto"/>
          <w:highlight w:val="none"/>
        </w:rPr>
        <w:t>据此函，签字人兹宣布：</w:t>
      </w:r>
    </w:p>
    <w:p>
      <w:pPr>
        <w:pStyle w:val="13"/>
        <w:spacing w:line="440" w:lineRule="exact"/>
        <w:ind w:firstLine="420" w:firstLineChars="200"/>
        <w:rPr>
          <w:rFonts w:ascii="Times New Roman" w:hAnsi="Times New Roman"/>
          <w:color w:val="auto"/>
          <w:highlight w:val="none"/>
        </w:rPr>
      </w:pPr>
      <w:r>
        <w:rPr>
          <w:rFonts w:hint="eastAsia"/>
          <w:color w:val="auto"/>
          <w:highlight w:val="none"/>
        </w:rPr>
        <w:t>1、我方愿意以投标时提供</w:t>
      </w:r>
      <w:r>
        <w:rPr>
          <w:rFonts w:hint="eastAsia" w:hAnsi="宋体" w:cs="宋体"/>
          <w:color w:val="auto"/>
          <w:highlight w:val="none"/>
        </w:rPr>
        <w:t>的开标一览表中的投标总</w:t>
      </w:r>
      <w:r>
        <w:rPr>
          <w:rFonts w:hint="eastAsia" w:hAnsi="宋体" w:cs="宋体"/>
          <w:color w:val="auto"/>
          <w:szCs w:val="22"/>
          <w:highlight w:val="none"/>
        </w:rPr>
        <w:t>报价，在承诺的提交服务成果时间内</w:t>
      </w:r>
      <w:r>
        <w:rPr>
          <w:rFonts w:hint="eastAsia"/>
          <w:color w:val="auto"/>
          <w:highlight w:val="none"/>
        </w:rPr>
        <w:t>提供本项目</w:t>
      </w:r>
      <w:r>
        <w:rPr>
          <w:rFonts w:hint="eastAsia" w:hAnsi="Times New Roman"/>
          <w:color w:val="auto"/>
          <w:highlight w:val="none"/>
        </w:rPr>
        <w:t>招标文件“第二章  采购需求”的“服务要求”中</w:t>
      </w:r>
      <w:r>
        <w:rPr>
          <w:rFonts w:hint="eastAsia"/>
          <w:color w:val="auto"/>
          <w:highlight w:val="none"/>
        </w:rPr>
        <w:t>的相应的采购内容</w:t>
      </w:r>
      <w:r>
        <w:rPr>
          <w:rFonts w:hint="eastAsia" w:hAnsi="宋体" w:cs="宋体"/>
          <w:color w:val="auto"/>
          <w:highlight w:val="none"/>
        </w:rPr>
        <w:t>，具体详见开标一览表</w:t>
      </w:r>
      <w:r>
        <w:rPr>
          <w:rFonts w:hint="eastAsia"/>
          <w:color w:val="auto"/>
          <w:highlight w:val="none"/>
        </w:rPr>
        <w:t>。</w:t>
      </w:r>
    </w:p>
    <w:p>
      <w:pPr>
        <w:pStyle w:val="13"/>
        <w:spacing w:line="360" w:lineRule="exact"/>
        <w:ind w:firstLine="420" w:firstLineChars="200"/>
        <w:rPr>
          <w:color w:val="auto"/>
          <w:highlight w:val="none"/>
          <w:u w:val="single"/>
        </w:rPr>
      </w:pPr>
      <w:r>
        <w:rPr>
          <w:rFonts w:hint="eastAsia"/>
          <w:color w:val="auto"/>
          <w:highlight w:val="none"/>
        </w:rPr>
        <w:t>2、我方同意自本项目招标文件“第三章 投标人须知”第一节 投标人须知前附表 第21.1项规定的投标截止时间（开标时间）起遵循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pPr>
        <w:pStyle w:val="13"/>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pPr>
        <w:pStyle w:val="13"/>
        <w:spacing w:line="440" w:lineRule="exact"/>
        <w:ind w:firstLine="420" w:firstLineChars="200"/>
        <w:rPr>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pPr>
        <w:pStyle w:val="13"/>
        <w:spacing w:line="440" w:lineRule="exact"/>
        <w:ind w:firstLine="420" w:firstLineChars="200"/>
        <w:rPr>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pPr>
        <w:pStyle w:val="13"/>
        <w:spacing w:line="440" w:lineRule="exact"/>
        <w:ind w:firstLine="420" w:firstLineChars="200"/>
        <w:rPr>
          <w:color w:val="auto"/>
          <w:highlight w:val="none"/>
        </w:rPr>
      </w:pPr>
      <w:r>
        <w:rPr>
          <w:rFonts w:hint="eastAsia"/>
          <w:color w:val="auto"/>
          <w:highlight w:val="none"/>
        </w:rPr>
        <w:t>6、我方已详细审核招标文件，我方知道必须放弃提出含糊不清或误解问题的权利。</w:t>
      </w:r>
    </w:p>
    <w:p>
      <w:pPr>
        <w:pStyle w:val="13"/>
        <w:spacing w:line="440" w:lineRule="exact"/>
        <w:ind w:firstLine="420" w:firstLineChars="200"/>
        <w:rPr>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pPr>
        <w:pStyle w:val="13"/>
        <w:spacing w:line="440" w:lineRule="exact"/>
        <w:ind w:firstLine="420" w:firstLineChars="200"/>
        <w:rPr>
          <w:color w:val="auto"/>
          <w:highlight w:val="none"/>
        </w:rPr>
      </w:pPr>
      <w:r>
        <w:rPr>
          <w:rFonts w:hint="eastAsia"/>
          <w:color w:val="auto"/>
          <w:highlight w:val="none"/>
        </w:rPr>
        <w:t>8、我方完全理解贵方不一定接受投标报价最低的投标人为中标供应商的行为。</w:t>
      </w:r>
    </w:p>
    <w:p>
      <w:pPr>
        <w:pStyle w:val="13"/>
        <w:spacing w:line="440" w:lineRule="exact"/>
        <w:ind w:firstLine="420" w:firstLineChars="200"/>
        <w:rPr>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9"/>
        </w:numPr>
        <w:spacing w:line="440" w:lineRule="exact"/>
        <w:rPr>
          <w:rFonts w:hAnsi="宋体"/>
          <w:color w:val="auto"/>
          <w:highlight w:val="none"/>
        </w:rPr>
      </w:pPr>
      <w:r>
        <w:rPr>
          <w:rFonts w:hint="eastAsia" w:hAnsi="宋体"/>
          <w:color w:val="auto"/>
          <w:highlight w:val="none"/>
        </w:rPr>
        <w:t>提供虚假材料谋取中标、成交的；</w:t>
      </w:r>
    </w:p>
    <w:p>
      <w:pPr>
        <w:pStyle w:val="13"/>
        <w:numPr>
          <w:ilvl w:val="0"/>
          <w:numId w:val="9"/>
        </w:numPr>
        <w:spacing w:line="440" w:lineRule="exact"/>
        <w:rPr>
          <w:rFonts w:hAnsi="宋体"/>
          <w:color w:val="auto"/>
          <w:highlight w:val="none"/>
        </w:rPr>
      </w:pPr>
      <w:r>
        <w:rPr>
          <w:rFonts w:hint="eastAsia" w:hAnsi="宋体"/>
          <w:color w:val="auto"/>
          <w:highlight w:val="none"/>
        </w:rPr>
        <w:t>采取不正当手段诋毁、排挤其他供应商的；</w:t>
      </w:r>
    </w:p>
    <w:p>
      <w:pPr>
        <w:pStyle w:val="13"/>
        <w:numPr>
          <w:ilvl w:val="0"/>
          <w:numId w:val="9"/>
        </w:numPr>
        <w:spacing w:line="440" w:lineRule="exact"/>
        <w:rPr>
          <w:color w:val="auto"/>
          <w:highlight w:val="none"/>
        </w:rPr>
      </w:pPr>
      <w:r>
        <w:rPr>
          <w:rFonts w:hint="eastAsia" w:hAnsi="宋体"/>
          <w:color w:val="auto"/>
          <w:highlight w:val="none"/>
        </w:rPr>
        <w:t>与采购人、其他供应商或者采购代理机构恶意串通的；</w:t>
      </w:r>
    </w:p>
    <w:p>
      <w:pPr>
        <w:pStyle w:val="13"/>
        <w:numPr>
          <w:ilvl w:val="0"/>
          <w:numId w:val="9"/>
        </w:numPr>
        <w:spacing w:line="440" w:lineRule="exact"/>
        <w:rPr>
          <w:color w:val="auto"/>
          <w:highlight w:val="none"/>
        </w:rPr>
      </w:pPr>
      <w:r>
        <w:rPr>
          <w:rFonts w:hint="eastAsia" w:hAnsi="宋体"/>
          <w:color w:val="auto"/>
          <w:highlight w:val="none"/>
        </w:rPr>
        <w:t>向采购人、采购代理机构行贿或者提供其他不正当利益的；</w:t>
      </w:r>
    </w:p>
    <w:p>
      <w:pPr>
        <w:pStyle w:val="13"/>
        <w:numPr>
          <w:ilvl w:val="0"/>
          <w:numId w:val="9"/>
        </w:numPr>
        <w:spacing w:line="440" w:lineRule="exact"/>
        <w:rPr>
          <w:color w:val="auto"/>
          <w:highlight w:val="none"/>
        </w:rPr>
      </w:pPr>
      <w:r>
        <w:rPr>
          <w:rFonts w:hint="eastAsia" w:hAnsi="宋体"/>
          <w:color w:val="auto"/>
          <w:highlight w:val="none"/>
        </w:rPr>
        <w:t>在招标采购过程中与采购人进行协商谈判的；</w:t>
      </w:r>
    </w:p>
    <w:p>
      <w:pPr>
        <w:pStyle w:val="13"/>
        <w:numPr>
          <w:ilvl w:val="0"/>
          <w:numId w:val="9"/>
        </w:numPr>
        <w:spacing w:line="440" w:lineRule="exact"/>
        <w:rPr>
          <w:color w:val="auto"/>
          <w:highlight w:val="none"/>
        </w:rPr>
      </w:pPr>
      <w:r>
        <w:rPr>
          <w:rFonts w:hint="eastAsia" w:hAnsi="宋体"/>
          <w:color w:val="auto"/>
          <w:highlight w:val="none"/>
        </w:rPr>
        <w:t>拒绝有关部门监督检查或提供虚假情况的。</w:t>
      </w:r>
    </w:p>
    <w:p>
      <w:pPr>
        <w:pStyle w:val="13"/>
        <w:spacing w:line="440" w:lineRule="exact"/>
        <w:ind w:left="420"/>
        <w:rPr>
          <w:color w:val="auto"/>
          <w:highlight w:val="none"/>
        </w:rPr>
      </w:pPr>
      <w:r>
        <w:rPr>
          <w:rFonts w:hint="eastAsia"/>
          <w:color w:val="auto"/>
          <w:highlight w:val="none"/>
        </w:rPr>
        <w:t>10、我方及由本人担任法定代表人的其他机构最近三年内被处罚的违法行为有：</w:t>
      </w:r>
    </w:p>
    <w:p>
      <w:pPr>
        <w:pStyle w:val="13"/>
        <w:spacing w:line="440" w:lineRule="exact"/>
        <w:ind w:left="420"/>
        <w:rPr>
          <w:color w:val="auto"/>
          <w:highlight w:val="none"/>
        </w:rPr>
      </w:pPr>
    </w:p>
    <w:p>
      <w:pPr>
        <w:pStyle w:val="13"/>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pPr>
        <w:pStyle w:val="13"/>
        <w:spacing w:line="360" w:lineRule="auto"/>
        <w:ind w:firstLine="420"/>
        <w:rPr>
          <w:color w:val="auto"/>
          <w:highlight w:val="none"/>
        </w:rPr>
      </w:pPr>
      <w:r>
        <w:rPr>
          <w:rFonts w:hint="eastAsia"/>
          <w:color w:val="auto"/>
          <w:highlight w:val="none"/>
        </w:rPr>
        <w:t>12、与本投标有关的一切正式往来信函请寄：</w:t>
      </w:r>
    </w:p>
    <w:p>
      <w:pPr>
        <w:pStyle w:val="13"/>
        <w:spacing w:line="360" w:lineRule="auto"/>
        <w:ind w:firstLine="420"/>
        <w:rPr>
          <w:color w:val="auto"/>
          <w:highlight w:val="none"/>
        </w:rPr>
      </w:pPr>
      <w:r>
        <w:rPr>
          <w:rFonts w:hint="eastAsia"/>
          <w:color w:val="auto"/>
          <w:highlight w:val="none"/>
        </w:rPr>
        <w:t>地址：</w:t>
      </w:r>
    </w:p>
    <w:p>
      <w:pPr>
        <w:pStyle w:val="13"/>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pPr>
        <w:pStyle w:val="13"/>
        <w:spacing w:line="360" w:lineRule="auto"/>
        <w:ind w:firstLine="420"/>
        <w:rPr>
          <w:color w:val="auto"/>
          <w:highlight w:val="none"/>
          <w:u w:val="single"/>
        </w:rPr>
      </w:pPr>
      <w:r>
        <w:rPr>
          <w:rFonts w:hint="eastAsia"/>
          <w:color w:val="auto"/>
          <w:highlight w:val="none"/>
        </w:rPr>
        <w:t>传真：</w:t>
      </w:r>
      <w:r>
        <w:rPr>
          <w:rFonts w:hint="eastAsia"/>
          <w:color w:val="auto"/>
          <w:highlight w:val="none"/>
          <w:u w:val="single"/>
        </w:rPr>
        <w:t>　　　　　　　　　　　　　　　　　　　　　　　　　　　　</w:t>
      </w:r>
    </w:p>
    <w:p>
      <w:pPr>
        <w:pStyle w:val="8"/>
        <w:spacing w:line="360" w:lineRule="auto"/>
        <w:ind w:left="0" w:firstLine="420" w:firstLineChars="200"/>
        <w:rPr>
          <w:color w:val="auto"/>
          <w:highlight w:val="none"/>
        </w:rPr>
      </w:pPr>
      <w:r>
        <w:rPr>
          <w:rFonts w:hint="eastAsia"/>
          <w:color w:val="auto"/>
          <w:highlight w:val="none"/>
        </w:rPr>
        <w:t>电子邮箱：</w:t>
      </w:r>
      <w:r>
        <w:rPr>
          <w:rFonts w:hint="eastAsia"/>
          <w:color w:val="auto"/>
          <w:highlight w:val="none"/>
          <w:u w:val="single"/>
        </w:rPr>
        <w:t>　　　　　　　　　　　　　　　　　　　　　　　　　　</w:t>
      </w:r>
    </w:p>
    <w:p>
      <w:pPr>
        <w:pStyle w:val="13"/>
        <w:spacing w:line="360" w:lineRule="auto"/>
        <w:ind w:firstLine="420"/>
        <w:rPr>
          <w:color w:val="auto"/>
          <w:highlight w:val="none"/>
          <w:u w:val="single"/>
        </w:rPr>
      </w:pPr>
      <w:r>
        <w:rPr>
          <w:rFonts w:hint="eastAsia"/>
          <w:color w:val="auto"/>
          <w:highlight w:val="none"/>
        </w:rPr>
        <w:t>邮政编码：</w:t>
      </w:r>
    </w:p>
    <w:p>
      <w:pPr>
        <w:pStyle w:val="13"/>
        <w:spacing w:line="360" w:lineRule="auto"/>
        <w:ind w:firstLine="420"/>
        <w:rPr>
          <w:color w:val="auto"/>
          <w:highlight w:val="none"/>
          <w:u w:val="single"/>
        </w:rPr>
      </w:pPr>
      <w:r>
        <w:rPr>
          <w:rFonts w:hint="eastAsia"/>
          <w:color w:val="auto"/>
          <w:highlight w:val="none"/>
        </w:rPr>
        <w:t>开户名称：</w:t>
      </w:r>
    </w:p>
    <w:p>
      <w:pPr>
        <w:pStyle w:val="13"/>
        <w:spacing w:line="360" w:lineRule="auto"/>
        <w:ind w:firstLine="420"/>
        <w:rPr>
          <w:color w:val="auto"/>
          <w:highlight w:val="none"/>
          <w:u w:val="single"/>
        </w:rPr>
      </w:pPr>
      <w:r>
        <w:rPr>
          <w:rFonts w:hint="eastAsia"/>
          <w:color w:val="auto"/>
          <w:highlight w:val="none"/>
        </w:rPr>
        <w:t>开户银行：</w:t>
      </w:r>
    </w:p>
    <w:p>
      <w:pPr>
        <w:pStyle w:val="13"/>
        <w:spacing w:line="360" w:lineRule="auto"/>
        <w:ind w:firstLine="420"/>
        <w:rPr>
          <w:color w:val="auto"/>
          <w:highlight w:val="none"/>
          <w:u w:val="single"/>
        </w:rPr>
      </w:pPr>
      <w:r>
        <w:rPr>
          <w:rFonts w:hint="eastAsia"/>
          <w:color w:val="auto"/>
          <w:highlight w:val="none"/>
        </w:rPr>
        <w:t>银行账号：</w:t>
      </w:r>
    </w:p>
    <w:p>
      <w:pPr>
        <w:snapToGrid w:val="0"/>
        <w:spacing w:line="360" w:lineRule="auto"/>
        <w:ind w:firstLine="5040" w:firstLineChars="2100"/>
        <w:rPr>
          <w:rFonts w:ascii="仿宋_GB2312" w:hAnsi="仿宋" w:eastAsia="仿宋_GB2312" w:cs="仿宋_GB2312"/>
          <w:color w:val="auto"/>
          <w:kern w:val="0"/>
          <w:sz w:val="24"/>
          <w:highlight w:val="none"/>
          <w:lang w:val="zh-CN"/>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p>
    <w:p>
      <w:pPr>
        <w:snapToGrid w:val="0"/>
        <w:spacing w:line="360" w:lineRule="auto"/>
        <w:ind w:firstLine="5280" w:firstLineChars="22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280" w:firstLineChars="2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cols w:space="0" w:num="1"/>
          <w:titlePg/>
          <w:docGrid w:linePitch="331" w:charSpace="0"/>
        </w:sectPr>
      </w:pPr>
    </w:p>
    <w:p>
      <w:pPr>
        <w:pStyle w:val="13"/>
        <w:spacing w:line="360" w:lineRule="auto"/>
        <w:jc w:val="left"/>
        <w:rPr>
          <w:rFonts w:hAnsi="宋体" w:cs="宋体"/>
          <w:b/>
          <w:color w:val="auto"/>
          <w:sz w:val="28"/>
          <w:szCs w:val="28"/>
          <w:highlight w:val="none"/>
        </w:rPr>
      </w:pPr>
      <w:r>
        <w:rPr>
          <w:rFonts w:hint="eastAsia" w:hAnsi="宋体" w:cs="宋体"/>
          <w:b/>
          <w:color w:val="auto"/>
          <w:sz w:val="28"/>
          <w:szCs w:val="28"/>
          <w:highlight w:val="none"/>
        </w:rPr>
        <w:t>4. 开标一览表的格式：</w:t>
      </w:r>
    </w:p>
    <w:p>
      <w:pPr>
        <w:pStyle w:val="13"/>
        <w:spacing w:line="360" w:lineRule="auto"/>
        <w:jc w:val="center"/>
        <w:rPr>
          <w:b/>
          <w:color w:val="auto"/>
          <w:sz w:val="30"/>
          <w:szCs w:val="30"/>
          <w:highlight w:val="none"/>
        </w:rPr>
      </w:pP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 xml:space="preserve">项目名称：                       </w:t>
      </w:r>
    </w:p>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 xml:space="preserve">项目编号：   </w:t>
      </w:r>
    </w:p>
    <w:p>
      <w:pPr>
        <w:snapToGrid w:val="0"/>
        <w:spacing w:before="50" w:after="50" w:line="360" w:lineRule="auto"/>
        <w:rPr>
          <w:rFonts w:ascii="宋体" w:hAnsi="宋体"/>
          <w:color w:val="auto"/>
          <w:sz w:val="24"/>
          <w:highlight w:val="none"/>
          <w:u w:val="single"/>
        </w:rPr>
      </w:pPr>
      <w:r>
        <w:rPr>
          <w:rFonts w:hint="eastAsia" w:ascii="宋体" w:hAnsi="宋体" w:cs="宋体"/>
          <w:bCs/>
          <w:color w:val="auto"/>
          <w:sz w:val="24"/>
          <w:highlight w:val="none"/>
        </w:rPr>
        <w:t>所投分标（如有则填写，无分标时填写“无”或者留空）：</w:t>
      </w:r>
    </w:p>
    <w:tbl>
      <w:tblPr>
        <w:tblStyle w:val="19"/>
        <w:tblW w:w="889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02"/>
        <w:gridCol w:w="1736"/>
        <w:gridCol w:w="1418"/>
        <w:gridCol w:w="993"/>
        <w:gridCol w:w="991"/>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r>
              <w:rPr>
                <w:rFonts w:ascii="微软雅黑" w:hAnsi="微软雅黑" w:eastAsia="微软雅黑" w:cs="仿宋_GB2312"/>
                <w:color w:val="auto"/>
                <w:szCs w:val="21"/>
                <w:highlight w:val="none"/>
              </w:rPr>
              <w:t>序号</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b/>
                <w:color w:val="auto"/>
                <w:szCs w:val="21"/>
                <w:highlight w:val="none"/>
              </w:rPr>
              <w:t>标的的名称</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人均费用报价（元/月）①</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数量②</w:t>
            </w:r>
          </w:p>
        </w:tc>
        <w:tc>
          <w:tcPr>
            <w:tcW w:w="99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每月小计=①*②</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ascii="微软雅黑" w:hAnsi="微软雅黑" w:eastAsia="微软雅黑"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right"/>
        </w:trPr>
        <w:tc>
          <w:tcPr>
            <w:tcW w:w="623" w:type="dxa"/>
            <w:vMerge w:val="restart"/>
            <w:tcBorders>
              <w:top w:val="single" w:color="auto" w:sz="4" w:space="0"/>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0</w:t>
            </w:r>
            <w:r>
              <w:rPr>
                <w:rFonts w:ascii="微软雅黑" w:hAnsi="微软雅黑" w:eastAsia="微软雅黑" w:cs="仿宋_GB2312"/>
                <w:color w:val="auto"/>
                <w:szCs w:val="21"/>
                <w:highlight w:val="none"/>
              </w:rPr>
              <w:t>1</w:t>
            </w:r>
          </w:p>
        </w:tc>
        <w:tc>
          <w:tcPr>
            <w:tcW w:w="902" w:type="dxa"/>
            <w:vMerge w:val="restart"/>
            <w:tcBorders>
              <w:top w:val="single" w:color="auto" w:sz="4" w:space="0"/>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广西职业技术学院2023年校园安保服务采购</w:t>
            </w: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明阳校区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明阳校区保安队长</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olor w:val="auto"/>
                <w:szCs w:val="21"/>
                <w:highlight w:val="none"/>
              </w:rPr>
              <w:t>保安副队长</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olor w:val="auto"/>
                <w:szCs w:val="21"/>
                <w:highlight w:val="none"/>
              </w:rPr>
              <w:t>1人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olor w:val="auto"/>
                <w:szCs w:val="21"/>
                <w:highlight w:val="none"/>
              </w:rPr>
              <w:t>秩序班长</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olor w:val="auto"/>
                <w:szCs w:val="21"/>
                <w:highlight w:val="none"/>
              </w:rPr>
              <w:t>3人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特岗秩序员</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消防秩序员</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窗口形象岗</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24人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一般秩序员</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17人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高新区实践教学基地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保安队长</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副队长</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窗口形象岗秩序员</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微软雅黑" w:hAnsi="微软雅黑" w:eastAsia="微软雅黑" w:cs="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7人</w:t>
            </w:r>
          </w:p>
        </w:tc>
        <w:tc>
          <w:tcPr>
            <w:tcW w:w="991" w:type="dxa"/>
            <w:tcBorders>
              <w:top w:val="single" w:color="auto" w:sz="4" w:space="0"/>
              <w:left w:val="single" w:color="auto" w:sz="4" w:space="0"/>
              <w:bottom w:val="single" w:color="auto" w:sz="4" w:space="0"/>
              <w:right w:val="single" w:color="auto" w:sz="4" w:space="0"/>
            </w:tcBorders>
            <w:noWrap/>
          </w:tcPr>
          <w:p>
            <w:pPr>
              <w:spacing w:line="300" w:lineRule="exact"/>
              <w:rPr>
                <w:rFonts w:ascii="微软雅黑" w:hAnsi="微软雅黑" w:eastAsia="微软雅黑" w:cs="仿宋_GB2312"/>
                <w:color w:val="auto"/>
                <w:szCs w:val="21"/>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right"/>
        </w:trPr>
        <w:tc>
          <w:tcPr>
            <w:tcW w:w="623"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902" w:type="dxa"/>
            <w:vMerge w:val="continue"/>
            <w:tcBorders>
              <w:left w:val="single" w:color="auto" w:sz="4" w:space="0"/>
              <w:right w:val="single" w:color="auto" w:sz="4" w:space="0"/>
            </w:tcBorders>
            <w:noWrap/>
            <w:vAlign w:val="center"/>
          </w:tcPr>
          <w:p>
            <w:pPr>
              <w:spacing w:line="300" w:lineRule="exact"/>
              <w:jc w:val="center"/>
              <w:rPr>
                <w:rFonts w:ascii="微软雅黑" w:hAnsi="微软雅黑" w:eastAsia="微软雅黑" w:cs="仿宋_GB2312"/>
                <w:color w:val="auto"/>
                <w:szCs w:val="21"/>
                <w:highlight w:val="none"/>
              </w:rPr>
            </w:pPr>
          </w:p>
        </w:tc>
        <w:tc>
          <w:tcPr>
            <w:tcW w:w="737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每月合计费用金额大写：人民币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8896"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两年零三个月共27个月合计金额（总报价）大写：人民币（￥）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8896"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报价分项明细：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序号</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分项内容</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1</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保安人员基本工资</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2</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社保</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3</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服装</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4</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福利费</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5</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加班费</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6</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业务培训费</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7</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安全管理材料费</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8</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管理酬金</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62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9</w:t>
            </w:r>
          </w:p>
        </w:tc>
        <w:tc>
          <w:tcPr>
            <w:tcW w:w="263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法定税费</w:t>
            </w:r>
          </w:p>
        </w:tc>
        <w:tc>
          <w:tcPr>
            <w:tcW w:w="563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jc w:val="center"/>
              <w:rPr>
                <w:rFonts w:ascii="微软雅黑" w:hAnsi="微软雅黑" w:eastAsia="微软雅黑"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right"/>
        </w:trPr>
        <w:tc>
          <w:tcPr>
            <w:tcW w:w="8896" w:type="dxa"/>
            <w:gridSpan w:val="7"/>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00" w:lineRule="exact"/>
              <w:rPr>
                <w:rFonts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报价金额合计大写：人民币               （￥              ）</w:t>
            </w:r>
          </w:p>
        </w:tc>
      </w:tr>
    </w:tbl>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w:t>
      </w:r>
      <w:r>
        <w:rPr>
          <w:rFonts w:hint="eastAsia" w:ascii="宋体" w:hAnsi="宋体" w:cs="宋体"/>
          <w:color w:val="auto"/>
          <w:sz w:val="24"/>
          <w:highlight w:val="none"/>
        </w:rPr>
        <w:t>备注除外</w:t>
      </w:r>
      <w:r>
        <w:rPr>
          <w:rFonts w:hint="eastAsia" w:ascii="宋体" w:hAnsi="宋体" w:cs="宋体"/>
          <w:color w:val="auto"/>
          <w:kern w:val="0"/>
          <w:sz w:val="24"/>
          <w:highlight w:val="none"/>
          <w:lang w:val="zh-CN"/>
        </w:rPr>
        <w:t>）, 如有多分标，按分标分别提供开标一览表，必须加盖投标人有效公章，</w:t>
      </w:r>
      <w:r>
        <w:rPr>
          <w:rFonts w:hint="eastAsia" w:ascii="宋体" w:hAnsi="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、特别提示：采购代理机构将对项目名称和项目编号，中标</w:t>
      </w:r>
      <w:r>
        <w:rPr>
          <w:rFonts w:hint="eastAsia" w:ascii="宋体" w:hAnsi="宋体" w:cs="宋体"/>
          <w:color w:val="auto"/>
          <w:kern w:val="0"/>
          <w:sz w:val="24"/>
          <w:highlight w:val="none"/>
        </w:rPr>
        <w:t>人</w:t>
      </w:r>
      <w:r>
        <w:rPr>
          <w:rFonts w:hint="eastAsia" w:ascii="宋体" w:hAnsi="宋体" w:cs="宋体"/>
          <w:color w:val="auto"/>
          <w:kern w:val="0"/>
          <w:sz w:val="24"/>
          <w:highlight w:val="none"/>
          <w:lang w:val="zh-CN"/>
        </w:rPr>
        <w:t>名称、地址和中标金额，主要中标标的的名称、服务范围、服务要求、服务时间、服务标准等予以公示。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0"/>
        <w:rPr>
          <w:rFonts w:ascii="宋体" w:hAnsi="宋体" w:cs="宋体"/>
          <w:color w:val="auto"/>
          <w:highlight w:val="none"/>
          <w:lang w:val="zh-CN"/>
        </w:rPr>
      </w:pPr>
    </w:p>
    <w:p>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widowControl/>
        <w:jc w:val="left"/>
        <w:rPr>
          <w:rFonts w:ascii="宋体" w:hAnsi="宋体" w:cs="宋体"/>
          <w:color w:val="auto"/>
          <w:sz w:val="30"/>
          <w:szCs w:val="20"/>
          <w:highlight w:val="none"/>
        </w:rPr>
        <w:sectPr>
          <w:pgSz w:w="11905" w:h="16838"/>
          <w:pgMar w:top="1134" w:right="1134" w:bottom="1134" w:left="1134" w:header="850" w:footer="850" w:gutter="0"/>
          <w:cols w:space="0" w:num="1"/>
          <w:titlePg/>
          <w:docGrid w:linePitch="331" w:charSpace="0"/>
        </w:sectPr>
      </w:pPr>
    </w:p>
    <w:p>
      <w:pPr>
        <w:snapToGrid w:val="0"/>
        <w:spacing w:beforeLines="50" w:after="50"/>
        <w:jc w:val="center"/>
        <w:outlineLvl w:val="1"/>
        <w:rPr>
          <w:rFonts w:ascii="宋体" w:hAnsi="宋体"/>
          <w:b/>
          <w:bCs/>
          <w:color w:val="auto"/>
          <w:sz w:val="28"/>
          <w:szCs w:val="28"/>
          <w:highlight w:val="none"/>
        </w:rPr>
      </w:pPr>
      <w:bookmarkStart w:id="402" w:name="_Toc2783"/>
      <w:r>
        <w:rPr>
          <w:rFonts w:hint="eastAsia" w:ascii="宋体" w:hAnsi="宋体"/>
          <w:b/>
          <w:bCs/>
          <w:color w:val="auto"/>
          <w:sz w:val="28"/>
          <w:szCs w:val="28"/>
          <w:highlight w:val="none"/>
        </w:rPr>
        <w:t>第五节 其他文书、文件格式</w:t>
      </w:r>
      <w:bookmarkEnd w:id="402"/>
    </w:p>
    <w:p>
      <w:pPr>
        <w:widowControl/>
        <w:jc w:val="left"/>
        <w:rPr>
          <w:color w:val="auto"/>
          <w:sz w:val="20"/>
          <w:highlight w:val="none"/>
        </w:rPr>
      </w:pPr>
    </w:p>
    <w:p>
      <w:pPr>
        <w:pStyle w:val="2"/>
        <w:rPr>
          <w:rFonts w:ascii="宋体" w:hAnsi="宋体" w:cs="宋体"/>
          <w:color w:val="auto"/>
          <w:kern w:val="0"/>
          <w:sz w:val="28"/>
          <w:szCs w:val="28"/>
          <w:highlight w:val="none"/>
        </w:rPr>
      </w:pPr>
      <w:r>
        <w:rPr>
          <w:rFonts w:hint="eastAsia" w:ascii="宋体" w:hAnsi="宋体" w:cs="宋体"/>
          <w:color w:val="auto"/>
          <w:kern w:val="0"/>
          <w:sz w:val="28"/>
          <w:szCs w:val="28"/>
          <w:highlight w:val="none"/>
        </w:rPr>
        <w:t>1.广西壮族自治区政府采购项目合同验收书的格式：</w:t>
      </w:r>
    </w:p>
    <w:p>
      <w:pPr>
        <w:pStyle w:val="2"/>
        <w:rPr>
          <w:rFonts w:ascii="宋体" w:hAnsi="宋体" w:cs="宋体"/>
          <w:color w:val="auto"/>
          <w:kern w:val="0"/>
          <w:sz w:val="28"/>
          <w:szCs w:val="28"/>
          <w:highlight w:val="none"/>
        </w:rPr>
      </w:pPr>
    </w:p>
    <w:p>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pPr>
        <w:shd w:val="clear" w:color="auto" w:fill="FFFFFF"/>
        <w:spacing w:line="480" w:lineRule="atLeast"/>
        <w:jc w:val="center"/>
        <w:rPr>
          <w:rFonts w:ascii="宋体" w:hAnsi="宋体" w:cs="宋体"/>
          <w:color w:val="auto"/>
          <w:kern w:val="0"/>
          <w:sz w:val="32"/>
          <w:szCs w:val="32"/>
          <w:highlight w:val="none"/>
        </w:rPr>
      </w:pPr>
    </w:p>
    <w:p>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19"/>
        <w:tblW w:w="9371" w:type="dxa"/>
        <w:jc w:val="center"/>
        <w:tblInd w:w="-10" w:type="dxa"/>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Layout w:type="fixed"/>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Layout w:type="fixed"/>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tblPrEx>
          <w:tblLayout w:type="fixed"/>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Layout w:type="fixed"/>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Layout w:type="fixed"/>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Layout w:type="fixed"/>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Layout w:type="fixed"/>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Layout w:type="fixed"/>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Layout w:type="fixed"/>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中标或者成交人负责人签字或者盖章：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2"/>
        <w:rPr>
          <w:rFonts w:ascii="宋体" w:hAnsi="宋体" w:cs="宋体"/>
          <w:color w:val="auto"/>
          <w:kern w:val="0"/>
          <w:sz w:val="28"/>
          <w:szCs w:val="28"/>
          <w:highlight w:val="none"/>
        </w:rPr>
        <w:sectPr>
          <w:pgSz w:w="11905" w:h="16838"/>
          <w:pgMar w:top="1134" w:right="1134" w:bottom="1134" w:left="1134" w:header="850" w:footer="850" w:gutter="0"/>
          <w:cols w:space="0" w:num="1"/>
          <w:titlePg/>
          <w:docGrid w:linePitch="331" w:charSpace="0"/>
        </w:sectPr>
      </w:pPr>
      <w:r>
        <w:rPr>
          <w:rFonts w:hint="eastAsia" w:ascii="宋体" w:hAnsi="宋体" w:cs="宋体"/>
          <w:color w:val="auto"/>
          <w:highlight w:val="none"/>
        </w:rPr>
        <w:br w:type="page"/>
      </w:r>
    </w:p>
    <w:p>
      <w:pPr>
        <w:jc w:val="left"/>
        <w:rPr>
          <w:rFonts w:ascii="宋体" w:hAnsi="宋体" w:cs="宋体"/>
          <w:color w:val="auto"/>
          <w:highlight w:val="none"/>
        </w:rPr>
      </w:pPr>
      <w:r>
        <w:rPr>
          <w:rFonts w:hint="eastAsia" w:ascii="宋体" w:hAnsi="宋体" w:cs="宋体"/>
          <w:color w:val="auto"/>
          <w:sz w:val="28"/>
          <w:szCs w:val="28"/>
          <w:highlight w:val="none"/>
        </w:rPr>
        <w:t>2.政府采购项目履约保证金退付意见书的格式：</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pPr>
        <w:jc w:val="center"/>
        <w:rPr>
          <w:rFonts w:ascii="宋体" w:hAnsi="宋体" w:cs="宋体"/>
          <w:color w:val="auto"/>
          <w:sz w:val="36"/>
          <w:szCs w:val="36"/>
          <w:highlight w:val="none"/>
        </w:rPr>
      </w:pPr>
    </w:p>
    <w:tbl>
      <w:tblPr>
        <w:tblStyle w:val="1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供</w:t>
            </w:r>
          </w:p>
          <w:p>
            <w:pPr>
              <w:jc w:val="center"/>
              <w:rPr>
                <w:rFonts w:ascii="宋体" w:hAnsi="宋体" w:cs="宋体"/>
                <w:color w:val="auto"/>
                <w:sz w:val="24"/>
                <w:highlight w:val="none"/>
              </w:rPr>
            </w:pPr>
            <w:r>
              <w:rPr>
                <w:rFonts w:hint="eastAsia" w:ascii="宋体" w:hAnsi="宋体" w:cs="宋体"/>
                <w:color w:val="auto"/>
                <w:sz w:val="24"/>
                <w:highlight w:val="none"/>
              </w:rPr>
              <w:t>应</w:t>
            </w:r>
          </w:p>
          <w:p>
            <w:pPr>
              <w:jc w:val="center"/>
              <w:rPr>
                <w:rFonts w:ascii="宋体" w:hAnsi="宋体" w:cs="宋体"/>
                <w:color w:val="auto"/>
                <w:sz w:val="24"/>
                <w:highlight w:val="none"/>
              </w:rPr>
            </w:pPr>
            <w:r>
              <w:rPr>
                <w:rFonts w:hint="eastAsia" w:ascii="宋体" w:hAnsi="宋体" w:cs="宋体"/>
                <w:color w:val="auto"/>
                <w:sz w:val="24"/>
                <w:highlight w:val="none"/>
              </w:rPr>
              <w:t>商</w:t>
            </w:r>
          </w:p>
          <w:p>
            <w:pPr>
              <w:jc w:val="center"/>
              <w:rPr>
                <w:rFonts w:ascii="宋体" w:hAnsi="宋体" w:cs="宋体"/>
                <w:color w:val="auto"/>
                <w:sz w:val="24"/>
                <w:highlight w:val="none"/>
              </w:rPr>
            </w:pPr>
            <w:r>
              <w:rPr>
                <w:rFonts w:hint="eastAsia" w:ascii="宋体" w:hAnsi="宋体" w:cs="宋体"/>
                <w:color w:val="auto"/>
                <w:sz w:val="24"/>
                <w:highlight w:val="none"/>
              </w:rPr>
              <w:t>申</w:t>
            </w:r>
          </w:p>
          <w:p>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pPr>
              <w:rPr>
                <w:rFonts w:ascii="宋体" w:hAnsi="宋体" w:cs="宋体"/>
                <w:color w:val="auto"/>
                <w:sz w:val="24"/>
                <w:highlight w:val="none"/>
              </w:rPr>
            </w:pPr>
            <w:r>
              <w:rPr>
                <w:rFonts w:hint="eastAsia" w:ascii="宋体" w:hAnsi="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08" w:type="dxa"/>
            <w:vMerge w:val="continue"/>
            <w:vAlign w:val="center"/>
          </w:tcPr>
          <w:p>
            <w:pPr>
              <w:rPr>
                <w:rFonts w:ascii="宋体" w:hAnsi="宋体" w:cs="宋体"/>
                <w:color w:val="auto"/>
                <w:sz w:val="24"/>
                <w:highlight w:val="none"/>
              </w:rPr>
            </w:pPr>
          </w:p>
        </w:tc>
        <w:tc>
          <w:tcPr>
            <w:tcW w:w="8456" w:type="dxa"/>
            <w:vAlign w:val="center"/>
          </w:tcPr>
          <w:p>
            <w:pPr>
              <w:rPr>
                <w:rFonts w:ascii="宋体" w:hAnsi="宋体" w:cs="宋体"/>
                <w:color w:val="auto"/>
                <w:sz w:val="24"/>
                <w:highlight w:val="none"/>
              </w:rPr>
            </w:pPr>
            <w:r>
              <w:rPr>
                <w:rFonts w:hint="eastAsia" w:ascii="宋体" w:hAnsi="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rPr>
                <w:rFonts w:ascii="宋体" w:hAnsi="宋体" w:cs="宋体"/>
                <w:color w:val="auto"/>
                <w:sz w:val="24"/>
                <w:highlight w:val="none"/>
              </w:rPr>
            </w:pPr>
          </w:p>
        </w:tc>
        <w:tc>
          <w:tcPr>
            <w:tcW w:w="8456" w:type="dxa"/>
          </w:tcPr>
          <w:p>
            <w:pPr>
              <w:rPr>
                <w:rFonts w:ascii="宋体" w:hAnsi="宋体" w:cs="宋体"/>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（小写）¥退付到达以下账户。</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账   号：</w:t>
            </w:r>
          </w:p>
          <w:p>
            <w:pPr>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pPr>
              <w:spacing w:line="400" w:lineRule="exact"/>
              <w:rPr>
                <w:rFonts w:ascii="宋体" w:hAnsi="宋体" w:cs="宋体"/>
                <w:color w:val="auto"/>
                <w:sz w:val="24"/>
                <w:highlight w:val="none"/>
              </w:rPr>
            </w:pP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trPr>
        <w:tc>
          <w:tcPr>
            <w:tcW w:w="10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采</w:t>
            </w:r>
          </w:p>
          <w:p>
            <w:pPr>
              <w:jc w:val="center"/>
              <w:rPr>
                <w:rFonts w:ascii="宋体" w:hAnsi="宋体" w:cs="宋体"/>
                <w:color w:val="auto"/>
                <w:sz w:val="24"/>
                <w:highlight w:val="none"/>
              </w:rPr>
            </w:pPr>
            <w:r>
              <w:rPr>
                <w:rFonts w:hint="eastAsia" w:ascii="宋体" w:hAnsi="宋体" w:cs="宋体"/>
                <w:color w:val="auto"/>
                <w:sz w:val="24"/>
                <w:highlight w:val="none"/>
              </w:rPr>
              <w:t>购</w:t>
            </w:r>
          </w:p>
          <w:p>
            <w:pPr>
              <w:jc w:val="center"/>
              <w:rPr>
                <w:rFonts w:ascii="宋体" w:hAnsi="宋体" w:cs="宋体"/>
                <w:color w:val="auto"/>
                <w:sz w:val="24"/>
                <w:highlight w:val="none"/>
              </w:rPr>
            </w:pPr>
            <w:r>
              <w:rPr>
                <w:rFonts w:hint="eastAsia" w:ascii="宋体" w:hAnsi="宋体" w:cs="宋体"/>
                <w:color w:val="auto"/>
                <w:sz w:val="24"/>
                <w:highlight w:val="none"/>
              </w:rPr>
              <w:t>人</w:t>
            </w:r>
          </w:p>
          <w:p>
            <w:pPr>
              <w:jc w:val="center"/>
              <w:rPr>
                <w:rFonts w:ascii="宋体" w:hAnsi="宋体" w:cs="宋体"/>
                <w:color w:val="auto"/>
                <w:sz w:val="24"/>
                <w:highlight w:val="none"/>
              </w:rPr>
            </w:pPr>
            <w:r>
              <w:rPr>
                <w:rFonts w:hint="eastAsia" w:ascii="宋体" w:hAnsi="宋体" w:cs="宋体"/>
                <w:color w:val="auto"/>
                <w:sz w:val="24"/>
                <w:highlight w:val="none"/>
              </w:rPr>
              <w:t>意</w:t>
            </w:r>
          </w:p>
          <w:p>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10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tcPr>
          <w:p>
            <w:pPr>
              <w:rPr>
                <w:rFonts w:ascii="宋体" w:hAnsi="宋体" w:cs="宋体"/>
                <w:color w:val="auto"/>
                <w:sz w:val="24"/>
                <w:highlight w:val="none"/>
              </w:rPr>
            </w:pPr>
          </w:p>
        </w:tc>
      </w:tr>
    </w:tbl>
    <w:p>
      <w:pPr>
        <w:pStyle w:val="10"/>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w:t>
      </w:r>
      <w:r>
        <w:rPr>
          <w:rFonts w:hint="eastAsia"/>
          <w:b/>
          <w:bCs/>
          <w:color w:val="auto"/>
          <w:sz w:val="18"/>
          <w:szCs w:val="18"/>
          <w:highlight w:val="none"/>
        </w:rPr>
        <w:t>履约</w:t>
      </w:r>
      <w:r>
        <w:rPr>
          <w:rFonts w:hint="eastAsia" w:ascii="宋体" w:hAnsi="宋体" w:cs="宋体"/>
          <w:b/>
          <w:bCs/>
          <w:color w:val="auto"/>
          <w:sz w:val="18"/>
          <w:highlight w:val="none"/>
        </w:rPr>
        <w:t>保证金收取单位办理履约保证金退付事宜。</w:t>
      </w:r>
    </w:p>
    <w:p>
      <w:pPr>
        <w:pStyle w:val="13"/>
        <w:snapToGrid w:val="0"/>
        <w:spacing w:before="120" w:after="120"/>
        <w:rPr>
          <w:rFonts w:hAnsi="宋体" w:cs="宋体"/>
          <w:color w:val="auto"/>
          <w:highlight w:val="none"/>
        </w:rPr>
      </w:pPr>
    </w:p>
    <w:p>
      <w:pPr>
        <w:snapToGrid w:val="0"/>
        <w:spacing w:before="50" w:afterLines="50" w:line="360" w:lineRule="auto"/>
        <w:jc w:val="left"/>
        <w:rPr>
          <w:color w:val="auto"/>
          <w:sz w:val="20"/>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rPr>
          <w:rFonts w:ascii="Times New Roman" w:hAnsi="Times New Roman"/>
          <w:b/>
          <w:color w:val="auto"/>
          <w:sz w:val="36"/>
          <w:highlight w:val="none"/>
        </w:rPr>
      </w:pPr>
    </w:p>
    <w:p>
      <w:pPr>
        <w:pStyle w:val="13"/>
        <w:tabs>
          <w:tab w:val="left" w:pos="2472"/>
        </w:tabs>
        <w:spacing w:line="460" w:lineRule="exact"/>
        <w:jc w:val="center"/>
        <w:outlineLvl w:val="0"/>
        <w:rPr>
          <w:rFonts w:ascii="Times New Roman" w:hAnsi="Times New Roman"/>
          <w:b/>
          <w:color w:val="auto"/>
          <w:sz w:val="36"/>
          <w:highlight w:val="none"/>
        </w:rPr>
      </w:pPr>
      <w:bookmarkStart w:id="403" w:name="_Toc7244"/>
      <w:bookmarkStart w:id="404" w:name="_Toc2211"/>
      <w:bookmarkStart w:id="405" w:name="_Toc21753"/>
      <w:bookmarkStart w:id="406" w:name="_Toc17736"/>
      <w:bookmarkStart w:id="407" w:name="_Toc25113"/>
      <w:bookmarkStart w:id="408" w:name="_Toc7254"/>
      <w:bookmarkStart w:id="409" w:name="_Toc18173"/>
      <w:bookmarkStart w:id="410" w:name="_Toc6635"/>
      <w:bookmarkStart w:id="411" w:name="_Toc31429"/>
      <w:bookmarkStart w:id="412" w:name="_Toc11260"/>
      <w:bookmarkStart w:id="413" w:name="_Toc31310"/>
      <w:bookmarkStart w:id="414" w:name="_Toc32028"/>
      <w:bookmarkStart w:id="415" w:name="_Toc491"/>
      <w:r>
        <w:rPr>
          <w:rFonts w:hint="eastAsia" w:ascii="Times New Roman" w:hAnsi="Times New Roman"/>
          <w:b/>
          <w:color w:val="auto"/>
          <w:sz w:val="36"/>
          <w:highlight w:val="none"/>
        </w:rPr>
        <w:t>第七章质疑、投诉材料格式</w:t>
      </w:r>
      <w:bookmarkEnd w:id="403"/>
      <w:bookmarkEnd w:id="404"/>
      <w:bookmarkEnd w:id="405"/>
      <w:bookmarkEnd w:id="406"/>
      <w:bookmarkEnd w:id="407"/>
      <w:bookmarkEnd w:id="408"/>
      <w:bookmarkEnd w:id="409"/>
      <w:bookmarkEnd w:id="410"/>
      <w:bookmarkEnd w:id="411"/>
      <w:bookmarkEnd w:id="412"/>
      <w:bookmarkEnd w:id="413"/>
      <w:bookmarkEnd w:id="414"/>
      <w:bookmarkEnd w:id="415"/>
    </w:p>
    <w:p>
      <w:pPr>
        <w:widowControl/>
        <w:spacing w:line="360" w:lineRule="auto"/>
        <w:jc w:val="left"/>
        <w:rPr>
          <w:color w:val="auto"/>
          <w:sz w:val="20"/>
          <w:highlight w:val="none"/>
        </w:rPr>
        <w:sectPr>
          <w:pgSz w:w="11905" w:h="16838"/>
          <w:pgMar w:top="1134" w:right="1134" w:bottom="1134" w:left="1134" w:header="850" w:footer="850" w:gutter="0"/>
          <w:cols w:space="0" w:num="1"/>
          <w:titlePg/>
          <w:docGrid w:linePitch="331" w:charSpace="0"/>
        </w:sectPr>
      </w:pPr>
    </w:p>
    <w:p>
      <w:pPr>
        <w:pStyle w:val="4"/>
        <w:jc w:val="center"/>
        <w:rPr>
          <w:rFonts w:ascii="宋体" w:hAnsi="宋体"/>
          <w:b w:val="0"/>
          <w:bCs w:val="0"/>
          <w:color w:val="auto"/>
          <w:highlight w:val="none"/>
        </w:rPr>
      </w:pPr>
      <w:bookmarkStart w:id="416" w:name="_Toc25538"/>
      <w:bookmarkStart w:id="417" w:name="_Toc12016"/>
      <w:bookmarkStart w:id="418" w:name="_Toc17610"/>
      <w:bookmarkStart w:id="419" w:name="_Toc15096"/>
      <w:bookmarkStart w:id="420" w:name="_Toc31800"/>
      <w:bookmarkStart w:id="421" w:name="_Toc3458"/>
      <w:bookmarkStart w:id="422" w:name="_Toc990"/>
      <w:bookmarkStart w:id="423" w:name="_Toc22595"/>
      <w:bookmarkStart w:id="424" w:name="_Toc22540"/>
      <w:bookmarkStart w:id="425" w:name="_Toc10944"/>
      <w:r>
        <w:rPr>
          <w:rFonts w:hint="eastAsia" w:ascii="宋体" w:hAnsi="宋体"/>
          <w:b w:val="0"/>
          <w:bCs w:val="0"/>
          <w:color w:val="auto"/>
          <w:highlight w:val="none"/>
        </w:rPr>
        <w:t>第一节质疑函（格式）</w:t>
      </w:r>
      <w:bookmarkEnd w:id="416"/>
      <w:bookmarkEnd w:id="417"/>
      <w:bookmarkEnd w:id="418"/>
      <w:bookmarkEnd w:id="419"/>
      <w:bookmarkEnd w:id="420"/>
      <w:bookmarkEnd w:id="421"/>
      <w:bookmarkEnd w:id="422"/>
      <w:bookmarkEnd w:id="423"/>
      <w:bookmarkEnd w:id="424"/>
      <w:bookmarkEnd w:id="425"/>
    </w:p>
    <w:p>
      <w:pPr>
        <w:jc w:val="center"/>
        <w:rPr>
          <w:rFonts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pPr>
        <w:adjustRightInd w:val="0"/>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bookmarkStart w:id="426" w:name="PO_3000001867_PM026_5"/>
      <w:bookmarkEnd w:id="426"/>
    </w:p>
    <w:p>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p>
    <w:p>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adjustRightInd w:val="0"/>
        <w:snapToGrid w:val="0"/>
        <w:spacing w:line="360" w:lineRule="auto"/>
        <w:rPr>
          <w:rFonts w:ascii="宋体" w:hAnsi="宋体" w:cs="宋体"/>
          <w:color w:val="auto"/>
          <w:sz w:val="24"/>
          <w:highlight w:val="none"/>
          <w:u w:val="dotted"/>
        </w:rPr>
      </w:pP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宋体" w:hAnsi="宋体" w:cs="宋体"/>
          <w:color w:val="auto"/>
          <w:sz w:val="24"/>
          <w:highlight w:val="none"/>
        </w:rPr>
      </w:pPr>
    </w:p>
    <w:p>
      <w:pPr>
        <w:widowControl/>
        <w:spacing w:line="360" w:lineRule="auto"/>
        <w:jc w:val="left"/>
        <w:rPr>
          <w:rFonts w:ascii="宋体" w:hAnsi="宋体" w:cs="宋体"/>
          <w:color w:val="auto"/>
          <w:kern w:val="0"/>
          <w:sz w:val="24"/>
          <w:highlight w:val="none"/>
        </w:rPr>
        <w:sectPr>
          <w:pgSz w:w="11905" w:h="16838"/>
          <w:pgMar w:top="1134" w:right="1134" w:bottom="1134" w:left="1134" w:header="850" w:footer="850" w:gutter="0"/>
          <w:cols w:space="0" w:num="1"/>
          <w:titlePg/>
          <w:docGrid w:linePitch="331" w:charSpace="0"/>
        </w:sectPr>
      </w:pPr>
    </w:p>
    <w:p>
      <w:pPr>
        <w:pStyle w:val="4"/>
        <w:jc w:val="center"/>
        <w:rPr>
          <w:rFonts w:ascii="宋体" w:hAnsi="宋体"/>
          <w:b w:val="0"/>
          <w:bCs w:val="0"/>
          <w:color w:val="auto"/>
          <w:highlight w:val="none"/>
        </w:rPr>
      </w:pPr>
      <w:bookmarkStart w:id="427" w:name="_Toc7549"/>
      <w:bookmarkStart w:id="428" w:name="_Toc24894"/>
      <w:bookmarkStart w:id="429" w:name="_Toc11428"/>
      <w:bookmarkStart w:id="430" w:name="_Toc32540"/>
      <w:bookmarkStart w:id="431" w:name="_Toc6551"/>
      <w:bookmarkStart w:id="432" w:name="_Toc8862"/>
      <w:bookmarkStart w:id="433" w:name="_Toc31203"/>
      <w:bookmarkStart w:id="434" w:name="_Toc11984"/>
      <w:bookmarkStart w:id="435" w:name="_Toc1896"/>
      <w:bookmarkStart w:id="436" w:name="_Toc24568"/>
      <w:r>
        <w:rPr>
          <w:rFonts w:hint="eastAsia" w:ascii="宋体" w:hAnsi="宋体"/>
          <w:b w:val="0"/>
          <w:bCs w:val="0"/>
          <w:color w:val="auto"/>
          <w:highlight w:val="none"/>
        </w:rPr>
        <w:t>第二节投诉书（格式）</w:t>
      </w:r>
      <w:bookmarkEnd w:id="427"/>
      <w:bookmarkEnd w:id="428"/>
      <w:bookmarkEnd w:id="429"/>
      <w:bookmarkEnd w:id="430"/>
      <w:bookmarkEnd w:id="431"/>
      <w:bookmarkEnd w:id="432"/>
      <w:bookmarkEnd w:id="433"/>
      <w:bookmarkEnd w:id="434"/>
      <w:bookmarkEnd w:id="435"/>
      <w:bookmarkEnd w:id="436"/>
    </w:p>
    <w:p>
      <w:pPr>
        <w:jc w:val="center"/>
        <w:rPr>
          <w:rFonts w:ascii="宋体" w:hAnsi="宋体"/>
          <w:b/>
          <w:color w:val="auto"/>
          <w:sz w:val="44"/>
          <w:szCs w:val="44"/>
          <w:highlight w:val="none"/>
        </w:rPr>
      </w:pPr>
      <w:r>
        <w:rPr>
          <w:rFonts w:hint="eastAsia" w:ascii="宋体" w:hAnsi="宋体"/>
          <w:b/>
          <w:color w:val="auto"/>
          <w:sz w:val="32"/>
          <w:szCs w:val="32"/>
          <w:highlight w:val="none"/>
        </w:rPr>
        <w:t>投诉书</w:t>
      </w:r>
    </w:p>
    <w:p>
      <w:pPr>
        <w:rPr>
          <w:rFonts w:ascii="黑体" w:hAnsi="黑体" w:eastAsia="黑体"/>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bookmarkStart w:id="437" w:name="PO_3000001867_PM002_12"/>
      <w:bookmarkEnd w:id="437"/>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bookmarkStart w:id="438" w:name="PO_3000001867_PM001_9"/>
      <w:bookmarkEnd w:id="438"/>
      <w:r>
        <w:rPr>
          <w:rFonts w:hint="eastAsia" w:ascii="宋体" w:hAnsi="宋体" w:cs="宋体"/>
          <w:color w:val="auto"/>
          <w:sz w:val="24"/>
          <w:highlight w:val="none"/>
        </w:rPr>
        <w:t>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bookmarkStart w:id="439" w:name="PO_3000001867_PM026_6"/>
      <w:bookmarkEnd w:id="439"/>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color w:val="auto"/>
          <w:highlight w:val="none"/>
        </w:rPr>
      </w:pPr>
    </w:p>
    <w:sectPr>
      <w:footerReference r:id="rId15" w:type="first"/>
      <w:headerReference r:id="rId12" w:type="default"/>
      <w:footerReference r:id="rId13" w:type="default"/>
      <w:footerReference r:id="rId14"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6" o:spid="_x0000_s307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w:pict>
        <v:shape id="_x0000_s3075" o:spid="_x0000_s3075"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CMWsng&#10;swEAAEkDAAAOAAAAAAAAAAEAIAAAAB8BAABkcnMvZTJvRG9jLnhtbFBLBQYAAAAABgAGAFkBAABE&#10;BQAAAAA=&#10;">
          <v:path/>
          <v:fill on="f" focussize="0,0"/>
          <v:stroke on="f" joinstyle="miter"/>
          <v:imagedata o:title=""/>
          <o:lock v:ext="edit"/>
          <v:textbox inset="0mm,0mm,0mm,0mm" style="mso-fit-shape-to-text:t;">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28</w:t>
                </w:r>
                <w:r>
                  <w:rPr>
                    <w:sz w:val="18"/>
                    <w:szCs w:val="18"/>
                  </w:rPr>
                  <w:fldChar w:fldCharType="end"/>
                </w:r>
              </w:p>
            </w:txbxContent>
          </v:textbox>
        </v:shape>
      </w:pict>
    </w:r>
  </w:p>
  <w:p>
    <w:pPr>
      <w:snapToGrid w:val="0"/>
      <w:jc w:val="lef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jc w:val="center"/>
                </w:pPr>
                <w:r>
                  <w:fldChar w:fldCharType="begin"/>
                </w:r>
                <w:r>
                  <w:instrText xml:space="preserve"> PAGE   \* MERGEFORMAT </w:instrText>
                </w:r>
                <w:r>
                  <w:fldChar w:fldCharType="separate"/>
                </w:r>
                <w:r>
                  <w:rPr>
                    <w:lang w:val="zh-CN"/>
                  </w:rPr>
                  <w:t>93</w:t>
                </w:r>
                <w:r>
                  <w:rPr>
                    <w:lang w:val="zh-CN"/>
                  </w:rPr>
                  <w:fldChar w:fldCharType="end"/>
                </w:r>
              </w:p>
            </w:txbxContent>
          </v:textbox>
        </v:shape>
      </w:pic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2"/>
      </w:rPr>
    </w:pPr>
    <w:r>
      <w:fldChar w:fldCharType="begin"/>
    </w:r>
    <w:r>
      <w:rPr>
        <w:rStyle w:val="22"/>
      </w:rPr>
      <w:instrText xml:space="preserve">PAGE  </w:instrText>
    </w:r>
    <w:r>
      <w:fldChar w:fldCharType="end"/>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both"/>
    </w:pPr>
    <w:r>
      <w:pict>
        <v:shape id="_x0000_s3074" o:spid="_x0000_s307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rPr>
                    <w:rStyle w:val="22"/>
                  </w:rPr>
                </w:pPr>
                <w:r>
                  <w:fldChar w:fldCharType="begin"/>
                </w:r>
                <w:r>
                  <w:rPr>
                    <w:rStyle w:val="22"/>
                  </w:rPr>
                  <w:instrText xml:space="preserve">PAGE  </w:instrText>
                </w:r>
                <w:r>
                  <w:fldChar w:fldCharType="separate"/>
                </w:r>
                <w:r>
                  <w:rPr>
                    <w:rStyle w:val="22"/>
                  </w:rPr>
                  <w:t>92</w:t>
                </w:r>
                <w:r>
                  <w:fldChar w:fldCharType="end"/>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B9D8F"/>
    <w:multiLevelType w:val="singleLevel"/>
    <w:tmpl w:val="915B9D8F"/>
    <w:lvl w:ilvl="0" w:tentative="0">
      <w:start w:val="1"/>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F606FFBA"/>
    <w:multiLevelType w:val="singleLevel"/>
    <w:tmpl w:val="F606FFBA"/>
    <w:lvl w:ilvl="0" w:tentative="0">
      <w:start w:val="1"/>
      <w:numFmt w:val="decimal"/>
      <w:lvlText w:val="%1."/>
      <w:lvlJc w:val="left"/>
      <w:pPr>
        <w:tabs>
          <w:tab w:val="left" w:pos="312"/>
        </w:tabs>
      </w:p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5BB4EF0"/>
    <w:multiLevelType w:val="multilevel"/>
    <w:tmpl w:val="15BB4EF0"/>
    <w:lvl w:ilvl="0" w:tentative="0">
      <w:start w:val="10"/>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348E8DD0"/>
    <w:multiLevelType w:val="singleLevel"/>
    <w:tmpl w:val="348E8DD0"/>
    <w:lvl w:ilvl="0" w:tentative="0">
      <w:start w:val="2"/>
      <w:numFmt w:val="decimal"/>
      <w:suff w:val="space"/>
      <w:lvlText w:val="%1."/>
      <w:lvlJc w:val="left"/>
    </w:lvl>
  </w:abstractNum>
  <w:abstractNum w:abstractNumId="7">
    <w:nsid w:val="45A66A42"/>
    <w:multiLevelType w:val="singleLevel"/>
    <w:tmpl w:val="45A66A42"/>
    <w:lvl w:ilvl="0" w:tentative="0">
      <w:start w:val="3"/>
      <w:numFmt w:val="chineseCounting"/>
      <w:suff w:val="nothing"/>
      <w:lvlText w:val="%1、"/>
      <w:lvlJc w:val="left"/>
      <w:rPr>
        <w:rFonts w:hint="eastAsia"/>
      </w:rPr>
    </w:lvl>
  </w:abstractNum>
  <w:abstractNum w:abstractNumId="8">
    <w:nsid w:val="51536378"/>
    <w:multiLevelType w:val="singleLevel"/>
    <w:tmpl w:val="51536378"/>
    <w:lvl w:ilvl="0" w:tentative="0">
      <w:start w:val="1"/>
      <w:numFmt w:val="decimal"/>
      <w:suff w:val="nothing"/>
      <w:lvlText w:val="（%1）"/>
      <w:lvlJc w:val="left"/>
      <w:pPr>
        <w:ind w:left="0" w:firstLine="0"/>
      </w:pPr>
    </w:lvl>
  </w:abstractNum>
  <w:num w:numId="1">
    <w:abstractNumId w:val="7"/>
  </w:num>
  <w:num w:numId="2">
    <w:abstractNumId w:val="4"/>
  </w:num>
  <w:num w:numId="3">
    <w:abstractNumId w:val="2"/>
  </w:num>
  <w:num w:numId="4">
    <w:abstractNumId w:val="1"/>
  </w:num>
  <w:num w:numId="5">
    <w:abstractNumId w:val="8"/>
    <w:lvlOverride w:ilvl="0">
      <w:startOverride w:val="1"/>
    </w:lvlOverride>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c4YjgxZjcxMzViODJlYmMxMGRiOGM0NGMwMzZlOWUifQ=="/>
  </w:docVars>
  <w:rsids>
    <w:rsidRoot w:val="00021B2E"/>
    <w:rsid w:val="00021B2E"/>
    <w:rsid w:val="00056207"/>
    <w:rsid w:val="00097D1B"/>
    <w:rsid w:val="000A77EE"/>
    <w:rsid w:val="001B4997"/>
    <w:rsid w:val="0021185F"/>
    <w:rsid w:val="00276446"/>
    <w:rsid w:val="00293C56"/>
    <w:rsid w:val="002F3AE1"/>
    <w:rsid w:val="00376C44"/>
    <w:rsid w:val="003A68F4"/>
    <w:rsid w:val="003B267C"/>
    <w:rsid w:val="003C42D5"/>
    <w:rsid w:val="003F3E21"/>
    <w:rsid w:val="00447FD3"/>
    <w:rsid w:val="00474433"/>
    <w:rsid w:val="004F53E0"/>
    <w:rsid w:val="00516378"/>
    <w:rsid w:val="00536953"/>
    <w:rsid w:val="009B6D90"/>
    <w:rsid w:val="009E18C8"/>
    <w:rsid w:val="00B26EF7"/>
    <w:rsid w:val="00B92E87"/>
    <w:rsid w:val="00BB4557"/>
    <w:rsid w:val="00C37DAB"/>
    <w:rsid w:val="00C621D0"/>
    <w:rsid w:val="00C93D3B"/>
    <w:rsid w:val="00D26508"/>
    <w:rsid w:val="00D43795"/>
    <w:rsid w:val="00D47C35"/>
    <w:rsid w:val="00D61BDA"/>
    <w:rsid w:val="00D7445F"/>
    <w:rsid w:val="00D95B39"/>
    <w:rsid w:val="00DB6B5A"/>
    <w:rsid w:val="00F24178"/>
    <w:rsid w:val="00F653E6"/>
    <w:rsid w:val="01095920"/>
    <w:rsid w:val="011B02F9"/>
    <w:rsid w:val="012A54D2"/>
    <w:rsid w:val="014275A5"/>
    <w:rsid w:val="01A72EEF"/>
    <w:rsid w:val="01BE6222"/>
    <w:rsid w:val="01C92250"/>
    <w:rsid w:val="02055082"/>
    <w:rsid w:val="02974B2C"/>
    <w:rsid w:val="02CC6E30"/>
    <w:rsid w:val="02D92142"/>
    <w:rsid w:val="03114A8A"/>
    <w:rsid w:val="03323B4D"/>
    <w:rsid w:val="035C3D6F"/>
    <w:rsid w:val="036A4118"/>
    <w:rsid w:val="037B5A38"/>
    <w:rsid w:val="04054EA8"/>
    <w:rsid w:val="041C7FB9"/>
    <w:rsid w:val="047475DC"/>
    <w:rsid w:val="04975296"/>
    <w:rsid w:val="049A7C20"/>
    <w:rsid w:val="04A57753"/>
    <w:rsid w:val="04E34912"/>
    <w:rsid w:val="054579FD"/>
    <w:rsid w:val="054D6CFB"/>
    <w:rsid w:val="054F5D32"/>
    <w:rsid w:val="056D44BF"/>
    <w:rsid w:val="05A71B3F"/>
    <w:rsid w:val="05EC04F9"/>
    <w:rsid w:val="060A5367"/>
    <w:rsid w:val="061760BE"/>
    <w:rsid w:val="066F5DC3"/>
    <w:rsid w:val="0676474C"/>
    <w:rsid w:val="068C4871"/>
    <w:rsid w:val="069602FF"/>
    <w:rsid w:val="06F62551"/>
    <w:rsid w:val="07621280"/>
    <w:rsid w:val="07A428E3"/>
    <w:rsid w:val="07CB185D"/>
    <w:rsid w:val="08093A71"/>
    <w:rsid w:val="08B415A4"/>
    <w:rsid w:val="08F00221"/>
    <w:rsid w:val="09572877"/>
    <w:rsid w:val="097C1490"/>
    <w:rsid w:val="09AB0983"/>
    <w:rsid w:val="09CE1116"/>
    <w:rsid w:val="09E076C7"/>
    <w:rsid w:val="0A1E7575"/>
    <w:rsid w:val="0A2013A9"/>
    <w:rsid w:val="0A435CEB"/>
    <w:rsid w:val="0A765A8A"/>
    <w:rsid w:val="0A813285"/>
    <w:rsid w:val="0ACE705D"/>
    <w:rsid w:val="0AD3705F"/>
    <w:rsid w:val="0AF837E4"/>
    <w:rsid w:val="0B2B22F5"/>
    <w:rsid w:val="0B5140BC"/>
    <w:rsid w:val="0B615CFF"/>
    <w:rsid w:val="0B831A63"/>
    <w:rsid w:val="0B8F7AB0"/>
    <w:rsid w:val="0BA95626"/>
    <w:rsid w:val="0BC23C9A"/>
    <w:rsid w:val="0C463AE2"/>
    <w:rsid w:val="0D543F47"/>
    <w:rsid w:val="0D992AED"/>
    <w:rsid w:val="0E0F21BC"/>
    <w:rsid w:val="0E1770D6"/>
    <w:rsid w:val="0E2B18D5"/>
    <w:rsid w:val="0E3218E4"/>
    <w:rsid w:val="0E73260E"/>
    <w:rsid w:val="0EA91BC1"/>
    <w:rsid w:val="0EEF6AAD"/>
    <w:rsid w:val="0F17197D"/>
    <w:rsid w:val="0F6B1F01"/>
    <w:rsid w:val="0FB74DC9"/>
    <w:rsid w:val="102F0E28"/>
    <w:rsid w:val="10390118"/>
    <w:rsid w:val="10A25EDA"/>
    <w:rsid w:val="111E0398"/>
    <w:rsid w:val="11652FD6"/>
    <w:rsid w:val="120D6C92"/>
    <w:rsid w:val="12DE2AB6"/>
    <w:rsid w:val="12E271C4"/>
    <w:rsid w:val="13004370"/>
    <w:rsid w:val="13D773DA"/>
    <w:rsid w:val="14814229"/>
    <w:rsid w:val="1485642A"/>
    <w:rsid w:val="1493579A"/>
    <w:rsid w:val="14A02656"/>
    <w:rsid w:val="14EF2214"/>
    <w:rsid w:val="15112FB3"/>
    <w:rsid w:val="1517629B"/>
    <w:rsid w:val="15213D72"/>
    <w:rsid w:val="15A71FCF"/>
    <w:rsid w:val="15CE73E7"/>
    <w:rsid w:val="15DA6861"/>
    <w:rsid w:val="16521360"/>
    <w:rsid w:val="16CC463A"/>
    <w:rsid w:val="172A6452"/>
    <w:rsid w:val="17526FA4"/>
    <w:rsid w:val="1795379C"/>
    <w:rsid w:val="18063809"/>
    <w:rsid w:val="18817186"/>
    <w:rsid w:val="18A53C2D"/>
    <w:rsid w:val="18E66AB2"/>
    <w:rsid w:val="19097C61"/>
    <w:rsid w:val="19155678"/>
    <w:rsid w:val="194F7902"/>
    <w:rsid w:val="19B81747"/>
    <w:rsid w:val="19DC1C4E"/>
    <w:rsid w:val="19FF33EE"/>
    <w:rsid w:val="1A70567B"/>
    <w:rsid w:val="1A774458"/>
    <w:rsid w:val="1A846A93"/>
    <w:rsid w:val="1AA22304"/>
    <w:rsid w:val="1ABD34B5"/>
    <w:rsid w:val="1B1A3D35"/>
    <w:rsid w:val="1B8B4540"/>
    <w:rsid w:val="1B980981"/>
    <w:rsid w:val="1BC83144"/>
    <w:rsid w:val="1C3E1F88"/>
    <w:rsid w:val="1C9E7D2D"/>
    <w:rsid w:val="1CA43733"/>
    <w:rsid w:val="1CCA5C25"/>
    <w:rsid w:val="1D9C69E2"/>
    <w:rsid w:val="1DF1639C"/>
    <w:rsid w:val="1E037DAC"/>
    <w:rsid w:val="1E55723C"/>
    <w:rsid w:val="1EA4279A"/>
    <w:rsid w:val="1EA700B7"/>
    <w:rsid w:val="1F152A17"/>
    <w:rsid w:val="1F205A46"/>
    <w:rsid w:val="1F4E3E9E"/>
    <w:rsid w:val="1F6210D9"/>
    <w:rsid w:val="1F640C4B"/>
    <w:rsid w:val="1F7C3BBA"/>
    <w:rsid w:val="202A5D19"/>
    <w:rsid w:val="208D2FA3"/>
    <w:rsid w:val="209640CD"/>
    <w:rsid w:val="20967EE2"/>
    <w:rsid w:val="20D3473E"/>
    <w:rsid w:val="20DD79A8"/>
    <w:rsid w:val="20E233A0"/>
    <w:rsid w:val="213D7796"/>
    <w:rsid w:val="215E6B36"/>
    <w:rsid w:val="21AB6CB3"/>
    <w:rsid w:val="21E92535"/>
    <w:rsid w:val="21EA67DF"/>
    <w:rsid w:val="22494C50"/>
    <w:rsid w:val="22551944"/>
    <w:rsid w:val="225718E5"/>
    <w:rsid w:val="227A5108"/>
    <w:rsid w:val="22C87A6E"/>
    <w:rsid w:val="22CE4F93"/>
    <w:rsid w:val="22DA3051"/>
    <w:rsid w:val="22DC4C58"/>
    <w:rsid w:val="23236BC0"/>
    <w:rsid w:val="237F36A3"/>
    <w:rsid w:val="23AD68F9"/>
    <w:rsid w:val="23BF6AC9"/>
    <w:rsid w:val="23C31EAF"/>
    <w:rsid w:val="23CD5BEA"/>
    <w:rsid w:val="23D46646"/>
    <w:rsid w:val="23E16DB3"/>
    <w:rsid w:val="23EF07BD"/>
    <w:rsid w:val="242D3833"/>
    <w:rsid w:val="24816B05"/>
    <w:rsid w:val="24941690"/>
    <w:rsid w:val="24CF590E"/>
    <w:rsid w:val="24FD473D"/>
    <w:rsid w:val="250A4405"/>
    <w:rsid w:val="25581FF1"/>
    <w:rsid w:val="25665875"/>
    <w:rsid w:val="256C491B"/>
    <w:rsid w:val="258F5A73"/>
    <w:rsid w:val="25B47891"/>
    <w:rsid w:val="25BB3085"/>
    <w:rsid w:val="25E2566C"/>
    <w:rsid w:val="26A742E8"/>
    <w:rsid w:val="26CF1553"/>
    <w:rsid w:val="26DA0542"/>
    <w:rsid w:val="273259A9"/>
    <w:rsid w:val="27380A7A"/>
    <w:rsid w:val="27503865"/>
    <w:rsid w:val="275A5F00"/>
    <w:rsid w:val="276258F6"/>
    <w:rsid w:val="279A2560"/>
    <w:rsid w:val="27DA7DAA"/>
    <w:rsid w:val="27F23143"/>
    <w:rsid w:val="28063E8E"/>
    <w:rsid w:val="28790670"/>
    <w:rsid w:val="29095C9F"/>
    <w:rsid w:val="291B1976"/>
    <w:rsid w:val="292145DB"/>
    <w:rsid w:val="292D12B6"/>
    <w:rsid w:val="29AB0C3B"/>
    <w:rsid w:val="29BB4910"/>
    <w:rsid w:val="29DD3939"/>
    <w:rsid w:val="2A636FF6"/>
    <w:rsid w:val="2B3B1E66"/>
    <w:rsid w:val="2B770163"/>
    <w:rsid w:val="2B9E3F4D"/>
    <w:rsid w:val="2BCB247B"/>
    <w:rsid w:val="2C7D12B4"/>
    <w:rsid w:val="2CCA7EB6"/>
    <w:rsid w:val="2CED73A5"/>
    <w:rsid w:val="2D3347E7"/>
    <w:rsid w:val="2D4F38E3"/>
    <w:rsid w:val="2D6045A9"/>
    <w:rsid w:val="2D9617F6"/>
    <w:rsid w:val="2DCB0FE4"/>
    <w:rsid w:val="2DEC5B1F"/>
    <w:rsid w:val="2F423753"/>
    <w:rsid w:val="2FB87BD1"/>
    <w:rsid w:val="30257136"/>
    <w:rsid w:val="305807BF"/>
    <w:rsid w:val="306B5FE8"/>
    <w:rsid w:val="30D81EF7"/>
    <w:rsid w:val="30D93356"/>
    <w:rsid w:val="310559AB"/>
    <w:rsid w:val="318D2CFD"/>
    <w:rsid w:val="31EF7B28"/>
    <w:rsid w:val="32015993"/>
    <w:rsid w:val="322118FB"/>
    <w:rsid w:val="322476CF"/>
    <w:rsid w:val="322B55AE"/>
    <w:rsid w:val="32390A38"/>
    <w:rsid w:val="326C65A7"/>
    <w:rsid w:val="326D5167"/>
    <w:rsid w:val="326E6C1E"/>
    <w:rsid w:val="32AD00E0"/>
    <w:rsid w:val="32BB403E"/>
    <w:rsid w:val="32E3590E"/>
    <w:rsid w:val="32FC3D25"/>
    <w:rsid w:val="33136037"/>
    <w:rsid w:val="33800A0F"/>
    <w:rsid w:val="338E424C"/>
    <w:rsid w:val="339B377C"/>
    <w:rsid w:val="345631E3"/>
    <w:rsid w:val="34572A71"/>
    <w:rsid w:val="349D7A9E"/>
    <w:rsid w:val="34BB41E0"/>
    <w:rsid w:val="34BC4B4B"/>
    <w:rsid w:val="3507717E"/>
    <w:rsid w:val="350C2D09"/>
    <w:rsid w:val="354C1340"/>
    <w:rsid w:val="355832E5"/>
    <w:rsid w:val="3592350F"/>
    <w:rsid w:val="3635774B"/>
    <w:rsid w:val="3642105E"/>
    <w:rsid w:val="366E1C81"/>
    <w:rsid w:val="366E4460"/>
    <w:rsid w:val="36773E5D"/>
    <w:rsid w:val="36801F8F"/>
    <w:rsid w:val="36AF573D"/>
    <w:rsid w:val="36BB169B"/>
    <w:rsid w:val="36D2347F"/>
    <w:rsid w:val="36D3565B"/>
    <w:rsid w:val="36E0622F"/>
    <w:rsid w:val="36ED3DEE"/>
    <w:rsid w:val="3720584E"/>
    <w:rsid w:val="375D21A8"/>
    <w:rsid w:val="3779039B"/>
    <w:rsid w:val="37DA20B7"/>
    <w:rsid w:val="37FB3273"/>
    <w:rsid w:val="37FD20F6"/>
    <w:rsid w:val="383967AA"/>
    <w:rsid w:val="387F5AF8"/>
    <w:rsid w:val="38E50D89"/>
    <w:rsid w:val="39726B7C"/>
    <w:rsid w:val="399B6E57"/>
    <w:rsid w:val="39EA3076"/>
    <w:rsid w:val="3A5E70A9"/>
    <w:rsid w:val="3ADE1AAE"/>
    <w:rsid w:val="3B6C49BC"/>
    <w:rsid w:val="3BA30382"/>
    <w:rsid w:val="3BAA39EE"/>
    <w:rsid w:val="3C457F4A"/>
    <w:rsid w:val="3DBD339D"/>
    <w:rsid w:val="3E4F3CEB"/>
    <w:rsid w:val="3E8B7A4C"/>
    <w:rsid w:val="3F1B0FC1"/>
    <w:rsid w:val="3F246DEE"/>
    <w:rsid w:val="3F4A0470"/>
    <w:rsid w:val="3FD602BE"/>
    <w:rsid w:val="400468BA"/>
    <w:rsid w:val="40D60483"/>
    <w:rsid w:val="40EF446D"/>
    <w:rsid w:val="41366D43"/>
    <w:rsid w:val="4152018A"/>
    <w:rsid w:val="416C7DBD"/>
    <w:rsid w:val="41AB5A01"/>
    <w:rsid w:val="41F122DB"/>
    <w:rsid w:val="4234381E"/>
    <w:rsid w:val="42954201"/>
    <w:rsid w:val="429823CB"/>
    <w:rsid w:val="429E75E6"/>
    <w:rsid w:val="42A178EE"/>
    <w:rsid w:val="43050FCE"/>
    <w:rsid w:val="433831AE"/>
    <w:rsid w:val="433B256A"/>
    <w:rsid w:val="433E4598"/>
    <w:rsid w:val="43460D6B"/>
    <w:rsid w:val="43F31EC1"/>
    <w:rsid w:val="43FB1131"/>
    <w:rsid w:val="441A2345"/>
    <w:rsid w:val="44385910"/>
    <w:rsid w:val="443F0DB6"/>
    <w:rsid w:val="445E4478"/>
    <w:rsid w:val="44E471D7"/>
    <w:rsid w:val="44EB26B0"/>
    <w:rsid w:val="458F40E0"/>
    <w:rsid w:val="45D4622A"/>
    <w:rsid w:val="462E0726"/>
    <w:rsid w:val="4683709C"/>
    <w:rsid w:val="46AF2877"/>
    <w:rsid w:val="471760F8"/>
    <w:rsid w:val="47435B56"/>
    <w:rsid w:val="476123B9"/>
    <w:rsid w:val="47720309"/>
    <w:rsid w:val="478009AC"/>
    <w:rsid w:val="47A42B87"/>
    <w:rsid w:val="484A0F00"/>
    <w:rsid w:val="484E4048"/>
    <w:rsid w:val="48787FAC"/>
    <w:rsid w:val="489B2F4B"/>
    <w:rsid w:val="48C0305C"/>
    <w:rsid w:val="48CF07C1"/>
    <w:rsid w:val="48D1046F"/>
    <w:rsid w:val="48F7192E"/>
    <w:rsid w:val="49360D0C"/>
    <w:rsid w:val="493865B5"/>
    <w:rsid w:val="496C7C8D"/>
    <w:rsid w:val="498469FF"/>
    <w:rsid w:val="4A187D2D"/>
    <w:rsid w:val="4A360B57"/>
    <w:rsid w:val="4AC863B5"/>
    <w:rsid w:val="4ADD6C7C"/>
    <w:rsid w:val="4B410C16"/>
    <w:rsid w:val="4B44380D"/>
    <w:rsid w:val="4B7F5BCC"/>
    <w:rsid w:val="4BA94BA1"/>
    <w:rsid w:val="4BB30F42"/>
    <w:rsid w:val="4BDE766A"/>
    <w:rsid w:val="4BEE18C0"/>
    <w:rsid w:val="4BF33563"/>
    <w:rsid w:val="4C6E15BF"/>
    <w:rsid w:val="4CDF679D"/>
    <w:rsid w:val="4CFE0910"/>
    <w:rsid w:val="4D165162"/>
    <w:rsid w:val="4D170BB5"/>
    <w:rsid w:val="4D640565"/>
    <w:rsid w:val="4D7213D6"/>
    <w:rsid w:val="4DB67C3F"/>
    <w:rsid w:val="4DB93C1C"/>
    <w:rsid w:val="4DDC3463"/>
    <w:rsid w:val="4DE12DCB"/>
    <w:rsid w:val="4E050942"/>
    <w:rsid w:val="4E274294"/>
    <w:rsid w:val="4E4207B2"/>
    <w:rsid w:val="4E5649B8"/>
    <w:rsid w:val="4EC84766"/>
    <w:rsid w:val="4ED133E0"/>
    <w:rsid w:val="4EE1639C"/>
    <w:rsid w:val="4EF94B51"/>
    <w:rsid w:val="4F7A5C1F"/>
    <w:rsid w:val="4F8F33DB"/>
    <w:rsid w:val="4F940DFD"/>
    <w:rsid w:val="4F9D2D1D"/>
    <w:rsid w:val="4FF8744B"/>
    <w:rsid w:val="4FFB507E"/>
    <w:rsid w:val="501C5568"/>
    <w:rsid w:val="503F1F7D"/>
    <w:rsid w:val="50497C1E"/>
    <w:rsid w:val="50815D87"/>
    <w:rsid w:val="50875DDA"/>
    <w:rsid w:val="50A67405"/>
    <w:rsid w:val="50BF7A86"/>
    <w:rsid w:val="50F7462E"/>
    <w:rsid w:val="50FC2C3C"/>
    <w:rsid w:val="5165451C"/>
    <w:rsid w:val="517B6D08"/>
    <w:rsid w:val="518F7337"/>
    <w:rsid w:val="51D574B6"/>
    <w:rsid w:val="51D97625"/>
    <w:rsid w:val="52027558"/>
    <w:rsid w:val="52156ED9"/>
    <w:rsid w:val="52237D21"/>
    <w:rsid w:val="524B5983"/>
    <w:rsid w:val="528E2E9A"/>
    <w:rsid w:val="52A248C9"/>
    <w:rsid w:val="533E54DE"/>
    <w:rsid w:val="53532AF5"/>
    <w:rsid w:val="5363174A"/>
    <w:rsid w:val="53781CD0"/>
    <w:rsid w:val="53BE66B0"/>
    <w:rsid w:val="53E429F3"/>
    <w:rsid w:val="53FC7D3D"/>
    <w:rsid w:val="544F4B17"/>
    <w:rsid w:val="54690E06"/>
    <w:rsid w:val="547D1B69"/>
    <w:rsid w:val="547D3CA1"/>
    <w:rsid w:val="54A71544"/>
    <w:rsid w:val="54E03240"/>
    <w:rsid w:val="54E161E6"/>
    <w:rsid w:val="55717EF0"/>
    <w:rsid w:val="55BD62FC"/>
    <w:rsid w:val="55CF4789"/>
    <w:rsid w:val="55E24205"/>
    <w:rsid w:val="55FF3119"/>
    <w:rsid w:val="56960007"/>
    <w:rsid w:val="569C33FD"/>
    <w:rsid w:val="56AD53E1"/>
    <w:rsid w:val="56E17E4B"/>
    <w:rsid w:val="571177FA"/>
    <w:rsid w:val="571A4D54"/>
    <w:rsid w:val="572C50A1"/>
    <w:rsid w:val="574A79DE"/>
    <w:rsid w:val="574E744D"/>
    <w:rsid w:val="57B057F2"/>
    <w:rsid w:val="57D26EB7"/>
    <w:rsid w:val="580653FD"/>
    <w:rsid w:val="580F63AE"/>
    <w:rsid w:val="586B7753"/>
    <w:rsid w:val="58AA581E"/>
    <w:rsid w:val="59BB60CF"/>
    <w:rsid w:val="59D34D02"/>
    <w:rsid w:val="5A4E7262"/>
    <w:rsid w:val="5A7C75A7"/>
    <w:rsid w:val="5A831B3A"/>
    <w:rsid w:val="5AEE72F1"/>
    <w:rsid w:val="5BC24B08"/>
    <w:rsid w:val="5BE34185"/>
    <w:rsid w:val="5BF6728A"/>
    <w:rsid w:val="5C766F57"/>
    <w:rsid w:val="5C7865A7"/>
    <w:rsid w:val="5CB11B30"/>
    <w:rsid w:val="5D10309F"/>
    <w:rsid w:val="5D2B4B79"/>
    <w:rsid w:val="5D3D543E"/>
    <w:rsid w:val="5D425978"/>
    <w:rsid w:val="5D6F03B3"/>
    <w:rsid w:val="5D8F57D0"/>
    <w:rsid w:val="5DC90AF1"/>
    <w:rsid w:val="5E1F3CF6"/>
    <w:rsid w:val="5E565CA2"/>
    <w:rsid w:val="5E847D30"/>
    <w:rsid w:val="5EAB0D2C"/>
    <w:rsid w:val="5F2B1805"/>
    <w:rsid w:val="5F476193"/>
    <w:rsid w:val="5F4D6DA2"/>
    <w:rsid w:val="5FAE1170"/>
    <w:rsid w:val="5FB76261"/>
    <w:rsid w:val="604231D2"/>
    <w:rsid w:val="60573113"/>
    <w:rsid w:val="60E342E4"/>
    <w:rsid w:val="61151723"/>
    <w:rsid w:val="613244C3"/>
    <w:rsid w:val="614528AC"/>
    <w:rsid w:val="617B565A"/>
    <w:rsid w:val="619D6B85"/>
    <w:rsid w:val="61B363CD"/>
    <w:rsid w:val="61FB170E"/>
    <w:rsid w:val="62A00E16"/>
    <w:rsid w:val="62D14C9E"/>
    <w:rsid w:val="633F463B"/>
    <w:rsid w:val="639F7DC1"/>
    <w:rsid w:val="63F30435"/>
    <w:rsid w:val="64050ABF"/>
    <w:rsid w:val="642D1CFD"/>
    <w:rsid w:val="64363468"/>
    <w:rsid w:val="64B32E2F"/>
    <w:rsid w:val="64E250F2"/>
    <w:rsid w:val="6500469F"/>
    <w:rsid w:val="659F6081"/>
    <w:rsid w:val="65A70C8A"/>
    <w:rsid w:val="65A823F2"/>
    <w:rsid w:val="65B460C5"/>
    <w:rsid w:val="65ED414E"/>
    <w:rsid w:val="65EF4D81"/>
    <w:rsid w:val="66015A51"/>
    <w:rsid w:val="66620E80"/>
    <w:rsid w:val="66B5420B"/>
    <w:rsid w:val="670F7889"/>
    <w:rsid w:val="67126567"/>
    <w:rsid w:val="67211260"/>
    <w:rsid w:val="67460997"/>
    <w:rsid w:val="676557D9"/>
    <w:rsid w:val="676D705E"/>
    <w:rsid w:val="67A05B2A"/>
    <w:rsid w:val="67DE2C50"/>
    <w:rsid w:val="67DE7084"/>
    <w:rsid w:val="67F7300E"/>
    <w:rsid w:val="68342E8F"/>
    <w:rsid w:val="68483D18"/>
    <w:rsid w:val="687D4BDD"/>
    <w:rsid w:val="68952F54"/>
    <w:rsid w:val="68DC3EFE"/>
    <w:rsid w:val="69507B39"/>
    <w:rsid w:val="698E0FEB"/>
    <w:rsid w:val="6998799E"/>
    <w:rsid w:val="6A3E6267"/>
    <w:rsid w:val="6ADB3525"/>
    <w:rsid w:val="6B8723B0"/>
    <w:rsid w:val="6B8B2B72"/>
    <w:rsid w:val="6C3170F0"/>
    <w:rsid w:val="6CA8352E"/>
    <w:rsid w:val="6CD725ED"/>
    <w:rsid w:val="6CEA4165"/>
    <w:rsid w:val="6D376AFE"/>
    <w:rsid w:val="6D3B35C4"/>
    <w:rsid w:val="6D546223"/>
    <w:rsid w:val="6E141A2A"/>
    <w:rsid w:val="6EA05AE1"/>
    <w:rsid w:val="6EE06FEB"/>
    <w:rsid w:val="6F153218"/>
    <w:rsid w:val="6F76486B"/>
    <w:rsid w:val="6F924A6F"/>
    <w:rsid w:val="6FE55BBD"/>
    <w:rsid w:val="707B47C4"/>
    <w:rsid w:val="709B4B83"/>
    <w:rsid w:val="70A828E5"/>
    <w:rsid w:val="70B64C12"/>
    <w:rsid w:val="70C11755"/>
    <w:rsid w:val="70DD2618"/>
    <w:rsid w:val="70E6544B"/>
    <w:rsid w:val="70ED0986"/>
    <w:rsid w:val="71CF0D35"/>
    <w:rsid w:val="71D728C9"/>
    <w:rsid w:val="71E003DD"/>
    <w:rsid w:val="71F379D5"/>
    <w:rsid w:val="71F41383"/>
    <w:rsid w:val="72021250"/>
    <w:rsid w:val="720F6D7D"/>
    <w:rsid w:val="72472963"/>
    <w:rsid w:val="726532FB"/>
    <w:rsid w:val="72950198"/>
    <w:rsid w:val="72EA4658"/>
    <w:rsid w:val="7320375D"/>
    <w:rsid w:val="73592A0C"/>
    <w:rsid w:val="736C23ED"/>
    <w:rsid w:val="742B4973"/>
    <w:rsid w:val="74444F9D"/>
    <w:rsid w:val="748725BD"/>
    <w:rsid w:val="74A01DFE"/>
    <w:rsid w:val="74B00652"/>
    <w:rsid w:val="74C6075E"/>
    <w:rsid w:val="74F109DD"/>
    <w:rsid w:val="753442AC"/>
    <w:rsid w:val="75667239"/>
    <w:rsid w:val="756D0B1E"/>
    <w:rsid w:val="762F10DD"/>
    <w:rsid w:val="76945580"/>
    <w:rsid w:val="769B575F"/>
    <w:rsid w:val="76BE180F"/>
    <w:rsid w:val="772F5C46"/>
    <w:rsid w:val="774C11E5"/>
    <w:rsid w:val="77563BDF"/>
    <w:rsid w:val="77970501"/>
    <w:rsid w:val="77CE4E49"/>
    <w:rsid w:val="77DD1955"/>
    <w:rsid w:val="784A2834"/>
    <w:rsid w:val="78986C8F"/>
    <w:rsid w:val="79064ACA"/>
    <w:rsid w:val="79200D68"/>
    <w:rsid w:val="794B1CCF"/>
    <w:rsid w:val="799E4EDF"/>
    <w:rsid w:val="79C40791"/>
    <w:rsid w:val="7A2E663C"/>
    <w:rsid w:val="7A4D6843"/>
    <w:rsid w:val="7A721263"/>
    <w:rsid w:val="7B2241A0"/>
    <w:rsid w:val="7B4E5F74"/>
    <w:rsid w:val="7B5B590C"/>
    <w:rsid w:val="7BC21276"/>
    <w:rsid w:val="7BF232D8"/>
    <w:rsid w:val="7C0A10B0"/>
    <w:rsid w:val="7C2521C4"/>
    <w:rsid w:val="7C266A5E"/>
    <w:rsid w:val="7C620CEE"/>
    <w:rsid w:val="7CB12EDF"/>
    <w:rsid w:val="7CC43F8D"/>
    <w:rsid w:val="7CC81220"/>
    <w:rsid w:val="7CD3033B"/>
    <w:rsid w:val="7CDD2498"/>
    <w:rsid w:val="7D1428F3"/>
    <w:rsid w:val="7D1C52E3"/>
    <w:rsid w:val="7D2E060E"/>
    <w:rsid w:val="7D3714E0"/>
    <w:rsid w:val="7D3A2618"/>
    <w:rsid w:val="7D405FDE"/>
    <w:rsid w:val="7D9F232A"/>
    <w:rsid w:val="7DB84B7D"/>
    <w:rsid w:val="7E2719D2"/>
    <w:rsid w:val="7E5706C0"/>
    <w:rsid w:val="7E730C2B"/>
    <w:rsid w:val="7E797FB0"/>
    <w:rsid w:val="7EC81A6C"/>
    <w:rsid w:val="7ED9582D"/>
    <w:rsid w:val="7F21731A"/>
    <w:rsid w:val="7F66149A"/>
    <w:rsid w:val="7FE07536"/>
    <w:rsid w:val="7FF15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bCs/>
      <w:sz w:val="32"/>
      <w:szCs w:val="32"/>
    </w:rPr>
  </w:style>
  <w:style w:type="paragraph" w:styleId="5">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5"/>
    <w:basedOn w:val="1"/>
    <w:next w:val="7"/>
    <w:semiHidden/>
    <w:unhideWhenUsed/>
    <w:qFormat/>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7">
    <w:name w:val="Normal Indent"/>
    <w:basedOn w:val="1"/>
    <w:qFormat/>
    <w:uiPriority w:val="0"/>
    <w:pPr>
      <w:ind w:firstLine="420"/>
    </w:pPr>
    <w:rPr>
      <w:szCs w:val="20"/>
    </w:rPr>
  </w:style>
  <w:style w:type="paragraph" w:styleId="8">
    <w:name w:val="index 8"/>
    <w:basedOn w:val="1"/>
    <w:next w:val="1"/>
    <w:qFormat/>
    <w:uiPriority w:val="0"/>
    <w:pPr>
      <w:ind w:left="294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ody Text Indent"/>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2">
    <w:name w:val="toc 3"/>
    <w:next w:val="1"/>
    <w:qFormat/>
    <w:uiPriority w:val="0"/>
    <w:pPr>
      <w:widowControl w:val="0"/>
    </w:pPr>
    <w:rPr>
      <w:rFonts w:ascii="Calibri" w:hAnsi="Calibri" w:eastAsia="宋体" w:cs="Times New Roman"/>
      <w:smallCaps/>
      <w:kern w:val="2"/>
      <w:sz w:val="22"/>
      <w:szCs w:val="22"/>
      <w:lang w:val="en-US" w:eastAsia="zh-CN" w:bidi="ar-SA"/>
    </w:rPr>
  </w:style>
  <w:style w:type="paragraph" w:styleId="13">
    <w:name w:val="Plain Text"/>
    <w:basedOn w:val="1"/>
    <w:next w:val="8"/>
    <w:qFormat/>
    <w:uiPriority w:val="0"/>
    <w:rPr>
      <w:rFonts w:ascii="宋体" w:hAnsi="Courier New"/>
      <w:szCs w:val="20"/>
    </w:rPr>
  </w:style>
  <w:style w:type="paragraph" w:styleId="1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6">
    <w:name w:val="List"/>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7">
    <w:name w:val="toc 2"/>
    <w:next w:val="1"/>
    <w:qFormat/>
    <w:uiPriority w:val="0"/>
    <w:pPr>
      <w:widowControl w:val="0"/>
    </w:pPr>
    <w:rPr>
      <w:rFonts w:ascii="Calibri" w:hAnsi="Calibri" w:eastAsia="宋体" w:cs="Times New Roman"/>
      <w:b/>
      <w:bCs/>
      <w:smallCaps/>
      <w:kern w:val="2"/>
      <w:sz w:val="22"/>
      <w:szCs w:val="22"/>
      <w:lang w:val="en-US" w:eastAsia="zh-CN" w:bidi="ar-SA"/>
    </w:rPr>
  </w:style>
  <w:style w:type="paragraph" w:styleId="18">
    <w:name w:val="index 1"/>
    <w:next w:val="1"/>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styleId="22">
    <w:name w:val="page number"/>
    <w:qFormat/>
    <w:uiPriority w:val="0"/>
  </w:style>
  <w:style w:type="character" w:styleId="23">
    <w:name w:val="FollowedHyperlink"/>
    <w:basedOn w:val="21"/>
    <w:qFormat/>
    <w:uiPriority w:val="0"/>
    <w:rPr>
      <w:rFonts w:hint="eastAsia" w:ascii="微软雅黑" w:hAnsi="微软雅黑" w:eastAsia="微软雅黑" w:cs="微软雅黑"/>
      <w:color w:val="02396F"/>
      <w:u w:val="single"/>
    </w:r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7">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28">
    <w:name w:val="正文缩进1"/>
    <w:next w:val="11"/>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29">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0">
    <w:name w:val="List Paragraph"/>
    <w:basedOn w:val="1"/>
    <w:qFormat/>
    <w:uiPriority w:val="34"/>
    <w:pPr>
      <w:ind w:firstLine="420" w:firstLineChars="200"/>
    </w:pPr>
  </w:style>
  <w:style w:type="paragraph" w:customStyle="1" w:styleId="31">
    <w:name w:val="表格文字"/>
    <w:next w:val="10"/>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6"/>
    <customShpInfo spid="_x0000_s3073"/>
    <customShpInfo spid="_x0000_s3075"/>
    <customShpInfo spid="_x0000_s3077"/>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9702</Words>
  <Characters>55307</Characters>
  <Lines>460</Lines>
  <Paragraphs>129</Paragraphs>
  <TotalTime>8</TotalTime>
  <ScaleCrop>false</ScaleCrop>
  <LinksUpToDate>false</LinksUpToDate>
  <CharactersWithSpaces>64880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Administrator</cp:lastModifiedBy>
  <dcterms:modified xsi:type="dcterms:W3CDTF">2023-03-06T02:10:20Z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43598E6B20804F41958C1688FC7E02B2</vt:lpwstr>
  </property>
</Properties>
</file>