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22"/>
        </w:rPr>
      </w:pPr>
      <w:r>
        <w:drawing>
          <wp:anchor distT="0" distB="0" distL="114300" distR="114300" simplePos="0" relativeHeight="251658240" behindDoc="1" locked="0" layoutInCell="1" allowOverlap="1">
            <wp:simplePos x="0" y="0"/>
            <wp:positionH relativeFrom="column">
              <wp:posOffset>-600075</wp:posOffset>
            </wp:positionH>
            <wp:positionV relativeFrom="paragraph">
              <wp:posOffset>-603885</wp:posOffset>
            </wp:positionV>
            <wp:extent cx="1561465" cy="1706880"/>
            <wp:effectExtent l="0" t="0" r="635" b="7620"/>
            <wp:wrapNone/>
            <wp:docPr id="1"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科联标志"/>
                    <pic:cNvPicPr>
                      <a:picLocks noChangeAspect="1"/>
                    </pic:cNvPicPr>
                  </pic:nvPicPr>
                  <pic:blipFill>
                    <a:blip r:embed="rId11"/>
                    <a:stretch>
                      <a:fillRect/>
                    </a:stretch>
                  </pic:blipFill>
                  <pic:spPr>
                    <a:xfrm>
                      <a:off x="0" y="0"/>
                      <a:ext cx="1561465" cy="1706880"/>
                    </a:xfrm>
                    <a:prstGeom prst="rect">
                      <a:avLst/>
                    </a:prstGeom>
                    <a:noFill/>
                    <a:ln>
                      <a:noFill/>
                    </a:ln>
                  </pic:spPr>
                </pic:pic>
              </a:graphicData>
            </a:graphic>
          </wp:anchor>
        </w:drawing>
      </w:r>
      <w:r>
        <w:rPr>
          <w:rFonts w:hint="eastAsia"/>
          <w:sz w:val="56"/>
          <w:szCs w:val="22"/>
        </w:rPr>
        <w:t>广西科联招标中心有限公司</w:t>
      </w:r>
    </w:p>
    <w:p>
      <w:pPr>
        <w:jc w:val="center"/>
        <w:rPr>
          <w:sz w:val="24"/>
          <w:szCs w:val="21"/>
        </w:rPr>
      </w:pPr>
      <w:r>
        <w:rPr>
          <w:rFonts w:hint="eastAsia"/>
          <w:sz w:val="24"/>
          <w:szCs w:val="21"/>
        </w:rPr>
        <w:t>GUANGXI   KELIAN  ZHAOBIAO   ZHONGXIN YOUXIAN GONGSI</w:t>
      </w:r>
    </w:p>
    <w:p>
      <w:pPr>
        <w:rPr>
          <w:sz w:val="32"/>
          <w:u w:val="single"/>
        </w:rPr>
      </w:pPr>
    </w:p>
    <w:p>
      <w:pPr>
        <w:rPr>
          <w:sz w:val="84"/>
        </w:rPr>
      </w:pPr>
    </w:p>
    <w:p>
      <w:pPr>
        <w:jc w:val="center"/>
        <w:rPr>
          <w:bCs/>
          <w:sz w:val="96"/>
          <w:szCs w:val="144"/>
        </w:rPr>
      </w:pPr>
    </w:p>
    <w:p>
      <w:pPr>
        <w:jc w:val="center"/>
        <w:rPr>
          <w:bCs/>
          <w:sz w:val="84"/>
          <w:szCs w:val="56"/>
        </w:rPr>
      </w:pPr>
      <w:r>
        <w:rPr>
          <w:rFonts w:hint="eastAsia"/>
          <w:bCs/>
          <w:sz w:val="96"/>
          <w:szCs w:val="144"/>
        </w:rPr>
        <w:t>竞争性磋商文件</w:t>
      </w:r>
    </w:p>
    <w:p>
      <w:pPr>
        <w:pStyle w:val="9"/>
        <w:spacing w:line="360" w:lineRule="exact"/>
        <w:ind w:firstLine="640" w:firstLineChars="200"/>
        <w:jc w:val="center"/>
        <w:rPr>
          <w:rFonts w:hAnsi="宋体"/>
          <w:sz w:val="32"/>
          <w:szCs w:val="32"/>
        </w:rPr>
      </w:pPr>
    </w:p>
    <w:p>
      <w:pPr>
        <w:pStyle w:val="9"/>
        <w:spacing w:line="360" w:lineRule="exact"/>
        <w:ind w:firstLine="640" w:firstLineChars="200"/>
        <w:jc w:val="center"/>
        <w:rPr>
          <w:rFonts w:hAnsi="宋体"/>
          <w:sz w:val="32"/>
          <w:szCs w:val="32"/>
        </w:rPr>
      </w:pPr>
    </w:p>
    <w:p>
      <w:pPr>
        <w:pStyle w:val="9"/>
        <w:spacing w:line="360" w:lineRule="exact"/>
        <w:ind w:firstLine="640" w:firstLineChars="200"/>
        <w:jc w:val="center"/>
        <w:rPr>
          <w:rFonts w:hAnsi="宋体"/>
          <w:sz w:val="32"/>
          <w:szCs w:val="32"/>
        </w:rPr>
      </w:pPr>
    </w:p>
    <w:p>
      <w:pPr>
        <w:pStyle w:val="9"/>
        <w:spacing w:line="360" w:lineRule="exact"/>
        <w:ind w:firstLine="640" w:firstLineChars="200"/>
        <w:jc w:val="center"/>
        <w:rPr>
          <w:rFonts w:hAnsi="宋体"/>
          <w:sz w:val="32"/>
          <w:szCs w:val="32"/>
        </w:rPr>
      </w:pPr>
    </w:p>
    <w:p>
      <w:pPr>
        <w:pStyle w:val="9"/>
        <w:spacing w:line="360" w:lineRule="exact"/>
        <w:ind w:firstLine="640" w:firstLineChars="200"/>
        <w:jc w:val="center"/>
        <w:rPr>
          <w:rFonts w:hAnsi="宋体"/>
          <w:sz w:val="32"/>
          <w:szCs w:val="32"/>
        </w:rPr>
      </w:pPr>
    </w:p>
    <w:p>
      <w:pPr>
        <w:jc w:val="center"/>
        <w:rPr>
          <w:rFonts w:hAnsi="宋体"/>
          <w:sz w:val="32"/>
          <w:szCs w:val="32"/>
        </w:rPr>
      </w:pPr>
      <w:r>
        <w:rPr>
          <w:rFonts w:hint="eastAsia" w:hAnsi="宋体"/>
          <w:sz w:val="32"/>
          <w:szCs w:val="32"/>
        </w:rPr>
        <w:t xml:space="preserve">           项目名称：广西十万大山国家级自然保护区保护管理基础设施工程关键物种监测项目</w:t>
      </w:r>
    </w:p>
    <w:p>
      <w:pPr>
        <w:jc w:val="center"/>
        <w:rPr>
          <w:rFonts w:hAnsi="宋体"/>
          <w:sz w:val="32"/>
          <w:szCs w:val="32"/>
        </w:rPr>
      </w:pPr>
    </w:p>
    <w:p>
      <w:pPr>
        <w:jc w:val="center"/>
        <w:rPr>
          <w:rFonts w:hAnsi="宋体"/>
          <w:sz w:val="32"/>
          <w:szCs w:val="32"/>
        </w:rPr>
      </w:pPr>
      <w:r>
        <w:rPr>
          <w:rFonts w:hint="eastAsia" w:hAnsi="宋体"/>
          <w:sz w:val="32"/>
          <w:szCs w:val="32"/>
        </w:rPr>
        <w:t>项目编号：FCZC2020-C3-10004-KLZB</w:t>
      </w:r>
    </w:p>
    <w:p>
      <w:pPr>
        <w:pStyle w:val="6"/>
        <w:rPr>
          <w:rFonts w:hAnsi="宋体"/>
          <w:sz w:val="32"/>
          <w:szCs w:val="32"/>
        </w:rPr>
      </w:pPr>
    </w:p>
    <w:p>
      <w:pPr>
        <w:pStyle w:val="7"/>
        <w:ind w:left="0" w:leftChars="0" w:firstLine="0" w:firstLineChars="0"/>
        <w:jc w:val="center"/>
        <w:rPr>
          <w:rFonts w:hAnsi="宋体"/>
          <w:sz w:val="32"/>
          <w:szCs w:val="32"/>
        </w:rPr>
      </w:pPr>
      <w:r>
        <w:rPr>
          <w:rFonts w:hint="eastAsia" w:hAnsi="宋体"/>
          <w:sz w:val="32"/>
          <w:szCs w:val="32"/>
        </w:rPr>
        <w:t>采购人：防城港市十万大山国家级自然保护区管理局</w:t>
      </w:r>
    </w:p>
    <w:p>
      <w:pPr>
        <w:pStyle w:val="7"/>
        <w:ind w:left="0" w:leftChars="0" w:firstLine="0" w:firstLineChars="0"/>
        <w:jc w:val="center"/>
        <w:rPr>
          <w:rFonts w:hAnsi="宋体"/>
          <w:sz w:val="32"/>
          <w:szCs w:val="32"/>
        </w:rPr>
      </w:pPr>
      <w:r>
        <w:rPr>
          <w:rFonts w:hint="eastAsia" w:hAnsi="宋体"/>
          <w:sz w:val="32"/>
          <w:szCs w:val="32"/>
        </w:rPr>
        <w:t>采购代理机构：广西科联招标中心有限公司</w:t>
      </w:r>
    </w:p>
    <w:p>
      <w:pPr>
        <w:pStyle w:val="7"/>
        <w:ind w:left="0" w:leftChars="0" w:firstLine="0" w:firstLineChars="0"/>
        <w:jc w:val="center"/>
        <w:rPr>
          <w:rFonts w:hint="eastAsia" w:hAnsi="宋体"/>
          <w:sz w:val="32"/>
          <w:szCs w:val="32"/>
        </w:rPr>
      </w:pPr>
      <w:r>
        <w:rPr>
          <w:rFonts w:hint="eastAsia" w:hAnsi="宋体"/>
          <w:sz w:val="32"/>
          <w:szCs w:val="32"/>
        </w:rPr>
        <w:t>2020年7月</w:t>
      </w:r>
    </w:p>
    <w:p>
      <w:pPr>
        <w:pStyle w:val="7"/>
        <w:ind w:left="0" w:leftChars="0" w:firstLine="0" w:firstLineChars="0"/>
        <w:jc w:val="center"/>
        <w:rPr>
          <w:rFonts w:hint="eastAsia" w:hAnsi="宋体"/>
          <w:sz w:val="32"/>
          <w:szCs w:val="32"/>
        </w:rPr>
      </w:pPr>
      <w:bookmarkStart w:id="79" w:name="_GoBack"/>
      <w:bookmarkEnd w:id="79"/>
    </w:p>
    <w:p>
      <w:pPr>
        <w:pStyle w:val="7"/>
        <w:ind w:left="0" w:leftChars="0" w:firstLine="0" w:firstLineChars="0"/>
        <w:jc w:val="center"/>
        <w:rPr>
          <w:rFonts w:hint="eastAsia" w:hAnsi="宋体"/>
          <w:sz w:val="32"/>
          <w:szCs w:val="32"/>
        </w:rPr>
      </w:pPr>
    </w:p>
    <w:p>
      <w:pPr>
        <w:pStyle w:val="7"/>
        <w:ind w:left="0" w:leftChars="0" w:firstLine="0" w:firstLineChars="0"/>
        <w:jc w:val="center"/>
        <w:rPr>
          <w:rFonts w:hint="eastAsia" w:hAnsi="宋体"/>
          <w:sz w:val="32"/>
          <w:szCs w:val="32"/>
        </w:rPr>
      </w:pPr>
    </w:p>
    <w:sdt>
      <w:sdtPr>
        <w:rPr>
          <w:rFonts w:ascii="宋体" w:hAnsi="宋体" w:eastAsia="宋体"/>
          <w:b w:val="0"/>
          <w:bCs/>
          <w:spacing w:val="10"/>
          <w:kern w:val="0"/>
          <w:sz w:val="21"/>
          <w:szCs w:val="24"/>
        </w:rPr>
        <w:id w:val="147461147"/>
        <w:docPartObj>
          <w:docPartGallery w:val="Table of Contents"/>
          <w:docPartUnique/>
        </w:docPartObj>
      </w:sdtPr>
      <w:sdtEndPr>
        <w:rPr>
          <w:rFonts w:hint="eastAsia" w:ascii="Times New Roman" w:hAnsi="Times New Roman" w:eastAsia="宋体"/>
          <w:b w:val="0"/>
          <w:bCs/>
          <w:spacing w:val="10"/>
          <w:kern w:val="0"/>
          <w:sz w:val="24"/>
          <w:szCs w:val="24"/>
        </w:rPr>
      </w:sdtEndPr>
      <w:sdtContent>
        <w:p>
          <w:pPr>
            <w:spacing w:line="480" w:lineRule="auto"/>
            <w:jc w:val="center"/>
            <w:rPr>
              <w:sz w:val="28"/>
              <w:szCs w:val="36"/>
            </w:rPr>
          </w:pPr>
          <w:r>
            <w:rPr>
              <w:rFonts w:ascii="宋体" w:hAnsi="宋体"/>
              <w:sz w:val="28"/>
              <w:szCs w:val="36"/>
            </w:rPr>
            <w:t>目录</w:t>
          </w:r>
        </w:p>
        <w:p>
          <w:pPr>
            <w:pStyle w:val="33"/>
            <w:tabs>
              <w:tab w:val="right" w:leader="dot" w:pos="8968"/>
            </w:tabs>
            <w:spacing w:line="480" w:lineRule="auto"/>
            <w:rPr>
              <w:sz w:val="24"/>
              <w:szCs w:val="24"/>
            </w:rPr>
          </w:pPr>
          <w:r>
            <w:rPr>
              <w:rFonts w:hint="eastAsia"/>
              <w:sz w:val="24"/>
              <w:szCs w:val="24"/>
            </w:rPr>
            <w:fldChar w:fldCharType="begin"/>
          </w:r>
          <w:r>
            <w:rPr>
              <w:rFonts w:hint="eastAsia"/>
              <w:sz w:val="24"/>
              <w:szCs w:val="24"/>
            </w:rPr>
            <w:instrText xml:space="preserve">TOC \o "1-1" \h \u </w:instrText>
          </w:r>
          <w:r>
            <w:rPr>
              <w:rFonts w:hint="eastAsia"/>
              <w:sz w:val="24"/>
              <w:szCs w:val="24"/>
            </w:rPr>
            <w:fldChar w:fldCharType="separate"/>
          </w:r>
          <w:r>
            <w:fldChar w:fldCharType="begin"/>
          </w:r>
          <w:r>
            <w:instrText xml:space="preserve"> HYPERLINK \l "_Toc30728" </w:instrText>
          </w:r>
          <w: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_Toc30728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3"/>
            <w:tabs>
              <w:tab w:val="right" w:leader="dot" w:pos="8968"/>
            </w:tabs>
            <w:spacing w:line="480" w:lineRule="auto"/>
            <w:rPr>
              <w:sz w:val="24"/>
              <w:szCs w:val="24"/>
            </w:rPr>
          </w:pPr>
          <w:r>
            <w:fldChar w:fldCharType="begin"/>
          </w:r>
          <w:r>
            <w:instrText xml:space="preserve"> HYPERLINK \l "_Toc19300" </w:instrText>
          </w:r>
          <w:r>
            <w:fldChar w:fldCharType="separate"/>
          </w:r>
          <w:r>
            <w:rPr>
              <w:rFonts w:hint="eastAsia"/>
              <w:sz w:val="24"/>
              <w:szCs w:val="24"/>
            </w:rPr>
            <w:t>第二章 磋商须知</w:t>
          </w:r>
          <w:r>
            <w:rPr>
              <w:sz w:val="24"/>
              <w:szCs w:val="24"/>
            </w:rPr>
            <w:tab/>
          </w:r>
          <w:r>
            <w:rPr>
              <w:sz w:val="24"/>
              <w:szCs w:val="24"/>
            </w:rPr>
            <w:fldChar w:fldCharType="begin"/>
          </w:r>
          <w:r>
            <w:rPr>
              <w:sz w:val="24"/>
              <w:szCs w:val="24"/>
            </w:rPr>
            <w:instrText xml:space="preserve"> PAGEREF _Toc19300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3"/>
            <w:tabs>
              <w:tab w:val="right" w:leader="dot" w:pos="8968"/>
            </w:tabs>
            <w:spacing w:line="480" w:lineRule="auto"/>
            <w:rPr>
              <w:sz w:val="24"/>
              <w:szCs w:val="24"/>
            </w:rPr>
          </w:pPr>
          <w:r>
            <w:fldChar w:fldCharType="begin"/>
          </w:r>
          <w:r>
            <w:instrText xml:space="preserve"> HYPERLINK \l "_Toc30722" </w:instrText>
          </w:r>
          <w:r>
            <w:fldChar w:fldCharType="separate"/>
          </w:r>
          <w:r>
            <w:rPr>
              <w:rFonts w:hint="eastAsia"/>
              <w:sz w:val="24"/>
              <w:szCs w:val="24"/>
            </w:rPr>
            <w:t>第三章  采购需求</w:t>
          </w:r>
          <w:r>
            <w:rPr>
              <w:sz w:val="24"/>
              <w:szCs w:val="24"/>
            </w:rPr>
            <w:tab/>
          </w:r>
          <w:r>
            <w:rPr>
              <w:sz w:val="24"/>
              <w:szCs w:val="24"/>
            </w:rPr>
            <w:fldChar w:fldCharType="begin"/>
          </w:r>
          <w:r>
            <w:rPr>
              <w:sz w:val="24"/>
              <w:szCs w:val="24"/>
            </w:rPr>
            <w:instrText xml:space="preserve"> PAGEREF _Toc30722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3"/>
            <w:tabs>
              <w:tab w:val="right" w:leader="dot" w:pos="8968"/>
            </w:tabs>
            <w:spacing w:line="480" w:lineRule="auto"/>
            <w:rPr>
              <w:sz w:val="24"/>
              <w:szCs w:val="24"/>
            </w:rPr>
          </w:pPr>
          <w:r>
            <w:fldChar w:fldCharType="begin"/>
          </w:r>
          <w:r>
            <w:instrText xml:space="preserve"> HYPERLINK \l "_Toc4549" </w:instrText>
          </w:r>
          <w:r>
            <w:fldChar w:fldCharType="separate"/>
          </w:r>
          <w:r>
            <w:rPr>
              <w:rFonts w:hint="eastAsia"/>
              <w:sz w:val="24"/>
              <w:szCs w:val="24"/>
            </w:rPr>
            <w:t>第四章 评审方法及定标标准</w:t>
          </w:r>
          <w:r>
            <w:rPr>
              <w:sz w:val="24"/>
              <w:szCs w:val="24"/>
            </w:rPr>
            <w:tab/>
          </w:r>
          <w:r>
            <w:rPr>
              <w:sz w:val="24"/>
              <w:szCs w:val="24"/>
            </w:rPr>
            <w:fldChar w:fldCharType="begin"/>
          </w:r>
          <w:r>
            <w:rPr>
              <w:sz w:val="24"/>
              <w:szCs w:val="24"/>
            </w:rPr>
            <w:instrText xml:space="preserve"> PAGEREF _Toc4549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33"/>
            <w:tabs>
              <w:tab w:val="right" w:leader="dot" w:pos="8968"/>
            </w:tabs>
            <w:spacing w:line="480" w:lineRule="auto"/>
            <w:rPr>
              <w:sz w:val="24"/>
              <w:szCs w:val="24"/>
            </w:rPr>
          </w:pPr>
          <w:r>
            <w:fldChar w:fldCharType="begin"/>
          </w:r>
          <w:r>
            <w:instrText xml:space="preserve"> HYPERLINK \l "_Toc27287" </w:instrText>
          </w:r>
          <w:r>
            <w:fldChar w:fldCharType="separate"/>
          </w:r>
          <w:r>
            <w:rPr>
              <w:rFonts w:hint="eastAsia"/>
              <w:sz w:val="24"/>
              <w:szCs w:val="24"/>
            </w:rPr>
            <w:t>第五章 响应文件格式</w:t>
          </w:r>
          <w:r>
            <w:rPr>
              <w:sz w:val="24"/>
              <w:szCs w:val="24"/>
            </w:rPr>
            <w:tab/>
          </w:r>
          <w:r>
            <w:rPr>
              <w:sz w:val="24"/>
              <w:szCs w:val="24"/>
            </w:rPr>
            <w:fldChar w:fldCharType="begin"/>
          </w:r>
          <w:r>
            <w:rPr>
              <w:sz w:val="24"/>
              <w:szCs w:val="24"/>
            </w:rPr>
            <w:instrText xml:space="preserve"> PAGEREF _Toc27287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3"/>
            <w:tabs>
              <w:tab w:val="right" w:leader="dot" w:pos="8968"/>
            </w:tabs>
            <w:spacing w:line="480" w:lineRule="auto"/>
            <w:rPr>
              <w:sz w:val="24"/>
              <w:szCs w:val="24"/>
            </w:rPr>
          </w:pPr>
          <w:r>
            <w:fldChar w:fldCharType="begin"/>
          </w:r>
          <w:r>
            <w:instrText xml:space="preserve"> HYPERLINK \l "_Toc7937" </w:instrText>
          </w:r>
          <w:r>
            <w:fldChar w:fldCharType="separate"/>
          </w:r>
          <w:r>
            <w:rPr>
              <w:rFonts w:hint="eastAsia"/>
              <w:sz w:val="24"/>
              <w:szCs w:val="48"/>
            </w:rPr>
            <w:t>第六章 合  同</w:t>
          </w:r>
          <w:r>
            <w:rPr>
              <w:sz w:val="24"/>
              <w:szCs w:val="24"/>
            </w:rPr>
            <w:tab/>
          </w:r>
          <w:r>
            <w:rPr>
              <w:sz w:val="24"/>
              <w:szCs w:val="24"/>
            </w:rPr>
            <w:fldChar w:fldCharType="begin"/>
          </w:r>
          <w:r>
            <w:rPr>
              <w:sz w:val="24"/>
              <w:szCs w:val="24"/>
            </w:rPr>
            <w:instrText xml:space="preserve"> PAGEREF _Toc7937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31"/>
            <w:spacing w:line="480" w:lineRule="auto"/>
          </w:pPr>
          <w:r>
            <w:rPr>
              <w:rFonts w:hint="eastAsia"/>
              <w:sz w:val="36"/>
              <w:szCs w:val="36"/>
            </w:rPr>
            <w:fldChar w:fldCharType="end"/>
          </w:r>
        </w:p>
      </w:sdtContent>
    </w:sdt>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4"/>
        <w:sectPr>
          <w:headerReference r:id="rId4" w:type="first"/>
          <w:footerReference r:id="rId6" w:type="first"/>
          <w:headerReference r:id="rId3" w:type="default"/>
          <w:footerReference r:id="rId5" w:type="default"/>
          <w:pgSz w:w="11906" w:h="16838"/>
          <w:pgMar w:top="1402" w:right="1469" w:bottom="1402" w:left="1469" w:header="851" w:footer="992" w:gutter="0"/>
          <w:pgNumType w:start="1"/>
          <w:cols w:space="720" w:num="1"/>
          <w:titlePg/>
          <w:docGrid w:type="lines" w:linePitch="312" w:charSpace="0"/>
        </w:sectPr>
      </w:pPr>
      <w:bookmarkStart w:id="0" w:name="_Toc514340095"/>
    </w:p>
    <w:p>
      <w:pPr>
        <w:pStyle w:val="4"/>
        <w:jc w:val="center"/>
      </w:pPr>
      <w:bookmarkStart w:id="1" w:name="_Toc30728"/>
      <w:r>
        <w:rPr>
          <w:rFonts w:hint="eastAsia"/>
        </w:rPr>
        <w:t>第一章 竞争性磋商公告</w:t>
      </w:r>
      <w:bookmarkEnd w:id="0"/>
      <w:bookmarkEnd w:id="1"/>
    </w:p>
    <w:p>
      <w:pPr>
        <w:ind w:firstLine="422" w:firstLineChars="200"/>
        <w:rPr>
          <w:rFonts w:ascii="宋体" w:hAnsi="宋体" w:cs="宋体"/>
          <w:szCs w:val="21"/>
        </w:rPr>
      </w:pPr>
      <w:r>
        <w:rPr>
          <w:rFonts w:hint="eastAsia" w:ascii="宋体" w:hAnsi="宋体" w:cs="宋体"/>
          <w:b/>
          <w:bCs/>
          <w:szCs w:val="21"/>
        </w:rPr>
        <w:t>项目概况</w:t>
      </w:r>
    </w:p>
    <w:p>
      <w:pPr>
        <w:ind w:firstLine="420" w:firstLineChars="200"/>
        <w:rPr>
          <w:rFonts w:ascii="宋体" w:hAnsi="宋体" w:cs="宋体"/>
          <w:szCs w:val="21"/>
        </w:rPr>
      </w:pPr>
      <w:r>
        <w:rPr>
          <w:rFonts w:hint="eastAsia" w:ascii="宋体" w:hAnsi="宋体" w:cs="宋体"/>
          <w:szCs w:val="21"/>
        </w:rPr>
        <w:t>广西十万大山国家级自然保护区保护管理基础设施工程关键物种监测项目项目的潜在供应商应在政采云平台（</w:t>
      </w:r>
      <w:r>
        <w:fldChar w:fldCharType="begin"/>
      </w:r>
      <w:r>
        <w:instrText xml:space="preserve"> HYPERLINK "https://www.zcygov.cn/" </w:instrText>
      </w:r>
      <w:r>
        <w:fldChar w:fldCharType="separate"/>
      </w:r>
      <w:r>
        <w:rPr>
          <w:rFonts w:hint="eastAsia" w:ascii="宋体" w:hAnsi="宋体" w:cs="宋体"/>
          <w:szCs w:val="21"/>
        </w:rPr>
        <w:t>https://www.zcygov.cn/</w:t>
      </w:r>
      <w:r>
        <w:rPr>
          <w:rFonts w:hint="eastAsia" w:ascii="宋体" w:hAnsi="宋体" w:cs="宋体"/>
          <w:szCs w:val="21"/>
        </w:rPr>
        <w:fldChar w:fldCharType="end"/>
      </w:r>
      <w:r>
        <w:rPr>
          <w:rFonts w:hint="eastAsia" w:ascii="宋体" w:hAnsi="宋体" w:cs="宋体"/>
          <w:szCs w:val="21"/>
        </w:rPr>
        <w:t>）获取采购文件，并于2020年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分整（北京时间）前提交响应文件。</w:t>
      </w:r>
    </w:p>
    <w:p>
      <w:pPr>
        <w:spacing w:line="360" w:lineRule="exact"/>
        <w:ind w:firstLine="422" w:firstLineChars="200"/>
        <w:rPr>
          <w:b/>
          <w:bCs/>
        </w:rPr>
      </w:pPr>
      <w:bookmarkStart w:id="2" w:name="_Toc28359089"/>
      <w:bookmarkStart w:id="3" w:name="_Toc35393798"/>
      <w:bookmarkStart w:id="4" w:name="_Toc28359012"/>
      <w:bookmarkStart w:id="5" w:name="_Toc35393629"/>
      <w:r>
        <w:rPr>
          <w:rFonts w:hint="eastAsia"/>
          <w:b/>
          <w:bCs/>
        </w:rPr>
        <w:t>一、项目基本情况</w:t>
      </w:r>
      <w:bookmarkEnd w:id="2"/>
      <w:bookmarkEnd w:id="3"/>
      <w:bookmarkEnd w:id="4"/>
      <w:bookmarkEnd w:id="5"/>
    </w:p>
    <w:p>
      <w:pPr>
        <w:spacing w:line="360" w:lineRule="exact"/>
        <w:ind w:firstLine="420" w:firstLineChars="200"/>
      </w:pPr>
      <w:r>
        <w:rPr>
          <w:rFonts w:hint="eastAsia"/>
        </w:rPr>
        <w:t>项目编号：FCZC2020-C3-10004-KLZB</w:t>
      </w:r>
    </w:p>
    <w:p>
      <w:pPr>
        <w:spacing w:line="360" w:lineRule="exact"/>
        <w:ind w:firstLine="420" w:firstLineChars="200"/>
      </w:pPr>
      <w:r>
        <w:rPr>
          <w:rFonts w:hint="eastAsia"/>
        </w:rPr>
        <w:t>项目名称：广西十万大山国家级自然保护区保护管理基础设施工程关键物种监测项目</w:t>
      </w:r>
    </w:p>
    <w:p>
      <w:pPr>
        <w:spacing w:line="360" w:lineRule="exact"/>
        <w:ind w:firstLine="420" w:firstLineChars="200"/>
      </w:pPr>
      <w:r>
        <w:rPr>
          <w:rFonts w:hint="eastAsia"/>
        </w:rPr>
        <w:t xml:space="preserve">采购方式： 竞争性磋商 </w:t>
      </w:r>
    </w:p>
    <w:p>
      <w:pPr>
        <w:spacing w:line="360" w:lineRule="exact"/>
        <w:ind w:firstLine="420" w:firstLineChars="200"/>
      </w:pPr>
      <w:r>
        <w:rPr>
          <w:rFonts w:hint="eastAsia"/>
        </w:rPr>
        <w:t>预算金额：60万元</w:t>
      </w:r>
    </w:p>
    <w:p>
      <w:pPr>
        <w:spacing w:line="360" w:lineRule="exact"/>
        <w:ind w:firstLine="420" w:firstLineChars="200"/>
      </w:pPr>
      <w:r>
        <w:rPr>
          <w:rFonts w:hint="eastAsia"/>
        </w:rPr>
        <w:t>最高限价（如有）：同预算金额</w:t>
      </w:r>
    </w:p>
    <w:p>
      <w:pPr>
        <w:spacing w:line="360" w:lineRule="exact"/>
        <w:ind w:firstLine="420" w:firstLineChars="200"/>
      </w:pPr>
      <w:r>
        <w:rPr>
          <w:rFonts w:hint="eastAsia"/>
        </w:rPr>
        <w:t>采购需求：根据《广西十万大山国家级自然保护区保护管理基础设施工程初步设计》，对原已设立的沟谷雨林监测样地和关键物种监测样地进行动态监测，获取保护区的植物动物资源的动态变化，本次监测工程重点是对国家和广西重点保护野生植物和野生动物进行监测。</w:t>
      </w:r>
    </w:p>
    <w:p>
      <w:pPr>
        <w:spacing w:line="360" w:lineRule="exact"/>
        <w:ind w:firstLine="420" w:firstLineChars="200"/>
      </w:pPr>
      <w:r>
        <w:rPr>
          <w:rFonts w:hint="eastAsia"/>
        </w:rPr>
        <w:t>合同履行期限：360个日历天。</w:t>
      </w:r>
    </w:p>
    <w:p>
      <w:pPr>
        <w:spacing w:line="360" w:lineRule="exact"/>
        <w:ind w:firstLine="420" w:firstLineChars="200"/>
      </w:pPr>
      <w:r>
        <w:rPr>
          <w:rFonts w:hint="eastAsia"/>
        </w:rPr>
        <w:t>本项目不接受联合体磋商。</w:t>
      </w:r>
    </w:p>
    <w:p>
      <w:pPr>
        <w:spacing w:line="360" w:lineRule="exact"/>
        <w:ind w:firstLine="422" w:firstLineChars="200"/>
      </w:pPr>
      <w:bookmarkStart w:id="6" w:name="_Toc35393799"/>
      <w:bookmarkStart w:id="7" w:name="_Toc35393630"/>
      <w:bookmarkStart w:id="8" w:name="_Toc28359013"/>
      <w:bookmarkStart w:id="9" w:name="_Toc28359090"/>
      <w:r>
        <w:rPr>
          <w:rFonts w:hint="eastAsia"/>
          <w:b/>
          <w:bCs/>
        </w:rPr>
        <w:t>二、申请人的资格要求：</w:t>
      </w:r>
      <w:bookmarkEnd w:id="6"/>
      <w:bookmarkEnd w:id="7"/>
      <w:bookmarkEnd w:id="8"/>
      <w:bookmarkEnd w:id="9"/>
    </w:p>
    <w:p>
      <w:pPr>
        <w:spacing w:line="360" w:lineRule="exact"/>
        <w:ind w:firstLine="420" w:firstLineChars="200"/>
      </w:pPr>
      <w:r>
        <w:rPr>
          <w:rFonts w:hint="eastAsia"/>
        </w:rPr>
        <w:t>1.满足《中华人民共和国政府采购法》第二十二条规定；</w:t>
      </w:r>
    </w:p>
    <w:p>
      <w:pPr>
        <w:spacing w:line="360" w:lineRule="exact"/>
        <w:ind w:firstLine="420" w:firstLineChars="200"/>
      </w:pPr>
      <w:r>
        <w:rPr>
          <w:rFonts w:hint="eastAsia"/>
        </w:rPr>
        <w:t>2.落实政府采购政策需满足的资格要求：无；</w:t>
      </w:r>
    </w:p>
    <w:p>
      <w:pPr>
        <w:spacing w:line="360" w:lineRule="exact"/>
        <w:ind w:firstLine="420" w:firstLineChars="200"/>
      </w:pPr>
      <w:r>
        <w:rPr>
          <w:rFonts w:hint="eastAsia"/>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20" w:firstLineChars="200"/>
      </w:pPr>
      <w:r>
        <w:rPr>
          <w:rFonts w:hint="eastAsi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pPr>
      <w:r>
        <w:rPr>
          <w:rFonts w:hint="eastAsia"/>
        </w:rPr>
        <w:t>5.本项目的特定资格要求：供应商具备林业调查规划设计丙级以上（含丙级）资质。</w:t>
      </w:r>
    </w:p>
    <w:p>
      <w:pPr>
        <w:spacing w:line="360" w:lineRule="exact"/>
        <w:ind w:firstLine="422" w:firstLineChars="200"/>
        <w:rPr>
          <w:b/>
          <w:bCs/>
        </w:rPr>
      </w:pPr>
      <w:bookmarkStart w:id="10" w:name="_Toc28359014"/>
      <w:bookmarkStart w:id="11" w:name="_Toc28359091"/>
      <w:bookmarkStart w:id="12" w:name="_Toc35393800"/>
      <w:bookmarkStart w:id="13" w:name="_Toc35393631"/>
      <w:r>
        <w:rPr>
          <w:rFonts w:hint="eastAsia"/>
          <w:b/>
          <w:bCs/>
        </w:rPr>
        <w:t>三、获取采购文件</w:t>
      </w:r>
      <w:bookmarkEnd w:id="10"/>
      <w:bookmarkEnd w:id="11"/>
      <w:bookmarkEnd w:id="12"/>
      <w:bookmarkEnd w:id="13"/>
    </w:p>
    <w:p>
      <w:pPr>
        <w:spacing w:line="360" w:lineRule="exact"/>
        <w:ind w:firstLine="420" w:firstLineChars="200"/>
      </w:pPr>
      <w:bookmarkStart w:id="14" w:name="_Toc35393801"/>
      <w:bookmarkStart w:id="15" w:name="_Toc35393632"/>
      <w:bookmarkStart w:id="16" w:name="_Toc28359015"/>
      <w:bookmarkStart w:id="17" w:name="_Toc28359092"/>
      <w:r>
        <w:rPr>
          <w:rFonts w:hint="eastAsia"/>
        </w:rPr>
        <w:t>1、发售时间：电话报名时间为自本公告发布之时起至2020年</w:t>
      </w:r>
      <w:r>
        <w:rPr>
          <w:rFonts w:hint="eastAsia"/>
          <w:lang w:val="en-US" w:eastAsia="zh-CN"/>
        </w:rPr>
        <w:t>8</w:t>
      </w:r>
      <w:r>
        <w:rPr>
          <w:rFonts w:hint="eastAsia"/>
        </w:rPr>
        <w:t>月</w:t>
      </w:r>
      <w:r>
        <w:rPr>
          <w:rFonts w:hint="eastAsia"/>
          <w:lang w:val="en-US" w:eastAsia="zh-CN"/>
        </w:rPr>
        <w:t>3</w:t>
      </w:r>
      <w:r>
        <w:rPr>
          <w:rFonts w:hint="eastAsia"/>
        </w:rPr>
        <w:t>日，上午8时00分到12时00分，下午15时00分到18时00分，双休日和法定节假日不办理业务，政采云平台网上报名时间为本公告发布之时起至2020年</w:t>
      </w:r>
      <w:r>
        <w:rPr>
          <w:rFonts w:hint="eastAsia"/>
          <w:lang w:val="en-US" w:eastAsia="zh-CN"/>
        </w:rPr>
        <w:t>8</w:t>
      </w:r>
      <w:r>
        <w:rPr>
          <w:rFonts w:hint="eastAsia"/>
        </w:rPr>
        <w:t>月</w:t>
      </w:r>
      <w:r>
        <w:rPr>
          <w:rFonts w:hint="eastAsia"/>
          <w:lang w:val="en-US" w:eastAsia="zh-CN"/>
        </w:rPr>
        <w:t>3</w:t>
      </w:r>
      <w:r>
        <w:rPr>
          <w:rFonts w:hint="eastAsia"/>
        </w:rPr>
        <w:t>日18时00分止。</w:t>
      </w:r>
    </w:p>
    <w:p>
      <w:pPr>
        <w:spacing w:line="360" w:lineRule="exact"/>
        <w:ind w:firstLine="420" w:firstLineChars="200"/>
      </w:pPr>
      <w:r>
        <w:rPr>
          <w:rFonts w:hint="eastAsia"/>
        </w:rPr>
        <w:t>2、地点：电话报名方式或政采云平台（</w:t>
      </w:r>
      <w:r>
        <w:fldChar w:fldCharType="begin"/>
      </w:r>
      <w:r>
        <w:instrText xml:space="preserve"> HYPERLINK "https://www.zcygov.cn/" </w:instrText>
      </w:r>
      <w:r>
        <w:fldChar w:fldCharType="separate"/>
      </w:r>
      <w:r>
        <w:rPr>
          <w:rFonts w:hint="eastAsia"/>
        </w:rPr>
        <w:t>https://www.zcygov.cn/</w:t>
      </w:r>
      <w:r>
        <w:rPr>
          <w:rFonts w:hint="eastAsia"/>
        </w:rPr>
        <w:fldChar w:fldCharType="end"/>
      </w:r>
      <w:r>
        <w:rPr>
          <w:rFonts w:hint="eastAsia"/>
        </w:rPr>
        <w:t>）</w:t>
      </w:r>
    </w:p>
    <w:p>
      <w:pPr>
        <w:spacing w:line="360" w:lineRule="exact"/>
        <w:ind w:firstLine="420" w:firstLineChars="200"/>
      </w:pPr>
      <w:r>
        <w:rPr>
          <w:rFonts w:hint="eastAsia"/>
        </w:rPr>
        <w:t>3、本项目由潜在供应商采用电话报名的方式获取采购文件（联系方式：0770-2821504）或登陆政采云平台（</w:t>
      </w:r>
      <w:r>
        <w:fldChar w:fldCharType="begin"/>
      </w:r>
      <w:r>
        <w:instrText xml:space="preserve"> HYPERLINK "https://www.zcygov.cn/" </w:instrText>
      </w:r>
      <w:r>
        <w:fldChar w:fldCharType="separate"/>
      </w:r>
      <w:r>
        <w:rPr>
          <w:rFonts w:hint="eastAsia"/>
        </w:rPr>
        <w:t>https://www.zcygov.cn/</w:t>
      </w:r>
      <w:r>
        <w:rPr>
          <w:rFonts w:hint="eastAsia"/>
        </w:rPr>
        <w:fldChar w:fldCharType="end"/>
      </w:r>
      <w:r>
        <w:rPr>
          <w:rFonts w:hint="eastAsia"/>
        </w:rPr>
        <w:t>）申请报名，并向采购代理机构支付采购文件费用（通过银行转账方式支付）。采购代理机构确认采购文件价款到达指定账户后，供应商获取采购文件的信息方可通过，通过后供应商才能下载采购文件电子版，并根据采购文件规定的响应文件递交截止时间和地点提交响应文件。未注册的供应商可登录政采云平台进行注册（政采云平台-商家入驻-注册），如在操作过程中遇到问题或者需要技术支持，请致电政采云客服热线：400-881-7190。供应商未按以上时间、方式获取本项目采购文件的，本公司将拒收其响应文件。</w:t>
      </w:r>
    </w:p>
    <w:p>
      <w:pPr>
        <w:spacing w:line="360" w:lineRule="exact"/>
        <w:ind w:firstLine="420" w:firstLineChars="200"/>
      </w:pPr>
      <w:r>
        <w:rPr>
          <w:rFonts w:hint="eastAsia"/>
        </w:rPr>
        <w:t>4.售价：采购文件售价每本250元，售后不退。采购文件价款交纳银行账户（不接受个人名义转账）：</w:t>
      </w:r>
    </w:p>
    <w:p>
      <w:pPr>
        <w:spacing w:line="360" w:lineRule="exact"/>
        <w:ind w:firstLine="420" w:firstLineChars="200"/>
      </w:pPr>
      <w:r>
        <w:rPr>
          <w:rFonts w:hint="eastAsia"/>
        </w:rPr>
        <w:t xml:space="preserve">开户名称：广西科联招标中心有限公司防城港分公司   </w:t>
      </w:r>
    </w:p>
    <w:p>
      <w:pPr>
        <w:spacing w:line="360" w:lineRule="exact"/>
        <w:ind w:firstLine="420" w:firstLineChars="200"/>
      </w:pPr>
      <w:r>
        <w:rPr>
          <w:rFonts w:hint="eastAsia"/>
        </w:rPr>
        <w:t>开户银行：建行防城港分行营业部</w:t>
      </w:r>
    </w:p>
    <w:p>
      <w:pPr>
        <w:spacing w:line="360" w:lineRule="exact"/>
        <w:ind w:firstLine="420" w:firstLineChars="200"/>
      </w:pPr>
      <w:r>
        <w:rPr>
          <w:rFonts w:hint="eastAsia"/>
        </w:rPr>
        <w:t>帐    号：45001659588059282828</w:t>
      </w:r>
    </w:p>
    <w:p>
      <w:pPr>
        <w:spacing w:line="360" w:lineRule="exact"/>
        <w:ind w:firstLine="422" w:firstLineChars="200"/>
        <w:rPr>
          <w:b/>
          <w:bCs/>
        </w:rPr>
      </w:pPr>
      <w:r>
        <w:rPr>
          <w:rFonts w:hint="eastAsia"/>
          <w:b/>
          <w:bCs/>
        </w:rPr>
        <w:t>四、响应文件提交</w:t>
      </w:r>
      <w:bookmarkEnd w:id="14"/>
      <w:bookmarkEnd w:id="15"/>
      <w:bookmarkEnd w:id="16"/>
      <w:bookmarkEnd w:id="17"/>
    </w:p>
    <w:p>
      <w:pPr>
        <w:spacing w:line="360" w:lineRule="exact"/>
        <w:ind w:firstLine="420" w:firstLineChars="200"/>
      </w:pPr>
      <w:r>
        <w:rPr>
          <w:rFonts w:hint="eastAsia"/>
        </w:rPr>
        <w:t>截止时间：</w:t>
      </w:r>
      <w:r>
        <w:rPr>
          <w:rFonts w:hint="eastAsia" w:ascii="宋体" w:hAnsi="宋体" w:cs="宋体"/>
          <w:szCs w:val="21"/>
        </w:rPr>
        <w:t>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分整</w:t>
      </w:r>
      <w:r>
        <w:rPr>
          <w:rFonts w:hint="eastAsia"/>
        </w:rPr>
        <w:t>（北京时间）</w:t>
      </w:r>
    </w:p>
    <w:p>
      <w:pPr>
        <w:spacing w:line="360" w:lineRule="exact"/>
        <w:ind w:firstLine="420" w:firstLineChars="200"/>
      </w:pPr>
      <w:r>
        <w:rPr>
          <w:rFonts w:hint="eastAsia"/>
        </w:rPr>
        <w:t>地点：防城港市公共资源交易中心（防城港市迎宾路红树林大厦东塔）（具体开标厅根据防城港市公共资源交易中心网站公示或防城港市迎宾路红树林大厦东塔6楼电子屏幕显示的安排）</w:t>
      </w:r>
    </w:p>
    <w:p>
      <w:pPr>
        <w:pStyle w:val="2"/>
      </w:pPr>
      <w:r>
        <w:rPr>
          <w:rFonts w:hint="eastAsia"/>
        </w:rPr>
        <w:t>供应商的法定代表人或委托代理人必须持有效证件在响应文件提交截止时间前，将响应文件密封送达响应文件提交地点。在响应文件提交截止时间后送达的响应文件为无效文件，采购代理机构应当拒收。</w:t>
      </w:r>
    </w:p>
    <w:p>
      <w:pPr>
        <w:spacing w:line="360" w:lineRule="exact"/>
        <w:ind w:firstLine="422" w:firstLineChars="200"/>
        <w:rPr>
          <w:b/>
          <w:bCs/>
        </w:rPr>
      </w:pPr>
      <w:bookmarkStart w:id="18" w:name="_Toc28359016"/>
      <w:bookmarkStart w:id="19" w:name="_Toc35393802"/>
      <w:bookmarkStart w:id="20" w:name="_Toc28359093"/>
      <w:bookmarkStart w:id="21" w:name="_Toc35393633"/>
      <w:r>
        <w:rPr>
          <w:rFonts w:hint="eastAsia"/>
          <w:b/>
          <w:bCs/>
        </w:rPr>
        <w:t>五、开启</w:t>
      </w:r>
      <w:bookmarkEnd w:id="18"/>
      <w:bookmarkEnd w:id="19"/>
      <w:bookmarkEnd w:id="20"/>
      <w:bookmarkEnd w:id="21"/>
    </w:p>
    <w:p>
      <w:pPr>
        <w:spacing w:line="360" w:lineRule="exact"/>
        <w:ind w:firstLine="420" w:firstLineChars="200"/>
      </w:pPr>
      <w:r>
        <w:rPr>
          <w:rFonts w:hint="eastAsia"/>
        </w:rPr>
        <w:t>时间：</w:t>
      </w:r>
      <w:r>
        <w:rPr>
          <w:rFonts w:hint="eastAsia" w:ascii="宋体" w:hAnsi="宋体" w:cs="宋体"/>
          <w:szCs w:val="21"/>
        </w:rPr>
        <w:t>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w:t>
      </w:r>
      <w:r>
        <w:rPr>
          <w:rFonts w:hint="eastAsia"/>
        </w:rPr>
        <w:t>（北京时间），响应文件递交截止时间后为与供应商磋商时间，具体时间由采购代理机构另行通知。</w:t>
      </w:r>
    </w:p>
    <w:p>
      <w:pPr>
        <w:spacing w:line="360" w:lineRule="exact"/>
        <w:ind w:firstLine="420" w:firstLineChars="200"/>
      </w:pPr>
      <w:r>
        <w:rPr>
          <w:rFonts w:hint="eastAsia"/>
        </w:rPr>
        <w:t>地点：防城港市公共资源交易中心（防城港市迎宾路红树林大厦东塔）。参加磋商的法定代表人或委托代理人必须持有效证件（法定代表人凭法定代表人身份证明和身份证原件或委托代理人凭法人授权委托书原件和身份证原件）依时到达指定地点等候当面磋商。</w:t>
      </w:r>
    </w:p>
    <w:p>
      <w:pPr>
        <w:spacing w:line="360" w:lineRule="exact"/>
        <w:ind w:firstLine="422" w:firstLineChars="200"/>
        <w:rPr>
          <w:b/>
          <w:bCs/>
        </w:rPr>
      </w:pPr>
      <w:bookmarkStart w:id="22" w:name="_Toc35393634"/>
      <w:bookmarkStart w:id="23" w:name="_Toc35393803"/>
      <w:bookmarkStart w:id="24" w:name="_Toc28359094"/>
      <w:bookmarkStart w:id="25" w:name="_Toc28359017"/>
      <w:r>
        <w:rPr>
          <w:rFonts w:hint="eastAsia"/>
          <w:b/>
          <w:bCs/>
        </w:rPr>
        <w:t>六、公告期限</w:t>
      </w:r>
      <w:bookmarkEnd w:id="22"/>
      <w:bookmarkEnd w:id="23"/>
      <w:bookmarkEnd w:id="24"/>
      <w:bookmarkEnd w:id="25"/>
    </w:p>
    <w:p>
      <w:pPr>
        <w:spacing w:line="360" w:lineRule="exact"/>
        <w:ind w:firstLine="420" w:firstLineChars="200"/>
      </w:pPr>
      <w:r>
        <w:rPr>
          <w:rFonts w:hint="eastAsia"/>
        </w:rPr>
        <w:t>自本公告发布之日起3个工作日。</w:t>
      </w:r>
    </w:p>
    <w:p>
      <w:pPr>
        <w:numPr>
          <w:ilvl w:val="0"/>
          <w:numId w:val="1"/>
        </w:numPr>
        <w:spacing w:line="360" w:lineRule="exact"/>
        <w:ind w:firstLine="422" w:firstLineChars="200"/>
        <w:rPr>
          <w:rFonts w:ascii="宋体" w:hAnsi="宋体" w:cs="宋体"/>
          <w:szCs w:val="21"/>
        </w:rPr>
      </w:pPr>
      <w:bookmarkStart w:id="26" w:name="_Toc35393635"/>
      <w:bookmarkStart w:id="27" w:name="_Toc35393804"/>
      <w:r>
        <w:rPr>
          <w:rFonts w:hint="eastAsia" w:ascii="宋体" w:hAnsi="宋体" w:cs="宋体"/>
          <w:b/>
          <w:bCs/>
          <w:szCs w:val="21"/>
        </w:rPr>
        <w:t>其他补充事宜</w:t>
      </w:r>
      <w:bookmarkEnd w:id="26"/>
      <w:bookmarkEnd w:id="27"/>
      <w:r>
        <w:rPr>
          <w:rFonts w:hint="eastAsia" w:ascii="宋体" w:hAnsi="宋体" w:cs="宋体"/>
          <w:b/>
          <w:bCs/>
          <w:szCs w:val="21"/>
        </w:rPr>
        <w:t>：</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1.本项目需要落实的政府采购政策：</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1）政府采购促进中小企业发展。</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2）政府采购支持采用本国产品的政策。</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3）支持监狱企业发展政策。</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4)政府采购促进残疾人就业政策。</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2.网上公告媒体查询：中国政府采购网（http://www.ccgp.gov.cn）、广西壮族自治区政府采购网（www.zfcg.gxzf.gov.cn）、广西防城港政府采购网站（http://zfcg.fcgs.gov.cn）、防城港市公共资源交易中心网（http://www.fcgggzy.cn）。</w:t>
      </w:r>
    </w:p>
    <w:p>
      <w:pPr>
        <w:spacing w:line="360" w:lineRule="exact"/>
        <w:ind w:firstLine="422" w:firstLineChars="200"/>
      </w:pPr>
      <w:bookmarkStart w:id="28" w:name="_Toc35393805"/>
      <w:bookmarkStart w:id="29" w:name="_Toc28359018"/>
      <w:bookmarkStart w:id="30" w:name="_Toc28359095"/>
      <w:bookmarkStart w:id="31" w:name="_Toc35393636"/>
      <w:r>
        <w:rPr>
          <w:rFonts w:hint="eastAsia"/>
          <w:b/>
          <w:bCs/>
        </w:rPr>
        <w:t>八、凡对本次采购提出询问，请按以下方式联系。</w:t>
      </w:r>
      <w:bookmarkEnd w:id="28"/>
      <w:bookmarkEnd w:id="29"/>
      <w:bookmarkEnd w:id="30"/>
      <w:bookmarkEnd w:id="31"/>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1、采购单位：防城港市十万大山国家级自然保护区管理局；</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 xml:space="preserve">采购人联系人：零雅茗；联系电话：0770-2806196 </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采购单位地址：防城港市行政中心区万山路500号（市林业大厦12楼）</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2、采购代理机构：广西科联招标中心有限公司；</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项目联系人：梁莉萍；联系电话：0770-2821504；传真：0770-2831062；</w:t>
      </w:r>
    </w:p>
    <w:p>
      <w:pPr>
        <w:pStyle w:val="6"/>
        <w:spacing w:line="360" w:lineRule="exact"/>
        <w:ind w:firstLine="388" w:firstLineChars="200"/>
        <w:rPr>
          <w:rFonts w:ascii="宋体" w:hAnsi="宋体" w:eastAsia="宋体" w:cs="宋体"/>
          <w:b w:val="0"/>
          <w:sz w:val="21"/>
          <w:szCs w:val="21"/>
        </w:rPr>
      </w:pPr>
      <w:r>
        <w:rPr>
          <w:rFonts w:hint="eastAsia" w:ascii="宋体" w:hAnsi="宋体" w:eastAsia="宋体" w:cs="宋体"/>
          <w:b w:val="0"/>
          <w:sz w:val="21"/>
          <w:szCs w:val="21"/>
        </w:rPr>
        <w:t>地址: 防城港市港口区桃花湾广场珍珠路6号桂海东盟新城9＃（H栋）605号房</w:t>
      </w:r>
    </w:p>
    <w:p>
      <w:pPr>
        <w:pStyle w:val="6"/>
        <w:spacing w:line="360" w:lineRule="exact"/>
        <w:ind w:firstLine="388" w:firstLineChars="200"/>
      </w:pPr>
      <w:r>
        <w:rPr>
          <w:rFonts w:hint="eastAsia" w:ascii="宋体" w:hAnsi="宋体" w:eastAsia="宋体" w:cs="宋体"/>
          <w:b w:val="0"/>
          <w:sz w:val="21"/>
          <w:szCs w:val="21"/>
        </w:rPr>
        <w:t>3、监督部门:防城港市政府采购管理中心；电话：0770-6102319。</w:t>
      </w:r>
    </w:p>
    <w:p>
      <w:pPr>
        <w:spacing w:line="360" w:lineRule="exact"/>
        <w:ind w:firstLine="420" w:firstLineChars="200"/>
      </w:pPr>
    </w:p>
    <w:p>
      <w:pPr>
        <w:spacing w:line="360" w:lineRule="exact"/>
        <w:jc w:val="right"/>
      </w:pPr>
      <w:r>
        <w:rPr>
          <w:rFonts w:hint="eastAsia"/>
        </w:rPr>
        <w:t>广西科联招标中心有限公司</w:t>
      </w:r>
    </w:p>
    <w:p>
      <w:pPr>
        <w:spacing w:line="360" w:lineRule="exact"/>
        <w:ind w:firstLine="420" w:firstLineChars="200"/>
      </w:pPr>
      <w:r>
        <w:rPr>
          <w:rFonts w:hint="eastAsia"/>
        </w:rPr>
        <w:t xml:space="preserve">                                                          2020年</w:t>
      </w:r>
      <w:r>
        <w:rPr>
          <w:rFonts w:hint="eastAsia"/>
          <w:lang w:val="en-US" w:eastAsia="zh-CN"/>
        </w:rPr>
        <w:t>7</w:t>
      </w:r>
      <w:r>
        <w:rPr>
          <w:rFonts w:hint="eastAsia"/>
        </w:rPr>
        <w:t>月</w:t>
      </w:r>
      <w:r>
        <w:rPr>
          <w:rFonts w:hint="eastAsia"/>
          <w:lang w:val="en-US" w:eastAsia="zh-CN"/>
        </w:rPr>
        <w:t>27</w:t>
      </w:r>
      <w:r>
        <w:rPr>
          <w:rFonts w:hint="eastAsia"/>
        </w:rPr>
        <w:t>日</w:t>
      </w:r>
    </w:p>
    <w:p>
      <w:pPr>
        <w:pStyle w:val="4"/>
        <w:jc w:val="center"/>
      </w:pPr>
      <w:bookmarkStart w:id="32" w:name="_Toc514340096"/>
      <w:bookmarkStart w:id="33" w:name="_Toc19300"/>
    </w:p>
    <w:p>
      <w:pPr>
        <w:pStyle w:val="4"/>
        <w:jc w:val="center"/>
      </w:pPr>
    </w:p>
    <w:p>
      <w:pPr>
        <w:pStyle w:val="4"/>
        <w:jc w:val="center"/>
      </w:pPr>
    </w:p>
    <w:p>
      <w:pPr>
        <w:pStyle w:val="4"/>
        <w:jc w:val="center"/>
      </w:pPr>
    </w:p>
    <w:p>
      <w:pPr>
        <w:pStyle w:val="4"/>
        <w:jc w:val="center"/>
      </w:pPr>
    </w:p>
    <w:p>
      <w:pPr>
        <w:pStyle w:val="4"/>
        <w:jc w:val="center"/>
      </w:pPr>
    </w:p>
    <w:p>
      <w:pPr>
        <w:pStyle w:val="4"/>
        <w:jc w:val="center"/>
      </w:pPr>
    </w:p>
    <w:p>
      <w:pPr>
        <w:pStyle w:val="4"/>
        <w:jc w:val="center"/>
      </w:pPr>
    </w:p>
    <w:p>
      <w:pPr>
        <w:pStyle w:val="4"/>
        <w:jc w:val="center"/>
      </w:pPr>
    </w:p>
    <w:p>
      <w:pPr>
        <w:pStyle w:val="4"/>
        <w:jc w:val="center"/>
      </w:pPr>
    </w:p>
    <w:p/>
    <w:p>
      <w:pPr>
        <w:pStyle w:val="2"/>
      </w:pPr>
    </w:p>
    <w:p>
      <w:pPr>
        <w:pStyle w:val="2"/>
      </w:pPr>
    </w:p>
    <w:p>
      <w:pPr>
        <w:pStyle w:val="2"/>
      </w:pPr>
    </w:p>
    <w:p>
      <w:pPr>
        <w:pStyle w:val="4"/>
        <w:jc w:val="center"/>
      </w:pPr>
      <w:r>
        <w:rPr>
          <w:rFonts w:hint="eastAsia"/>
        </w:rPr>
        <w:t>第二章 磋商须知</w:t>
      </w:r>
      <w:bookmarkEnd w:id="32"/>
      <w:bookmarkEnd w:id="33"/>
    </w:p>
    <w:p>
      <w:pPr>
        <w:spacing w:line="400" w:lineRule="exact"/>
        <w:jc w:val="center"/>
        <w:rPr>
          <w:rFonts w:ascii="宋体" w:hAnsi="宋体"/>
          <w:b/>
          <w:sz w:val="32"/>
          <w:szCs w:val="32"/>
        </w:rPr>
      </w:pPr>
      <w:r>
        <w:rPr>
          <w:rFonts w:hint="eastAsia" w:ascii="宋体" w:hAnsi="宋体"/>
          <w:b/>
          <w:sz w:val="32"/>
          <w:szCs w:val="32"/>
        </w:rPr>
        <w:t>磋商须知前附表</w:t>
      </w:r>
    </w:p>
    <w:tbl>
      <w:tblPr>
        <w:tblStyle w:val="1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00"/>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4" w:type="dxa"/>
          </w:tcPr>
          <w:p>
            <w:pPr>
              <w:spacing w:line="400" w:lineRule="exact"/>
              <w:jc w:val="center"/>
              <w:rPr>
                <w:rFonts w:ascii="宋体" w:hAnsi="宋体"/>
                <w:b/>
                <w:szCs w:val="21"/>
              </w:rPr>
            </w:pPr>
            <w:r>
              <w:rPr>
                <w:rFonts w:hint="eastAsia" w:ascii="宋体" w:hAnsi="宋体"/>
                <w:b/>
                <w:szCs w:val="21"/>
              </w:rPr>
              <w:t>序号</w:t>
            </w:r>
          </w:p>
        </w:tc>
        <w:tc>
          <w:tcPr>
            <w:tcW w:w="900" w:type="dxa"/>
          </w:tcPr>
          <w:p>
            <w:pPr>
              <w:spacing w:line="400" w:lineRule="exact"/>
              <w:jc w:val="center"/>
              <w:rPr>
                <w:rFonts w:ascii="宋体" w:hAnsi="宋体"/>
                <w:b/>
                <w:szCs w:val="21"/>
              </w:rPr>
            </w:pPr>
            <w:r>
              <w:rPr>
                <w:rFonts w:hint="eastAsia" w:ascii="宋体" w:hAnsi="宋体"/>
                <w:b/>
                <w:szCs w:val="21"/>
              </w:rPr>
              <w:t>条款号</w:t>
            </w:r>
          </w:p>
        </w:tc>
        <w:tc>
          <w:tcPr>
            <w:tcW w:w="7884" w:type="dxa"/>
          </w:tcPr>
          <w:p>
            <w:pPr>
              <w:spacing w:line="400" w:lineRule="exact"/>
              <w:jc w:val="center"/>
              <w:rPr>
                <w:rFonts w:ascii="宋体" w:hAnsi="宋体"/>
                <w:b/>
                <w:szCs w:val="21"/>
              </w:rPr>
            </w:pPr>
            <w:r>
              <w:rPr>
                <w:rFonts w:hint="eastAsia" w:ascii="宋体" w:hAnsi="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360" w:lineRule="exact"/>
              <w:jc w:val="center"/>
              <w:rPr>
                <w:rFonts w:ascii="宋体" w:hAnsi="宋体"/>
                <w:szCs w:val="21"/>
              </w:rPr>
            </w:pPr>
            <w:r>
              <w:rPr>
                <w:rFonts w:hint="eastAsia" w:ascii="宋体" w:hAnsi="宋体"/>
                <w:szCs w:val="21"/>
              </w:rPr>
              <w:t>1</w:t>
            </w:r>
          </w:p>
        </w:tc>
        <w:tc>
          <w:tcPr>
            <w:tcW w:w="900" w:type="dxa"/>
            <w:vAlign w:val="center"/>
          </w:tcPr>
          <w:p>
            <w:pPr>
              <w:spacing w:line="360" w:lineRule="exact"/>
              <w:jc w:val="center"/>
              <w:rPr>
                <w:rFonts w:ascii="宋体" w:hAnsi="宋体"/>
                <w:szCs w:val="21"/>
              </w:rPr>
            </w:pPr>
            <w:r>
              <w:rPr>
                <w:rFonts w:hint="eastAsia" w:ascii="宋体" w:hAnsi="宋体"/>
                <w:szCs w:val="21"/>
              </w:rPr>
              <w:t>1.1</w:t>
            </w:r>
          </w:p>
        </w:tc>
        <w:tc>
          <w:tcPr>
            <w:tcW w:w="7884" w:type="dxa"/>
            <w:vAlign w:val="center"/>
          </w:tcPr>
          <w:p>
            <w:pPr>
              <w:spacing w:line="360" w:lineRule="exact"/>
              <w:rPr>
                <w:rFonts w:ascii="宋体" w:hAnsi="宋体"/>
                <w:szCs w:val="21"/>
              </w:rPr>
            </w:pPr>
            <w:r>
              <w:rPr>
                <w:rFonts w:hint="eastAsia" w:ascii="宋体" w:hAnsi="宋体"/>
                <w:szCs w:val="21"/>
              </w:rPr>
              <w:t>项目名称：</w:t>
            </w:r>
            <w:r>
              <w:rPr>
                <w:rFonts w:hint="eastAsia" w:ascii="宋体" w:hAnsi="宋体" w:cs="Arial"/>
                <w:bCs/>
                <w:szCs w:val="21"/>
              </w:rPr>
              <w:t>广西十万大山国家级自然保护区保护管理基础设施工程关键物种监测项目</w:t>
            </w:r>
          </w:p>
          <w:p>
            <w:pPr>
              <w:spacing w:line="360" w:lineRule="exact"/>
              <w:rPr>
                <w:rFonts w:ascii="宋体" w:hAnsi="宋体" w:cs="Arial"/>
                <w:bCs/>
                <w:szCs w:val="21"/>
              </w:rPr>
            </w:pPr>
            <w:r>
              <w:rPr>
                <w:rFonts w:hint="eastAsia" w:ascii="宋体" w:hAnsi="宋体"/>
                <w:szCs w:val="21"/>
              </w:rPr>
              <w:t>项目编号：</w:t>
            </w:r>
            <w:r>
              <w:rPr>
                <w:rFonts w:hint="eastAsia" w:ascii="宋体" w:hAnsi="宋体" w:cs="Arial"/>
                <w:bCs/>
                <w:szCs w:val="21"/>
              </w:rPr>
              <w:t>FCZC2020-C3-10004-KLZB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360" w:lineRule="exact"/>
              <w:jc w:val="center"/>
              <w:rPr>
                <w:rFonts w:ascii="宋体" w:hAnsi="宋体"/>
                <w:szCs w:val="21"/>
              </w:rPr>
            </w:pPr>
            <w:r>
              <w:rPr>
                <w:rFonts w:hint="eastAsia" w:ascii="宋体" w:hAnsi="宋体"/>
                <w:szCs w:val="21"/>
              </w:rPr>
              <w:t>2</w:t>
            </w:r>
          </w:p>
        </w:tc>
        <w:tc>
          <w:tcPr>
            <w:tcW w:w="900" w:type="dxa"/>
            <w:vAlign w:val="center"/>
          </w:tcPr>
          <w:p>
            <w:pPr>
              <w:spacing w:line="360" w:lineRule="exact"/>
              <w:jc w:val="center"/>
              <w:rPr>
                <w:rFonts w:ascii="宋体" w:hAnsi="宋体"/>
                <w:szCs w:val="21"/>
              </w:rPr>
            </w:pPr>
            <w:r>
              <w:rPr>
                <w:rFonts w:hint="eastAsia" w:ascii="宋体" w:hAnsi="宋体"/>
                <w:szCs w:val="21"/>
              </w:rPr>
              <w:t>3.3</w:t>
            </w:r>
          </w:p>
        </w:tc>
        <w:tc>
          <w:tcPr>
            <w:tcW w:w="7884" w:type="dxa"/>
            <w:vAlign w:val="center"/>
          </w:tcPr>
          <w:p>
            <w:pPr>
              <w:spacing w:line="360" w:lineRule="exact"/>
              <w:rPr>
                <w:rFonts w:ascii="宋体" w:hAnsi="宋体"/>
                <w:szCs w:val="21"/>
              </w:rPr>
            </w:pPr>
            <w:r>
              <w:rPr>
                <w:rFonts w:hint="eastAsia" w:ascii="宋体" w:hAnsi="宋体"/>
                <w:szCs w:val="21"/>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360" w:lineRule="exact"/>
              <w:jc w:val="center"/>
              <w:rPr>
                <w:rFonts w:ascii="宋体" w:hAnsi="宋体"/>
                <w:szCs w:val="21"/>
              </w:rPr>
            </w:pPr>
            <w:r>
              <w:rPr>
                <w:rFonts w:hint="eastAsia" w:ascii="宋体" w:hAnsi="宋体"/>
                <w:szCs w:val="21"/>
              </w:rPr>
              <w:t>3</w:t>
            </w:r>
          </w:p>
        </w:tc>
        <w:tc>
          <w:tcPr>
            <w:tcW w:w="900" w:type="dxa"/>
            <w:vAlign w:val="center"/>
          </w:tcPr>
          <w:p>
            <w:pPr>
              <w:spacing w:line="360" w:lineRule="exact"/>
              <w:jc w:val="center"/>
              <w:rPr>
                <w:rFonts w:ascii="宋体" w:hAnsi="宋体"/>
                <w:szCs w:val="21"/>
              </w:rPr>
            </w:pPr>
            <w:r>
              <w:rPr>
                <w:rFonts w:hint="eastAsia" w:ascii="宋体" w:hAnsi="宋体"/>
                <w:szCs w:val="21"/>
              </w:rPr>
              <w:t>4.2</w:t>
            </w:r>
          </w:p>
        </w:tc>
        <w:tc>
          <w:tcPr>
            <w:tcW w:w="7884" w:type="dxa"/>
            <w:vAlign w:val="center"/>
          </w:tcPr>
          <w:p>
            <w:pPr>
              <w:spacing w:line="360" w:lineRule="exact"/>
              <w:rPr>
                <w:rFonts w:ascii="宋体" w:hAnsi="宋体"/>
                <w:szCs w:val="21"/>
              </w:rPr>
            </w:pPr>
            <w:r>
              <w:rPr>
                <w:rFonts w:hint="eastAsia" w:ascii="宋体" w:hAnsi="宋体"/>
                <w:szCs w:val="21"/>
              </w:rPr>
              <w:t xml:space="preserve">成交服务费：本项目成交服务费参照桂价费〔2011〕55号文件规定（服务类）标准执行，由成交供应商在领取成交通知书前，一次性向采购代理机构支付。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360" w:lineRule="exact"/>
              <w:jc w:val="center"/>
              <w:rPr>
                <w:rFonts w:ascii="宋体" w:hAnsi="宋体"/>
                <w:szCs w:val="21"/>
              </w:rPr>
            </w:pPr>
            <w:r>
              <w:rPr>
                <w:rFonts w:hint="eastAsia" w:ascii="宋体" w:hAnsi="宋体"/>
                <w:szCs w:val="21"/>
              </w:rPr>
              <w:t>4</w:t>
            </w:r>
          </w:p>
        </w:tc>
        <w:tc>
          <w:tcPr>
            <w:tcW w:w="900" w:type="dxa"/>
            <w:vAlign w:val="center"/>
          </w:tcPr>
          <w:p>
            <w:pPr>
              <w:spacing w:line="360" w:lineRule="exact"/>
              <w:jc w:val="center"/>
              <w:rPr>
                <w:rFonts w:ascii="宋体" w:hAnsi="宋体"/>
                <w:szCs w:val="21"/>
              </w:rPr>
            </w:pPr>
            <w:r>
              <w:rPr>
                <w:rFonts w:hint="eastAsia" w:ascii="宋体" w:hAnsi="宋体"/>
                <w:szCs w:val="21"/>
              </w:rPr>
              <w:t>7.1</w:t>
            </w:r>
          </w:p>
        </w:tc>
        <w:tc>
          <w:tcPr>
            <w:tcW w:w="7884" w:type="dxa"/>
            <w:vAlign w:val="center"/>
          </w:tcPr>
          <w:p>
            <w:pPr>
              <w:spacing w:line="360" w:lineRule="exact"/>
              <w:rPr>
                <w:rFonts w:ascii="宋体" w:hAnsi="宋体"/>
                <w:szCs w:val="21"/>
              </w:rPr>
            </w:pPr>
            <w:r>
              <w:rPr>
                <w:rFonts w:hint="eastAsia" w:ascii="宋体" w:hAnsi="宋体"/>
                <w:szCs w:val="21"/>
              </w:rPr>
              <w:t>现场考察或答疑会：不组织。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360" w:lineRule="exact"/>
              <w:jc w:val="center"/>
              <w:rPr>
                <w:rFonts w:ascii="宋体" w:hAnsi="宋体"/>
                <w:szCs w:val="21"/>
              </w:rPr>
            </w:pPr>
            <w:r>
              <w:rPr>
                <w:rFonts w:hint="eastAsia" w:ascii="宋体" w:hAnsi="宋体"/>
                <w:szCs w:val="21"/>
              </w:rPr>
              <w:t>5</w:t>
            </w:r>
          </w:p>
        </w:tc>
        <w:tc>
          <w:tcPr>
            <w:tcW w:w="900" w:type="dxa"/>
            <w:vAlign w:val="center"/>
          </w:tcPr>
          <w:p>
            <w:pPr>
              <w:spacing w:line="360" w:lineRule="exact"/>
              <w:jc w:val="center"/>
              <w:rPr>
                <w:rFonts w:ascii="宋体" w:hAnsi="宋体"/>
                <w:szCs w:val="21"/>
              </w:rPr>
            </w:pPr>
            <w:r>
              <w:rPr>
                <w:rFonts w:hint="eastAsia" w:ascii="宋体" w:hAnsi="宋体"/>
                <w:szCs w:val="21"/>
              </w:rPr>
              <w:t>8.1</w:t>
            </w:r>
          </w:p>
        </w:tc>
        <w:tc>
          <w:tcPr>
            <w:tcW w:w="7884" w:type="dxa"/>
            <w:vAlign w:val="center"/>
          </w:tcPr>
          <w:p>
            <w:pPr>
              <w:spacing w:line="320" w:lineRule="exact"/>
              <w:ind w:firstLine="34" w:firstLineChars="16"/>
              <w:rPr>
                <w:rFonts w:ascii="宋体" w:hAnsi="宋体"/>
                <w:b/>
                <w:szCs w:val="21"/>
              </w:rPr>
            </w:pPr>
            <w:r>
              <w:rPr>
                <w:rFonts w:hint="eastAsia" w:ascii="宋体" w:hAnsi="宋体"/>
                <w:b/>
                <w:szCs w:val="21"/>
              </w:rPr>
              <w:t>响应文件组成</w:t>
            </w:r>
          </w:p>
          <w:p>
            <w:pPr>
              <w:spacing w:line="320" w:lineRule="exact"/>
              <w:ind w:firstLine="34" w:firstLineChars="16"/>
              <w:rPr>
                <w:rFonts w:ascii="宋体" w:hAnsi="宋体"/>
                <w:b/>
                <w:szCs w:val="21"/>
              </w:rPr>
            </w:pPr>
            <w:r>
              <w:rPr>
                <w:rFonts w:hint="eastAsia" w:ascii="宋体" w:hAnsi="宋体"/>
                <w:b/>
                <w:szCs w:val="21"/>
              </w:rPr>
              <w:t>（1）磋商书；（必须提供）</w:t>
            </w:r>
          </w:p>
          <w:p>
            <w:pPr>
              <w:spacing w:line="320" w:lineRule="exact"/>
              <w:rPr>
                <w:rFonts w:ascii="宋体" w:hAnsi="宋体"/>
                <w:b/>
                <w:szCs w:val="21"/>
              </w:rPr>
            </w:pPr>
            <w:r>
              <w:rPr>
                <w:rFonts w:hint="eastAsia" w:ascii="宋体" w:hAnsi="宋体"/>
                <w:b/>
                <w:szCs w:val="21"/>
              </w:rPr>
              <w:t>（2）磋商报价表；（必须提供）</w:t>
            </w:r>
          </w:p>
          <w:p>
            <w:pPr>
              <w:spacing w:line="320" w:lineRule="exact"/>
              <w:ind w:firstLine="34" w:firstLineChars="16"/>
              <w:rPr>
                <w:rFonts w:ascii="宋体" w:hAnsi="宋体"/>
                <w:b/>
                <w:szCs w:val="21"/>
              </w:rPr>
            </w:pPr>
            <w:r>
              <w:rPr>
                <w:rFonts w:hint="eastAsia" w:ascii="宋体" w:hAnsi="宋体"/>
                <w:b/>
                <w:szCs w:val="21"/>
              </w:rPr>
              <w:t>（3）响应、偏离情况说明表；（必须提供）</w:t>
            </w:r>
          </w:p>
          <w:p>
            <w:pPr>
              <w:spacing w:line="320" w:lineRule="exact"/>
              <w:ind w:firstLine="34" w:firstLineChars="16"/>
              <w:rPr>
                <w:rFonts w:ascii="宋体" w:hAnsi="宋体"/>
                <w:b/>
                <w:szCs w:val="21"/>
              </w:rPr>
            </w:pPr>
            <w:r>
              <w:rPr>
                <w:rFonts w:hint="eastAsia" w:ascii="宋体" w:hAnsi="宋体"/>
                <w:b/>
                <w:szCs w:val="21"/>
              </w:rPr>
              <w:t>（4）服务方案；（必须提供）</w:t>
            </w:r>
          </w:p>
          <w:p>
            <w:pPr>
              <w:spacing w:line="320" w:lineRule="exact"/>
              <w:ind w:firstLine="34" w:firstLineChars="16"/>
              <w:rPr>
                <w:rFonts w:ascii="宋体" w:hAnsi="宋体"/>
                <w:b/>
                <w:szCs w:val="21"/>
              </w:rPr>
            </w:pPr>
            <w:r>
              <w:rPr>
                <w:rFonts w:hint="eastAsia" w:ascii="宋体" w:hAnsi="宋体"/>
                <w:b/>
                <w:szCs w:val="21"/>
              </w:rPr>
              <w:t>（5）有效的“营业执照”正本或副本复印件及供应商具备林业调查规划设计丙级以上（含丙级）资质复印件；（必须提供）</w:t>
            </w:r>
          </w:p>
          <w:p>
            <w:pPr>
              <w:spacing w:line="320" w:lineRule="exact"/>
              <w:ind w:firstLine="34" w:firstLineChars="16"/>
              <w:rPr>
                <w:rFonts w:ascii="宋体" w:hAnsi="宋体"/>
                <w:b/>
                <w:szCs w:val="21"/>
              </w:rPr>
            </w:pPr>
            <w:r>
              <w:rPr>
                <w:rFonts w:hint="eastAsia" w:ascii="宋体" w:hAnsi="宋体"/>
                <w:b/>
                <w:szCs w:val="21"/>
              </w:rPr>
              <w:t>（6）法定代表人身份证明及法定代表人有效身份证正反面复印件；（必须提供）</w:t>
            </w:r>
          </w:p>
          <w:p>
            <w:pPr>
              <w:spacing w:line="320" w:lineRule="exact"/>
              <w:ind w:firstLine="34" w:firstLineChars="16"/>
              <w:rPr>
                <w:rFonts w:ascii="宋体" w:hAnsi="宋体"/>
                <w:b/>
                <w:szCs w:val="21"/>
              </w:rPr>
            </w:pPr>
            <w:r>
              <w:rPr>
                <w:rFonts w:hint="eastAsia" w:ascii="宋体" w:hAnsi="宋体"/>
                <w:b/>
                <w:szCs w:val="21"/>
              </w:rPr>
              <w:t>（7）法定代表人授权委托书及被授权人有效身份证正反面复印件；（委托代理时，必须提供）</w:t>
            </w:r>
          </w:p>
          <w:p>
            <w:pPr>
              <w:spacing w:line="320" w:lineRule="exact"/>
              <w:ind w:firstLine="34" w:firstLineChars="16"/>
              <w:rPr>
                <w:rFonts w:ascii="宋体" w:hAnsi="宋体"/>
                <w:b/>
                <w:szCs w:val="21"/>
              </w:rPr>
            </w:pPr>
            <w:r>
              <w:rPr>
                <w:rFonts w:hint="eastAsia" w:ascii="宋体" w:hAnsi="宋体"/>
                <w:b/>
                <w:szCs w:val="21"/>
              </w:rPr>
              <w:t xml:space="preserve">（8）参加政府采购活动前3年内在经营活动中没有重大违法记录的书面声明；（必须提供） </w:t>
            </w:r>
          </w:p>
          <w:p>
            <w:pPr>
              <w:spacing w:line="320" w:lineRule="exact"/>
              <w:ind w:firstLine="34" w:firstLineChars="16"/>
              <w:rPr>
                <w:rFonts w:ascii="宋体" w:hAnsi="宋体"/>
                <w:b/>
                <w:szCs w:val="21"/>
              </w:rPr>
            </w:pPr>
            <w:r>
              <w:rPr>
                <w:rFonts w:hint="eastAsia" w:ascii="宋体" w:hAnsi="宋体"/>
                <w:b/>
                <w:szCs w:val="21"/>
              </w:rPr>
              <w:t>（9）</w:t>
            </w:r>
            <w:r>
              <w:rPr>
                <w:rFonts w:hint="eastAsia" w:ascii="宋体" w:hAnsi="宋体"/>
                <w:b/>
                <w:bCs/>
                <w:szCs w:val="21"/>
              </w:rPr>
              <w:t>截标时间前半年内，连续三个月供应商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供应商所在地的税务部门出具的《依法纳税或依法免税证明》复印件。（新成立的公司以实际情况为准）；（必须提供）</w:t>
            </w:r>
          </w:p>
          <w:p>
            <w:pPr>
              <w:spacing w:line="320" w:lineRule="exact"/>
              <w:ind w:firstLine="34" w:firstLineChars="16"/>
              <w:rPr>
                <w:b/>
                <w:szCs w:val="21"/>
              </w:rPr>
            </w:pPr>
            <w:r>
              <w:rPr>
                <w:rFonts w:hint="eastAsia" w:ascii="宋体" w:hAnsi="宋体"/>
                <w:b/>
                <w:szCs w:val="21"/>
              </w:rPr>
              <w:t>（10）</w:t>
            </w:r>
            <w:r>
              <w:rPr>
                <w:rFonts w:hint="eastAsia" w:ascii="宋体" w:hAnsi="宋体"/>
                <w:b/>
                <w:bCs/>
                <w:szCs w:val="21"/>
              </w:rPr>
              <w:t>截标时间前半年内，连续三个月供应商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新成立的公司以实际情况为准）；（必须提供）</w:t>
            </w:r>
          </w:p>
          <w:p>
            <w:pPr>
              <w:spacing w:line="320" w:lineRule="exact"/>
              <w:ind w:firstLine="34" w:firstLineChars="16"/>
              <w:rPr>
                <w:rFonts w:ascii="宋体" w:hAnsi="宋体"/>
                <w:szCs w:val="21"/>
              </w:rPr>
            </w:pPr>
            <w:r>
              <w:rPr>
                <w:rFonts w:hint="eastAsia" w:ascii="宋体" w:hAnsi="宋体"/>
                <w:b/>
                <w:szCs w:val="21"/>
              </w:rPr>
              <w:t>（11）供应商认为需要提供的有关资料。</w:t>
            </w:r>
          </w:p>
          <w:p>
            <w:pPr>
              <w:spacing w:line="360" w:lineRule="exact"/>
              <w:ind w:firstLine="342" w:firstLineChars="162"/>
              <w:rPr>
                <w:rFonts w:ascii="宋体" w:hAnsi="宋体"/>
                <w:szCs w:val="21"/>
              </w:rPr>
            </w:pPr>
            <w:r>
              <w:rPr>
                <w:rFonts w:hint="eastAsia" w:ascii="宋体" w:hAnsi="宋体"/>
                <w:b/>
                <w:szCs w:val="21"/>
              </w:rPr>
              <w:t>以上文件均须加盖磋商单位公章；应该有的必须提供，如未提供，磋商小组有权拒绝其响应文件。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4" w:type="dxa"/>
            <w:vAlign w:val="center"/>
          </w:tcPr>
          <w:p>
            <w:pPr>
              <w:spacing w:line="360" w:lineRule="exact"/>
              <w:jc w:val="center"/>
              <w:rPr>
                <w:rFonts w:ascii="宋体" w:hAnsi="宋体"/>
                <w:szCs w:val="21"/>
              </w:rPr>
            </w:pPr>
            <w:r>
              <w:rPr>
                <w:rFonts w:hint="eastAsia" w:ascii="宋体" w:hAnsi="宋体"/>
                <w:szCs w:val="21"/>
              </w:rPr>
              <w:t>6</w:t>
            </w:r>
          </w:p>
        </w:tc>
        <w:tc>
          <w:tcPr>
            <w:tcW w:w="900" w:type="dxa"/>
            <w:vAlign w:val="center"/>
          </w:tcPr>
          <w:p>
            <w:pPr>
              <w:spacing w:line="360" w:lineRule="exact"/>
              <w:jc w:val="center"/>
              <w:rPr>
                <w:rFonts w:ascii="宋体" w:hAnsi="宋体"/>
                <w:szCs w:val="21"/>
              </w:rPr>
            </w:pPr>
            <w:r>
              <w:rPr>
                <w:rFonts w:hint="eastAsia" w:ascii="宋体" w:hAnsi="宋体"/>
                <w:szCs w:val="21"/>
              </w:rPr>
              <w:t>10.1</w:t>
            </w:r>
          </w:p>
        </w:tc>
        <w:tc>
          <w:tcPr>
            <w:tcW w:w="7884" w:type="dxa"/>
            <w:vAlign w:val="center"/>
          </w:tcPr>
          <w:p>
            <w:pPr>
              <w:spacing w:line="360" w:lineRule="exact"/>
              <w:rPr>
                <w:rFonts w:ascii="宋体" w:hAnsi="宋体"/>
                <w:szCs w:val="21"/>
              </w:rPr>
            </w:pPr>
            <w:r>
              <w:rPr>
                <w:rFonts w:hint="eastAsia" w:ascii="宋体" w:hAnsi="宋体"/>
                <w:szCs w:val="21"/>
              </w:rPr>
              <w:t>响应文件有效期：磋商截止日期后</w:t>
            </w:r>
            <w:r>
              <w:rPr>
                <w:rFonts w:hint="eastAsia" w:ascii="宋体" w:hAnsi="宋体"/>
                <w:szCs w:val="21"/>
                <w:u w:val="single"/>
              </w:rPr>
              <w:t>60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84" w:type="dxa"/>
            <w:vAlign w:val="center"/>
          </w:tcPr>
          <w:p>
            <w:pPr>
              <w:spacing w:line="360" w:lineRule="exact"/>
              <w:jc w:val="center"/>
              <w:rPr>
                <w:rFonts w:ascii="宋体" w:hAnsi="宋体"/>
                <w:szCs w:val="21"/>
              </w:rPr>
            </w:pPr>
            <w:r>
              <w:rPr>
                <w:rFonts w:hint="eastAsia" w:ascii="宋体" w:hAnsi="宋体"/>
                <w:szCs w:val="21"/>
              </w:rPr>
              <w:t>7</w:t>
            </w:r>
          </w:p>
        </w:tc>
        <w:tc>
          <w:tcPr>
            <w:tcW w:w="900" w:type="dxa"/>
            <w:vAlign w:val="center"/>
          </w:tcPr>
          <w:p>
            <w:pPr>
              <w:spacing w:line="360" w:lineRule="exact"/>
              <w:jc w:val="center"/>
              <w:rPr>
                <w:rFonts w:ascii="宋体" w:hAnsi="宋体"/>
                <w:szCs w:val="21"/>
              </w:rPr>
            </w:pPr>
            <w:r>
              <w:rPr>
                <w:rFonts w:hint="eastAsia" w:ascii="宋体" w:hAnsi="宋体"/>
                <w:szCs w:val="21"/>
              </w:rPr>
              <w:t>12.1</w:t>
            </w:r>
          </w:p>
        </w:tc>
        <w:tc>
          <w:tcPr>
            <w:tcW w:w="7884" w:type="dxa"/>
            <w:vAlign w:val="center"/>
          </w:tcPr>
          <w:p>
            <w:pPr>
              <w:tabs>
                <w:tab w:val="left" w:pos="525"/>
              </w:tabs>
              <w:snapToGrid w:val="0"/>
              <w:spacing w:line="360" w:lineRule="exact"/>
              <w:jc w:val="left"/>
              <w:rPr>
                <w:rFonts w:ascii="宋体" w:hAnsi="宋体"/>
                <w:szCs w:val="21"/>
              </w:rPr>
            </w:pPr>
            <w:r>
              <w:rPr>
                <w:rFonts w:hint="eastAsia" w:ascii="宋体" w:hAnsi="宋体"/>
                <w:szCs w:val="21"/>
              </w:rPr>
              <w:t>竞标报价：供应商必须就全部磋商内容作完整唯一报价，漏项报价的或有选择的或有条件的报价，其竞标将视为无效。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4" w:type="dxa"/>
            <w:vAlign w:val="center"/>
          </w:tcPr>
          <w:p>
            <w:pPr>
              <w:spacing w:line="360" w:lineRule="exact"/>
              <w:jc w:val="center"/>
              <w:rPr>
                <w:rFonts w:ascii="宋体" w:hAnsi="宋体"/>
                <w:szCs w:val="21"/>
              </w:rPr>
            </w:pPr>
            <w:r>
              <w:rPr>
                <w:rFonts w:hint="eastAsia" w:ascii="宋体" w:hAnsi="宋体"/>
                <w:szCs w:val="21"/>
              </w:rPr>
              <w:t>8</w:t>
            </w:r>
          </w:p>
        </w:tc>
        <w:tc>
          <w:tcPr>
            <w:tcW w:w="900" w:type="dxa"/>
            <w:vAlign w:val="center"/>
          </w:tcPr>
          <w:p>
            <w:pPr>
              <w:spacing w:line="360" w:lineRule="exact"/>
              <w:jc w:val="center"/>
              <w:rPr>
                <w:rFonts w:ascii="宋体" w:hAnsi="宋体"/>
                <w:szCs w:val="21"/>
              </w:rPr>
            </w:pPr>
            <w:r>
              <w:rPr>
                <w:rFonts w:hint="eastAsia" w:ascii="宋体" w:hAnsi="宋体"/>
                <w:szCs w:val="21"/>
              </w:rPr>
              <w:t>13.1</w:t>
            </w:r>
          </w:p>
        </w:tc>
        <w:tc>
          <w:tcPr>
            <w:tcW w:w="7884" w:type="dxa"/>
            <w:vAlign w:val="center"/>
          </w:tcPr>
          <w:p>
            <w:pPr>
              <w:spacing w:line="360" w:lineRule="exact"/>
              <w:rPr>
                <w:rFonts w:ascii="宋体" w:hAnsi="宋体"/>
                <w:szCs w:val="21"/>
              </w:rPr>
            </w:pPr>
            <w:r>
              <w:rPr>
                <w:rFonts w:hint="eastAsia" w:ascii="宋体" w:hAnsi="宋体"/>
                <w:szCs w:val="21"/>
              </w:rPr>
              <w:t>响应文件份数：正本一份、副本四份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84" w:type="dxa"/>
            <w:vAlign w:val="center"/>
          </w:tcPr>
          <w:p>
            <w:pPr>
              <w:spacing w:line="360" w:lineRule="exact"/>
              <w:jc w:val="center"/>
              <w:rPr>
                <w:rFonts w:ascii="宋体" w:hAnsi="宋体"/>
                <w:szCs w:val="21"/>
              </w:rPr>
            </w:pPr>
            <w:r>
              <w:rPr>
                <w:rFonts w:hint="eastAsia" w:ascii="宋体" w:hAnsi="宋体"/>
                <w:szCs w:val="21"/>
              </w:rPr>
              <w:t>9</w:t>
            </w:r>
          </w:p>
        </w:tc>
        <w:tc>
          <w:tcPr>
            <w:tcW w:w="900" w:type="dxa"/>
            <w:vAlign w:val="center"/>
          </w:tcPr>
          <w:p>
            <w:pPr>
              <w:spacing w:line="360" w:lineRule="exact"/>
              <w:jc w:val="center"/>
              <w:rPr>
                <w:rFonts w:ascii="宋体" w:hAnsi="宋体"/>
                <w:szCs w:val="21"/>
              </w:rPr>
            </w:pPr>
            <w:r>
              <w:rPr>
                <w:rFonts w:hint="eastAsia" w:ascii="宋体" w:hAnsi="宋体"/>
                <w:szCs w:val="21"/>
              </w:rPr>
              <w:t>14</w:t>
            </w:r>
          </w:p>
        </w:tc>
        <w:tc>
          <w:tcPr>
            <w:tcW w:w="7884" w:type="dxa"/>
            <w:vAlign w:val="center"/>
          </w:tcPr>
          <w:p>
            <w:pPr>
              <w:spacing w:line="360" w:lineRule="exact"/>
              <w:rPr>
                <w:rFonts w:ascii="宋体" w:hAnsi="宋体"/>
                <w:szCs w:val="21"/>
              </w:rPr>
            </w:pPr>
            <w:r>
              <w:rPr>
                <w:rFonts w:hint="eastAsia" w:ascii="宋体" w:hAnsi="宋体"/>
                <w:szCs w:val="21"/>
              </w:rPr>
              <w:t>磋商截止时间：</w:t>
            </w:r>
            <w:r>
              <w:rPr>
                <w:rFonts w:hint="eastAsia" w:ascii="宋体" w:hAnsi="宋体" w:cs="宋体"/>
                <w:szCs w:val="21"/>
              </w:rPr>
              <w:t>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分整</w:t>
            </w:r>
          </w:p>
          <w:p>
            <w:pPr>
              <w:spacing w:line="360" w:lineRule="exact"/>
              <w:rPr>
                <w:rFonts w:ascii="宋体" w:hAnsi="宋体"/>
                <w:szCs w:val="21"/>
              </w:rPr>
            </w:pPr>
            <w:r>
              <w:rPr>
                <w:rFonts w:hint="eastAsia" w:ascii="宋体" w:hAnsi="宋体"/>
                <w:szCs w:val="21"/>
              </w:rPr>
              <w:t>地址：</w:t>
            </w:r>
            <w:r>
              <w:rPr>
                <w:rFonts w:hint="eastAsia" w:ascii="宋体" w:hAnsi="宋体" w:cs="Arial"/>
                <w:szCs w:val="21"/>
              </w:rPr>
              <w:t>防城港市公共资源交易中心（防城港市迎宾路红树林大厦东塔）</w:t>
            </w:r>
            <w:r>
              <w:rPr>
                <w:rFonts w:hint="eastAsia"/>
              </w:rPr>
              <w:t>（具体开标厅根据防城港市公共资源交易中心网站公示或防城港市迎宾路红树林大厦东塔6楼电子屏幕显示的安排）</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360" w:lineRule="exact"/>
              <w:jc w:val="center"/>
              <w:rPr>
                <w:rFonts w:ascii="宋体" w:hAnsi="宋体"/>
                <w:szCs w:val="21"/>
              </w:rPr>
            </w:pPr>
            <w:r>
              <w:rPr>
                <w:rFonts w:hint="eastAsia" w:ascii="宋体" w:hAnsi="宋体"/>
                <w:szCs w:val="21"/>
              </w:rPr>
              <w:t>10</w:t>
            </w:r>
          </w:p>
        </w:tc>
        <w:tc>
          <w:tcPr>
            <w:tcW w:w="900" w:type="dxa"/>
            <w:vAlign w:val="center"/>
          </w:tcPr>
          <w:p>
            <w:pPr>
              <w:spacing w:line="360" w:lineRule="exact"/>
              <w:jc w:val="center"/>
              <w:rPr>
                <w:rFonts w:ascii="宋体" w:hAnsi="宋体"/>
                <w:szCs w:val="21"/>
              </w:rPr>
            </w:pPr>
            <w:r>
              <w:rPr>
                <w:rFonts w:hint="eastAsia" w:ascii="宋体" w:hAnsi="宋体"/>
                <w:szCs w:val="21"/>
              </w:rPr>
              <w:t>18.2</w:t>
            </w:r>
          </w:p>
        </w:tc>
        <w:tc>
          <w:tcPr>
            <w:tcW w:w="7884" w:type="dxa"/>
            <w:vAlign w:val="center"/>
          </w:tcPr>
          <w:p>
            <w:pPr>
              <w:snapToGrid w:val="0"/>
              <w:rPr>
                <w:rFonts w:ascii="宋体" w:hAnsi="宋体"/>
                <w:szCs w:val="21"/>
              </w:rPr>
            </w:pPr>
            <w:r>
              <w:rPr>
                <w:rFonts w:hint="eastAsia" w:ascii="宋体" w:hAnsi="宋体"/>
                <w:szCs w:val="21"/>
              </w:rPr>
              <w:t>在对供应商资格审查时进行信用查询</w:t>
            </w:r>
          </w:p>
          <w:p>
            <w:pPr>
              <w:snapToGrid w:val="0"/>
            </w:pPr>
            <w:r>
              <w:rPr>
                <w:rFonts w:hint="eastAsia"/>
              </w:rPr>
              <w:t>查询渠道：“</w:t>
            </w:r>
            <w:r>
              <w:t>信用中国</w:t>
            </w:r>
            <w:r>
              <w:rPr>
                <w:rFonts w:hint="eastAsia"/>
              </w:rPr>
              <w:t>”</w:t>
            </w:r>
            <w:r>
              <w:t>网站(www.creditchina.gov.cn)、中国政府采购网(</w:t>
            </w:r>
            <w:r>
              <w:fldChar w:fldCharType="begin"/>
            </w:r>
            <w:r>
              <w:instrText xml:space="preserve"> HYPERLINK "http://www.ccgp.gov.cn" </w:instrText>
            </w:r>
            <w:r>
              <w:fldChar w:fldCharType="separate"/>
            </w:r>
            <w:r>
              <w:rPr>
                <w:rStyle w:val="26"/>
                <w:color w:val="auto"/>
              </w:rPr>
              <w:t>www.ccgp.gov.cn</w:t>
            </w:r>
            <w:r>
              <w:rPr>
                <w:rStyle w:val="26"/>
                <w:color w:val="auto"/>
              </w:rPr>
              <w:fldChar w:fldCharType="end"/>
            </w:r>
            <w:r>
              <w:t>)</w:t>
            </w:r>
            <w:r>
              <w:rPr>
                <w:rFonts w:hint="eastAsia"/>
              </w:rPr>
              <w:t>等</w:t>
            </w:r>
          </w:p>
          <w:p>
            <w:pPr>
              <w:snapToGrid w:val="0"/>
            </w:pPr>
            <w:r>
              <w:rPr>
                <w:rFonts w:hint="eastAsia"/>
              </w:rPr>
              <w:t>查询记录和证据留存方式：在查询网站中直接打印查询记录，打印材料作为评审资料保存。</w:t>
            </w:r>
          </w:p>
          <w:p>
            <w:pPr>
              <w:spacing w:line="360" w:lineRule="exact"/>
              <w:rPr>
                <w:rFonts w:ascii="宋体" w:hAnsi="宋体"/>
                <w:szCs w:val="21"/>
              </w:rPr>
            </w:pPr>
            <w:r>
              <w:rPr>
                <w:rFonts w:hint="eastAsia"/>
              </w:rPr>
              <w:t>信用信息使用规则：对在“</w:t>
            </w:r>
            <w:r>
              <w:t>信用中国</w:t>
            </w:r>
            <w:r>
              <w:rPr>
                <w:rFonts w:hint="eastAsia"/>
              </w:rPr>
              <w:t>”</w:t>
            </w:r>
            <w:r>
              <w:t>网站(www.creditchina.gov.cn)、中国政府采购网(www.ccgp.gov.cn)等渠道</w:t>
            </w:r>
            <w:r>
              <w:rPr>
                <w:rFonts w:hint="eastAsia"/>
              </w:rPr>
              <w:t>列入失信被执行人、重大税收违法案件当事人名单、政府采购严重违法失信行为记录名单及其他不符合《中华人民共和国政府采购法》第二十二条规定条件的供应商，</w:t>
            </w:r>
            <w:r>
              <w:rPr>
                <w:rFonts w:hint="eastAsia" w:ascii="宋体" w:hAnsi="宋体"/>
                <w:szCs w:val="21"/>
              </w:rPr>
              <w:t>资格审查不通过，</w:t>
            </w:r>
            <w:r>
              <w:rPr>
                <w:rFonts w:hint="eastAsia"/>
              </w:rPr>
              <w:t>不得参与政府采购活动。</w:t>
            </w:r>
            <w:r>
              <w:rPr>
                <w:rFonts w:ascii="Helvetica" w:hAnsi="Helvetica" w:cs="Helvetic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360" w:lineRule="exact"/>
              <w:jc w:val="center"/>
              <w:rPr>
                <w:rFonts w:ascii="宋体" w:hAnsi="宋体"/>
                <w:szCs w:val="21"/>
              </w:rPr>
            </w:pPr>
            <w:r>
              <w:rPr>
                <w:rFonts w:hint="eastAsia" w:ascii="宋体" w:hAnsi="宋体"/>
                <w:szCs w:val="21"/>
              </w:rPr>
              <w:t>11</w:t>
            </w:r>
          </w:p>
        </w:tc>
        <w:tc>
          <w:tcPr>
            <w:tcW w:w="900" w:type="dxa"/>
            <w:vAlign w:val="center"/>
          </w:tcPr>
          <w:p>
            <w:pPr>
              <w:spacing w:line="360" w:lineRule="exact"/>
              <w:jc w:val="center"/>
              <w:rPr>
                <w:rFonts w:ascii="宋体" w:hAnsi="宋体"/>
                <w:szCs w:val="21"/>
              </w:rPr>
            </w:pPr>
            <w:r>
              <w:rPr>
                <w:rFonts w:hint="eastAsia" w:ascii="宋体" w:hAnsi="宋体"/>
                <w:szCs w:val="21"/>
              </w:rPr>
              <w:t>18.4.1</w:t>
            </w:r>
          </w:p>
        </w:tc>
        <w:tc>
          <w:tcPr>
            <w:tcW w:w="7884" w:type="dxa"/>
            <w:vAlign w:val="center"/>
          </w:tcPr>
          <w:p>
            <w:pPr>
              <w:spacing w:line="360" w:lineRule="exact"/>
              <w:rPr>
                <w:rFonts w:ascii="宋体" w:hAnsi="宋体"/>
                <w:szCs w:val="21"/>
              </w:rPr>
            </w:pPr>
            <w:r>
              <w:rPr>
                <w:rFonts w:hint="eastAsia" w:ascii="宋体" w:hAnsi="宋体"/>
                <w:szCs w:val="21"/>
              </w:rPr>
              <w:t>磋商开始时间：响应文件递交截止时间后（具体时间由采购代理机构另行通知）</w:t>
            </w:r>
          </w:p>
          <w:p>
            <w:pPr>
              <w:spacing w:line="360" w:lineRule="exact"/>
              <w:rPr>
                <w:szCs w:val="21"/>
                <w:u w:val="single"/>
              </w:rPr>
            </w:pPr>
            <w:r>
              <w:rPr>
                <w:rFonts w:hint="eastAsia" w:ascii="宋体" w:hAnsi="宋体"/>
                <w:szCs w:val="21"/>
              </w:rPr>
              <w:t>磋商地点：</w:t>
            </w:r>
            <w:r>
              <w:rPr>
                <w:rFonts w:hint="eastAsia" w:ascii="宋体" w:hAnsi="宋体" w:cs="Arial"/>
                <w:szCs w:val="21"/>
              </w:rPr>
              <w:t>防城港市公共资源交易中心（防城港市迎宾路红树林大厦东塔）。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360" w:lineRule="exact"/>
              <w:jc w:val="center"/>
              <w:rPr>
                <w:rFonts w:ascii="宋体" w:hAnsi="宋体"/>
                <w:szCs w:val="21"/>
              </w:rPr>
            </w:pPr>
            <w:r>
              <w:rPr>
                <w:rFonts w:hint="eastAsia" w:ascii="宋体" w:hAnsi="宋体"/>
                <w:szCs w:val="21"/>
              </w:rPr>
              <w:t>12</w:t>
            </w:r>
          </w:p>
        </w:tc>
        <w:tc>
          <w:tcPr>
            <w:tcW w:w="900" w:type="dxa"/>
            <w:vAlign w:val="center"/>
          </w:tcPr>
          <w:p>
            <w:pPr>
              <w:spacing w:line="360" w:lineRule="exact"/>
              <w:jc w:val="center"/>
              <w:rPr>
                <w:rFonts w:ascii="宋体" w:hAnsi="宋体"/>
                <w:szCs w:val="21"/>
              </w:rPr>
            </w:pPr>
            <w:r>
              <w:rPr>
                <w:rFonts w:hint="eastAsia" w:ascii="宋体" w:hAnsi="宋体"/>
                <w:szCs w:val="21"/>
              </w:rPr>
              <w:t>18.4.2</w:t>
            </w:r>
          </w:p>
        </w:tc>
        <w:tc>
          <w:tcPr>
            <w:tcW w:w="7884" w:type="dxa"/>
            <w:vAlign w:val="center"/>
          </w:tcPr>
          <w:p>
            <w:pPr>
              <w:spacing w:line="360" w:lineRule="exact"/>
              <w:rPr>
                <w:rFonts w:ascii="宋体" w:hAnsi="宋体"/>
                <w:szCs w:val="21"/>
              </w:rPr>
            </w:pPr>
            <w:r>
              <w:rPr>
                <w:rFonts w:hint="eastAsia" w:ascii="宋体" w:hAnsi="宋体"/>
                <w:szCs w:val="21"/>
              </w:rPr>
              <w:t>供应商参加磋商须携带的材料：</w:t>
            </w:r>
          </w:p>
          <w:p>
            <w:pPr>
              <w:spacing w:line="360" w:lineRule="exact"/>
              <w:rPr>
                <w:rFonts w:ascii="宋体" w:hAnsi="宋体"/>
                <w:szCs w:val="21"/>
              </w:rPr>
            </w:pPr>
            <w:r>
              <w:rPr>
                <w:rFonts w:hint="eastAsia" w:ascii="宋体" w:hAnsi="宋体"/>
                <w:szCs w:val="21"/>
              </w:rPr>
              <w:t>1、法定代表人参加的，必须携带法定代表人身份证明及其身份证原件。</w:t>
            </w:r>
          </w:p>
          <w:p>
            <w:pPr>
              <w:spacing w:line="360" w:lineRule="exact"/>
              <w:rPr>
                <w:rFonts w:ascii="宋体" w:hAnsi="宋体"/>
                <w:szCs w:val="21"/>
              </w:rPr>
            </w:pPr>
            <w:r>
              <w:rPr>
                <w:rFonts w:hint="eastAsia" w:ascii="宋体" w:hAnsi="宋体"/>
                <w:szCs w:val="21"/>
              </w:rPr>
              <w:t>2、委托代理人参加的，必须携带法人授权委托书及其身份证原件。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4" w:type="dxa"/>
            <w:vAlign w:val="center"/>
          </w:tcPr>
          <w:p>
            <w:pPr>
              <w:spacing w:line="360" w:lineRule="exact"/>
              <w:jc w:val="center"/>
              <w:rPr>
                <w:rFonts w:ascii="宋体" w:hAnsi="宋体"/>
                <w:szCs w:val="21"/>
              </w:rPr>
            </w:pPr>
            <w:r>
              <w:rPr>
                <w:rFonts w:hint="eastAsia" w:ascii="宋体" w:hAnsi="宋体"/>
                <w:szCs w:val="21"/>
              </w:rPr>
              <w:t>13</w:t>
            </w:r>
          </w:p>
        </w:tc>
        <w:tc>
          <w:tcPr>
            <w:tcW w:w="900" w:type="dxa"/>
            <w:vAlign w:val="center"/>
          </w:tcPr>
          <w:p>
            <w:pPr>
              <w:spacing w:line="360" w:lineRule="exact"/>
              <w:jc w:val="center"/>
              <w:rPr>
                <w:rFonts w:ascii="宋体" w:hAnsi="宋体"/>
                <w:szCs w:val="21"/>
              </w:rPr>
            </w:pPr>
            <w:r>
              <w:rPr>
                <w:rFonts w:hint="eastAsia" w:ascii="宋体" w:hAnsi="宋体"/>
                <w:szCs w:val="21"/>
              </w:rPr>
              <w:t>18.4.3</w:t>
            </w:r>
          </w:p>
        </w:tc>
        <w:tc>
          <w:tcPr>
            <w:tcW w:w="7884" w:type="dxa"/>
            <w:vAlign w:val="center"/>
          </w:tcPr>
          <w:p>
            <w:pPr>
              <w:spacing w:line="360" w:lineRule="exact"/>
              <w:rPr>
                <w:rFonts w:ascii="宋体" w:hAnsi="宋体"/>
                <w:szCs w:val="21"/>
              </w:rPr>
            </w:pPr>
            <w:r>
              <w:rPr>
                <w:rFonts w:hint="eastAsia" w:ascii="宋体" w:hAnsi="宋体"/>
                <w:szCs w:val="21"/>
              </w:rPr>
              <w:t>磋商顺序：按递交响应文件的先后顺序。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4" w:type="dxa"/>
            <w:vAlign w:val="center"/>
          </w:tcPr>
          <w:p>
            <w:pPr>
              <w:spacing w:line="360" w:lineRule="exact"/>
              <w:jc w:val="center"/>
              <w:rPr>
                <w:rFonts w:ascii="宋体" w:hAnsi="宋体"/>
                <w:szCs w:val="21"/>
              </w:rPr>
            </w:pPr>
            <w:r>
              <w:rPr>
                <w:rFonts w:hint="eastAsia" w:ascii="宋体" w:hAnsi="宋体"/>
                <w:szCs w:val="21"/>
              </w:rPr>
              <w:t>14</w:t>
            </w:r>
          </w:p>
        </w:tc>
        <w:tc>
          <w:tcPr>
            <w:tcW w:w="900" w:type="dxa"/>
            <w:vAlign w:val="center"/>
          </w:tcPr>
          <w:p>
            <w:pPr>
              <w:spacing w:line="360" w:lineRule="exact"/>
              <w:jc w:val="center"/>
              <w:rPr>
                <w:rFonts w:ascii="宋体" w:hAnsi="宋体"/>
                <w:szCs w:val="21"/>
              </w:rPr>
            </w:pPr>
            <w:r>
              <w:rPr>
                <w:rFonts w:hint="eastAsia" w:ascii="宋体" w:hAnsi="宋体"/>
                <w:szCs w:val="21"/>
              </w:rPr>
              <w:t>26</w:t>
            </w:r>
          </w:p>
        </w:tc>
        <w:tc>
          <w:tcPr>
            <w:tcW w:w="7884" w:type="dxa"/>
            <w:vAlign w:val="center"/>
          </w:tcPr>
          <w:p>
            <w:pPr>
              <w:spacing w:line="360" w:lineRule="exact"/>
              <w:rPr>
                <w:rFonts w:ascii="宋体" w:hAnsi="宋体" w:cs="宋体"/>
                <w:szCs w:val="21"/>
              </w:rPr>
            </w:pPr>
            <w:r>
              <w:rPr>
                <w:rFonts w:hint="eastAsia" w:hAnsi="宋体"/>
              </w:rPr>
              <w:t>履</w:t>
            </w:r>
            <w:r>
              <w:rPr>
                <w:rFonts w:hint="eastAsia" w:ascii="宋体" w:hAnsi="宋体" w:cs="宋体"/>
                <w:szCs w:val="21"/>
              </w:rPr>
              <w:t>约保证金：需要缴纳履约保证金。履约保证金金额：按成交金额的3%收取。</w:t>
            </w:r>
          </w:p>
          <w:p>
            <w:pPr>
              <w:spacing w:line="360" w:lineRule="exact"/>
              <w:rPr>
                <w:rFonts w:ascii="宋体" w:hAnsi="宋体" w:cs="宋体"/>
                <w:szCs w:val="21"/>
              </w:rPr>
            </w:pPr>
            <w:r>
              <w:rPr>
                <w:rFonts w:hint="eastAsia" w:ascii="宋体" w:hAnsi="宋体" w:cs="宋体"/>
                <w:szCs w:val="21"/>
              </w:rPr>
              <w:t>履约保证金交纳方式：电汇、转帐、网上银行支付、保函等非现金形式。</w:t>
            </w:r>
          </w:p>
          <w:p>
            <w:pPr>
              <w:spacing w:line="360" w:lineRule="exact"/>
              <w:rPr>
                <w:rFonts w:ascii="宋体" w:hAnsi="宋体" w:cs="宋体"/>
                <w:szCs w:val="21"/>
              </w:rPr>
            </w:pPr>
            <w:r>
              <w:rPr>
                <w:rFonts w:hint="eastAsia" w:ascii="宋体" w:hAnsi="宋体" w:cs="宋体"/>
                <w:szCs w:val="21"/>
              </w:rPr>
              <w:t>履约保证金指定账户：</w:t>
            </w:r>
          </w:p>
          <w:p>
            <w:pPr>
              <w:spacing w:line="360" w:lineRule="exact"/>
              <w:rPr>
                <w:rFonts w:ascii="宋体" w:hAnsi="宋体" w:cs="宋体"/>
                <w:szCs w:val="21"/>
              </w:rPr>
            </w:pPr>
            <w:r>
              <w:rPr>
                <w:rFonts w:hint="eastAsia" w:ascii="宋体" w:hAnsi="宋体" w:cs="宋体"/>
                <w:szCs w:val="21"/>
              </w:rPr>
              <w:t>开户名称：防城港市十万大山国家级自然保护区管理局</w:t>
            </w:r>
          </w:p>
          <w:p>
            <w:pPr>
              <w:spacing w:line="360" w:lineRule="exact"/>
              <w:rPr>
                <w:rFonts w:ascii="宋体" w:hAnsi="宋体" w:cs="宋体"/>
                <w:szCs w:val="21"/>
              </w:rPr>
            </w:pPr>
            <w:r>
              <w:rPr>
                <w:rFonts w:hint="eastAsia" w:ascii="宋体" w:hAnsi="宋体" w:cs="宋体"/>
                <w:szCs w:val="21"/>
              </w:rPr>
              <w:t>开户银行：农行防城港港城支行</w:t>
            </w:r>
          </w:p>
          <w:p>
            <w:pPr>
              <w:spacing w:line="360" w:lineRule="exact"/>
              <w:rPr>
                <w:rFonts w:ascii="宋体" w:hAnsi="宋体"/>
                <w:szCs w:val="21"/>
              </w:rPr>
            </w:pPr>
            <w:r>
              <w:rPr>
                <w:rFonts w:hint="eastAsia" w:ascii="宋体" w:hAnsi="宋体" w:cs="宋体"/>
                <w:szCs w:val="21"/>
              </w:rPr>
              <w:t>银行账号：20775901040007496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684" w:type="dxa"/>
            <w:vAlign w:val="center"/>
          </w:tcPr>
          <w:p>
            <w:pPr>
              <w:spacing w:line="360" w:lineRule="exact"/>
              <w:jc w:val="center"/>
              <w:rPr>
                <w:rFonts w:ascii="宋体" w:hAnsi="宋体"/>
                <w:szCs w:val="21"/>
              </w:rPr>
            </w:pPr>
            <w:r>
              <w:rPr>
                <w:rFonts w:hint="eastAsia" w:ascii="宋体" w:hAnsi="宋体"/>
                <w:szCs w:val="21"/>
              </w:rPr>
              <w:t>15</w:t>
            </w:r>
          </w:p>
        </w:tc>
        <w:tc>
          <w:tcPr>
            <w:tcW w:w="900" w:type="dxa"/>
            <w:vAlign w:val="center"/>
          </w:tcPr>
          <w:p>
            <w:pPr>
              <w:spacing w:line="360" w:lineRule="exact"/>
              <w:jc w:val="center"/>
              <w:rPr>
                <w:rFonts w:ascii="宋体" w:hAnsi="宋体"/>
                <w:szCs w:val="21"/>
              </w:rPr>
            </w:pPr>
            <w:r>
              <w:rPr>
                <w:rFonts w:hint="eastAsia" w:ascii="宋体" w:hAnsi="宋体"/>
                <w:szCs w:val="21"/>
              </w:rPr>
              <w:t>其他内容</w:t>
            </w:r>
          </w:p>
        </w:tc>
        <w:tc>
          <w:tcPr>
            <w:tcW w:w="7884" w:type="dxa"/>
            <w:vAlign w:val="center"/>
          </w:tcPr>
          <w:p>
            <w:pPr>
              <w:spacing w:line="360" w:lineRule="exact"/>
              <w:ind w:firstLine="420" w:firstLineChars="200"/>
              <w:rPr>
                <w:rFonts w:ascii="宋体" w:hAnsi="宋体" w:cs="宋体"/>
                <w:szCs w:val="21"/>
              </w:rPr>
            </w:pPr>
            <w:r>
              <w:rPr>
                <w:rFonts w:hint="eastAsia" w:ascii="宋体" w:hAnsi="宋体" w:cs="宋体"/>
                <w:szCs w:val="21"/>
              </w:rPr>
              <w:t xml:space="preserve">1. </w:t>
            </w:r>
            <w:r>
              <w:rPr>
                <w:rFonts w:ascii="宋体" w:hAnsi="宋体" w:cs="宋体"/>
                <w:szCs w:val="21"/>
              </w:rPr>
              <w:t>本文件中描述</w:t>
            </w:r>
            <w:r>
              <w:rPr>
                <w:rFonts w:hint="eastAsia" w:ascii="宋体" w:hAnsi="宋体" w:cs="宋体"/>
                <w:szCs w:val="21"/>
              </w:rPr>
              <w:t>供应商</w:t>
            </w:r>
            <w:r>
              <w:rPr>
                <w:rFonts w:ascii="宋体" w:hAnsi="宋体" w:cs="宋体"/>
                <w:szCs w:val="21"/>
              </w:rPr>
              <w:t>的“公章”是指根据我国对公章的管理规定，用</w:t>
            </w:r>
            <w:r>
              <w:rPr>
                <w:rFonts w:hint="eastAsia" w:ascii="宋体" w:hAnsi="宋体" w:cs="宋体"/>
                <w:szCs w:val="21"/>
              </w:rPr>
              <w:t>供应商</w:t>
            </w:r>
            <w:r>
              <w:rPr>
                <w:rFonts w:ascii="宋体" w:hAnsi="宋体" w:cs="宋体"/>
                <w:szCs w:val="21"/>
              </w:rPr>
              <w:t>法定主体行为名称制作的印章，除本文件有特殊规定外，</w:t>
            </w:r>
            <w:r>
              <w:rPr>
                <w:rFonts w:hint="eastAsia" w:ascii="宋体" w:hAnsi="宋体" w:cs="宋体"/>
                <w:szCs w:val="21"/>
              </w:rPr>
              <w:t>供应商</w:t>
            </w:r>
            <w:r>
              <w:rPr>
                <w:rFonts w:ascii="宋体" w:hAnsi="宋体" w:cs="宋体"/>
                <w:szCs w:val="21"/>
              </w:rPr>
              <w:t>的财务章、部门章、分公司章、工会章、合同章、投标专用章、业务专用章及银行的转账章、现金收讫章、现金付讫章等其它形式印章均不能代替公章。</w:t>
            </w:r>
          </w:p>
          <w:p>
            <w:pPr>
              <w:spacing w:line="360" w:lineRule="exact"/>
              <w:ind w:firstLine="420" w:firstLineChars="200"/>
            </w:pPr>
            <w:r>
              <w:rPr>
                <w:rFonts w:hint="eastAsia" w:ascii="宋体" w:hAnsi="宋体" w:cs="宋体"/>
                <w:szCs w:val="21"/>
              </w:rPr>
              <w:t xml:space="preserve">2. </w:t>
            </w:r>
            <w:r>
              <w:rPr>
                <w:rFonts w:ascii="宋体" w:hAnsi="宋体" w:cs="宋体"/>
                <w:szCs w:val="21"/>
              </w:rPr>
              <w:t>本文件中描述</w:t>
            </w:r>
            <w:r>
              <w:rPr>
                <w:rFonts w:hint="eastAsia" w:ascii="宋体" w:hAnsi="宋体" w:cs="宋体"/>
                <w:szCs w:val="21"/>
              </w:rPr>
              <w:t>供应商</w:t>
            </w:r>
            <w:r>
              <w:rPr>
                <w:rFonts w:ascii="宋体" w:hAnsi="宋体" w:cs="宋体"/>
                <w:szCs w:val="21"/>
              </w:rPr>
              <w:t>的“</w:t>
            </w:r>
            <w:r>
              <w:rPr>
                <w:rFonts w:hint="eastAsia" w:ascii="宋体" w:hAnsi="宋体" w:cs="宋体"/>
                <w:szCs w:val="21"/>
              </w:rPr>
              <w:t>签字</w:t>
            </w:r>
            <w:r>
              <w:rPr>
                <w:rFonts w:ascii="宋体" w:hAnsi="宋体" w:cs="宋体"/>
                <w:szCs w:val="21"/>
              </w:rPr>
              <w:t>”是指</w:t>
            </w:r>
            <w:r>
              <w:rPr>
                <w:rFonts w:hint="eastAsia" w:ascii="宋体" w:hAnsi="宋体" w:cs="宋体"/>
                <w:szCs w:val="21"/>
              </w:rPr>
              <w:t>供应商的法定代表人或被授权人亲自在磋商文件规定签署处亲笔写上个人的名字的行为，私章、签字章、印鉴、影印等其它形式</w:t>
            </w:r>
            <w:r>
              <w:rPr>
                <w:rFonts w:ascii="宋体" w:hAnsi="宋体" w:cs="宋体"/>
                <w:szCs w:val="21"/>
              </w:rPr>
              <w:t>均不能代替</w:t>
            </w:r>
            <w:r>
              <w:rPr>
                <w:rFonts w:hint="eastAsia" w:ascii="宋体" w:hAnsi="宋体" w:cs="宋体"/>
                <w:szCs w:val="21"/>
              </w:rPr>
              <w:t>亲笔签字</w:t>
            </w:r>
            <w:r>
              <w:rPr>
                <w:rFonts w:ascii="宋体" w:hAnsi="宋体" w:cs="宋体"/>
                <w:szCs w:val="21"/>
              </w:rPr>
              <w:t>。</w:t>
            </w:r>
          </w:p>
        </w:tc>
      </w:tr>
    </w:tbl>
    <w:p>
      <w:pPr>
        <w:widowControl/>
        <w:jc w:val="left"/>
      </w:pPr>
    </w:p>
    <w:p>
      <w:pPr>
        <w:spacing w:line="400" w:lineRule="exact"/>
        <w:jc w:val="center"/>
        <w:rPr>
          <w:rFonts w:ascii="宋体" w:hAnsi="宋体"/>
          <w:b/>
          <w:sz w:val="32"/>
          <w:szCs w:val="32"/>
        </w:rPr>
      </w:pPr>
      <w:r>
        <w:rPr>
          <w:rFonts w:hint="eastAsia" w:ascii="宋体" w:hAnsi="宋体"/>
          <w:b/>
          <w:sz w:val="32"/>
          <w:szCs w:val="32"/>
        </w:rPr>
        <w:t xml:space="preserve">  供应商须知</w:t>
      </w:r>
    </w:p>
    <w:p>
      <w:pPr>
        <w:spacing w:line="360" w:lineRule="exact"/>
        <w:rPr>
          <w:rFonts w:ascii="宋体" w:hAnsi="宋体"/>
          <w:szCs w:val="21"/>
        </w:rPr>
      </w:pPr>
    </w:p>
    <w:p>
      <w:pPr>
        <w:spacing w:line="320" w:lineRule="exact"/>
        <w:ind w:firstLine="424" w:firstLineChars="201"/>
        <w:rPr>
          <w:rFonts w:ascii="宋体" w:hAnsi="宋体"/>
          <w:b/>
          <w:szCs w:val="21"/>
        </w:rPr>
      </w:pPr>
      <w:r>
        <w:rPr>
          <w:rFonts w:hint="eastAsia" w:ascii="宋体" w:hAnsi="宋体"/>
          <w:b/>
          <w:szCs w:val="21"/>
        </w:rPr>
        <w:t>一、总　则</w:t>
      </w:r>
    </w:p>
    <w:p>
      <w:pPr>
        <w:spacing w:line="320" w:lineRule="exact"/>
        <w:ind w:firstLine="424" w:firstLineChars="201"/>
        <w:rPr>
          <w:rFonts w:ascii="宋体" w:hAnsi="宋体"/>
          <w:b/>
          <w:szCs w:val="21"/>
        </w:rPr>
      </w:pPr>
      <w:r>
        <w:rPr>
          <w:rFonts w:hint="eastAsia" w:ascii="宋体" w:hAnsi="宋体"/>
          <w:b/>
          <w:szCs w:val="21"/>
        </w:rPr>
        <w:t>1. 适用范围</w:t>
      </w:r>
    </w:p>
    <w:p>
      <w:pPr>
        <w:spacing w:line="320" w:lineRule="exact"/>
        <w:ind w:firstLine="422" w:firstLineChars="201"/>
        <w:rPr>
          <w:rFonts w:ascii="宋体" w:hAnsi="宋体"/>
          <w:szCs w:val="21"/>
        </w:rPr>
      </w:pPr>
      <w:r>
        <w:rPr>
          <w:rFonts w:hint="eastAsia" w:ascii="宋体" w:hAnsi="宋体"/>
          <w:szCs w:val="21"/>
        </w:rPr>
        <w:t>1.1 本文件仅适用于本文件中所叙述的服务类采购项目。</w:t>
      </w:r>
    </w:p>
    <w:p>
      <w:pPr>
        <w:spacing w:line="320" w:lineRule="exact"/>
        <w:ind w:firstLine="424" w:firstLineChars="201"/>
        <w:rPr>
          <w:rFonts w:ascii="宋体" w:hAnsi="宋体"/>
          <w:b/>
          <w:szCs w:val="21"/>
        </w:rPr>
      </w:pPr>
      <w:r>
        <w:rPr>
          <w:rFonts w:hint="eastAsia" w:ascii="宋体" w:hAnsi="宋体"/>
          <w:b/>
          <w:szCs w:val="21"/>
        </w:rPr>
        <w:t>2. 定义</w:t>
      </w:r>
    </w:p>
    <w:p>
      <w:pPr>
        <w:spacing w:line="320" w:lineRule="exact"/>
        <w:ind w:firstLine="422" w:firstLineChars="201"/>
        <w:rPr>
          <w:rFonts w:ascii="宋体" w:hAnsi="宋体"/>
          <w:szCs w:val="21"/>
        </w:rPr>
      </w:pPr>
      <w:r>
        <w:rPr>
          <w:rFonts w:hint="eastAsia" w:ascii="宋体" w:hAnsi="宋体"/>
          <w:szCs w:val="21"/>
        </w:rPr>
        <w:t>2.1“采购人”是指：</w:t>
      </w:r>
      <w:r>
        <w:rPr>
          <w:rFonts w:hint="eastAsia" w:ascii="宋体" w:hAnsi="宋体"/>
          <w:szCs w:val="21"/>
          <w:u w:val="single"/>
        </w:rPr>
        <w:t>防城港市十万大山国家级自然保护区管理局</w:t>
      </w:r>
    </w:p>
    <w:p>
      <w:pPr>
        <w:spacing w:line="320" w:lineRule="exact"/>
        <w:ind w:firstLine="422" w:firstLineChars="201"/>
        <w:rPr>
          <w:rFonts w:ascii="宋体" w:hAnsi="宋体"/>
          <w:szCs w:val="21"/>
          <w:u w:val="single"/>
        </w:rPr>
      </w:pPr>
      <w:r>
        <w:rPr>
          <w:rFonts w:hint="eastAsia" w:ascii="宋体" w:hAnsi="宋体"/>
          <w:szCs w:val="21"/>
        </w:rPr>
        <w:t>2.2“采购代理机构”是指：</w:t>
      </w:r>
      <w:r>
        <w:rPr>
          <w:rFonts w:hint="eastAsia" w:ascii="宋体" w:hAnsi="宋体"/>
          <w:szCs w:val="21"/>
          <w:u w:val="single"/>
        </w:rPr>
        <w:t>广西科联招标中心有限公司</w:t>
      </w:r>
    </w:p>
    <w:p>
      <w:pPr>
        <w:spacing w:line="320" w:lineRule="exact"/>
        <w:ind w:firstLine="422" w:firstLineChars="201"/>
        <w:rPr>
          <w:rFonts w:ascii="宋体" w:hAnsi="宋体"/>
          <w:szCs w:val="21"/>
        </w:rPr>
      </w:pPr>
      <w:r>
        <w:rPr>
          <w:rFonts w:hint="eastAsia" w:ascii="宋体" w:hAnsi="宋体"/>
          <w:szCs w:val="21"/>
        </w:rPr>
        <w:t>2.3“供应商”是指响应本文件要求，参加磋商的法人或者其他组织。如果该供应商在本次磋商中成交，即成为“成交供应商”。</w:t>
      </w:r>
    </w:p>
    <w:p>
      <w:pPr>
        <w:spacing w:line="320" w:lineRule="exact"/>
        <w:ind w:firstLine="422" w:firstLineChars="201"/>
        <w:rPr>
          <w:rFonts w:ascii="宋体" w:hAnsi="宋体"/>
          <w:szCs w:val="21"/>
        </w:rPr>
      </w:pPr>
      <w:r>
        <w:rPr>
          <w:rFonts w:hint="eastAsia" w:ascii="宋体" w:hAnsi="宋体"/>
          <w:szCs w:val="21"/>
        </w:rPr>
        <w:t>2.4“货物”是指各种形态和种类的物品，包括原材料、燃料、设备、产品等。</w:t>
      </w:r>
    </w:p>
    <w:p>
      <w:pPr>
        <w:spacing w:line="320" w:lineRule="exact"/>
        <w:ind w:firstLine="422" w:firstLineChars="201"/>
        <w:rPr>
          <w:rFonts w:ascii="宋体" w:hAnsi="宋体"/>
          <w:szCs w:val="21"/>
        </w:rPr>
      </w:pPr>
      <w:r>
        <w:rPr>
          <w:rFonts w:hint="eastAsia" w:ascii="宋体" w:hAnsi="宋体"/>
          <w:szCs w:val="21"/>
        </w:rPr>
        <w:t>2.5“服务”是指除货物和工程以外的其他采购对象。</w:t>
      </w:r>
    </w:p>
    <w:p>
      <w:pPr>
        <w:spacing w:line="320" w:lineRule="exact"/>
        <w:ind w:firstLine="422" w:firstLineChars="201"/>
        <w:rPr>
          <w:rFonts w:ascii="宋体" w:hAnsi="宋体"/>
          <w:szCs w:val="21"/>
        </w:rPr>
      </w:pPr>
      <w:r>
        <w:rPr>
          <w:rFonts w:hint="eastAsia" w:ascii="宋体" w:hAnsi="宋体"/>
          <w:szCs w:val="21"/>
        </w:rPr>
        <w:t>2.6“响应文件”是指：供应商根据本文件要求，编制包含报价、技术和服务等所有内容的响应文件。</w:t>
      </w:r>
    </w:p>
    <w:p>
      <w:pPr>
        <w:spacing w:line="320" w:lineRule="exact"/>
        <w:ind w:firstLine="424" w:firstLineChars="201"/>
        <w:rPr>
          <w:rFonts w:ascii="宋体" w:hAnsi="宋体"/>
          <w:b/>
          <w:szCs w:val="21"/>
        </w:rPr>
      </w:pPr>
      <w:r>
        <w:rPr>
          <w:rFonts w:hint="eastAsia" w:ascii="宋体" w:hAnsi="宋体"/>
          <w:b/>
          <w:szCs w:val="21"/>
        </w:rPr>
        <w:t>3. 供应商的基本条件</w:t>
      </w:r>
    </w:p>
    <w:p>
      <w:pPr>
        <w:spacing w:line="360" w:lineRule="exact"/>
        <w:ind w:firstLine="420" w:firstLineChars="200"/>
      </w:pPr>
      <w:r>
        <w:rPr>
          <w:rFonts w:hint="eastAsia"/>
        </w:rPr>
        <w:t>3.1.满足《中华人民共和国政府采购法》第二十二条规定；</w:t>
      </w:r>
    </w:p>
    <w:p>
      <w:pPr>
        <w:spacing w:line="360" w:lineRule="exact"/>
        <w:ind w:firstLine="420" w:firstLineChars="200"/>
      </w:pPr>
      <w:r>
        <w:rPr>
          <w:rFonts w:hint="eastAsia"/>
        </w:rPr>
        <w:t>3.2.落实政府采购政策需满足的资格要求：无；</w:t>
      </w:r>
    </w:p>
    <w:p>
      <w:pPr>
        <w:spacing w:line="360" w:lineRule="exact"/>
        <w:ind w:firstLine="420" w:firstLineChars="200"/>
      </w:pPr>
      <w:r>
        <w:rPr>
          <w:rFonts w:hint="eastAsia"/>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20" w:firstLineChars="200"/>
      </w:pPr>
      <w:r>
        <w:rPr>
          <w:rFonts w:hint="eastAsia"/>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20" w:lineRule="exact"/>
        <w:ind w:firstLine="422" w:firstLineChars="201"/>
      </w:pPr>
      <w:r>
        <w:rPr>
          <w:rFonts w:hint="eastAsia"/>
        </w:rPr>
        <w:t>3.5.本项目的特定资格要求：供应商具备林业调查规划设计丙级以上（含丙级）资质。</w:t>
      </w:r>
    </w:p>
    <w:p>
      <w:pPr>
        <w:spacing w:line="320" w:lineRule="exact"/>
        <w:ind w:firstLine="424" w:firstLineChars="201"/>
        <w:rPr>
          <w:rFonts w:ascii="宋体" w:hAnsi="宋体"/>
          <w:b/>
          <w:szCs w:val="21"/>
        </w:rPr>
      </w:pPr>
      <w:r>
        <w:rPr>
          <w:rFonts w:hint="eastAsia" w:ascii="宋体" w:hAnsi="宋体"/>
          <w:b/>
          <w:szCs w:val="21"/>
        </w:rPr>
        <w:t>4. 磋商费用</w:t>
      </w:r>
    </w:p>
    <w:p>
      <w:pPr>
        <w:spacing w:line="320" w:lineRule="exact"/>
        <w:ind w:firstLine="422" w:firstLineChars="201"/>
        <w:rPr>
          <w:rFonts w:ascii="宋体" w:hAnsi="宋体"/>
          <w:szCs w:val="21"/>
        </w:rPr>
      </w:pPr>
      <w:r>
        <w:rPr>
          <w:rFonts w:hint="eastAsia" w:ascii="宋体" w:hAnsi="宋体"/>
          <w:szCs w:val="21"/>
        </w:rPr>
        <w:t>4.1不论磋商结果如何，供应商应自行承担所有与编写和提交响应文件有关的费用，采购人和采购代理机构在任何情况下无义务和责任承担此类费用。</w:t>
      </w:r>
    </w:p>
    <w:p>
      <w:pPr>
        <w:spacing w:line="320" w:lineRule="exact"/>
        <w:ind w:firstLine="422" w:firstLineChars="201"/>
        <w:rPr>
          <w:rFonts w:ascii="宋体" w:hAnsi="宋体"/>
          <w:szCs w:val="21"/>
        </w:rPr>
      </w:pPr>
      <w:r>
        <w:rPr>
          <w:rFonts w:hint="eastAsia" w:ascii="宋体" w:hAnsi="宋体"/>
          <w:szCs w:val="21"/>
        </w:rPr>
        <w:t>4.2本项目代理服务费：见本须知前附表。</w:t>
      </w:r>
    </w:p>
    <w:p>
      <w:pPr>
        <w:spacing w:line="320" w:lineRule="exact"/>
        <w:ind w:firstLine="424" w:firstLineChars="201"/>
        <w:rPr>
          <w:rFonts w:ascii="宋体" w:hAnsi="宋体"/>
          <w:b/>
          <w:szCs w:val="21"/>
        </w:rPr>
      </w:pPr>
      <w:r>
        <w:rPr>
          <w:rFonts w:hint="eastAsia" w:ascii="宋体" w:hAnsi="宋体"/>
          <w:b/>
          <w:szCs w:val="21"/>
        </w:rPr>
        <w:t>二、磋商文件</w:t>
      </w:r>
    </w:p>
    <w:p>
      <w:pPr>
        <w:spacing w:line="320" w:lineRule="exact"/>
        <w:ind w:firstLine="424" w:firstLineChars="201"/>
        <w:rPr>
          <w:rFonts w:ascii="宋体" w:hAnsi="宋体"/>
          <w:b/>
          <w:szCs w:val="21"/>
        </w:rPr>
      </w:pPr>
      <w:r>
        <w:rPr>
          <w:rFonts w:hint="eastAsia" w:ascii="宋体" w:hAnsi="宋体"/>
          <w:b/>
          <w:szCs w:val="21"/>
        </w:rPr>
        <w:t>5.磋商文件的组成</w:t>
      </w:r>
    </w:p>
    <w:p>
      <w:pPr>
        <w:spacing w:line="320" w:lineRule="exact"/>
        <w:ind w:firstLine="422" w:firstLineChars="201"/>
        <w:rPr>
          <w:rFonts w:ascii="宋体" w:hAnsi="宋体"/>
          <w:szCs w:val="21"/>
        </w:rPr>
      </w:pPr>
      <w:r>
        <w:rPr>
          <w:rFonts w:hint="eastAsia" w:ascii="宋体" w:hAnsi="宋体"/>
          <w:szCs w:val="21"/>
        </w:rPr>
        <w:t>（1）磋商公告；</w:t>
      </w:r>
    </w:p>
    <w:p>
      <w:pPr>
        <w:spacing w:line="320" w:lineRule="exact"/>
        <w:ind w:firstLine="422" w:firstLineChars="201"/>
        <w:rPr>
          <w:rFonts w:ascii="宋体" w:hAnsi="宋体"/>
          <w:szCs w:val="21"/>
        </w:rPr>
      </w:pPr>
      <w:r>
        <w:rPr>
          <w:rFonts w:hint="eastAsia" w:ascii="宋体" w:hAnsi="宋体"/>
          <w:szCs w:val="21"/>
        </w:rPr>
        <w:t>（2）磋商须知；</w:t>
      </w:r>
    </w:p>
    <w:p>
      <w:pPr>
        <w:spacing w:line="320" w:lineRule="exact"/>
        <w:ind w:firstLine="422" w:firstLineChars="201"/>
        <w:rPr>
          <w:rFonts w:ascii="宋体" w:hAnsi="宋体"/>
          <w:szCs w:val="21"/>
        </w:rPr>
      </w:pPr>
      <w:r>
        <w:rPr>
          <w:rFonts w:hint="eastAsia" w:ascii="宋体" w:hAnsi="宋体"/>
          <w:szCs w:val="21"/>
        </w:rPr>
        <w:t>（3）项目需求；</w:t>
      </w:r>
    </w:p>
    <w:p>
      <w:pPr>
        <w:spacing w:line="320" w:lineRule="exact"/>
        <w:ind w:firstLine="422" w:firstLineChars="201"/>
        <w:rPr>
          <w:rFonts w:ascii="宋体" w:hAnsi="宋体"/>
          <w:szCs w:val="21"/>
        </w:rPr>
      </w:pPr>
      <w:r>
        <w:rPr>
          <w:rFonts w:hint="eastAsia" w:ascii="宋体" w:hAnsi="宋体"/>
          <w:szCs w:val="21"/>
        </w:rPr>
        <w:t>（4）评审办法和定标标准；</w:t>
      </w:r>
    </w:p>
    <w:p>
      <w:pPr>
        <w:spacing w:line="320" w:lineRule="exact"/>
        <w:ind w:firstLine="422" w:firstLineChars="201"/>
        <w:rPr>
          <w:rFonts w:ascii="宋体" w:hAnsi="宋体"/>
          <w:szCs w:val="21"/>
        </w:rPr>
      </w:pPr>
      <w:r>
        <w:rPr>
          <w:rFonts w:hint="eastAsia" w:ascii="宋体" w:hAnsi="宋体"/>
          <w:szCs w:val="21"/>
        </w:rPr>
        <w:t>（5）响应文件格式；</w:t>
      </w:r>
    </w:p>
    <w:p>
      <w:pPr>
        <w:spacing w:line="320" w:lineRule="exact"/>
        <w:ind w:firstLine="422" w:firstLineChars="201"/>
        <w:rPr>
          <w:rFonts w:ascii="宋体" w:hAnsi="宋体"/>
          <w:szCs w:val="21"/>
        </w:rPr>
      </w:pPr>
      <w:r>
        <w:rPr>
          <w:rFonts w:hint="eastAsia" w:ascii="宋体" w:hAnsi="宋体"/>
          <w:szCs w:val="21"/>
        </w:rPr>
        <w:t>（6）合同主要条款；</w:t>
      </w:r>
    </w:p>
    <w:p>
      <w:pPr>
        <w:spacing w:line="320" w:lineRule="exact"/>
        <w:ind w:firstLine="422" w:firstLineChars="201"/>
        <w:rPr>
          <w:rFonts w:ascii="宋体" w:hAnsi="宋体"/>
          <w:szCs w:val="21"/>
        </w:rPr>
      </w:pPr>
      <w:r>
        <w:rPr>
          <w:rFonts w:hint="eastAsia" w:ascii="宋体" w:hAnsi="宋体"/>
          <w:szCs w:val="21"/>
        </w:rPr>
        <w:t>（7）其他资料。</w:t>
      </w:r>
    </w:p>
    <w:p>
      <w:pPr>
        <w:spacing w:line="320" w:lineRule="exact"/>
        <w:ind w:firstLine="424" w:firstLineChars="201"/>
        <w:rPr>
          <w:rFonts w:ascii="宋体" w:hAnsi="宋体"/>
          <w:b/>
          <w:szCs w:val="21"/>
        </w:rPr>
      </w:pPr>
      <w:r>
        <w:rPr>
          <w:rFonts w:hint="eastAsia" w:ascii="宋体" w:hAnsi="宋体"/>
          <w:b/>
          <w:szCs w:val="21"/>
        </w:rPr>
        <w:t>6.磋商文件的澄清或修改</w:t>
      </w:r>
    </w:p>
    <w:p>
      <w:pPr>
        <w:spacing w:line="320" w:lineRule="exact"/>
        <w:ind w:firstLine="422" w:firstLineChars="201"/>
        <w:rPr>
          <w:rFonts w:ascii="宋体" w:hAnsi="宋体"/>
          <w:szCs w:val="21"/>
        </w:rPr>
      </w:pPr>
      <w:r>
        <w:rPr>
          <w:rFonts w:ascii="宋体" w:hAnsi="宋体"/>
          <w:szCs w:val="21"/>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320" w:lineRule="exact"/>
        <w:ind w:firstLine="424" w:firstLineChars="201"/>
        <w:rPr>
          <w:rFonts w:ascii="宋体" w:hAnsi="宋体"/>
          <w:b/>
          <w:szCs w:val="21"/>
        </w:rPr>
      </w:pPr>
      <w:r>
        <w:rPr>
          <w:rFonts w:hint="eastAsia" w:ascii="宋体" w:hAnsi="宋体"/>
          <w:b/>
          <w:szCs w:val="21"/>
        </w:rPr>
        <w:t>7.现场考察或答疑会</w:t>
      </w:r>
    </w:p>
    <w:p>
      <w:pPr>
        <w:spacing w:line="320" w:lineRule="exact"/>
        <w:ind w:firstLine="422" w:firstLineChars="201"/>
      </w:pPr>
      <w:r>
        <w:rPr>
          <w:rFonts w:hint="eastAsia" w:ascii="宋体" w:hAnsi="宋体"/>
          <w:szCs w:val="21"/>
        </w:rPr>
        <w:t>7.1不组织。供应商自行考察现场。</w:t>
      </w:r>
    </w:p>
    <w:p>
      <w:pPr>
        <w:spacing w:line="320" w:lineRule="exact"/>
        <w:ind w:firstLine="424" w:firstLineChars="201"/>
        <w:rPr>
          <w:rFonts w:ascii="宋体" w:hAnsi="宋体"/>
          <w:b/>
          <w:szCs w:val="21"/>
        </w:rPr>
      </w:pPr>
      <w:r>
        <w:rPr>
          <w:rFonts w:hint="eastAsia" w:ascii="宋体" w:hAnsi="宋体"/>
          <w:b/>
          <w:szCs w:val="21"/>
        </w:rPr>
        <w:t>三、响应文件</w:t>
      </w:r>
    </w:p>
    <w:p>
      <w:pPr>
        <w:spacing w:line="320" w:lineRule="exact"/>
        <w:ind w:firstLine="424" w:firstLineChars="201"/>
        <w:rPr>
          <w:rFonts w:ascii="宋体" w:hAnsi="宋体"/>
          <w:b/>
          <w:szCs w:val="21"/>
        </w:rPr>
      </w:pPr>
      <w:r>
        <w:rPr>
          <w:rFonts w:hint="eastAsia" w:ascii="宋体" w:hAnsi="宋体"/>
          <w:b/>
          <w:szCs w:val="21"/>
        </w:rPr>
        <w:t>8.1响应文件的组成：</w:t>
      </w:r>
      <w:r>
        <w:rPr>
          <w:rFonts w:hint="eastAsia" w:ascii="宋体" w:hAnsi="宋体"/>
          <w:szCs w:val="21"/>
        </w:rPr>
        <w:t>具体材料详见本须知前附表</w:t>
      </w:r>
      <w:r>
        <w:rPr>
          <w:rFonts w:hint="eastAsia" w:ascii="宋体" w:hAnsi="宋体"/>
          <w:b/>
          <w:szCs w:val="21"/>
        </w:rPr>
        <w:t>（文件均须加盖竞标单位公章；应该有的必须提供，如未提供，磋商小组有权拒绝其响应文件）</w:t>
      </w:r>
      <w:r>
        <w:rPr>
          <w:rFonts w:hint="eastAsia" w:ascii="宋体" w:hAnsi="宋体"/>
          <w:szCs w:val="21"/>
        </w:rPr>
        <w:t>。</w:t>
      </w:r>
    </w:p>
    <w:p>
      <w:pPr>
        <w:spacing w:line="320" w:lineRule="exact"/>
        <w:ind w:firstLine="424" w:firstLineChars="201"/>
        <w:rPr>
          <w:rFonts w:ascii="宋体" w:hAnsi="宋体"/>
          <w:b/>
          <w:szCs w:val="21"/>
        </w:rPr>
      </w:pPr>
      <w:r>
        <w:rPr>
          <w:rFonts w:hint="eastAsia" w:ascii="宋体" w:hAnsi="宋体"/>
          <w:b/>
          <w:szCs w:val="21"/>
        </w:rPr>
        <w:t>9. 响应文件编制要求</w:t>
      </w:r>
    </w:p>
    <w:p>
      <w:pPr>
        <w:spacing w:line="320" w:lineRule="exact"/>
        <w:ind w:firstLine="422" w:firstLineChars="201"/>
        <w:rPr>
          <w:rFonts w:ascii="宋体" w:hAnsi="宋体"/>
          <w:szCs w:val="21"/>
        </w:rPr>
      </w:pPr>
      <w:r>
        <w:rPr>
          <w:rFonts w:hint="eastAsia" w:ascii="宋体" w:hAnsi="宋体"/>
          <w:szCs w:val="21"/>
        </w:rPr>
        <w:t>9.1供应商对响应文件的编制应按要求装订和封装。</w:t>
      </w:r>
    </w:p>
    <w:p>
      <w:pPr>
        <w:spacing w:line="320" w:lineRule="exact"/>
        <w:ind w:firstLine="422" w:firstLineChars="201"/>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320" w:lineRule="exact"/>
        <w:ind w:firstLine="422" w:firstLineChars="201"/>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320" w:lineRule="exact"/>
        <w:ind w:firstLine="422" w:firstLineChars="201"/>
        <w:rPr>
          <w:rFonts w:ascii="宋体" w:hAnsi="宋体"/>
          <w:szCs w:val="21"/>
        </w:rPr>
      </w:pPr>
      <w:r>
        <w:rPr>
          <w:rFonts w:hint="eastAsia" w:ascii="宋体" w:hAnsi="宋体"/>
          <w:szCs w:val="21"/>
        </w:rPr>
        <w:t>9.4响应文件必须按本文件的全部内容，包括所有的补充通知及附件进行编制。</w:t>
      </w:r>
    </w:p>
    <w:p>
      <w:pPr>
        <w:spacing w:line="320" w:lineRule="exact"/>
        <w:ind w:firstLine="422" w:firstLineChars="201"/>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320" w:lineRule="exact"/>
        <w:ind w:firstLine="424" w:firstLineChars="201"/>
        <w:rPr>
          <w:rFonts w:ascii="宋体" w:hAnsi="宋体"/>
          <w:b/>
          <w:szCs w:val="21"/>
        </w:rPr>
      </w:pPr>
      <w:r>
        <w:rPr>
          <w:rFonts w:hint="eastAsia" w:ascii="宋体" w:hAnsi="宋体"/>
          <w:b/>
          <w:szCs w:val="21"/>
        </w:rPr>
        <w:t>10. 计量单位</w:t>
      </w:r>
    </w:p>
    <w:p>
      <w:pPr>
        <w:spacing w:line="320" w:lineRule="exact"/>
        <w:ind w:firstLine="422" w:firstLineChars="201"/>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320" w:lineRule="exact"/>
        <w:ind w:firstLine="424" w:firstLineChars="201"/>
        <w:rPr>
          <w:rFonts w:ascii="宋体" w:hAnsi="宋体"/>
          <w:b/>
          <w:szCs w:val="21"/>
        </w:rPr>
      </w:pPr>
      <w:r>
        <w:rPr>
          <w:rFonts w:hint="eastAsia" w:ascii="宋体" w:hAnsi="宋体"/>
          <w:b/>
          <w:szCs w:val="21"/>
        </w:rPr>
        <w:t>11.响应文件有效期</w:t>
      </w:r>
    </w:p>
    <w:p>
      <w:pPr>
        <w:spacing w:line="320" w:lineRule="exact"/>
        <w:ind w:firstLine="422" w:firstLineChars="201"/>
        <w:rPr>
          <w:rFonts w:ascii="宋体" w:hAnsi="宋体"/>
          <w:szCs w:val="21"/>
        </w:rPr>
      </w:pPr>
      <w:r>
        <w:rPr>
          <w:rFonts w:hint="eastAsia" w:ascii="宋体" w:hAnsi="宋体"/>
          <w:szCs w:val="21"/>
        </w:rPr>
        <w:t>11.1响应文件有效期按须知前附表规定的期限，有效期不足的响应文件按无效处理。</w:t>
      </w:r>
    </w:p>
    <w:p>
      <w:pPr>
        <w:spacing w:line="320" w:lineRule="exact"/>
        <w:ind w:firstLine="422" w:firstLineChars="201"/>
        <w:rPr>
          <w:rFonts w:ascii="宋体" w:hAnsi="宋体"/>
          <w:szCs w:val="21"/>
        </w:rPr>
      </w:pPr>
      <w:bookmarkStart w:id="34" w:name="_Toc254970681"/>
      <w:bookmarkStart w:id="35" w:name="_Toc254970540"/>
      <w:r>
        <w:rPr>
          <w:rFonts w:hint="eastAsia" w:ascii="宋体" w:hAnsi="宋体"/>
          <w:szCs w:val="21"/>
        </w:rPr>
        <w:t>11.2未成交的响应文件有效期内均应保持有效。</w:t>
      </w:r>
      <w:bookmarkEnd w:id="34"/>
      <w:bookmarkEnd w:id="35"/>
    </w:p>
    <w:p>
      <w:pPr>
        <w:spacing w:line="320" w:lineRule="exact"/>
        <w:ind w:firstLine="422" w:firstLineChars="201"/>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320" w:lineRule="exact"/>
        <w:ind w:firstLine="424" w:firstLineChars="201"/>
        <w:rPr>
          <w:rFonts w:ascii="宋体" w:hAnsi="宋体"/>
          <w:b/>
          <w:szCs w:val="21"/>
        </w:rPr>
      </w:pPr>
      <w:r>
        <w:rPr>
          <w:rFonts w:hint="eastAsia" w:ascii="宋体" w:hAnsi="宋体"/>
          <w:b/>
          <w:szCs w:val="21"/>
        </w:rPr>
        <w:t>12.磋商报价要求</w:t>
      </w:r>
    </w:p>
    <w:p>
      <w:pPr>
        <w:snapToGrid w:val="0"/>
        <w:spacing w:line="360" w:lineRule="exact"/>
        <w:ind w:firstLine="422" w:firstLineChars="201"/>
        <w:rPr>
          <w:rFonts w:ascii="宋体" w:hAnsi="宋体"/>
          <w:szCs w:val="21"/>
        </w:rPr>
      </w:pPr>
      <w:r>
        <w:rPr>
          <w:rFonts w:hint="eastAsia" w:ascii="宋体" w:hAnsi="宋体"/>
          <w:szCs w:val="21"/>
        </w:rPr>
        <w:t>12.1报价是履行合同的最终价格，应包含本次服务采购所聘用人员的工资和社保（五险）、利润、税金及其它所有成本费用的总和。对于本文件中未列明，而供应商认为必需的费用也需列入总报价。在合同实施时，采购人将不予支付成交供应商没有列入的项目费用，并认为此项目的费用已包括在总报价中。</w:t>
      </w:r>
    </w:p>
    <w:p>
      <w:pPr>
        <w:snapToGrid w:val="0"/>
        <w:spacing w:line="360" w:lineRule="exact"/>
        <w:ind w:firstLine="422" w:firstLineChars="201"/>
        <w:rPr>
          <w:rFonts w:ascii="宋体" w:hAnsi="宋体"/>
          <w:szCs w:val="21"/>
        </w:rPr>
      </w:pPr>
      <w:r>
        <w:rPr>
          <w:rFonts w:hint="eastAsia" w:ascii="宋体" w:hAnsi="宋体"/>
          <w:szCs w:val="21"/>
        </w:rPr>
        <w:t>12.2成交供应商负责本项目所需货物的制造、运输、售后服务等全部工作。</w:t>
      </w:r>
    </w:p>
    <w:p>
      <w:pPr>
        <w:spacing w:line="320" w:lineRule="exact"/>
        <w:ind w:firstLine="424" w:firstLineChars="201"/>
        <w:rPr>
          <w:rFonts w:ascii="宋体" w:hAnsi="宋体"/>
          <w:b/>
          <w:szCs w:val="21"/>
        </w:rPr>
      </w:pPr>
      <w:r>
        <w:rPr>
          <w:rFonts w:hint="eastAsia" w:ascii="宋体" w:hAnsi="宋体"/>
          <w:b/>
          <w:szCs w:val="21"/>
        </w:rPr>
        <w:t>13.响应文件的份数、封装</w:t>
      </w:r>
    </w:p>
    <w:p>
      <w:pPr>
        <w:snapToGrid w:val="0"/>
        <w:spacing w:line="360" w:lineRule="exact"/>
        <w:ind w:firstLine="422" w:firstLineChars="201"/>
        <w:rPr>
          <w:rFonts w:ascii="宋体" w:hAnsi="宋体"/>
          <w:szCs w:val="21"/>
        </w:rPr>
      </w:pPr>
      <w:r>
        <w:rPr>
          <w:rFonts w:hint="eastAsia" w:ascii="宋体" w:hAnsi="宋体"/>
          <w:szCs w:val="21"/>
        </w:rPr>
        <w:t>13.响应文件的份数和封装</w:t>
      </w:r>
    </w:p>
    <w:p>
      <w:pPr>
        <w:snapToGrid w:val="0"/>
        <w:spacing w:line="360" w:lineRule="exact"/>
        <w:ind w:firstLine="422" w:firstLineChars="201"/>
        <w:rPr>
          <w:rFonts w:ascii="宋体" w:hAnsi="宋体"/>
          <w:szCs w:val="21"/>
        </w:rPr>
      </w:pPr>
      <w:r>
        <w:rPr>
          <w:rFonts w:hint="eastAsia" w:ascii="宋体" w:hAnsi="宋体"/>
          <w:szCs w:val="21"/>
        </w:rPr>
        <w:t>13.1供应商应将响应文件按顺序编制并装订成册，响应文件的正、副本全部</w:t>
      </w:r>
      <w:r>
        <w:rPr>
          <w:rFonts w:hint="eastAsia"/>
        </w:rPr>
        <w:t>装入一个文件袋</w:t>
      </w:r>
      <w:r>
        <w:rPr>
          <w:rFonts w:hint="eastAsia" w:ascii="宋体" w:hAnsi="宋体"/>
          <w:szCs w:val="21"/>
        </w:rPr>
        <w:t>（盒、箱）</w:t>
      </w:r>
      <w:r>
        <w:rPr>
          <w:rFonts w:hint="eastAsia"/>
        </w:rPr>
        <w:t>中并加以密封，封口处必须加盖供应商单位公章以示密封。</w:t>
      </w:r>
    </w:p>
    <w:p>
      <w:pPr>
        <w:snapToGrid w:val="0"/>
        <w:spacing w:line="360" w:lineRule="exact"/>
        <w:ind w:firstLine="422" w:firstLineChars="201"/>
        <w:rPr>
          <w:rFonts w:ascii="宋体" w:hAnsi="宋体"/>
          <w:szCs w:val="21"/>
        </w:rPr>
      </w:pPr>
      <w:r>
        <w:rPr>
          <w:rFonts w:hint="eastAsia" w:ascii="宋体" w:hAnsi="宋体"/>
          <w:szCs w:val="21"/>
        </w:rPr>
        <w:t>13.2响应文件的信封上应写明：</w:t>
      </w:r>
    </w:p>
    <w:p>
      <w:pPr>
        <w:snapToGrid w:val="0"/>
        <w:spacing w:line="360" w:lineRule="exact"/>
        <w:ind w:firstLine="422" w:firstLineChars="201"/>
        <w:rPr>
          <w:rFonts w:ascii="宋体" w:hAnsi="宋体"/>
          <w:szCs w:val="21"/>
        </w:rPr>
      </w:pPr>
      <w:r>
        <w:rPr>
          <w:rFonts w:hint="eastAsia" w:ascii="宋体" w:hAnsi="宋体"/>
          <w:szCs w:val="21"/>
        </w:rPr>
        <w:t>（1）竞争性磋商项目编号；</w:t>
      </w:r>
    </w:p>
    <w:p>
      <w:pPr>
        <w:snapToGrid w:val="0"/>
        <w:spacing w:line="360" w:lineRule="exact"/>
        <w:ind w:firstLine="422" w:firstLineChars="201"/>
        <w:rPr>
          <w:rFonts w:ascii="宋体" w:hAnsi="宋体"/>
          <w:szCs w:val="21"/>
        </w:rPr>
      </w:pPr>
      <w:r>
        <w:rPr>
          <w:rFonts w:hint="eastAsia" w:ascii="宋体" w:hAnsi="宋体"/>
          <w:szCs w:val="21"/>
        </w:rPr>
        <w:t>（2）竞争性磋商项目名称；</w:t>
      </w:r>
    </w:p>
    <w:p>
      <w:pPr>
        <w:snapToGrid w:val="0"/>
        <w:spacing w:line="360" w:lineRule="exact"/>
        <w:ind w:firstLine="422" w:firstLineChars="201"/>
        <w:rPr>
          <w:rFonts w:ascii="宋体" w:hAnsi="宋体"/>
          <w:szCs w:val="21"/>
        </w:rPr>
      </w:pPr>
      <w:r>
        <w:rPr>
          <w:rFonts w:hint="eastAsia" w:ascii="宋体" w:hAnsi="宋体"/>
          <w:szCs w:val="21"/>
        </w:rPr>
        <w:t>（3）供应商名称、地址。</w:t>
      </w:r>
    </w:p>
    <w:p>
      <w:pPr>
        <w:snapToGrid w:val="0"/>
        <w:spacing w:line="360" w:lineRule="exact"/>
        <w:ind w:firstLine="422" w:firstLineChars="201"/>
        <w:rPr>
          <w:rFonts w:ascii="宋体" w:hAnsi="宋体"/>
          <w:szCs w:val="21"/>
        </w:rPr>
      </w:pPr>
      <w:r>
        <w:rPr>
          <w:rFonts w:hint="eastAsia"/>
        </w:rPr>
        <w:t>13.3未</w:t>
      </w:r>
      <w:r>
        <w:rPr>
          <w:rFonts w:hint="eastAsia" w:ascii="宋体" w:hAnsi="宋体"/>
          <w:szCs w:val="21"/>
        </w:rPr>
        <w:t>按规定密封或标记的响应文件将被拒绝接收，由此造成的后果由供应商承担。</w:t>
      </w:r>
    </w:p>
    <w:p>
      <w:pPr>
        <w:snapToGrid w:val="0"/>
        <w:spacing w:line="360" w:lineRule="exact"/>
        <w:ind w:firstLine="424" w:firstLineChars="201"/>
        <w:rPr>
          <w:rFonts w:ascii="宋体" w:hAnsi="宋体"/>
          <w:b/>
          <w:szCs w:val="21"/>
        </w:rPr>
      </w:pPr>
      <w:r>
        <w:rPr>
          <w:rFonts w:hint="eastAsia" w:ascii="宋体" w:hAnsi="宋体"/>
          <w:b/>
          <w:szCs w:val="21"/>
        </w:rPr>
        <w:t>14. 响应文件的递交</w:t>
      </w:r>
    </w:p>
    <w:p>
      <w:pPr>
        <w:snapToGrid w:val="0"/>
        <w:spacing w:line="360" w:lineRule="exact"/>
        <w:ind w:firstLine="422" w:firstLineChars="201"/>
        <w:rPr>
          <w:rFonts w:ascii="宋体" w:hAnsi="宋体"/>
          <w:szCs w:val="21"/>
        </w:rPr>
      </w:pPr>
      <w:r>
        <w:rPr>
          <w:rFonts w:hint="eastAsia" w:ascii="宋体" w:hAnsi="宋体"/>
          <w:szCs w:val="21"/>
        </w:rPr>
        <w:t>14.1所有响应文件应于本须知前附表规定的时间前递交到磋商文件中指定地点。</w:t>
      </w:r>
    </w:p>
    <w:p>
      <w:pPr>
        <w:spacing w:line="320" w:lineRule="exact"/>
        <w:ind w:firstLine="422" w:firstLineChars="201"/>
        <w:rPr>
          <w:rFonts w:ascii="宋体" w:hAnsi="宋体"/>
          <w:szCs w:val="21"/>
        </w:rPr>
      </w:pPr>
      <w:r>
        <w:rPr>
          <w:rFonts w:hint="eastAsia" w:ascii="宋体" w:hAnsi="宋体"/>
          <w:szCs w:val="21"/>
        </w:rPr>
        <w:t>14.2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磋商文件指定场所的时间为准。</w:t>
      </w:r>
    </w:p>
    <w:p>
      <w:pPr>
        <w:spacing w:line="320" w:lineRule="exact"/>
        <w:ind w:firstLine="424" w:firstLineChars="201"/>
        <w:rPr>
          <w:rFonts w:ascii="宋体" w:hAnsi="宋体"/>
          <w:b/>
          <w:szCs w:val="21"/>
        </w:rPr>
      </w:pPr>
      <w:r>
        <w:rPr>
          <w:rFonts w:hint="eastAsia" w:ascii="宋体" w:hAnsi="宋体"/>
          <w:b/>
          <w:szCs w:val="21"/>
        </w:rPr>
        <w:t>15.响应文件的补充、修改</w:t>
      </w:r>
    </w:p>
    <w:p>
      <w:pPr>
        <w:spacing w:line="320" w:lineRule="exact"/>
        <w:ind w:firstLine="422" w:firstLineChars="201"/>
        <w:rPr>
          <w:rFonts w:ascii="宋体" w:hAnsi="宋体"/>
          <w:szCs w:val="21"/>
        </w:rPr>
      </w:pPr>
      <w:r>
        <w:rPr>
          <w:rFonts w:hint="eastAsia" w:ascii="宋体" w:hAnsi="宋体"/>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20" w:lineRule="exact"/>
        <w:ind w:firstLine="424" w:firstLineChars="201"/>
        <w:rPr>
          <w:rFonts w:ascii="宋体" w:hAnsi="宋体"/>
          <w:b/>
          <w:szCs w:val="21"/>
        </w:rPr>
      </w:pPr>
      <w:r>
        <w:rPr>
          <w:rFonts w:hint="eastAsia" w:ascii="宋体" w:hAnsi="宋体"/>
          <w:b/>
          <w:szCs w:val="21"/>
        </w:rPr>
        <w:t>16.迟交的响应文件</w:t>
      </w:r>
    </w:p>
    <w:p>
      <w:pPr>
        <w:spacing w:line="320" w:lineRule="exact"/>
        <w:ind w:firstLine="422" w:firstLineChars="201"/>
      </w:pPr>
      <w:r>
        <w:rPr>
          <w:rFonts w:hint="eastAsia" w:ascii="宋体" w:hAnsi="宋体"/>
          <w:szCs w:val="21"/>
        </w:rPr>
        <w:t>在响应文件递交截止时间后送达的响应文件，采购代理机构应当拒绝接收。</w:t>
      </w:r>
    </w:p>
    <w:p>
      <w:pPr>
        <w:spacing w:line="320" w:lineRule="exact"/>
        <w:ind w:firstLine="424" w:firstLineChars="201"/>
        <w:rPr>
          <w:rFonts w:ascii="宋体" w:hAnsi="宋体"/>
          <w:b/>
          <w:szCs w:val="21"/>
        </w:rPr>
      </w:pPr>
      <w:r>
        <w:rPr>
          <w:rFonts w:hint="eastAsia" w:ascii="宋体" w:hAnsi="宋体"/>
          <w:b/>
          <w:szCs w:val="21"/>
        </w:rPr>
        <w:t>四、响应文件评审程序</w:t>
      </w:r>
    </w:p>
    <w:p>
      <w:pPr>
        <w:spacing w:line="320" w:lineRule="exact"/>
        <w:ind w:firstLine="424" w:firstLineChars="201"/>
        <w:rPr>
          <w:rFonts w:ascii="宋体" w:hAnsi="宋体" w:cs="宋体"/>
          <w:b/>
          <w:kern w:val="0"/>
          <w:szCs w:val="21"/>
        </w:rPr>
      </w:pPr>
      <w:r>
        <w:rPr>
          <w:rFonts w:hint="eastAsia" w:ascii="宋体" w:hAnsi="宋体" w:cs="宋体"/>
          <w:b/>
          <w:kern w:val="0"/>
          <w:szCs w:val="21"/>
        </w:rPr>
        <w:t>17.磋商小组组建</w:t>
      </w:r>
    </w:p>
    <w:p>
      <w:pPr>
        <w:spacing w:line="320" w:lineRule="exact"/>
        <w:ind w:firstLine="422" w:firstLineChars="201"/>
        <w:rPr>
          <w:rFonts w:ascii="宋体" w:hAnsi="宋体"/>
          <w:szCs w:val="21"/>
        </w:rPr>
      </w:pPr>
      <w:r>
        <w:rPr>
          <w:rFonts w:hint="eastAsia" w:ascii="宋体" w:hAnsi="宋体"/>
          <w:szCs w:val="21"/>
        </w:rPr>
        <w:t>17.1磋商小组由采购人代表和评审专家共3人以上单数组成，其中评审专家人数不得少于磋商小组成员总数的2/3。</w:t>
      </w:r>
    </w:p>
    <w:p>
      <w:pPr>
        <w:spacing w:line="320" w:lineRule="exact"/>
        <w:ind w:firstLine="422" w:firstLineChars="201"/>
        <w:rPr>
          <w:rFonts w:ascii="宋体" w:hAnsi="宋体"/>
          <w:szCs w:val="21"/>
        </w:rPr>
      </w:pPr>
      <w:r>
        <w:rPr>
          <w:rFonts w:hint="eastAsia" w:ascii="宋体" w:hAnsi="宋体"/>
          <w:szCs w:val="21"/>
        </w:rPr>
        <w:t>17.2评审专家应当在政府采购评审专家库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320" w:lineRule="exact"/>
        <w:ind w:firstLine="424" w:firstLineChars="201"/>
        <w:rPr>
          <w:rFonts w:ascii="宋体" w:hAnsi="宋体" w:cs="宋体"/>
          <w:b/>
          <w:kern w:val="0"/>
          <w:szCs w:val="21"/>
        </w:rPr>
      </w:pPr>
      <w:r>
        <w:rPr>
          <w:rFonts w:hint="eastAsia" w:ascii="宋体" w:hAnsi="宋体" w:cs="宋体"/>
          <w:b/>
          <w:kern w:val="0"/>
          <w:szCs w:val="21"/>
        </w:rPr>
        <w:t>18.评审程序</w:t>
      </w:r>
    </w:p>
    <w:p>
      <w:pPr>
        <w:spacing w:line="320" w:lineRule="exact"/>
        <w:ind w:firstLine="424" w:firstLineChars="201"/>
        <w:rPr>
          <w:rFonts w:ascii="宋体" w:hAnsi="宋体"/>
          <w:b/>
          <w:szCs w:val="21"/>
        </w:rPr>
      </w:pPr>
      <w:r>
        <w:rPr>
          <w:rFonts w:hint="eastAsia" w:ascii="宋体" w:hAnsi="宋体"/>
          <w:b/>
          <w:szCs w:val="21"/>
        </w:rPr>
        <w:t>18.1采购代理机向磋商小组移交接收所有的响应文件。</w:t>
      </w:r>
    </w:p>
    <w:p>
      <w:pPr>
        <w:spacing w:line="320" w:lineRule="exact"/>
        <w:ind w:firstLine="424" w:firstLineChars="201"/>
        <w:rPr>
          <w:rFonts w:ascii="宋体" w:hAnsi="宋体"/>
          <w:b/>
          <w:szCs w:val="21"/>
        </w:rPr>
      </w:pPr>
      <w:r>
        <w:rPr>
          <w:rFonts w:hint="eastAsia" w:ascii="宋体" w:hAnsi="宋体"/>
          <w:b/>
          <w:szCs w:val="21"/>
        </w:rPr>
        <w:t>18.2磋商小组评审响应文件</w:t>
      </w:r>
    </w:p>
    <w:p>
      <w:pPr>
        <w:spacing w:line="320" w:lineRule="exact"/>
        <w:ind w:firstLine="422" w:firstLineChars="201"/>
        <w:rPr>
          <w:rFonts w:ascii="宋体" w:hAnsi="宋体"/>
          <w:szCs w:val="21"/>
        </w:rPr>
      </w:pPr>
      <w:r>
        <w:rPr>
          <w:rFonts w:hint="eastAsia" w:ascii="宋体" w:hAnsi="宋体"/>
          <w:szCs w:val="21"/>
        </w:rPr>
        <w:t>磋商小组对供应商资格条件和响应文件的有效性、完整性和响应程度进行审查。对</w:t>
      </w:r>
      <w:r>
        <w:rPr>
          <w:rFonts w:ascii="宋体" w:hAnsi="宋体"/>
          <w:szCs w:val="21"/>
        </w:rPr>
        <w:t>资格条件</w:t>
      </w:r>
      <w:r>
        <w:rPr>
          <w:rFonts w:hint="eastAsia" w:ascii="宋体" w:hAnsi="宋体"/>
          <w:szCs w:val="21"/>
        </w:rPr>
        <w:t>不符合</w:t>
      </w:r>
      <w:r>
        <w:rPr>
          <w:rFonts w:ascii="宋体" w:hAnsi="宋体"/>
          <w:szCs w:val="21"/>
        </w:rPr>
        <w:t>的供应商</w:t>
      </w:r>
      <w:r>
        <w:rPr>
          <w:rFonts w:hint="eastAsia" w:ascii="宋体" w:hAnsi="宋体"/>
          <w:szCs w:val="21"/>
        </w:rPr>
        <w:t>或</w:t>
      </w:r>
      <w:r>
        <w:rPr>
          <w:rFonts w:ascii="宋体" w:hAnsi="宋体"/>
          <w:szCs w:val="21"/>
        </w:rPr>
        <w:t>未实质性响应</w:t>
      </w:r>
      <w:r>
        <w:rPr>
          <w:rFonts w:hint="eastAsia" w:ascii="宋体" w:hAnsi="宋体"/>
          <w:szCs w:val="21"/>
        </w:rPr>
        <w:t>磋商</w:t>
      </w:r>
      <w:r>
        <w:rPr>
          <w:rFonts w:ascii="宋体" w:hAnsi="宋体"/>
          <w:szCs w:val="21"/>
        </w:rPr>
        <w:t>文件的响应文件按无效</w:t>
      </w:r>
      <w:r>
        <w:rPr>
          <w:rFonts w:hint="eastAsia" w:ascii="宋体" w:hAnsi="宋体"/>
          <w:szCs w:val="21"/>
        </w:rPr>
        <w:t>响应</w:t>
      </w:r>
      <w:r>
        <w:rPr>
          <w:rFonts w:ascii="宋体" w:hAnsi="宋体"/>
          <w:szCs w:val="21"/>
        </w:rPr>
        <w:t>处理，</w:t>
      </w:r>
      <w:r>
        <w:rPr>
          <w:rFonts w:hint="eastAsia" w:ascii="宋体" w:hAnsi="宋体"/>
          <w:szCs w:val="21"/>
        </w:rPr>
        <w:t>磋商</w:t>
      </w:r>
      <w:r>
        <w:rPr>
          <w:rFonts w:ascii="宋体" w:hAnsi="宋体"/>
          <w:szCs w:val="21"/>
        </w:rPr>
        <w:t>小组应当告知有关供应商。</w:t>
      </w:r>
    </w:p>
    <w:p>
      <w:pPr>
        <w:spacing w:line="320" w:lineRule="exact"/>
        <w:ind w:firstLine="424" w:firstLineChars="201"/>
        <w:rPr>
          <w:rFonts w:ascii="宋体" w:hAnsi="宋体"/>
          <w:b/>
          <w:szCs w:val="21"/>
        </w:rPr>
      </w:pPr>
      <w:r>
        <w:rPr>
          <w:rFonts w:hint="eastAsia" w:ascii="宋体" w:hAnsi="宋体"/>
          <w:b/>
          <w:szCs w:val="21"/>
        </w:rPr>
        <w:t>18.3澄清</w:t>
      </w:r>
    </w:p>
    <w:p>
      <w:pPr>
        <w:spacing w:line="320" w:lineRule="exact"/>
        <w:ind w:firstLine="422" w:firstLineChars="201"/>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20" w:lineRule="exact"/>
        <w:ind w:firstLine="422" w:firstLineChars="201"/>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tabs>
          <w:tab w:val="left" w:pos="540"/>
        </w:tabs>
        <w:spacing w:line="320" w:lineRule="exact"/>
        <w:ind w:firstLine="424" w:firstLineChars="201"/>
        <w:jc w:val="left"/>
        <w:rPr>
          <w:rFonts w:ascii="宋体" w:hAnsi="宋体"/>
          <w:b/>
          <w:szCs w:val="21"/>
        </w:rPr>
      </w:pPr>
      <w:r>
        <w:rPr>
          <w:rFonts w:hint="eastAsia" w:ascii="宋体" w:hAnsi="宋体"/>
          <w:b/>
          <w:szCs w:val="21"/>
        </w:rPr>
        <w:t>18.4磋商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18.4.1磋商时间及地点：按须知前附表规定。</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18.4.2供应商参加需要携带的材料：按须知前附表规定。</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18.4.3磋商小组按须知前附表规定的磋商顺序，集中与单一供应商分别进行磋商，并给予所有参加磋商的供应商平等的磋商机会。</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磋商中，磋商的任何一方不得透露与磋商有关的其他供应商的技术资料、价格和其他信息。</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采购代理机构对磋商过程和重要磋商内容进行记录，磋商双方在记录上签字确认。</w:t>
      </w:r>
    </w:p>
    <w:p>
      <w:pPr>
        <w:widowControl/>
        <w:tabs>
          <w:tab w:val="left" w:pos="540"/>
        </w:tabs>
        <w:spacing w:line="320" w:lineRule="exact"/>
        <w:ind w:firstLine="424" w:firstLineChars="201"/>
        <w:jc w:val="left"/>
        <w:rPr>
          <w:rFonts w:ascii="宋体" w:hAnsi="宋体"/>
          <w:b/>
          <w:szCs w:val="21"/>
        </w:rPr>
      </w:pPr>
      <w:r>
        <w:rPr>
          <w:rFonts w:hint="eastAsia" w:ascii="宋体" w:hAnsi="宋体"/>
          <w:b/>
          <w:szCs w:val="21"/>
        </w:rPr>
        <w:t>18.5最后报价</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18.5.1磋商文件能够详细列明采购标的的技术、服务要求的，磋商结束后，磋商小组应当要求所有继续参加磋商的供应商在规定时间内密封提交最后报价，提交最后报价的供应商不得少于3家。</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18.5.3属于市场竞争不充分的科研项目，以及需要扶持的科技成果转化项目，提交最后报价的供应商可以为2家。</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18.5.5最后报价是供应商响应文件的有效组成部分。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18.5.6已经提交响应文件的供应商，在提交最后报价之前，可以根据磋商情况退出磋商。</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18.5.7响应供应商的报价均超过了采购预算，采购人不能支付的，磋商活动终止。</w:t>
      </w:r>
    </w:p>
    <w:p>
      <w:pPr>
        <w:widowControl/>
        <w:spacing w:line="320" w:lineRule="exact"/>
        <w:ind w:firstLine="422" w:firstLineChars="201"/>
        <w:jc w:val="left"/>
        <w:rPr>
          <w:rFonts w:ascii="宋体" w:hAnsi="宋体"/>
          <w:szCs w:val="21"/>
        </w:rPr>
      </w:pPr>
      <w:r>
        <w:rPr>
          <w:rFonts w:hint="eastAsia" w:ascii="宋体" w:hAnsi="宋体"/>
          <w:szCs w:val="21"/>
        </w:rPr>
        <w:t>18.5.8低于成本报价</w:t>
      </w:r>
    </w:p>
    <w:p>
      <w:pPr>
        <w:widowControl/>
        <w:spacing w:line="320" w:lineRule="exact"/>
        <w:ind w:firstLine="422" w:firstLineChars="201"/>
        <w:jc w:val="left"/>
        <w:rPr>
          <w:rFonts w:ascii="宋体" w:hAnsi="宋体"/>
          <w:szCs w:val="21"/>
        </w:rPr>
      </w:pPr>
      <w:r>
        <w:rPr>
          <w:rFonts w:hint="eastAsia" w:ascii="宋体" w:hAnsi="宋体"/>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pPr>
        <w:widowControl/>
        <w:tabs>
          <w:tab w:val="left" w:pos="540"/>
        </w:tabs>
        <w:spacing w:line="320" w:lineRule="exact"/>
        <w:ind w:firstLine="424" w:firstLineChars="201"/>
        <w:jc w:val="left"/>
        <w:rPr>
          <w:rFonts w:ascii="宋体" w:hAnsi="宋体"/>
          <w:b/>
          <w:szCs w:val="21"/>
        </w:rPr>
      </w:pPr>
      <w:r>
        <w:rPr>
          <w:rFonts w:hint="eastAsia" w:ascii="宋体" w:hAnsi="宋体"/>
          <w:b/>
          <w:szCs w:val="21"/>
        </w:rPr>
        <w:t>19.最终磋商结束后，磋商小组不得再与供应商进行任何形式的商谈</w:t>
      </w:r>
    </w:p>
    <w:p>
      <w:pPr>
        <w:widowControl/>
        <w:tabs>
          <w:tab w:val="left" w:pos="540"/>
        </w:tabs>
        <w:spacing w:line="320" w:lineRule="exact"/>
        <w:ind w:firstLine="424" w:firstLineChars="201"/>
        <w:jc w:val="left"/>
        <w:rPr>
          <w:rFonts w:ascii="宋体" w:hAnsi="宋体"/>
          <w:b/>
          <w:szCs w:val="21"/>
        </w:rPr>
      </w:pPr>
      <w:r>
        <w:rPr>
          <w:rFonts w:hint="eastAsia" w:ascii="宋体" w:hAnsi="宋体"/>
          <w:b/>
          <w:szCs w:val="21"/>
        </w:rPr>
        <w:t>20.评审与比较</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20.1经磋商确定最终采购需求和提交最后报价的供应商后，由磋商小组采用综合评分法对提交最后报价的供应商的响应文件和最后报价进行综合评分。</w:t>
      </w:r>
    </w:p>
    <w:p>
      <w:pPr>
        <w:widowControl/>
        <w:tabs>
          <w:tab w:val="left" w:pos="540"/>
        </w:tabs>
        <w:spacing w:line="320" w:lineRule="exact"/>
        <w:ind w:firstLine="422" w:firstLineChars="201"/>
        <w:jc w:val="left"/>
        <w:rPr>
          <w:rFonts w:hAnsi="宋体"/>
          <w:szCs w:val="21"/>
        </w:rPr>
      </w:pPr>
      <w:r>
        <w:rPr>
          <w:rFonts w:hint="eastAsia" w:hAnsi="宋体"/>
          <w:szCs w:val="21"/>
        </w:rPr>
        <w:t>20.2评审原则。磋商小组必须公平、公正、客观，不带任何倾向性和启发性；不得向外界透露任何与评审有关的内容；任何单位和个人不得干扰、影响评审的正常进行。</w:t>
      </w:r>
    </w:p>
    <w:p>
      <w:pPr>
        <w:widowControl/>
        <w:tabs>
          <w:tab w:val="left" w:pos="540"/>
        </w:tabs>
        <w:spacing w:line="320" w:lineRule="exact"/>
        <w:ind w:firstLine="422" w:firstLineChars="201"/>
        <w:jc w:val="left"/>
        <w:rPr>
          <w:rFonts w:ascii="宋体" w:hAnsi="宋体"/>
          <w:szCs w:val="21"/>
        </w:rPr>
      </w:pPr>
      <w:r>
        <w:rPr>
          <w:rFonts w:hint="eastAsia" w:ascii="宋体" w:hAnsi="宋体"/>
          <w:szCs w:val="21"/>
        </w:rPr>
        <w:t>20.3评标办法及标准详见第四章。</w:t>
      </w:r>
    </w:p>
    <w:p>
      <w:pPr>
        <w:widowControl/>
        <w:tabs>
          <w:tab w:val="left" w:pos="540"/>
        </w:tabs>
        <w:spacing w:line="320" w:lineRule="exact"/>
        <w:ind w:firstLine="422" w:firstLineChars="201"/>
        <w:jc w:val="left"/>
        <w:rPr>
          <w:rFonts w:hAnsi="宋体"/>
          <w:b/>
          <w:bCs/>
          <w:szCs w:val="21"/>
        </w:rPr>
      </w:pPr>
      <w:r>
        <w:rPr>
          <w:rFonts w:hint="eastAsia" w:ascii="宋体" w:hAnsi="宋体"/>
          <w:szCs w:val="21"/>
        </w:rPr>
        <w:t>21.</w:t>
      </w:r>
      <w:r>
        <w:rPr>
          <w:rFonts w:hint="eastAsia" w:hAnsi="宋体"/>
          <w:b/>
          <w:bCs/>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320" w:lineRule="exact"/>
        <w:ind w:firstLine="424" w:firstLineChars="201"/>
        <w:jc w:val="left"/>
        <w:rPr>
          <w:rFonts w:ascii="宋体" w:hAnsi="宋体"/>
          <w:b/>
          <w:szCs w:val="21"/>
        </w:rPr>
      </w:pPr>
      <w:r>
        <w:rPr>
          <w:rFonts w:hint="eastAsia" w:ascii="宋体" w:hAnsi="宋体"/>
          <w:b/>
          <w:bCs/>
          <w:szCs w:val="21"/>
        </w:rPr>
        <w:t>22.</w:t>
      </w:r>
      <w:r>
        <w:rPr>
          <w:rFonts w:hint="eastAsia" w:ascii="宋体" w:hAnsi="宋体"/>
          <w:b/>
          <w:szCs w:val="21"/>
        </w:rPr>
        <w:t>特别说明：</w:t>
      </w:r>
    </w:p>
    <w:p>
      <w:pPr>
        <w:pStyle w:val="9"/>
        <w:snapToGrid w:val="0"/>
        <w:ind w:left="2" w:leftChars="1" w:firstLine="420" w:firstLineChars="200"/>
        <w:rPr>
          <w:rFonts w:hAnsi="宋体"/>
          <w:sz w:val="21"/>
        </w:rPr>
      </w:pPr>
      <w:r>
        <w:rPr>
          <w:rFonts w:hint="eastAsia" w:hAnsi="宋体"/>
          <w:sz w:val="21"/>
        </w:rPr>
        <w:t>22.1出现下列情形之一的，在评审过程中，取其中通过资格审查、符合性审查且报价最低的参加评审；当报价相同时，则由采购人自主选择确定一个参加评审的供应商，其他投标无效：</w:t>
      </w:r>
    </w:p>
    <w:p>
      <w:pPr>
        <w:pStyle w:val="9"/>
        <w:snapToGrid w:val="0"/>
        <w:ind w:left="2" w:leftChars="1" w:firstLine="420" w:firstLineChars="200"/>
        <w:rPr>
          <w:rFonts w:hAnsi="宋体"/>
          <w:sz w:val="21"/>
        </w:rPr>
      </w:pPr>
      <w:r>
        <w:rPr>
          <w:rFonts w:hint="eastAsia" w:hAnsi="宋体"/>
          <w:sz w:val="21"/>
        </w:rPr>
        <w:t>（1）提供相同品牌产品的不同供应商参加单一产品的同一合同项下的政府采购活动的。</w:t>
      </w:r>
    </w:p>
    <w:p>
      <w:pPr>
        <w:widowControl/>
        <w:spacing w:line="320" w:lineRule="atLeast"/>
        <w:ind w:firstLine="420" w:firstLineChars="200"/>
        <w:jc w:val="left"/>
        <w:rPr>
          <w:rFonts w:ascii="宋体" w:hAnsi="宋体" w:cs="宋体"/>
          <w:kern w:val="0"/>
          <w:szCs w:val="21"/>
        </w:rPr>
      </w:pPr>
      <w:r>
        <w:rPr>
          <w:rFonts w:hint="eastAsia" w:hAnsi="宋体"/>
          <w:szCs w:val="21"/>
        </w:rPr>
        <w:t>（2）非单一产品采购项目中，多家供应商提供的核心产品品牌相同的。核心产品的名称应当在采购文件中载明。</w:t>
      </w:r>
    </w:p>
    <w:p>
      <w:pPr>
        <w:widowControl/>
        <w:spacing w:line="320" w:lineRule="exact"/>
        <w:ind w:firstLine="422" w:firstLineChars="201"/>
        <w:jc w:val="left"/>
        <w:rPr>
          <w:rFonts w:ascii="宋体" w:hAnsi="宋体"/>
          <w:szCs w:val="21"/>
        </w:rPr>
      </w:pPr>
      <w:r>
        <w:rPr>
          <w:rFonts w:hint="eastAsia" w:ascii="宋体" w:hAnsi="宋体"/>
          <w:szCs w:val="21"/>
        </w:rPr>
        <w:t>22.2供应商竞标所使用的资格、信誉、荣誉、业绩与企业认证必须为本法人所拥有。供应商竞标所使用的采购项目实施人员必须为本法人员工（或必须为本法人或控股公司正式员工）。</w:t>
      </w:r>
    </w:p>
    <w:p>
      <w:pPr>
        <w:widowControl/>
        <w:spacing w:line="320" w:lineRule="exact"/>
        <w:ind w:firstLine="422" w:firstLineChars="201"/>
        <w:jc w:val="left"/>
        <w:rPr>
          <w:rFonts w:ascii="宋体" w:hAnsi="宋体"/>
          <w:szCs w:val="21"/>
        </w:rPr>
      </w:pPr>
      <w:r>
        <w:rPr>
          <w:rFonts w:hint="eastAsia" w:ascii="宋体" w:hAnsi="宋体"/>
          <w:szCs w:val="21"/>
        </w:rPr>
        <w:t>22.3供应商应仔细阅读竞争性磋商文件的所有内容，按照竞争性磋商文件的要求提交响应文件，并对所提供的全部资料的真实性承担法律责任。</w:t>
      </w:r>
    </w:p>
    <w:p>
      <w:pPr>
        <w:widowControl/>
        <w:spacing w:line="320" w:lineRule="exact"/>
        <w:ind w:firstLine="422" w:firstLineChars="201"/>
        <w:jc w:val="left"/>
        <w:rPr>
          <w:rFonts w:ascii="宋体" w:hAnsi="宋体"/>
          <w:szCs w:val="21"/>
        </w:rPr>
      </w:pPr>
      <w:r>
        <w:rPr>
          <w:rFonts w:hint="eastAsia" w:ascii="宋体" w:hAnsi="宋体"/>
          <w:szCs w:val="21"/>
        </w:rPr>
        <w:t>22.4供应商在竞标活动中提供任何虚假材料，其竞标无效，并报监管部门查处；中标后发现的，成交供应商须依照《中华人民共和国消费者权益保护法》第49条之规定双倍赔偿采购人，且民事赔偿并不免除违法供应商的行政与刑事责任。</w:t>
      </w:r>
    </w:p>
    <w:p>
      <w:pPr>
        <w:pStyle w:val="9"/>
        <w:snapToGrid w:val="0"/>
        <w:ind w:left="2" w:leftChars="1" w:firstLine="420" w:firstLineChars="200"/>
        <w:rPr>
          <w:rFonts w:ascii="Times New Roman" w:hAnsi="Times New Roman"/>
          <w:kern w:val="2"/>
          <w:sz w:val="21"/>
        </w:rPr>
      </w:pPr>
      <w:r>
        <w:rPr>
          <w:rFonts w:hint="eastAsia" w:ascii="Times New Roman" w:hAnsi="Times New Roman"/>
          <w:kern w:val="2"/>
          <w:sz w:val="21"/>
        </w:rPr>
        <w:t>22.5有下列情形之一的视为供应商相互串通投标，响应文件将被视为无效：</w:t>
      </w:r>
    </w:p>
    <w:p>
      <w:pPr>
        <w:pStyle w:val="9"/>
        <w:snapToGrid w:val="0"/>
        <w:ind w:left="2" w:leftChars="1" w:firstLine="420" w:firstLineChars="200"/>
        <w:rPr>
          <w:rFonts w:ascii="Times New Roman" w:hAnsi="Times New Roman"/>
          <w:kern w:val="2"/>
          <w:sz w:val="21"/>
        </w:rPr>
      </w:pPr>
      <w:r>
        <w:rPr>
          <w:rFonts w:hint="eastAsia" w:ascii="Times New Roman" w:hAnsi="Times New Roman"/>
          <w:kern w:val="2"/>
          <w:sz w:val="21"/>
        </w:rPr>
        <w:t>（1）不同供应商的响应文件由同一单位或者个人编制；或不同供应商报名的IP地址一致的；</w:t>
      </w:r>
    </w:p>
    <w:p>
      <w:pPr>
        <w:pStyle w:val="9"/>
        <w:snapToGrid w:val="0"/>
        <w:ind w:left="2" w:leftChars="1" w:firstLine="420" w:firstLineChars="200"/>
        <w:rPr>
          <w:rFonts w:ascii="Times New Roman" w:hAnsi="Times New Roman"/>
          <w:kern w:val="2"/>
          <w:sz w:val="21"/>
        </w:rPr>
      </w:pPr>
      <w:r>
        <w:rPr>
          <w:rFonts w:hint="eastAsia" w:ascii="Times New Roman" w:hAnsi="Times New Roman"/>
          <w:kern w:val="2"/>
          <w:sz w:val="21"/>
        </w:rPr>
        <w:t>（2）不同供应商委托同一单位或者个人办理竞标事宜；</w:t>
      </w:r>
    </w:p>
    <w:p>
      <w:pPr>
        <w:pStyle w:val="9"/>
        <w:snapToGrid w:val="0"/>
        <w:ind w:left="2" w:leftChars="1" w:firstLine="420" w:firstLineChars="200"/>
        <w:rPr>
          <w:rFonts w:ascii="Times New Roman" w:hAnsi="Times New Roman"/>
          <w:kern w:val="2"/>
          <w:sz w:val="21"/>
        </w:rPr>
      </w:pPr>
      <w:r>
        <w:rPr>
          <w:rFonts w:hint="eastAsia" w:ascii="Times New Roman" w:hAnsi="Times New Roman"/>
          <w:kern w:val="2"/>
          <w:sz w:val="21"/>
        </w:rPr>
        <w:t>（3）不同的供应商的响应文件载明的项目管理员为同一个人；</w:t>
      </w:r>
    </w:p>
    <w:p>
      <w:pPr>
        <w:pStyle w:val="9"/>
        <w:snapToGrid w:val="0"/>
        <w:ind w:left="2" w:leftChars="1" w:firstLine="420" w:firstLineChars="200"/>
        <w:rPr>
          <w:rFonts w:ascii="Times New Roman" w:hAnsi="Times New Roman"/>
          <w:kern w:val="2"/>
          <w:sz w:val="21"/>
        </w:rPr>
      </w:pPr>
      <w:r>
        <w:rPr>
          <w:rFonts w:hint="eastAsia" w:ascii="Times New Roman" w:hAnsi="Times New Roman"/>
          <w:kern w:val="2"/>
          <w:sz w:val="21"/>
        </w:rPr>
        <w:t>（4）不同供应商的响应文件异常一致或报价呈规律性差异；</w:t>
      </w:r>
    </w:p>
    <w:p>
      <w:pPr>
        <w:pStyle w:val="9"/>
        <w:snapToGrid w:val="0"/>
        <w:ind w:left="2" w:leftChars="1" w:firstLine="420" w:firstLineChars="200"/>
        <w:rPr>
          <w:rFonts w:ascii="Times New Roman" w:hAnsi="Times New Roman"/>
          <w:kern w:val="2"/>
          <w:sz w:val="21"/>
        </w:rPr>
      </w:pPr>
      <w:r>
        <w:rPr>
          <w:rFonts w:hint="eastAsia" w:ascii="Times New Roman" w:hAnsi="Times New Roman"/>
          <w:kern w:val="2"/>
          <w:sz w:val="21"/>
        </w:rPr>
        <w:t>（5）不同供应商的响应文件相互混装；</w:t>
      </w:r>
    </w:p>
    <w:p>
      <w:pPr>
        <w:pStyle w:val="9"/>
        <w:snapToGrid w:val="0"/>
        <w:ind w:left="2" w:leftChars="1" w:firstLine="420" w:firstLineChars="200"/>
        <w:rPr>
          <w:rFonts w:ascii="Times New Roman" w:hAnsi="Times New Roman"/>
          <w:kern w:val="2"/>
          <w:sz w:val="21"/>
        </w:rPr>
      </w:pPr>
      <w:r>
        <w:rPr>
          <w:rFonts w:hint="eastAsia" w:ascii="Times New Roman" w:hAnsi="Times New Roman"/>
          <w:kern w:val="2"/>
          <w:sz w:val="21"/>
        </w:rPr>
        <w:t>22.6供应商有下列情形之一的，属于恶意串通行为：</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（1）供应商直接或者间接从采购人或者采购代理机构处获得其他供应商的相关信息并修改其响应文件：</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（2）供应商按照采购人或者采购代理机构的授意撤换、修改响应文件；</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（3）供应商之间协商报价、技术方案等响应文件的实质性内容；</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（4）属于同一集团、协会、商会等组织成员的供应商按照该组织要求协同参加政府采购活动；</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（5）供应商之间事先约定一致抬高或者压低报价,或者在采购项目中事先约定轮流以高价位或者低价位成交,或者事先约定由某一特定供应商成交,然后再参加竞标；</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（6）供应商之间商定部分供应商放弃参加政府采购活动或者放弃成交；</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（7）供应商与采购人或者采购代理机构之间、供应商相互之间，为谋求特定供应商成交或者排斥其他供应商的其他串通行为。</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22.7关联供应商不得参加同一合同项下政府采购活动，否则响应文件将被视为无效：</w:t>
      </w:r>
    </w:p>
    <w:p>
      <w:pPr>
        <w:pStyle w:val="9"/>
        <w:snapToGrid w:val="0"/>
        <w:ind w:left="2" w:leftChars="1" w:firstLine="420" w:firstLineChars="200"/>
        <w:rPr>
          <w:rFonts w:ascii="Times New Roman" w:hAnsi="Times New Roman"/>
          <w:kern w:val="2"/>
          <w:sz w:val="21"/>
          <w:szCs w:val="24"/>
        </w:rPr>
      </w:pPr>
      <w:r>
        <w:rPr>
          <w:rFonts w:hint="eastAsia" w:ascii="Times New Roman" w:hAnsi="Times New Roman"/>
          <w:kern w:val="2"/>
          <w:sz w:val="21"/>
          <w:szCs w:val="24"/>
        </w:rPr>
        <w:t>（1）单位负责人为同一人或者存在直接控股、管理关系的不同的供应商，不得参加同一合同项下的政府采购活动；</w:t>
      </w:r>
    </w:p>
    <w:p>
      <w:pPr>
        <w:widowControl/>
        <w:spacing w:line="320" w:lineRule="exact"/>
        <w:ind w:firstLine="422" w:firstLineChars="201"/>
        <w:jc w:val="left"/>
        <w:rPr>
          <w:rFonts w:ascii="宋体" w:hAnsi="宋体"/>
          <w:szCs w:val="21"/>
        </w:rPr>
      </w:pPr>
      <w:r>
        <w:rPr>
          <w:rFonts w:hint="eastAsia" w:hAnsi="宋体"/>
        </w:rPr>
        <w:t>（2）生产厂商授权给供应商后自己不得参加同一合同项下的政府采购活动；生产厂商对同一品牌同一型号的货物，仅能委托一个代理商参加竞标。</w:t>
      </w:r>
    </w:p>
    <w:p>
      <w:pPr>
        <w:widowControl/>
        <w:spacing w:line="320" w:lineRule="exact"/>
        <w:ind w:firstLine="422" w:firstLineChars="201"/>
        <w:jc w:val="left"/>
        <w:rPr>
          <w:rFonts w:ascii="宋体" w:hAnsi="宋体"/>
          <w:szCs w:val="21"/>
        </w:rPr>
      </w:pPr>
      <w:r>
        <w:rPr>
          <w:rFonts w:hint="eastAsia" w:ascii="宋体" w:hAnsi="宋体"/>
          <w:szCs w:val="21"/>
        </w:rPr>
        <w:t>23. 出现下列情形之一的，采购人或者采购代理机构应当终止竞争性磋商采购活动，发布项目终止公告并说明原因，重新开展采购活动：</w:t>
      </w:r>
    </w:p>
    <w:p>
      <w:pPr>
        <w:widowControl/>
        <w:spacing w:line="320" w:lineRule="exact"/>
        <w:ind w:firstLine="422" w:firstLineChars="201"/>
        <w:jc w:val="left"/>
        <w:rPr>
          <w:rFonts w:ascii="宋体" w:hAnsi="宋体"/>
          <w:szCs w:val="21"/>
        </w:rPr>
      </w:pPr>
      <w:r>
        <w:rPr>
          <w:rFonts w:hint="eastAsia" w:ascii="宋体" w:hAnsi="宋体"/>
          <w:szCs w:val="21"/>
        </w:rPr>
        <w:t>23.1因情况变化，不再符合规定的竞争性磋商采购方式适用情形的；</w:t>
      </w:r>
    </w:p>
    <w:p>
      <w:pPr>
        <w:widowControl/>
        <w:spacing w:line="320" w:lineRule="exact"/>
        <w:ind w:firstLine="422" w:firstLineChars="201"/>
        <w:jc w:val="left"/>
        <w:rPr>
          <w:rFonts w:ascii="宋体" w:hAnsi="宋体"/>
          <w:szCs w:val="21"/>
        </w:rPr>
      </w:pPr>
      <w:r>
        <w:rPr>
          <w:rFonts w:hint="eastAsia" w:ascii="宋体" w:hAnsi="宋体"/>
          <w:szCs w:val="21"/>
        </w:rPr>
        <w:t>23.2出现影响采购公正的违法、违规行为的；</w:t>
      </w:r>
    </w:p>
    <w:p>
      <w:pPr>
        <w:widowControl/>
        <w:spacing w:line="320" w:lineRule="exact"/>
        <w:ind w:firstLine="422" w:firstLineChars="201"/>
        <w:jc w:val="left"/>
        <w:rPr>
          <w:rFonts w:ascii="宋体" w:hAnsi="宋体"/>
          <w:szCs w:val="21"/>
        </w:rPr>
      </w:pPr>
      <w:r>
        <w:rPr>
          <w:rFonts w:hint="eastAsia" w:ascii="宋体" w:hAnsi="宋体"/>
          <w:szCs w:val="21"/>
        </w:rPr>
        <w:t>23.3除本须知19.5.3、19.5.4及法律法规规定的情形外，在采购过程中符合要求的供应商或者报价未超过采购预算的供应商不足3家的。</w:t>
      </w:r>
    </w:p>
    <w:p>
      <w:pPr>
        <w:widowControl/>
        <w:spacing w:line="320" w:lineRule="exact"/>
        <w:ind w:firstLine="422" w:firstLineChars="201"/>
        <w:jc w:val="left"/>
        <w:rPr>
          <w:rFonts w:ascii="宋体" w:hAnsi="宋体"/>
          <w:szCs w:val="21"/>
        </w:rPr>
      </w:pPr>
      <w:r>
        <w:rPr>
          <w:rFonts w:hint="eastAsia" w:ascii="宋体" w:hAnsi="宋体"/>
          <w:szCs w:val="21"/>
        </w:rPr>
        <w:t>24.条在采购活动中因重大变故，采购任务取消的，采购人或者采购代理机构应当终止采购活动，通知所有参加采购活动的供应商，并将项目实施情况和采购任务取消原因报送本级财政部门。</w:t>
      </w:r>
    </w:p>
    <w:p>
      <w:pPr>
        <w:spacing w:line="320" w:lineRule="exact"/>
        <w:ind w:firstLine="424" w:firstLineChars="201"/>
        <w:rPr>
          <w:rFonts w:ascii="宋体" w:hAnsi="宋体"/>
          <w:b/>
          <w:szCs w:val="21"/>
        </w:rPr>
      </w:pPr>
      <w:r>
        <w:rPr>
          <w:rFonts w:hint="eastAsia" w:ascii="宋体" w:hAnsi="宋体"/>
          <w:b/>
          <w:szCs w:val="21"/>
        </w:rPr>
        <w:t>五、确定成交供应商办法及结果公告</w:t>
      </w:r>
    </w:p>
    <w:p>
      <w:pPr>
        <w:spacing w:line="320" w:lineRule="exact"/>
        <w:ind w:firstLine="422" w:firstLineChars="201"/>
        <w:rPr>
          <w:rFonts w:ascii="宋体" w:hAnsi="宋体" w:cs="宋体"/>
          <w:kern w:val="0"/>
          <w:szCs w:val="21"/>
        </w:rPr>
      </w:pPr>
      <w:r>
        <w:rPr>
          <w:rFonts w:hint="eastAsia" w:ascii="宋体" w:hAnsi="宋体"/>
          <w:szCs w:val="21"/>
        </w:rPr>
        <w:t>25.1</w:t>
      </w:r>
      <w:r>
        <w:rPr>
          <w:rFonts w:ascii="宋体" w:hAnsi="宋体" w:cs="宋体"/>
          <w:kern w:val="0"/>
          <w:szCs w:val="21"/>
        </w:rPr>
        <w:t>采购</w:t>
      </w:r>
      <w:r>
        <w:rPr>
          <w:rFonts w:ascii="宋体" w:hAnsi="宋体"/>
          <w:szCs w:val="21"/>
        </w:rPr>
        <w:t>代理</w:t>
      </w:r>
      <w:r>
        <w:rPr>
          <w:rFonts w:ascii="宋体" w:hAnsi="宋体" w:cs="宋体"/>
          <w:kern w:val="0"/>
          <w:szCs w:val="21"/>
        </w:rPr>
        <w:t>机构应当在评审结束后2个工作日内将评审报告送采购人确认。采购人应当在收到评审报告后5个工作日</w:t>
      </w:r>
      <w:r>
        <w:rPr>
          <w:rFonts w:hint="eastAsia" w:ascii="宋体" w:hAnsi="宋体" w:cs="宋体"/>
          <w:kern w:val="0"/>
          <w:szCs w:val="21"/>
        </w:rPr>
        <w:t>，从评审报告提出的成交候选供应商中，按照排序由高到低的原则确定成交供应商，</w:t>
      </w:r>
      <w:r>
        <w:rPr>
          <w:rFonts w:ascii="宋体" w:hAnsi="宋体" w:cs="宋体"/>
          <w:kern w:val="0"/>
          <w:szCs w:val="21"/>
        </w:rPr>
        <w:t>也可以书面授权磋商小组直接确定成交供应商。</w:t>
      </w:r>
      <w:r>
        <w:rPr>
          <w:rFonts w:hint="eastAsia" w:ascii="宋体" w:hAnsi="宋体" w:cs="宋体"/>
          <w:kern w:val="0"/>
          <w:szCs w:val="21"/>
        </w:rPr>
        <w:t>采购人逾期未确定成交供应商且不提出异议的，视为确定评审报告提出的排序第一的供应商为成交供应商。</w:t>
      </w:r>
    </w:p>
    <w:p>
      <w:pPr>
        <w:spacing w:line="320" w:lineRule="exact"/>
        <w:ind w:firstLine="422" w:firstLineChars="201"/>
      </w:pPr>
      <w:r>
        <w:rPr>
          <w:rFonts w:hint="eastAsia" w:ascii="宋体" w:hAnsi="宋体"/>
          <w:szCs w:val="21"/>
        </w:rPr>
        <w:t>25.2</w:t>
      </w:r>
      <w:r>
        <w:rPr>
          <w:rFonts w:ascii="宋体" w:hAnsi="宋体"/>
          <w:szCs w:val="21"/>
        </w:rPr>
        <w:t>采购代理机构应当在成交供应商确定后2个工作日内，在</w:t>
      </w:r>
      <w:r>
        <w:rPr>
          <w:rFonts w:hint="eastAsia" w:ascii="宋体" w:hAnsi="宋体"/>
          <w:szCs w:val="21"/>
        </w:rPr>
        <w:t>磋商公告发布</w:t>
      </w:r>
      <w:r>
        <w:rPr>
          <w:rFonts w:ascii="宋体" w:hAnsi="宋体"/>
          <w:szCs w:val="21"/>
        </w:rPr>
        <w:t>媒体上公告成交结果，同时向成交供应商发出成交通知书</w:t>
      </w:r>
      <w:r>
        <w:rPr>
          <w:rFonts w:hint="eastAsia" w:ascii="宋体" w:hAnsi="宋体"/>
          <w:szCs w:val="21"/>
        </w:rPr>
        <w:t>。</w:t>
      </w:r>
      <w:r>
        <w:rPr>
          <w:rFonts w:hint="eastAsia" w:ascii="宋体" w:hAnsi="宋体" w:cs="Courier New"/>
          <w:szCs w:val="21"/>
        </w:rPr>
        <w:t>采购人或采购代理发出成交通知书前，应当对成交供应商信用进行查询，对</w:t>
      </w:r>
      <w:r>
        <w:rPr>
          <w:rFonts w:hint="eastAsia"/>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400" w:lineRule="exact"/>
        <w:ind w:firstLine="426"/>
      </w:pPr>
      <w:r>
        <w:rPr>
          <w:rFonts w:hint="eastAsia"/>
        </w:rPr>
        <w:t>排名第二的成交候选人因前款规定的同样原因被取消成交资格的，采购人可以确定排名第三的成交候选人为成交人。</w:t>
      </w:r>
    </w:p>
    <w:p>
      <w:pPr>
        <w:spacing w:line="400" w:lineRule="exact"/>
        <w:ind w:firstLine="426"/>
      </w:pPr>
      <w:r>
        <w:rPr>
          <w:rFonts w:hint="eastAsia"/>
        </w:rPr>
        <w:t>以上信息查询记录及相关证据与采购文件一并保存。</w:t>
      </w:r>
    </w:p>
    <w:p>
      <w:pPr>
        <w:widowControl/>
        <w:jc w:val="left"/>
      </w:pPr>
    </w:p>
    <w:p>
      <w:pPr>
        <w:pStyle w:val="9"/>
        <w:spacing w:line="400" w:lineRule="exact"/>
        <w:ind w:firstLine="419"/>
        <w:rPr>
          <w:rFonts w:hAnsi="宋体"/>
          <w:b/>
          <w:sz w:val="21"/>
        </w:rPr>
      </w:pPr>
      <w:r>
        <w:rPr>
          <w:rFonts w:hint="eastAsia" w:hAnsi="宋体"/>
          <w:b/>
          <w:sz w:val="21"/>
        </w:rPr>
        <w:t xml:space="preserve">六、履约保证金： </w:t>
      </w:r>
    </w:p>
    <w:p>
      <w:pPr>
        <w:spacing w:line="320" w:lineRule="exact"/>
        <w:ind w:firstLine="422" w:firstLineChars="201"/>
        <w:rPr>
          <w:rFonts w:ascii="宋体" w:hAnsi="宋体"/>
        </w:rPr>
      </w:pPr>
      <w:r>
        <w:rPr>
          <w:rFonts w:hint="eastAsia" w:ascii="宋体" w:hAnsi="宋体"/>
        </w:rPr>
        <w:t>26.1履约保证金金额详见本须知前附表规定。</w:t>
      </w:r>
    </w:p>
    <w:p>
      <w:pPr>
        <w:widowControl/>
        <w:jc w:val="left"/>
      </w:pPr>
    </w:p>
    <w:p>
      <w:pPr>
        <w:spacing w:line="320" w:lineRule="exact"/>
        <w:ind w:firstLine="424" w:firstLineChars="201"/>
        <w:rPr>
          <w:rFonts w:ascii="宋体" w:hAnsi="宋体"/>
          <w:b/>
          <w:szCs w:val="21"/>
        </w:rPr>
      </w:pPr>
      <w:r>
        <w:rPr>
          <w:rFonts w:hint="eastAsia" w:ascii="宋体" w:hAnsi="宋体"/>
          <w:b/>
          <w:szCs w:val="21"/>
        </w:rPr>
        <w:t>七、签订合同</w:t>
      </w:r>
    </w:p>
    <w:p>
      <w:pPr>
        <w:spacing w:line="320" w:lineRule="exact"/>
        <w:ind w:firstLine="422" w:firstLineChars="201"/>
        <w:rPr>
          <w:rFonts w:ascii="宋体" w:hAnsi="宋体"/>
        </w:rPr>
      </w:pPr>
      <w:r>
        <w:rPr>
          <w:rFonts w:hint="eastAsia" w:ascii="宋体" w:hAnsi="宋体"/>
        </w:rPr>
        <w:t>27.成交供应商在收到成交通知书后，按规定与采购人签订采购合同。</w:t>
      </w:r>
    </w:p>
    <w:p>
      <w:pPr>
        <w:spacing w:line="320" w:lineRule="exact"/>
        <w:ind w:firstLine="422" w:firstLineChars="201"/>
        <w:rPr>
          <w:rFonts w:ascii="宋体" w:hAnsi="宋体"/>
        </w:rPr>
      </w:pPr>
      <w:r>
        <w:rPr>
          <w:rFonts w:hint="eastAsia" w:ascii="宋体" w:hAnsi="宋体"/>
        </w:rPr>
        <w:t>28.</w:t>
      </w:r>
      <w:r>
        <w:rPr>
          <w:rFonts w:ascii="宋体" w:hAnsi="宋体"/>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320" w:lineRule="exact"/>
        <w:ind w:firstLine="422" w:firstLineChars="201"/>
        <w:rPr>
          <w:rFonts w:ascii="宋体" w:hAnsi="宋体"/>
        </w:rPr>
      </w:pPr>
      <w:r>
        <w:rPr>
          <w:rFonts w:hint="eastAsia" w:ascii="宋体" w:hAnsi="宋体"/>
        </w:rPr>
        <w:t>29. 政府采购合同公告</w:t>
      </w:r>
    </w:p>
    <w:p>
      <w:pPr>
        <w:spacing w:line="320" w:lineRule="exact"/>
        <w:ind w:firstLine="422" w:firstLineChars="201"/>
        <w:rPr>
          <w:rFonts w:ascii="宋体" w:hAnsi="宋体"/>
        </w:rPr>
      </w:pPr>
      <w:r>
        <w:rPr>
          <w:rFonts w:hint="eastAsia" w:ascii="宋体" w:hAnsi="宋体"/>
        </w:rPr>
        <w:t>根据</w:t>
      </w:r>
      <w:r>
        <w:rPr>
          <w:rFonts w:ascii="宋体" w:hAnsi="宋体"/>
        </w:rPr>
        <w:t>《中华人民共和国政府采购法实施条例》第五十条</w:t>
      </w:r>
      <w:r>
        <w:rPr>
          <w:rFonts w:hint="eastAsia" w:ascii="宋体" w:hAnsi="宋体"/>
        </w:rPr>
        <w:t>规定，采购人应当自政府采购合同签订之日起2个工作日内，将政府采购合同在省级以上人民政府财政部门指定的媒体上公告，</w:t>
      </w:r>
      <w:r>
        <w:rPr>
          <w:rFonts w:ascii="宋体" w:hAnsi="宋体"/>
        </w:rPr>
        <w:t>但政府采购合同中涉及国家秘密、商业秘密的内容除外。</w:t>
      </w:r>
    </w:p>
    <w:p>
      <w:pPr>
        <w:widowControl/>
        <w:jc w:val="left"/>
      </w:pPr>
    </w:p>
    <w:p>
      <w:pPr>
        <w:spacing w:line="320" w:lineRule="exact"/>
        <w:ind w:firstLine="424" w:firstLineChars="201"/>
        <w:rPr>
          <w:rFonts w:ascii="宋体" w:hAnsi="宋体"/>
          <w:b/>
          <w:szCs w:val="21"/>
        </w:rPr>
      </w:pPr>
      <w:r>
        <w:rPr>
          <w:rFonts w:hint="eastAsia" w:ascii="宋体" w:hAnsi="宋体"/>
          <w:b/>
          <w:szCs w:val="21"/>
        </w:rPr>
        <w:t>八、适用法律</w:t>
      </w:r>
    </w:p>
    <w:p>
      <w:pPr>
        <w:tabs>
          <w:tab w:val="left" w:pos="2835"/>
        </w:tabs>
        <w:spacing w:line="320" w:lineRule="exact"/>
        <w:ind w:firstLine="422" w:firstLineChars="201"/>
        <w:rPr>
          <w:rFonts w:ascii="宋体" w:hAnsi="宋体"/>
          <w:szCs w:val="21"/>
        </w:rPr>
      </w:pPr>
      <w:r>
        <w:rPr>
          <w:rFonts w:hint="eastAsia" w:ascii="宋体" w:hAnsi="宋体"/>
          <w:szCs w:val="21"/>
        </w:rPr>
        <w:t>30.采购当事人的一切活动均适用于《中华人民共和国政府采购法》、《政府采购竞争性磋商采购方式管理暂行办法》及相关规定。</w:t>
      </w:r>
    </w:p>
    <w:p>
      <w:pPr>
        <w:widowControl/>
        <w:jc w:val="left"/>
      </w:pPr>
    </w:p>
    <w:p>
      <w:pPr>
        <w:spacing w:line="320" w:lineRule="exact"/>
        <w:ind w:firstLine="424" w:firstLineChars="201"/>
        <w:rPr>
          <w:rFonts w:ascii="宋体" w:hAnsi="宋体"/>
          <w:b/>
          <w:szCs w:val="21"/>
        </w:rPr>
      </w:pPr>
      <w:r>
        <w:rPr>
          <w:rFonts w:hint="eastAsia" w:ascii="宋体" w:hAnsi="宋体"/>
          <w:b/>
          <w:szCs w:val="21"/>
        </w:rPr>
        <w:t>九、其它内容</w:t>
      </w:r>
    </w:p>
    <w:p>
      <w:pPr>
        <w:tabs>
          <w:tab w:val="left" w:pos="2835"/>
        </w:tabs>
        <w:spacing w:line="320" w:lineRule="exact"/>
        <w:ind w:firstLine="422" w:firstLineChars="201"/>
        <w:rPr>
          <w:rFonts w:ascii="宋体" w:hAnsi="宋体"/>
          <w:szCs w:val="21"/>
        </w:rPr>
      </w:pPr>
      <w:r>
        <w:rPr>
          <w:rFonts w:hint="eastAsia" w:ascii="宋体" w:hAnsi="宋体"/>
          <w:szCs w:val="21"/>
        </w:rPr>
        <w:t>31.代理服务费：</w:t>
      </w:r>
      <w:r>
        <w:rPr>
          <w:rFonts w:hint="eastAsia" w:hAnsi="宋体"/>
        </w:rPr>
        <w:t>签订合同前，成交供应商向采购代理机构一次付清采购代理服务费，其金额详见本须知前附表第11项规定。否则，视为成交供应商违约。</w:t>
      </w:r>
    </w:p>
    <w:p>
      <w:pPr>
        <w:tabs>
          <w:tab w:val="left" w:pos="2835"/>
        </w:tabs>
        <w:spacing w:line="320" w:lineRule="exact"/>
        <w:ind w:firstLine="422" w:firstLineChars="201"/>
        <w:rPr>
          <w:rFonts w:hAnsi="宋体"/>
        </w:rPr>
      </w:pPr>
      <w:r>
        <w:rPr>
          <w:rFonts w:hint="eastAsia" w:ascii="宋体" w:hAnsi="宋体"/>
          <w:szCs w:val="21"/>
        </w:rPr>
        <w:t>32.1桂价费〔2011〕55号文件规定的代理服务收费标准：</w:t>
      </w:r>
    </w:p>
    <w:tbl>
      <w:tblPr>
        <w:tblStyle w:val="17"/>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20" w:lineRule="exact"/>
              <w:ind w:firstLine="422" w:firstLineChars="201"/>
              <w:rPr>
                <w:szCs w:val="21"/>
              </w:rPr>
            </w:pPr>
            <w:r>
              <w:rPr>
                <w:rFonts w:hint="eastAsia"/>
                <w:szCs w:val="21"/>
              </w:rPr>
              <w:t xml:space="preserve">               费率</w:t>
            </w:r>
          </w:p>
          <w:p>
            <w:pPr>
              <w:spacing w:line="320" w:lineRule="exact"/>
              <w:ind w:firstLine="422" w:firstLineChars="201"/>
              <w:rPr>
                <w:szCs w:val="21"/>
              </w:rPr>
            </w:pPr>
            <w:r>
              <w:rPr>
                <w:rFonts w:hint="eastAsia"/>
                <w:szCs w:val="21"/>
              </w:rPr>
              <w:t>中标金额</w:t>
            </w:r>
          </w:p>
        </w:tc>
        <w:tc>
          <w:tcPr>
            <w:tcW w:w="1659" w:type="dxa"/>
            <w:vAlign w:val="center"/>
          </w:tcPr>
          <w:p>
            <w:pPr>
              <w:spacing w:line="320" w:lineRule="exact"/>
              <w:ind w:firstLine="422" w:firstLineChars="201"/>
              <w:jc w:val="center"/>
              <w:rPr>
                <w:szCs w:val="21"/>
              </w:rPr>
            </w:pPr>
            <w:r>
              <w:rPr>
                <w:rFonts w:hint="eastAsia"/>
                <w:szCs w:val="21"/>
              </w:rPr>
              <w:t>货物招标</w:t>
            </w:r>
          </w:p>
        </w:tc>
        <w:tc>
          <w:tcPr>
            <w:tcW w:w="1532" w:type="dxa"/>
            <w:vAlign w:val="center"/>
          </w:tcPr>
          <w:p>
            <w:pPr>
              <w:spacing w:line="320" w:lineRule="exact"/>
              <w:ind w:firstLine="422" w:firstLineChars="201"/>
              <w:jc w:val="center"/>
              <w:rPr>
                <w:szCs w:val="21"/>
              </w:rPr>
            </w:pPr>
            <w:r>
              <w:rPr>
                <w:rFonts w:hint="eastAsia"/>
                <w:szCs w:val="21"/>
              </w:rPr>
              <w:t>服务招标</w:t>
            </w:r>
          </w:p>
        </w:tc>
        <w:tc>
          <w:tcPr>
            <w:tcW w:w="1546" w:type="dxa"/>
            <w:vAlign w:val="center"/>
          </w:tcPr>
          <w:p>
            <w:pPr>
              <w:spacing w:line="320" w:lineRule="exact"/>
              <w:ind w:firstLine="422" w:firstLineChars="201"/>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szCs w:val="21"/>
              </w:rPr>
              <w:t>100万元以下</w:t>
            </w:r>
          </w:p>
        </w:tc>
        <w:tc>
          <w:tcPr>
            <w:tcW w:w="1659" w:type="dxa"/>
          </w:tcPr>
          <w:p>
            <w:pPr>
              <w:spacing w:line="320" w:lineRule="exact"/>
              <w:ind w:firstLine="422" w:firstLineChars="201"/>
              <w:rPr>
                <w:szCs w:val="21"/>
              </w:rPr>
            </w:pPr>
            <w:r>
              <w:rPr>
                <w:rFonts w:ascii="宋体" w:hAnsi="宋体" w:cs="宋体"/>
                <w:kern w:val="0"/>
                <w:szCs w:val="21"/>
              </w:rPr>
              <w:t xml:space="preserve">1.5% </w:t>
            </w:r>
          </w:p>
        </w:tc>
        <w:tc>
          <w:tcPr>
            <w:tcW w:w="1532" w:type="dxa"/>
          </w:tcPr>
          <w:p>
            <w:pPr>
              <w:spacing w:line="320" w:lineRule="exact"/>
              <w:ind w:firstLine="422" w:firstLineChars="201"/>
              <w:rPr>
                <w:szCs w:val="21"/>
              </w:rPr>
            </w:pPr>
            <w:r>
              <w:rPr>
                <w:rFonts w:ascii="宋体" w:hAnsi="宋体" w:cs="宋体"/>
                <w:kern w:val="0"/>
                <w:szCs w:val="21"/>
              </w:rPr>
              <w:t>1.5%</w:t>
            </w:r>
          </w:p>
        </w:tc>
        <w:tc>
          <w:tcPr>
            <w:tcW w:w="1546" w:type="dxa"/>
          </w:tcPr>
          <w:p>
            <w:pPr>
              <w:spacing w:line="320" w:lineRule="exact"/>
              <w:ind w:firstLine="422" w:firstLineChars="201"/>
              <w:rPr>
                <w:szCs w:val="21"/>
              </w:rPr>
            </w:pPr>
            <w:r>
              <w:rPr>
                <w:rFonts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szCs w:val="21"/>
              </w:rPr>
              <w:t>10</w:t>
            </w:r>
            <w:r>
              <w:rPr>
                <w:rFonts w:hint="eastAsia" w:ascii="宋体" w:hAnsi="宋体"/>
                <w:szCs w:val="21"/>
              </w:rPr>
              <w:t>0～</w:t>
            </w:r>
            <w:r>
              <w:rPr>
                <w:rFonts w:hint="eastAsia"/>
                <w:szCs w:val="21"/>
              </w:rPr>
              <w:t>500万元</w:t>
            </w:r>
          </w:p>
        </w:tc>
        <w:tc>
          <w:tcPr>
            <w:tcW w:w="1659" w:type="dxa"/>
          </w:tcPr>
          <w:p>
            <w:pPr>
              <w:spacing w:line="320" w:lineRule="exact"/>
              <w:ind w:firstLine="422" w:firstLineChars="201"/>
              <w:rPr>
                <w:szCs w:val="21"/>
              </w:rPr>
            </w:pPr>
            <w:r>
              <w:rPr>
                <w:rFonts w:ascii="宋体" w:hAnsi="宋体" w:cs="宋体"/>
                <w:kern w:val="0"/>
                <w:szCs w:val="21"/>
              </w:rPr>
              <w:t xml:space="preserve">1.1% </w:t>
            </w:r>
          </w:p>
        </w:tc>
        <w:tc>
          <w:tcPr>
            <w:tcW w:w="1532" w:type="dxa"/>
          </w:tcPr>
          <w:p>
            <w:pPr>
              <w:spacing w:line="320" w:lineRule="exact"/>
              <w:ind w:firstLine="422" w:firstLineChars="201"/>
              <w:rPr>
                <w:szCs w:val="21"/>
              </w:rPr>
            </w:pPr>
            <w:r>
              <w:rPr>
                <w:rFonts w:ascii="宋体" w:hAnsi="宋体" w:cs="宋体"/>
                <w:kern w:val="0"/>
                <w:szCs w:val="21"/>
              </w:rPr>
              <w:t>0.8%</w:t>
            </w:r>
          </w:p>
        </w:tc>
        <w:tc>
          <w:tcPr>
            <w:tcW w:w="1546" w:type="dxa"/>
          </w:tcPr>
          <w:p>
            <w:pPr>
              <w:spacing w:line="320" w:lineRule="exact"/>
              <w:ind w:firstLine="422" w:firstLineChars="201"/>
              <w:rPr>
                <w:szCs w:val="21"/>
              </w:rPr>
            </w:pPr>
            <w:r>
              <w:rPr>
                <w:rFonts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szCs w:val="21"/>
              </w:rPr>
              <w:t>50</w:t>
            </w:r>
            <w:r>
              <w:rPr>
                <w:rFonts w:hint="eastAsia" w:ascii="宋体" w:hAnsi="宋体"/>
                <w:szCs w:val="21"/>
              </w:rPr>
              <w:t>0～</w:t>
            </w:r>
            <w:r>
              <w:rPr>
                <w:rFonts w:hint="eastAsia"/>
                <w:szCs w:val="21"/>
              </w:rPr>
              <w:t>1000万元</w:t>
            </w:r>
          </w:p>
        </w:tc>
        <w:tc>
          <w:tcPr>
            <w:tcW w:w="1659" w:type="dxa"/>
          </w:tcPr>
          <w:p>
            <w:pPr>
              <w:spacing w:line="320" w:lineRule="exact"/>
              <w:ind w:firstLine="422" w:firstLineChars="201"/>
              <w:rPr>
                <w:szCs w:val="21"/>
              </w:rPr>
            </w:pPr>
            <w:r>
              <w:rPr>
                <w:rFonts w:ascii="宋体" w:hAnsi="宋体" w:cs="宋体"/>
                <w:kern w:val="0"/>
                <w:szCs w:val="21"/>
              </w:rPr>
              <w:t xml:space="preserve">0.8% </w:t>
            </w:r>
          </w:p>
        </w:tc>
        <w:tc>
          <w:tcPr>
            <w:tcW w:w="1532" w:type="dxa"/>
          </w:tcPr>
          <w:p>
            <w:pPr>
              <w:spacing w:line="320" w:lineRule="exact"/>
              <w:ind w:firstLine="422" w:firstLineChars="201"/>
              <w:rPr>
                <w:szCs w:val="21"/>
              </w:rPr>
            </w:pPr>
            <w:r>
              <w:rPr>
                <w:rFonts w:ascii="宋体" w:hAnsi="宋体" w:cs="宋体"/>
                <w:kern w:val="0"/>
                <w:szCs w:val="21"/>
              </w:rPr>
              <w:t>0.45%</w:t>
            </w:r>
          </w:p>
        </w:tc>
        <w:tc>
          <w:tcPr>
            <w:tcW w:w="1546" w:type="dxa"/>
          </w:tcPr>
          <w:p>
            <w:pPr>
              <w:spacing w:line="320" w:lineRule="exact"/>
              <w:ind w:firstLine="422" w:firstLineChars="201"/>
              <w:rPr>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szCs w:val="21"/>
              </w:rPr>
              <w:t>100</w:t>
            </w:r>
            <w:r>
              <w:rPr>
                <w:rFonts w:hint="eastAsia" w:ascii="宋体" w:hAnsi="宋体"/>
                <w:szCs w:val="21"/>
              </w:rPr>
              <w:t>0～</w:t>
            </w:r>
            <w:r>
              <w:rPr>
                <w:rFonts w:hint="eastAsia"/>
                <w:szCs w:val="21"/>
              </w:rPr>
              <w:t>5000万元</w:t>
            </w:r>
          </w:p>
        </w:tc>
        <w:tc>
          <w:tcPr>
            <w:tcW w:w="1659" w:type="dxa"/>
          </w:tcPr>
          <w:p>
            <w:pPr>
              <w:spacing w:line="320" w:lineRule="exact"/>
              <w:ind w:firstLine="422" w:firstLineChars="201"/>
              <w:rPr>
                <w:szCs w:val="21"/>
              </w:rPr>
            </w:pPr>
            <w:r>
              <w:rPr>
                <w:rFonts w:ascii="宋体" w:hAnsi="宋体" w:cs="宋体"/>
                <w:kern w:val="0"/>
                <w:szCs w:val="21"/>
              </w:rPr>
              <w:t xml:space="preserve">0.5% </w:t>
            </w:r>
          </w:p>
        </w:tc>
        <w:tc>
          <w:tcPr>
            <w:tcW w:w="1532" w:type="dxa"/>
          </w:tcPr>
          <w:p>
            <w:pPr>
              <w:spacing w:line="320" w:lineRule="exact"/>
              <w:ind w:firstLine="422" w:firstLineChars="201"/>
              <w:rPr>
                <w:szCs w:val="21"/>
              </w:rPr>
            </w:pPr>
            <w:r>
              <w:rPr>
                <w:rFonts w:ascii="宋体" w:hAnsi="宋体" w:cs="宋体"/>
                <w:kern w:val="0"/>
                <w:szCs w:val="21"/>
              </w:rPr>
              <w:t>0.25%</w:t>
            </w:r>
          </w:p>
        </w:tc>
        <w:tc>
          <w:tcPr>
            <w:tcW w:w="1546" w:type="dxa"/>
          </w:tcPr>
          <w:p>
            <w:pPr>
              <w:spacing w:line="320" w:lineRule="exact"/>
              <w:ind w:firstLine="422" w:firstLineChars="201"/>
              <w:rPr>
                <w:szCs w:val="21"/>
              </w:rPr>
            </w:pPr>
            <w:r>
              <w:rPr>
                <w:rFonts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szCs w:val="21"/>
              </w:rPr>
              <w:t>5000万</w:t>
            </w:r>
            <w:r>
              <w:rPr>
                <w:rFonts w:hint="eastAsia" w:ascii="宋体" w:hAnsi="宋体"/>
                <w:szCs w:val="21"/>
              </w:rPr>
              <w:t>元～</w:t>
            </w:r>
            <w:r>
              <w:rPr>
                <w:rFonts w:hint="eastAsia"/>
                <w:szCs w:val="21"/>
              </w:rPr>
              <w:t>1亿元</w:t>
            </w:r>
          </w:p>
        </w:tc>
        <w:tc>
          <w:tcPr>
            <w:tcW w:w="1659" w:type="dxa"/>
          </w:tcPr>
          <w:p>
            <w:pPr>
              <w:spacing w:line="320" w:lineRule="exact"/>
              <w:ind w:firstLine="422" w:firstLineChars="201"/>
              <w:rPr>
                <w:szCs w:val="21"/>
              </w:rPr>
            </w:pPr>
            <w:r>
              <w:rPr>
                <w:rFonts w:ascii="宋体" w:hAnsi="宋体" w:cs="宋体"/>
                <w:kern w:val="0"/>
                <w:szCs w:val="21"/>
              </w:rPr>
              <w:t xml:space="preserve">0.25% </w:t>
            </w:r>
          </w:p>
        </w:tc>
        <w:tc>
          <w:tcPr>
            <w:tcW w:w="1532" w:type="dxa"/>
          </w:tcPr>
          <w:p>
            <w:pPr>
              <w:spacing w:line="320" w:lineRule="exact"/>
              <w:ind w:firstLine="422" w:firstLineChars="201"/>
              <w:rPr>
                <w:szCs w:val="21"/>
              </w:rPr>
            </w:pPr>
            <w:r>
              <w:rPr>
                <w:rFonts w:ascii="宋体" w:hAnsi="宋体" w:cs="宋体"/>
                <w:kern w:val="0"/>
                <w:szCs w:val="21"/>
              </w:rPr>
              <w:t>0.1%</w:t>
            </w:r>
          </w:p>
        </w:tc>
        <w:tc>
          <w:tcPr>
            <w:tcW w:w="1546" w:type="dxa"/>
          </w:tcPr>
          <w:p>
            <w:pPr>
              <w:spacing w:line="320" w:lineRule="exact"/>
              <w:ind w:firstLine="422" w:firstLineChars="201"/>
              <w:rPr>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ascii="宋体" w:hAnsi="宋体"/>
                <w:szCs w:val="21"/>
              </w:rPr>
              <w:t>1～</w:t>
            </w:r>
            <w:r>
              <w:rPr>
                <w:rFonts w:hint="eastAsia"/>
                <w:szCs w:val="21"/>
              </w:rPr>
              <w:t>5亿元</w:t>
            </w:r>
          </w:p>
        </w:tc>
        <w:tc>
          <w:tcPr>
            <w:tcW w:w="1659" w:type="dxa"/>
          </w:tcPr>
          <w:p>
            <w:pPr>
              <w:spacing w:line="320" w:lineRule="exact"/>
              <w:ind w:firstLine="422" w:firstLineChars="201"/>
              <w:rPr>
                <w:szCs w:val="21"/>
              </w:rPr>
            </w:pPr>
            <w:r>
              <w:rPr>
                <w:rFonts w:hint="eastAsia"/>
                <w:szCs w:val="21"/>
              </w:rPr>
              <w:t>0.05%</w:t>
            </w:r>
          </w:p>
        </w:tc>
        <w:tc>
          <w:tcPr>
            <w:tcW w:w="1532" w:type="dxa"/>
          </w:tcPr>
          <w:p>
            <w:pPr>
              <w:spacing w:line="320" w:lineRule="exact"/>
              <w:ind w:firstLine="422" w:firstLineChars="201"/>
              <w:rPr>
                <w:szCs w:val="21"/>
              </w:rPr>
            </w:pPr>
            <w:r>
              <w:rPr>
                <w:rFonts w:hint="eastAsia"/>
                <w:szCs w:val="21"/>
              </w:rPr>
              <w:t xml:space="preserve">  0.05%</w:t>
            </w:r>
          </w:p>
        </w:tc>
        <w:tc>
          <w:tcPr>
            <w:tcW w:w="1546" w:type="dxa"/>
          </w:tcPr>
          <w:p>
            <w:pPr>
              <w:spacing w:line="320" w:lineRule="exact"/>
              <w:ind w:firstLine="422" w:firstLineChars="201"/>
              <w:rPr>
                <w:szCs w:val="21"/>
              </w:rPr>
            </w:pPr>
            <w:r>
              <w:rPr>
                <w:rFonts w:hint="eastAsia"/>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ascii="宋体" w:hAnsi="宋体"/>
                <w:szCs w:val="21"/>
              </w:rPr>
              <w:t>5～</w:t>
            </w:r>
            <w:r>
              <w:rPr>
                <w:rFonts w:hint="eastAsia"/>
                <w:szCs w:val="21"/>
              </w:rPr>
              <w:t>10亿元</w:t>
            </w:r>
          </w:p>
        </w:tc>
        <w:tc>
          <w:tcPr>
            <w:tcW w:w="1659" w:type="dxa"/>
          </w:tcPr>
          <w:p>
            <w:pPr>
              <w:spacing w:line="320" w:lineRule="exact"/>
              <w:ind w:firstLine="422" w:firstLineChars="201"/>
              <w:rPr>
                <w:szCs w:val="21"/>
              </w:rPr>
            </w:pPr>
            <w:r>
              <w:rPr>
                <w:rFonts w:hint="eastAsia"/>
                <w:szCs w:val="21"/>
              </w:rPr>
              <w:t>0.035%</w:t>
            </w:r>
          </w:p>
        </w:tc>
        <w:tc>
          <w:tcPr>
            <w:tcW w:w="1532" w:type="dxa"/>
          </w:tcPr>
          <w:p>
            <w:pPr>
              <w:spacing w:line="320" w:lineRule="exact"/>
              <w:ind w:firstLine="422" w:firstLineChars="201"/>
              <w:rPr>
                <w:szCs w:val="21"/>
              </w:rPr>
            </w:pPr>
            <w:r>
              <w:rPr>
                <w:rFonts w:hint="eastAsia"/>
                <w:szCs w:val="21"/>
              </w:rPr>
              <w:t xml:space="preserve">  0.035%</w:t>
            </w:r>
          </w:p>
        </w:tc>
        <w:tc>
          <w:tcPr>
            <w:tcW w:w="1546" w:type="dxa"/>
          </w:tcPr>
          <w:p>
            <w:pPr>
              <w:spacing w:line="320" w:lineRule="exact"/>
              <w:ind w:firstLine="422" w:firstLineChars="201"/>
              <w:rPr>
                <w:szCs w:val="21"/>
              </w:rPr>
            </w:pPr>
            <w:r>
              <w:rPr>
                <w:rFonts w:hint="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szCs w:val="21"/>
              </w:rPr>
              <w:t>1</w:t>
            </w:r>
            <w:r>
              <w:rPr>
                <w:rFonts w:hint="eastAsia" w:ascii="宋体" w:hAnsi="宋体"/>
                <w:szCs w:val="21"/>
              </w:rPr>
              <w:t>0～</w:t>
            </w:r>
            <w:r>
              <w:rPr>
                <w:rFonts w:hint="eastAsia"/>
                <w:szCs w:val="21"/>
              </w:rPr>
              <w:t>50亿元</w:t>
            </w:r>
          </w:p>
        </w:tc>
        <w:tc>
          <w:tcPr>
            <w:tcW w:w="1659" w:type="dxa"/>
          </w:tcPr>
          <w:p>
            <w:pPr>
              <w:spacing w:line="320" w:lineRule="exact"/>
              <w:ind w:firstLine="422" w:firstLineChars="201"/>
              <w:rPr>
                <w:szCs w:val="21"/>
              </w:rPr>
            </w:pPr>
            <w:r>
              <w:rPr>
                <w:rFonts w:hint="eastAsia"/>
                <w:szCs w:val="21"/>
              </w:rPr>
              <w:t>0.008%</w:t>
            </w:r>
          </w:p>
        </w:tc>
        <w:tc>
          <w:tcPr>
            <w:tcW w:w="1532" w:type="dxa"/>
          </w:tcPr>
          <w:p>
            <w:pPr>
              <w:spacing w:line="320" w:lineRule="exact"/>
              <w:ind w:firstLine="422" w:firstLineChars="201"/>
              <w:rPr>
                <w:szCs w:val="21"/>
              </w:rPr>
            </w:pPr>
            <w:r>
              <w:rPr>
                <w:rFonts w:hint="eastAsia"/>
                <w:szCs w:val="21"/>
              </w:rPr>
              <w:t>0.008%</w:t>
            </w:r>
          </w:p>
        </w:tc>
        <w:tc>
          <w:tcPr>
            <w:tcW w:w="1546" w:type="dxa"/>
          </w:tcPr>
          <w:p>
            <w:pPr>
              <w:spacing w:line="320" w:lineRule="exact"/>
              <w:ind w:firstLine="422" w:firstLineChars="201"/>
              <w:rPr>
                <w:szCs w:val="21"/>
              </w:rPr>
            </w:pPr>
            <w:r>
              <w:rPr>
                <w:rFonts w:hint="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szCs w:val="21"/>
              </w:rPr>
              <w:t>5</w:t>
            </w:r>
            <w:r>
              <w:rPr>
                <w:rFonts w:hint="eastAsia" w:ascii="宋体" w:hAnsi="宋体"/>
                <w:szCs w:val="21"/>
              </w:rPr>
              <w:t>0～</w:t>
            </w:r>
            <w:r>
              <w:rPr>
                <w:rFonts w:hint="eastAsia"/>
                <w:szCs w:val="21"/>
              </w:rPr>
              <w:t>100亿元</w:t>
            </w:r>
          </w:p>
        </w:tc>
        <w:tc>
          <w:tcPr>
            <w:tcW w:w="1659" w:type="dxa"/>
          </w:tcPr>
          <w:p>
            <w:pPr>
              <w:spacing w:line="320" w:lineRule="exact"/>
              <w:ind w:firstLine="422" w:firstLineChars="201"/>
              <w:rPr>
                <w:szCs w:val="21"/>
              </w:rPr>
            </w:pPr>
            <w:r>
              <w:rPr>
                <w:rFonts w:hint="eastAsia"/>
                <w:szCs w:val="21"/>
              </w:rPr>
              <w:t xml:space="preserve"> 0.006%</w:t>
            </w:r>
          </w:p>
        </w:tc>
        <w:tc>
          <w:tcPr>
            <w:tcW w:w="1532" w:type="dxa"/>
          </w:tcPr>
          <w:p>
            <w:pPr>
              <w:spacing w:line="320" w:lineRule="exact"/>
              <w:ind w:firstLine="422" w:firstLineChars="201"/>
              <w:rPr>
                <w:szCs w:val="21"/>
              </w:rPr>
            </w:pPr>
            <w:r>
              <w:rPr>
                <w:rFonts w:hint="eastAsia"/>
                <w:szCs w:val="21"/>
              </w:rPr>
              <w:t>0.006%</w:t>
            </w:r>
          </w:p>
        </w:tc>
        <w:tc>
          <w:tcPr>
            <w:tcW w:w="1546" w:type="dxa"/>
          </w:tcPr>
          <w:p>
            <w:pPr>
              <w:spacing w:line="320" w:lineRule="exact"/>
              <w:ind w:firstLine="422" w:firstLineChars="201"/>
              <w:rPr>
                <w:szCs w:val="21"/>
              </w:rPr>
            </w:pPr>
            <w:r>
              <w:rPr>
                <w:rFonts w:hint="eastAsia"/>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ind w:firstLine="422" w:firstLineChars="201"/>
              <w:rPr>
                <w:szCs w:val="21"/>
              </w:rPr>
            </w:pPr>
            <w:r>
              <w:rPr>
                <w:rFonts w:hint="eastAsia"/>
                <w:szCs w:val="21"/>
              </w:rPr>
              <w:t>100亿以上</w:t>
            </w:r>
          </w:p>
        </w:tc>
        <w:tc>
          <w:tcPr>
            <w:tcW w:w="1659" w:type="dxa"/>
          </w:tcPr>
          <w:p>
            <w:pPr>
              <w:spacing w:line="320" w:lineRule="exact"/>
              <w:ind w:firstLine="422" w:firstLineChars="201"/>
              <w:rPr>
                <w:szCs w:val="21"/>
              </w:rPr>
            </w:pPr>
            <w:r>
              <w:rPr>
                <w:rFonts w:hint="eastAsia"/>
                <w:szCs w:val="21"/>
              </w:rPr>
              <w:t xml:space="preserve"> 0.004%</w:t>
            </w:r>
          </w:p>
        </w:tc>
        <w:tc>
          <w:tcPr>
            <w:tcW w:w="1532" w:type="dxa"/>
          </w:tcPr>
          <w:p>
            <w:pPr>
              <w:spacing w:line="320" w:lineRule="exact"/>
              <w:ind w:firstLine="422" w:firstLineChars="201"/>
              <w:rPr>
                <w:szCs w:val="21"/>
              </w:rPr>
            </w:pPr>
            <w:r>
              <w:rPr>
                <w:rFonts w:hint="eastAsia"/>
                <w:szCs w:val="21"/>
              </w:rPr>
              <w:t>0.004%</w:t>
            </w:r>
          </w:p>
        </w:tc>
        <w:tc>
          <w:tcPr>
            <w:tcW w:w="1546" w:type="dxa"/>
          </w:tcPr>
          <w:p>
            <w:pPr>
              <w:spacing w:line="320" w:lineRule="exact"/>
              <w:ind w:firstLine="422" w:firstLineChars="201"/>
              <w:rPr>
                <w:szCs w:val="21"/>
              </w:rPr>
            </w:pPr>
            <w:r>
              <w:rPr>
                <w:rFonts w:hint="eastAsia"/>
                <w:szCs w:val="21"/>
              </w:rPr>
              <w:t>0.004%</w:t>
            </w:r>
          </w:p>
        </w:tc>
      </w:tr>
    </w:tbl>
    <w:p>
      <w:pPr>
        <w:pStyle w:val="9"/>
        <w:snapToGrid w:val="0"/>
        <w:spacing w:before="120" w:after="120" w:line="320" w:lineRule="exact"/>
        <w:ind w:firstLine="422" w:firstLineChars="201"/>
        <w:rPr>
          <w:rFonts w:hAnsi="宋体"/>
          <w:kern w:val="2"/>
          <w:sz w:val="21"/>
        </w:rPr>
      </w:pPr>
      <w:r>
        <w:rPr>
          <w:rFonts w:hint="eastAsia" w:hAnsi="宋体"/>
          <w:kern w:val="2"/>
          <w:sz w:val="21"/>
        </w:rPr>
        <w:t>注:招标代理服务收费按差额定率累进法计算。</w:t>
      </w:r>
    </w:p>
    <w:p>
      <w:pPr>
        <w:pStyle w:val="9"/>
        <w:snapToGrid w:val="0"/>
        <w:ind w:firstLine="420" w:firstLineChars="200"/>
        <w:rPr>
          <w:rFonts w:hAnsi="宋体"/>
          <w:kern w:val="2"/>
          <w:sz w:val="21"/>
        </w:rPr>
      </w:pPr>
      <w:r>
        <w:rPr>
          <w:rFonts w:hint="eastAsia" w:hAnsi="宋体"/>
          <w:kern w:val="2"/>
          <w:sz w:val="21"/>
        </w:rPr>
        <w:t>32.2本磋商采购文件是根据国家有关法律、法规以及政府采购管理有关规定和参照国际惯例编制，解释权属本采购代理机构。</w:t>
      </w:r>
    </w:p>
    <w:p>
      <w:pPr>
        <w:pStyle w:val="9"/>
        <w:snapToGrid w:val="0"/>
        <w:ind w:firstLine="420" w:firstLineChars="200"/>
        <w:rPr>
          <w:rFonts w:hAnsi="宋体"/>
          <w:kern w:val="2"/>
          <w:sz w:val="21"/>
        </w:rPr>
      </w:pPr>
      <w:r>
        <w:rPr>
          <w:rFonts w:hint="eastAsia" w:hAnsi="宋体"/>
          <w:kern w:val="2"/>
          <w:sz w:val="21"/>
        </w:rPr>
        <w:t>32.3所有与本竞争性磋商采购文件有关的函电请按下列通讯地址联系：</w:t>
      </w:r>
    </w:p>
    <w:p>
      <w:pPr>
        <w:widowControl/>
        <w:ind w:firstLine="420" w:firstLineChars="200"/>
        <w:jc w:val="left"/>
        <w:rPr>
          <w:rFonts w:ascii="宋体" w:hAnsi="宋体"/>
          <w:szCs w:val="21"/>
        </w:rPr>
      </w:pPr>
      <w:r>
        <w:rPr>
          <w:rFonts w:hint="eastAsia" w:ascii="宋体" w:hAnsi="宋体"/>
          <w:szCs w:val="21"/>
        </w:rPr>
        <w:t>广西科联招标中心有限公司防城港分公司</w:t>
      </w:r>
    </w:p>
    <w:p>
      <w:pPr>
        <w:widowControl/>
        <w:ind w:firstLine="420" w:firstLineChars="200"/>
        <w:jc w:val="left"/>
        <w:rPr>
          <w:rFonts w:ascii="宋体" w:hAnsi="宋体"/>
          <w:szCs w:val="21"/>
        </w:rPr>
      </w:pPr>
      <w:r>
        <w:rPr>
          <w:rFonts w:hint="eastAsia" w:ascii="宋体" w:hAnsi="宋体"/>
          <w:szCs w:val="21"/>
        </w:rPr>
        <w:t xml:space="preserve">通讯地址：防城港市港口区桃花湾广场珍珠路6号桂海东盟新城9＃（H幢）605号房  </w:t>
      </w:r>
    </w:p>
    <w:p>
      <w:pPr>
        <w:widowControl/>
        <w:ind w:firstLine="420" w:firstLineChars="200"/>
        <w:jc w:val="left"/>
        <w:rPr>
          <w:rFonts w:ascii="宋体" w:hAnsi="宋体"/>
          <w:szCs w:val="21"/>
        </w:rPr>
      </w:pPr>
      <w:r>
        <w:rPr>
          <w:rFonts w:hint="eastAsia" w:ascii="宋体" w:hAnsi="宋体"/>
          <w:szCs w:val="21"/>
        </w:rPr>
        <w:t>邮政编码：538001 ；电话：0770-2821504；传真：0770-2831062</w:t>
      </w:r>
    </w:p>
    <w:p>
      <w:pPr>
        <w:widowControl/>
        <w:ind w:firstLine="420" w:firstLineChars="200"/>
        <w:jc w:val="left"/>
        <w:rPr>
          <w:rFonts w:ascii="宋体" w:hAnsi="宋体"/>
          <w:szCs w:val="21"/>
        </w:rPr>
      </w:pPr>
      <w:r>
        <w:rPr>
          <w:rFonts w:hint="eastAsia" w:ascii="宋体" w:hAnsi="宋体"/>
          <w:szCs w:val="21"/>
        </w:rPr>
        <w:t xml:space="preserve">开户名称：广西科联招标中心有限公司防城港分公司   </w:t>
      </w:r>
    </w:p>
    <w:p>
      <w:pPr>
        <w:widowControl/>
        <w:ind w:firstLine="420" w:firstLineChars="200"/>
        <w:jc w:val="left"/>
        <w:rPr>
          <w:rFonts w:ascii="宋体" w:hAnsi="宋体"/>
          <w:szCs w:val="21"/>
        </w:rPr>
      </w:pPr>
      <w:r>
        <w:rPr>
          <w:rFonts w:hint="eastAsia" w:ascii="宋体" w:hAnsi="宋体"/>
          <w:szCs w:val="21"/>
        </w:rPr>
        <w:t>开户银行：建行防城港分行营业部</w:t>
      </w:r>
    </w:p>
    <w:p>
      <w:pPr>
        <w:widowControl/>
        <w:ind w:firstLine="420" w:firstLineChars="200"/>
        <w:jc w:val="left"/>
        <w:rPr>
          <w:rFonts w:ascii="宋体" w:hAnsi="宋体"/>
          <w:szCs w:val="21"/>
        </w:rPr>
      </w:pPr>
      <w:r>
        <w:rPr>
          <w:rFonts w:hint="eastAsia" w:ascii="宋体" w:hAnsi="宋体"/>
          <w:szCs w:val="21"/>
        </w:rPr>
        <w:t>帐    号：45001659588059282828</w:t>
      </w:r>
    </w:p>
    <w:p>
      <w:pPr>
        <w:widowControl/>
        <w:jc w:val="left"/>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15"/>
        <w:spacing w:line="340" w:lineRule="exact"/>
      </w:pPr>
      <w:bookmarkStart w:id="36" w:name="_Toc30722"/>
      <w:bookmarkStart w:id="37" w:name="_Toc514340097"/>
      <w:r>
        <w:rPr>
          <w:rFonts w:hint="eastAsia"/>
        </w:rPr>
        <w:t>第三章  采购需求</w:t>
      </w:r>
      <w:bookmarkEnd w:id="36"/>
      <w:bookmarkEnd w:id="37"/>
    </w:p>
    <w:p>
      <w:pPr>
        <w:spacing w:line="360" w:lineRule="auto"/>
        <w:rPr>
          <w:rFonts w:ascii="宋体" w:hAnsi="宋体" w:cs="宋体"/>
          <w:b/>
          <w:bCs/>
        </w:rPr>
      </w:pPr>
      <w:r>
        <w:rPr>
          <w:rFonts w:hint="eastAsia" w:ascii="宋体" w:hAnsi="宋体" w:cs="宋体"/>
          <w:b/>
          <w:bCs/>
        </w:rPr>
        <w:t>说明：</w:t>
      </w:r>
    </w:p>
    <w:p>
      <w:pPr>
        <w:spacing w:line="360" w:lineRule="auto"/>
        <w:ind w:firstLine="411" w:firstLineChars="195"/>
        <w:rPr>
          <w:rFonts w:ascii="宋体" w:hAnsi="宋体" w:cs="宋体"/>
          <w:b/>
          <w:bCs/>
        </w:rPr>
      </w:pPr>
      <w:r>
        <w:rPr>
          <w:rFonts w:hint="eastAsia" w:ascii="宋体" w:hAnsi="宋体" w:cs="宋体"/>
          <w:b/>
          <w:szCs w:val="21"/>
        </w:rPr>
        <w:t>1、供应商应对磋商内容所涉及的专利承担法律责任，并负责保护业主的利益不受任何损害。一切由于文字、商标、技术和软件专利授权引起的法律裁决、诉讼和赔偿费用均由中标人负责。</w:t>
      </w:r>
      <w:r>
        <w:rPr>
          <w:rFonts w:hint="eastAsia" w:ascii="宋体" w:hAnsi="宋体" w:cs="宋体"/>
          <w:b/>
        </w:rPr>
        <w:t>同时，具有产品专利的供应商应在其响应文件中提供与其自有产品专利相关的有效证明材料，否则，</w:t>
      </w:r>
      <w:r>
        <w:rPr>
          <w:rFonts w:hint="eastAsia" w:ascii="宋体" w:hAnsi="宋体" w:cs="宋体"/>
          <w:b/>
          <w:bCs/>
        </w:rPr>
        <w:t>不能就其产品的专利在本项目磋商过程中被侵权问题而提出异议。</w:t>
      </w:r>
    </w:p>
    <w:p>
      <w:pPr>
        <w:spacing w:line="360" w:lineRule="auto"/>
        <w:ind w:firstLine="422" w:firstLineChars="200"/>
        <w:jc w:val="left"/>
        <w:rPr>
          <w:rFonts w:ascii="宋体" w:hAnsi="宋体" w:cs="宋体"/>
          <w:b/>
          <w:bCs/>
          <w:szCs w:val="21"/>
        </w:rPr>
      </w:pPr>
      <w:r>
        <w:rPr>
          <w:rFonts w:hint="eastAsia" w:ascii="宋体" w:hAnsi="宋体" w:cs="宋体"/>
          <w:b/>
          <w:bCs/>
          <w:szCs w:val="21"/>
        </w:rPr>
        <w:t>2、供应商应注意下列内容：</w:t>
      </w:r>
    </w:p>
    <w:p>
      <w:pPr>
        <w:spacing w:line="360" w:lineRule="auto"/>
        <w:ind w:firstLine="422" w:firstLineChars="200"/>
        <w:jc w:val="left"/>
        <w:rPr>
          <w:rFonts w:ascii="宋体" w:hAnsi="宋体" w:cs="宋体"/>
          <w:b/>
          <w:bCs/>
          <w:szCs w:val="21"/>
        </w:rPr>
      </w:pPr>
      <w:r>
        <w:rPr>
          <w:rFonts w:hint="eastAsia" w:ascii="宋体" w:hAnsi="宋体" w:cs="宋体"/>
          <w:b/>
          <w:bCs/>
          <w:szCs w:val="21"/>
        </w:rPr>
        <w:t>1）招标文件中带“</w:t>
      </w:r>
      <w:r>
        <w:rPr>
          <w:rFonts w:hint="eastAsia" w:ascii="宋体" w:hAnsi="宋体" w:cs="宋体"/>
          <w:b/>
          <w:bCs/>
          <w:kern w:val="0"/>
        </w:rPr>
        <w:t>★”</w:t>
      </w:r>
      <w:r>
        <w:rPr>
          <w:rFonts w:hint="eastAsia" w:ascii="宋体" w:hAnsi="宋体" w:cs="宋体"/>
          <w:b/>
          <w:bCs/>
          <w:szCs w:val="21"/>
        </w:rPr>
        <w:t>的条款为本次采购的实质性的商务、技术或服务要求，供应商须满足或响应，若无法完全满足，将会被认定为无效磋商。</w:t>
      </w:r>
    </w:p>
    <w:p>
      <w:pPr>
        <w:spacing w:line="360" w:lineRule="auto"/>
        <w:ind w:firstLine="422" w:firstLineChars="200"/>
        <w:jc w:val="left"/>
        <w:rPr>
          <w:rFonts w:ascii="宋体" w:hAnsi="宋体" w:cs="宋体"/>
          <w:b/>
          <w:bCs/>
          <w:szCs w:val="21"/>
        </w:rPr>
      </w:pPr>
      <w:r>
        <w:rPr>
          <w:rFonts w:hint="eastAsia" w:ascii="宋体" w:hAnsi="宋体" w:cs="宋体"/>
          <w:b/>
          <w:bCs/>
          <w:szCs w:val="21"/>
        </w:rPr>
        <w:t>2）供应商须在响应文件中填写/应答技术规格参数，当响应文件中技术参数与招标文件中技术参数有偏离时，须在“偏离”栏内如实注明是“正偏离”或“负偏离”，“正偏离”指磋商设备的技术参数优于磋商采购条件书文件中要求，“负偏离”指磋商设备的技术参数低于招标文件中要求。响应文件中的技术参数、功能或其它内容有“正偏离”的，供应商须对“正偏离”的情况单独作出说明。</w:t>
      </w:r>
    </w:p>
    <w:p>
      <w:pPr>
        <w:adjustRightInd w:val="0"/>
        <w:snapToGrid w:val="0"/>
        <w:spacing w:line="360" w:lineRule="auto"/>
        <w:ind w:firstLine="422" w:firstLineChars="200"/>
        <w:rPr>
          <w:rFonts w:ascii="宋体" w:hAnsi="宋体" w:cs="宋体"/>
          <w:b/>
          <w:bCs/>
          <w:sz w:val="28"/>
          <w:szCs w:val="28"/>
        </w:rPr>
      </w:pPr>
      <w:bookmarkStart w:id="38" w:name="工期要求"/>
      <w:bookmarkEnd w:id="38"/>
      <w:r>
        <w:rPr>
          <w:rFonts w:hint="eastAsia" w:ascii="宋体" w:hAnsi="宋体" w:cs="宋体"/>
          <w:b/>
          <w:bCs/>
          <w:szCs w:val="21"/>
        </w:rPr>
        <w:t>3、供应商应承诺响应文件中提供的证明材料和资质文件真实，如出现虚假应标情况，供应商除了应接受有关部门的处罚外，还应</w:t>
      </w:r>
      <w:r>
        <w:rPr>
          <w:rFonts w:hint="eastAsia" w:ascii="宋体" w:hAnsi="宋体" w:cs="宋体"/>
          <w:b/>
          <w:bCs/>
        </w:rPr>
        <w:t>依据《中华人民共和国合同法》的相关条款来确定赔偿金额</w:t>
      </w:r>
      <w:r>
        <w:rPr>
          <w:rFonts w:hint="eastAsia" w:ascii="宋体" w:hAnsi="宋体" w:cs="宋体"/>
          <w:b/>
          <w:bCs/>
          <w:szCs w:val="21"/>
        </w:rPr>
        <w:t>。</w:t>
      </w:r>
    </w:p>
    <w:p>
      <w:pPr>
        <w:pStyle w:val="31"/>
      </w:pPr>
      <w:bookmarkStart w:id="39" w:name="_Toc514340098"/>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1"/>
        <w:gridCol w:w="1171"/>
        <w:gridCol w:w="750"/>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4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Arial"/>
                <w:b/>
                <w:bCs/>
                <w:szCs w:val="21"/>
              </w:rPr>
            </w:pPr>
            <w:r>
              <w:rPr>
                <w:rFonts w:hint="eastAsia" w:ascii="宋体" w:hAnsi="宋体" w:cs="Arial"/>
                <w:b/>
                <w:bCs/>
                <w:szCs w:val="21"/>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Arial"/>
                <w:b/>
                <w:bCs/>
                <w:szCs w:val="21"/>
              </w:rPr>
            </w:pPr>
            <w:r>
              <w:rPr>
                <w:rFonts w:hint="eastAsia" w:ascii="宋体" w:hAnsi="宋体" w:cs="Arial"/>
                <w:b/>
                <w:bCs/>
                <w:szCs w:val="21"/>
              </w:rPr>
              <w:t>服务内容</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Arial"/>
                <w:b/>
                <w:bCs/>
                <w:szCs w:val="21"/>
              </w:rPr>
            </w:pPr>
            <w:r>
              <w:rPr>
                <w:rFonts w:hint="eastAsia" w:ascii="宋体" w:hAnsi="宋体" w:cs="Arial"/>
                <w:b/>
                <w:bCs/>
                <w:szCs w:val="21"/>
              </w:rPr>
              <w:t>数量</w:t>
            </w:r>
          </w:p>
        </w:tc>
        <w:tc>
          <w:tcPr>
            <w:tcW w:w="641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Arial"/>
                <w:b/>
                <w:bCs/>
                <w:szCs w:val="21"/>
              </w:rPr>
            </w:pPr>
            <w:r>
              <w:rPr>
                <w:rFonts w:hint="eastAsia" w:ascii="宋体" w:hAnsi="宋体" w:cs="宋体"/>
                <w:b/>
                <w:bCs/>
                <w:szCs w:val="21"/>
              </w:rPr>
              <w:t>建设内容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4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Arial"/>
                <w:b/>
                <w:bCs/>
                <w:szCs w:val="21"/>
              </w:rPr>
            </w:pPr>
            <w:r>
              <w:rPr>
                <w:rFonts w:hint="eastAsia" w:ascii="宋体" w:hAnsi="宋体" w:cs="Arial"/>
                <w:b/>
                <w:bCs/>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Arial"/>
                <w:bCs/>
                <w:szCs w:val="21"/>
              </w:rPr>
              <w:t>广西十万大山国家级自然保护区保护管理基础设施工程关键物种监测项目</w:t>
            </w:r>
          </w:p>
          <w:p>
            <w:pPr>
              <w:snapToGrid w:val="0"/>
              <w:spacing w:line="300" w:lineRule="exact"/>
              <w:jc w:val="center"/>
              <w:rPr>
                <w:rFonts w:ascii="宋体" w:hAnsi="宋体" w:cs="Arial"/>
                <w:b/>
                <w:bCs/>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Arial"/>
                <w:b/>
                <w:bCs/>
                <w:szCs w:val="21"/>
              </w:rPr>
            </w:pPr>
            <w:r>
              <w:rPr>
                <w:rFonts w:hint="eastAsia" w:ascii="宋体" w:hAnsi="宋体" w:cs="Arial"/>
                <w:szCs w:val="21"/>
              </w:rPr>
              <w:t>1项</w:t>
            </w:r>
          </w:p>
        </w:tc>
        <w:tc>
          <w:tcPr>
            <w:tcW w:w="6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szCs w:val="21"/>
              </w:rPr>
            </w:pPr>
            <w:r>
              <w:rPr>
                <w:rFonts w:hint="eastAsia" w:ascii="宋体" w:hAnsi="宋体" w:cs="宋体"/>
                <w:szCs w:val="21"/>
              </w:rPr>
              <w:t>科研监测是整个保护区工作的重点，通过对保护区植物、动物等进行监测，主要是对原已设立的沟谷雨林监测样地和关键物种监测样地进行动态监测，获取保护区的植物动物资源的动态变化，本次监测工程重点是对国家和广西重点保护野生植物和野生动物进行监测。</w:t>
            </w:r>
          </w:p>
          <w:p>
            <w:pPr>
              <w:spacing w:line="400" w:lineRule="exact"/>
              <w:ind w:firstLine="420" w:firstLineChars="200"/>
              <w:jc w:val="left"/>
              <w:rPr>
                <w:rFonts w:ascii="宋体" w:hAnsi="宋体" w:cs="宋体"/>
                <w:szCs w:val="21"/>
              </w:rPr>
            </w:pPr>
            <w:r>
              <w:rPr>
                <w:rFonts w:hint="eastAsia" w:ascii="宋体" w:hAnsi="宋体" w:cs="宋体"/>
                <w:szCs w:val="21"/>
              </w:rPr>
              <w:t>根据《广西十万大山国家级自然保护区保护管理基础设施工程初步设计》“关键物种监测项目”项目建设主要内容如下：</w:t>
            </w:r>
          </w:p>
          <w:p>
            <w:pPr>
              <w:spacing w:line="400" w:lineRule="exact"/>
              <w:ind w:firstLine="422" w:firstLineChars="200"/>
              <w:jc w:val="left"/>
              <w:rPr>
                <w:rFonts w:ascii="宋体" w:hAnsi="宋体" w:cs="宋体"/>
                <w:b/>
                <w:bCs/>
                <w:szCs w:val="21"/>
              </w:rPr>
            </w:pPr>
            <w:r>
              <w:rPr>
                <w:rFonts w:hint="eastAsia" w:ascii="宋体" w:hAnsi="宋体" w:cs="宋体"/>
                <w:b/>
                <w:bCs/>
                <w:szCs w:val="21"/>
              </w:rPr>
              <w:t>一、重点保护野生植物监测工程</w:t>
            </w:r>
          </w:p>
          <w:p>
            <w:pPr>
              <w:spacing w:line="400" w:lineRule="exact"/>
              <w:ind w:firstLine="422" w:firstLineChars="200"/>
              <w:jc w:val="left"/>
              <w:rPr>
                <w:rFonts w:ascii="宋体" w:hAnsi="宋体" w:cs="宋体"/>
                <w:b/>
                <w:bCs/>
                <w:szCs w:val="21"/>
              </w:rPr>
            </w:pPr>
            <w:r>
              <w:rPr>
                <w:rFonts w:hint="eastAsia" w:ascii="宋体" w:hAnsi="宋体" w:cs="宋体"/>
                <w:b/>
                <w:bCs/>
                <w:szCs w:val="21"/>
              </w:rPr>
              <w:t>1.沟谷雨林监测</w:t>
            </w:r>
          </w:p>
          <w:p>
            <w:pPr>
              <w:spacing w:line="400" w:lineRule="exact"/>
              <w:ind w:firstLine="420" w:firstLineChars="200"/>
              <w:jc w:val="left"/>
              <w:rPr>
                <w:rFonts w:ascii="宋体" w:hAnsi="宋体" w:cs="宋体"/>
                <w:szCs w:val="21"/>
              </w:rPr>
            </w:pPr>
            <w:r>
              <w:rPr>
                <w:rFonts w:hint="eastAsia" w:ascii="宋体" w:hAnsi="宋体" w:cs="宋体"/>
                <w:szCs w:val="21"/>
              </w:rPr>
              <w:t>沟谷雨林是十万大山极其重要的植被类型，其中狭叶坡垒和海南风吹楠是沟谷雨林代表性的物种。计划在狭叶坡垒和海南风吹楠典型分布区域各设立1公顷的固定监测样地对沟谷雨林的群落结构组成、种间关系、动态变化、更新状况，物种多度、丰富度及生物多样性等指标进行等进行监测。</w:t>
            </w:r>
          </w:p>
          <w:p>
            <w:pPr>
              <w:spacing w:line="400" w:lineRule="exact"/>
              <w:ind w:firstLine="422" w:firstLineChars="200"/>
              <w:jc w:val="left"/>
              <w:rPr>
                <w:rFonts w:ascii="宋体" w:hAnsi="宋体" w:cs="宋体"/>
                <w:b/>
                <w:bCs/>
                <w:szCs w:val="21"/>
              </w:rPr>
            </w:pPr>
            <w:r>
              <w:rPr>
                <w:rFonts w:hint="eastAsia" w:ascii="宋体" w:hAnsi="宋体" w:cs="宋体"/>
                <w:b/>
                <w:bCs/>
                <w:szCs w:val="21"/>
              </w:rPr>
              <w:t>2.关键物种监测</w:t>
            </w:r>
          </w:p>
          <w:p>
            <w:pPr>
              <w:spacing w:line="400" w:lineRule="exact"/>
              <w:ind w:firstLine="420" w:firstLineChars="200"/>
              <w:jc w:val="left"/>
              <w:rPr>
                <w:rFonts w:ascii="宋体" w:hAnsi="宋体" w:cs="宋体"/>
                <w:szCs w:val="21"/>
              </w:rPr>
            </w:pPr>
            <w:r>
              <w:rPr>
                <w:rFonts w:hint="eastAsia" w:ascii="宋体" w:hAnsi="宋体" w:cs="宋体"/>
                <w:szCs w:val="21"/>
              </w:rPr>
              <w:t>共设立7个监测样地主要对保护区的 4 种关键物种（狭叶坡垒、十万大山苏铁、海南风吹楠、金花茶）进行监测。重点监测样地内关键物种的种群结构、生长情况，伴生物种种类数量、种群动态变化等情况，样地设置见表1。</w:t>
            </w:r>
          </w:p>
          <w:p>
            <w:pPr>
              <w:spacing w:line="400" w:lineRule="exact"/>
              <w:ind w:firstLine="420" w:firstLineChars="200"/>
              <w:jc w:val="left"/>
              <w:rPr>
                <w:rFonts w:ascii="宋体" w:hAnsi="宋体" w:cs="宋体"/>
                <w:szCs w:val="21"/>
              </w:rPr>
            </w:pPr>
            <w:r>
              <w:rPr>
                <w:rFonts w:hint="eastAsia" w:ascii="宋体" w:hAnsi="宋体" w:cs="宋体"/>
                <w:szCs w:val="21"/>
              </w:rPr>
              <w:t>表1 关键物种（植物）监测样地设置表</w:t>
            </w:r>
          </w:p>
          <w:tbl>
            <w:tblPr>
              <w:tblStyle w:val="18"/>
              <w:tblW w:w="6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239"/>
              <w:gridCol w:w="1239"/>
              <w:gridCol w:w="12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物种名</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科</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保护等级</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样地数量</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样地大小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狭叶坡垒</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龙脑香科</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国家一级</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4</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20m*20m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十万大山苏铁</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苏铁科</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国家一级</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1</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20m*20m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海南风吹楠</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肉豆蔻科</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国家二级</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1</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20m*20m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金花茶</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山茶科</w:t>
                  </w:r>
                </w:p>
              </w:tc>
              <w:tc>
                <w:tcPr>
                  <w:tcW w:w="1239"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广西重点</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1</w:t>
                  </w:r>
                </w:p>
              </w:tc>
              <w:tc>
                <w:tcPr>
                  <w:tcW w:w="1240" w:type="dxa"/>
                  <w:vAlign w:val="center"/>
                </w:tcPr>
                <w:p>
                  <w:pPr>
                    <w:pStyle w:val="6"/>
                    <w:jc w:val="center"/>
                    <w:rPr>
                      <w:rFonts w:ascii="宋体" w:hAnsi="宋体" w:eastAsia="宋体" w:cs="宋体"/>
                      <w:b w:val="0"/>
                      <w:spacing w:val="0"/>
                      <w:sz w:val="21"/>
                      <w:szCs w:val="21"/>
                    </w:rPr>
                  </w:pPr>
                  <w:r>
                    <w:rPr>
                      <w:rFonts w:hint="eastAsia" w:ascii="宋体" w:hAnsi="宋体" w:eastAsia="宋体" w:cs="宋体"/>
                      <w:b w:val="0"/>
                      <w:spacing w:val="0"/>
                      <w:sz w:val="21"/>
                      <w:szCs w:val="21"/>
                    </w:rPr>
                    <w:t>20m*20m</w:t>
                  </w:r>
                </w:p>
              </w:tc>
            </w:tr>
          </w:tbl>
          <w:p>
            <w:pPr>
              <w:spacing w:line="400" w:lineRule="exact"/>
              <w:ind w:firstLine="422" w:firstLineChars="200"/>
              <w:jc w:val="left"/>
              <w:rPr>
                <w:rFonts w:ascii="宋体" w:hAnsi="宋体" w:cs="宋体"/>
                <w:b/>
                <w:bCs/>
                <w:szCs w:val="21"/>
              </w:rPr>
            </w:pPr>
            <w:r>
              <w:rPr>
                <w:rFonts w:hint="eastAsia" w:ascii="宋体" w:hAnsi="宋体" w:cs="宋体"/>
                <w:b/>
                <w:bCs/>
                <w:szCs w:val="21"/>
              </w:rPr>
              <w:t>3.植物样线监测</w:t>
            </w:r>
          </w:p>
          <w:p>
            <w:pPr>
              <w:spacing w:line="400" w:lineRule="exact"/>
              <w:ind w:firstLine="420" w:firstLineChars="200"/>
              <w:jc w:val="left"/>
              <w:rPr>
                <w:rFonts w:ascii="宋体" w:hAnsi="宋体" w:cs="宋体"/>
                <w:szCs w:val="21"/>
              </w:rPr>
            </w:pPr>
            <w:r>
              <w:rPr>
                <w:rFonts w:hint="eastAsia" w:ascii="宋体" w:hAnsi="宋体" w:cs="宋体"/>
                <w:szCs w:val="21"/>
              </w:rPr>
              <w:t>在平隆山监测站附近，沿着海拔梯度设立植物监测样线，重点监测植物分布随海拔的变化、区域代表性植物、特有植物、药用植物、外来植物的种类数量及分布特征。</w:t>
            </w:r>
          </w:p>
          <w:p>
            <w:pPr>
              <w:spacing w:line="400" w:lineRule="exact"/>
              <w:ind w:firstLine="422" w:firstLineChars="200"/>
              <w:jc w:val="left"/>
              <w:rPr>
                <w:rFonts w:ascii="宋体" w:hAnsi="宋体" w:cs="宋体"/>
                <w:b/>
                <w:bCs/>
                <w:szCs w:val="21"/>
              </w:rPr>
            </w:pPr>
            <w:r>
              <w:rPr>
                <w:rFonts w:hint="eastAsia" w:ascii="宋体" w:hAnsi="宋体" w:cs="宋体"/>
                <w:b/>
                <w:bCs/>
                <w:szCs w:val="21"/>
              </w:rPr>
              <w:t>二、重点保护野生动物监测工程</w:t>
            </w:r>
          </w:p>
          <w:p>
            <w:pPr>
              <w:spacing w:line="400" w:lineRule="exact"/>
              <w:ind w:firstLine="420" w:firstLineChars="200"/>
              <w:jc w:val="left"/>
              <w:rPr>
                <w:rFonts w:ascii="宋体" w:hAnsi="宋体" w:cs="宋体"/>
                <w:szCs w:val="21"/>
              </w:rPr>
            </w:pPr>
            <w:r>
              <w:rPr>
                <w:rFonts w:hint="eastAsia" w:ascii="宋体" w:hAnsi="宋体" w:cs="宋体"/>
                <w:szCs w:val="21"/>
              </w:rPr>
              <w:t>共设立12条监测样线对保护区内的兽类、鸟类、两栖类、爬行类四个动物类群进行监测。本项目重点对保护区重点保护野生动物进行监测，主要监测和记录动物的种类、数量和活动痕迹等。</w:t>
            </w:r>
          </w:p>
          <w:p>
            <w:pPr>
              <w:spacing w:line="400" w:lineRule="exact"/>
              <w:ind w:firstLine="422" w:firstLineChars="200"/>
              <w:jc w:val="left"/>
              <w:rPr>
                <w:rFonts w:ascii="宋体" w:hAnsi="宋体" w:cs="宋体"/>
                <w:b/>
                <w:bCs/>
                <w:szCs w:val="21"/>
              </w:rPr>
            </w:pPr>
            <w:r>
              <w:rPr>
                <w:rFonts w:hint="eastAsia" w:ascii="宋体" w:hAnsi="宋体" w:cs="宋体"/>
                <w:b/>
                <w:bCs/>
                <w:szCs w:val="21"/>
              </w:rPr>
              <w:t>1.兽类样线监测</w:t>
            </w:r>
          </w:p>
          <w:p>
            <w:pPr>
              <w:spacing w:line="400" w:lineRule="exact"/>
              <w:ind w:firstLine="420" w:firstLineChars="200"/>
              <w:jc w:val="left"/>
              <w:rPr>
                <w:rFonts w:ascii="宋体" w:hAnsi="宋体" w:cs="宋体"/>
                <w:szCs w:val="21"/>
              </w:rPr>
            </w:pPr>
            <w:r>
              <w:rPr>
                <w:rFonts w:hint="eastAsia" w:ascii="宋体" w:hAnsi="宋体" w:cs="宋体"/>
                <w:szCs w:val="21"/>
              </w:rPr>
              <w:t>在踏查走访的基础上，结合地形、地貌和生境等特点设立5条监测样线，选择监测样点，进行兽类资源多样性监测。在每条样线上分别布设红外相机4-5台，并记录相机编号及GPS 坐标。放置红外相机约1个月后，把红外相机收回并将相关图片导入电脑，结合实地监测的生境情况进行统计分析兽类物种及其种群数量的动态变化，评价保护物种的数量、生存状况等。</w:t>
            </w:r>
          </w:p>
          <w:p>
            <w:pPr>
              <w:spacing w:line="400" w:lineRule="exact"/>
              <w:ind w:firstLine="422" w:firstLineChars="200"/>
              <w:jc w:val="left"/>
              <w:rPr>
                <w:rFonts w:ascii="宋体" w:hAnsi="宋体" w:cs="宋体"/>
                <w:b/>
                <w:bCs/>
                <w:szCs w:val="21"/>
              </w:rPr>
            </w:pPr>
            <w:r>
              <w:rPr>
                <w:rFonts w:hint="eastAsia" w:ascii="宋体" w:hAnsi="宋体" w:cs="宋体"/>
                <w:b/>
                <w:bCs/>
                <w:szCs w:val="21"/>
              </w:rPr>
              <w:t>2.鸟类样线监测</w:t>
            </w:r>
          </w:p>
          <w:p>
            <w:pPr>
              <w:spacing w:line="400" w:lineRule="exact"/>
              <w:ind w:firstLine="420" w:firstLineChars="200"/>
              <w:jc w:val="left"/>
              <w:rPr>
                <w:rFonts w:ascii="宋体" w:hAnsi="宋体" w:cs="宋体"/>
                <w:szCs w:val="21"/>
              </w:rPr>
            </w:pPr>
            <w:r>
              <w:rPr>
                <w:rFonts w:hint="eastAsia" w:ascii="宋体" w:hAnsi="宋体" w:cs="宋体"/>
                <w:szCs w:val="21"/>
              </w:rPr>
              <w:t>在踏查走访的基础上，结合地形、地貌和生境等特点设立5条监测样线，进行鸟类资源多样性监测。选择不同季节（迁徙季、繁殖季）组织鸟类监测人员进行鸟类样线监测，重点监测鸟类种类、数量、行为、生境选择等。</w:t>
            </w:r>
          </w:p>
          <w:p>
            <w:pPr>
              <w:spacing w:line="400" w:lineRule="exact"/>
              <w:ind w:firstLine="422" w:firstLineChars="200"/>
              <w:jc w:val="left"/>
              <w:rPr>
                <w:rFonts w:ascii="宋体" w:hAnsi="宋体" w:cs="宋体"/>
                <w:b/>
                <w:bCs/>
                <w:szCs w:val="21"/>
              </w:rPr>
            </w:pPr>
            <w:r>
              <w:rPr>
                <w:rFonts w:hint="eastAsia" w:ascii="宋体" w:hAnsi="宋体" w:cs="宋体"/>
                <w:b/>
                <w:bCs/>
                <w:szCs w:val="21"/>
              </w:rPr>
              <w:t>3.两栖及爬行类动物样线监测</w:t>
            </w:r>
          </w:p>
          <w:p>
            <w:pPr>
              <w:spacing w:line="400" w:lineRule="exact"/>
              <w:ind w:firstLine="420" w:firstLineChars="200"/>
              <w:jc w:val="left"/>
              <w:rPr>
                <w:rFonts w:ascii="宋体" w:hAnsi="宋体" w:cs="宋体"/>
                <w:szCs w:val="21"/>
              </w:rPr>
            </w:pPr>
            <w:r>
              <w:rPr>
                <w:rFonts w:hint="eastAsia" w:ascii="宋体" w:hAnsi="宋体" w:cs="宋体"/>
                <w:szCs w:val="21"/>
              </w:rPr>
              <w:t>在踏查走访的基础上，结合地形、地貌和生境等特点设立2条监测样线，进行两栖及爬行类资源多样性监测。在样线上，通过日间及夜间（夜间采用照明工具头灯或强光电筒）寻找，记录两栖及爬行类动物的种类、数量、生境等情况，统计分析两栖及爬行类动物物种及其种群数量的动态变化，评价保护物种的数量、生存状况等。</w:t>
            </w:r>
          </w:p>
          <w:p>
            <w:pPr>
              <w:snapToGrid w:val="0"/>
              <w:spacing w:line="300" w:lineRule="exact"/>
              <w:jc w:val="center"/>
              <w:rPr>
                <w:rFonts w:ascii="宋体" w:hAnsi="宋体" w:cs="Arial"/>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商务及其他要求：</w:t>
            </w:r>
          </w:p>
          <w:p>
            <w:pPr>
              <w:spacing w:line="400" w:lineRule="exact"/>
              <w:jc w:val="left"/>
              <w:rPr>
                <w:rFonts w:ascii="宋体" w:hAnsi="宋体" w:cs="宋体"/>
                <w:szCs w:val="21"/>
              </w:rPr>
            </w:pPr>
            <w:r>
              <w:rPr>
                <w:rFonts w:hint="eastAsia" w:ascii="宋体" w:hAnsi="宋体" w:cs="宋体"/>
                <w:szCs w:val="21"/>
              </w:rPr>
              <w:t>1.监测服务成果提交时间：360个日历天。</w:t>
            </w:r>
          </w:p>
          <w:p>
            <w:pPr>
              <w:pStyle w:val="2"/>
              <w:ind w:firstLine="0" w:firstLineChars="0"/>
              <w:rPr>
                <w:rFonts w:ascii="宋体" w:hAnsi="宋体"/>
                <w:szCs w:val="21"/>
              </w:rPr>
            </w:pPr>
            <w:r>
              <w:rPr>
                <w:rFonts w:hint="eastAsia" w:ascii="宋体" w:hAnsi="宋体"/>
                <w:szCs w:val="21"/>
              </w:rPr>
              <w:t>2.技术服务质量：文件组成内容满足《中华人民共和国自然保护区条例》、《广西壮族自治区森林和野生动物自然保护区管理条例》、《自然保护区综合科学考察技术规程》以及国家、地方有关法规、规范、标准要求。</w:t>
            </w:r>
          </w:p>
          <w:p>
            <w:pPr>
              <w:autoSpaceDE w:val="0"/>
              <w:autoSpaceDN w:val="0"/>
              <w:adjustRightInd w:val="0"/>
              <w:spacing w:line="360" w:lineRule="auto"/>
              <w:rPr>
                <w:rFonts w:ascii="宋体" w:hAnsi="宋体" w:cs="宋体"/>
                <w:szCs w:val="21"/>
              </w:rPr>
            </w:pPr>
            <w:r>
              <w:rPr>
                <w:rFonts w:hint="eastAsia" w:ascii="宋体" w:hAnsi="宋体" w:cs="宋体"/>
                <w:szCs w:val="21"/>
              </w:rPr>
              <w:t>3.验收标准及方法：</w:t>
            </w:r>
          </w:p>
          <w:p>
            <w:pPr>
              <w:autoSpaceDE w:val="0"/>
              <w:autoSpaceDN w:val="0"/>
              <w:adjustRightInd w:val="0"/>
              <w:spacing w:line="360" w:lineRule="auto"/>
              <w:rPr>
                <w:rFonts w:ascii="宋体" w:hAnsi="宋体" w:cs="宋体"/>
                <w:szCs w:val="21"/>
              </w:rPr>
            </w:pPr>
            <w:r>
              <w:rPr>
                <w:rFonts w:hint="eastAsia" w:ascii="宋体" w:hAnsi="宋体" w:cs="宋体"/>
                <w:szCs w:val="21"/>
              </w:rPr>
              <w:t>1）成果提交：①</w:t>
            </w:r>
            <w:r>
              <w:rPr>
                <w:rFonts w:hint="eastAsia" w:ascii="宋体" w:hAnsi="宋体" w:cs="宋体"/>
                <w:kern w:val="0"/>
                <w:szCs w:val="21"/>
                <w:lang w:val="zh-CN"/>
              </w:rPr>
              <w:t>乙方按计划提交和完成相关成果和服务工作，</w:t>
            </w:r>
            <w:r>
              <w:rPr>
                <w:rFonts w:hint="eastAsia" w:ascii="宋体" w:hAnsi="宋体" w:cs="宋体"/>
                <w:szCs w:val="21"/>
              </w:rPr>
              <w:t>撰写《广西十万大山国家级自然保护区关键物种监测报告》，主要内容包括项目背景、实施过程、监测的方法和成果、关键物种的生长情况、植物群落动态变化情况和保护效果评价等；并提交其电子版成果1份和8份纸质成果报告。②将调查、监测过程中采集到的标本进行整理，通过干燥、消毒后，做成腊叶标本并收藏。③将野外拍摄的物种特征照片进行整理、鉴定和命名，筛选后编制成彩色植物识别图册。</w:t>
            </w:r>
          </w:p>
          <w:p>
            <w:pPr>
              <w:autoSpaceDE w:val="0"/>
              <w:autoSpaceDN w:val="0"/>
              <w:adjustRightInd w:val="0"/>
              <w:spacing w:line="360" w:lineRule="auto"/>
              <w:rPr>
                <w:rFonts w:ascii="宋体" w:hAnsi="宋体" w:cs="宋体"/>
                <w:szCs w:val="21"/>
              </w:rPr>
            </w:pPr>
            <w:r>
              <w:rPr>
                <w:rFonts w:hint="eastAsia" w:ascii="宋体" w:hAnsi="宋体" w:cs="宋体"/>
                <w:szCs w:val="21"/>
              </w:rPr>
              <w:t>2）</w:t>
            </w:r>
            <w:r>
              <w:rPr>
                <w:rFonts w:hint="eastAsia" w:ascii="宋体" w:hAnsi="宋体" w:cs="宋体"/>
                <w:kern w:val="0"/>
                <w:szCs w:val="21"/>
                <w:lang w:val="zh-CN"/>
              </w:rPr>
              <w:t>成果的验收：</w:t>
            </w:r>
            <w:r>
              <w:rPr>
                <w:rFonts w:hint="eastAsia" w:ascii="宋体" w:hAnsi="宋体" w:cs="仿宋_GB2312"/>
                <w:szCs w:val="21"/>
              </w:rPr>
              <w:t>所有提交的成果材料都必须经过主管部门组织的专家评审通过，并获得主管部门审批。</w:t>
            </w:r>
          </w:p>
          <w:p>
            <w:pPr>
              <w:spacing w:line="400" w:lineRule="exact"/>
              <w:jc w:val="left"/>
              <w:rPr>
                <w:rFonts w:ascii="宋体" w:hAnsi="宋体" w:cs="宋体"/>
                <w:szCs w:val="21"/>
              </w:rPr>
            </w:pPr>
            <w:r>
              <w:rPr>
                <w:rFonts w:hint="eastAsia" w:ascii="宋体" w:hAnsi="宋体" w:cs="宋体"/>
                <w:szCs w:val="21"/>
              </w:rPr>
              <w:t>4.项目付款：1）项目技术服务费，包括现状调研费、成果编制费、图件制作费、评审费、印刷费等相关费用。2）技术服务费由甲方分期支付给乙方。具体支付方式和时间如下：①合同签订后甲方</w:t>
            </w:r>
            <w:r>
              <w:rPr>
                <w:rFonts w:hint="eastAsia" w:ascii="宋体" w:hAnsi="宋体" w:cs="仿宋"/>
                <w:bCs/>
                <w:szCs w:val="21"/>
              </w:rPr>
              <w:t>按财政国库集中支付规定程序办理预付合同价款的40%，作为项目启动资金，以利于资料收集、现状调查等各项前期工作开展。②乙方提交项目成果最终稿给甲方后，甲方向乙方按财政国库集中支付规定程序办理支付项目余下合同款60%。</w:t>
            </w:r>
          </w:p>
          <w:p>
            <w:pPr>
              <w:spacing w:line="400" w:lineRule="exact"/>
              <w:jc w:val="left"/>
              <w:rPr>
                <w:rFonts w:ascii="宋体" w:hAnsi="宋体" w:cs="宋体"/>
              </w:rPr>
            </w:pPr>
            <w:r>
              <w:rPr>
                <w:rFonts w:hint="eastAsia" w:ascii="宋体" w:hAnsi="宋体" w:cs="宋体"/>
              </w:rPr>
              <w:t>5.磋商报价要求：磋商总报价以人民币报价，包括了供应商完成本项目所需的一切工作内容而发生的所有直接费用、间接费用、其它费用、税金等全部费用和供应商要求获得的利润以及应由供应商承担的义务、责任和风险所发生的一切费用。</w:t>
            </w:r>
          </w:p>
          <w:p>
            <w:pPr>
              <w:pStyle w:val="2"/>
              <w:ind w:firstLine="0" w:firstLineChars="0"/>
              <w:rPr>
                <w:rFonts w:ascii="宋体" w:hAnsi="宋体" w:cs="宋体"/>
              </w:rPr>
            </w:pPr>
            <w:r>
              <w:rPr>
                <w:rFonts w:hint="eastAsia" w:ascii="宋体" w:hAnsi="宋体" w:cs="宋体"/>
              </w:rPr>
              <w:t>6.磋商供应商应保证针对本项目的服务（或货物）所涉及到的知识产权和所提供的相关技术资料是合法取得，并享有完整的知识产权，不会因为采购人的使用而被责令停止使用、追偿或要求赔偿损失，如出现此情况，一切经济和法律责任均由磋商供应商承担。</w:t>
            </w:r>
          </w:p>
          <w:p>
            <w:pPr>
              <w:pStyle w:val="2"/>
              <w:ind w:firstLine="0" w:firstLineChars="0"/>
              <w:rPr>
                <w:rFonts w:ascii="宋体" w:hAnsi="宋体" w:cs="宋体"/>
              </w:rPr>
            </w:pPr>
            <w:r>
              <w:rPr>
                <w:rFonts w:hint="eastAsia" w:ascii="宋体" w:hAnsi="宋体" w:cs="宋体"/>
              </w:rPr>
              <w:t>7.成交供应商有义务随时向采购人解释所有成果内容。</w:t>
            </w:r>
          </w:p>
          <w:p>
            <w:pPr>
              <w:pStyle w:val="2"/>
              <w:ind w:firstLine="0" w:firstLineChars="0"/>
            </w:pPr>
            <w:r>
              <w:rPr>
                <w:rFonts w:hint="eastAsia" w:ascii="宋体" w:hAnsi="宋体" w:cs="宋体"/>
              </w:rPr>
              <w:t>8.本项目采购预算金额为人民币：60万元，最后磋商报价超出本项目采购预算金额的将被视为无效磋商。</w:t>
            </w:r>
          </w:p>
        </w:tc>
      </w:tr>
    </w:tbl>
    <w:p>
      <w:pPr>
        <w:pStyle w:val="31"/>
      </w:pPr>
    </w:p>
    <w:p>
      <w:pPr>
        <w:pStyle w:val="31"/>
      </w:pPr>
    </w:p>
    <w:p>
      <w:pPr>
        <w:pStyle w:val="4"/>
        <w:jc w:val="center"/>
      </w:pPr>
      <w:bookmarkStart w:id="40" w:name="_Toc4549"/>
      <w:r>
        <w:rPr>
          <w:rFonts w:hint="eastAsia"/>
        </w:rPr>
        <w:t>第四章 评审方法及定标标准</w:t>
      </w:r>
      <w:bookmarkEnd w:id="39"/>
      <w:bookmarkEnd w:id="40"/>
    </w:p>
    <w:p>
      <w:pPr>
        <w:pStyle w:val="9"/>
        <w:spacing w:line="360" w:lineRule="exact"/>
        <w:ind w:firstLine="426" w:firstLineChars="202"/>
        <w:rPr>
          <w:rFonts w:hAnsi="宋体" w:cs="宋体"/>
          <w:b/>
          <w:bCs/>
          <w:sz w:val="21"/>
        </w:rPr>
      </w:pPr>
      <w:r>
        <w:rPr>
          <w:rFonts w:hint="eastAsia" w:hAnsi="宋体" w:cs="宋体"/>
          <w:b/>
          <w:bCs/>
          <w:sz w:val="21"/>
        </w:rPr>
        <w:t>一、评审依据及方式</w:t>
      </w:r>
    </w:p>
    <w:p>
      <w:pPr>
        <w:pStyle w:val="9"/>
        <w:spacing w:line="360" w:lineRule="exact"/>
        <w:ind w:firstLine="424" w:firstLineChars="202"/>
        <w:rPr>
          <w:rFonts w:hAnsi="宋体" w:cs="宋体"/>
          <w:bCs/>
          <w:sz w:val="21"/>
        </w:rPr>
      </w:pPr>
      <w:r>
        <w:rPr>
          <w:rFonts w:hint="eastAsia" w:hAnsi="宋体" w:cs="宋体"/>
          <w:bCs/>
          <w:sz w:val="21"/>
        </w:rPr>
        <w:t>1、评审依据：磋商小组以竞争性磋商文件和响应文件为评标依据，对供应商的最终报价、服务方案、业绩等方面内容按百分制打分。</w:t>
      </w:r>
    </w:p>
    <w:p>
      <w:pPr>
        <w:pStyle w:val="9"/>
        <w:spacing w:line="360" w:lineRule="exact"/>
        <w:ind w:firstLine="424" w:firstLineChars="202"/>
        <w:rPr>
          <w:rFonts w:hAnsi="宋体" w:cs="宋体"/>
          <w:bCs/>
          <w:sz w:val="21"/>
        </w:rPr>
      </w:pPr>
      <w:r>
        <w:rPr>
          <w:rFonts w:hint="eastAsia" w:hAnsi="宋体" w:cs="宋体"/>
          <w:bCs/>
          <w:sz w:val="21"/>
        </w:rPr>
        <w:t>2、评审方式：以封闭方式进行评标。</w:t>
      </w:r>
    </w:p>
    <w:p>
      <w:pPr>
        <w:pStyle w:val="9"/>
        <w:spacing w:line="360" w:lineRule="exact"/>
        <w:ind w:firstLine="424" w:firstLineChars="202"/>
        <w:rPr>
          <w:rFonts w:hAnsi="宋体" w:cs="宋体"/>
          <w:bCs/>
          <w:sz w:val="21"/>
        </w:rPr>
      </w:pPr>
      <w:r>
        <w:rPr>
          <w:rFonts w:hint="eastAsia" w:hAnsi="宋体" w:cs="宋体"/>
          <w:bCs/>
          <w:sz w:val="21"/>
        </w:rPr>
        <w:t>3、根据中华人民共和国政府采购法的相关规定，采购人和采购代理机构，磋商小组成员要严格遵守政府采购相关法律制度，依法履行各自职责，公正、客观、审慎地组织和参与评审工作。</w:t>
      </w:r>
    </w:p>
    <w:p>
      <w:pPr>
        <w:pStyle w:val="9"/>
        <w:spacing w:line="360" w:lineRule="exact"/>
        <w:ind w:firstLine="424" w:firstLineChars="202"/>
        <w:rPr>
          <w:rFonts w:hAnsi="宋体" w:cs="宋体"/>
          <w:bCs/>
          <w:sz w:val="21"/>
        </w:rPr>
      </w:pPr>
      <w:r>
        <w:rPr>
          <w:rFonts w:hint="eastAsia" w:hAnsi="宋体" w:cs="宋体"/>
          <w:bCs/>
          <w:sz w:val="21"/>
        </w:rPr>
        <w:t>二、评审办法</w:t>
      </w:r>
    </w:p>
    <w:p>
      <w:pPr>
        <w:pStyle w:val="9"/>
        <w:spacing w:line="360" w:lineRule="exact"/>
        <w:ind w:firstLine="424" w:firstLineChars="202"/>
        <w:rPr>
          <w:rFonts w:hAnsi="宋体" w:cs="宋体"/>
          <w:bCs/>
          <w:sz w:val="21"/>
        </w:rPr>
      </w:pPr>
      <w:r>
        <w:rPr>
          <w:rFonts w:hint="eastAsia" w:hAnsi="宋体" w:cs="宋体"/>
          <w:bCs/>
          <w:sz w:val="21"/>
        </w:rPr>
        <w:t>（一）对进入详评的，采用综合评分法。</w:t>
      </w:r>
    </w:p>
    <w:p>
      <w:pPr>
        <w:pStyle w:val="9"/>
        <w:spacing w:line="360" w:lineRule="exact"/>
        <w:ind w:firstLine="424" w:firstLineChars="202"/>
        <w:rPr>
          <w:rFonts w:hAnsi="宋体" w:cs="宋体"/>
          <w:bCs/>
          <w:sz w:val="21"/>
        </w:rPr>
      </w:pPr>
      <w:r>
        <w:rPr>
          <w:rFonts w:hint="eastAsia" w:hAnsi="宋体" w:cs="宋体"/>
          <w:bCs/>
          <w:sz w:val="21"/>
        </w:rPr>
        <w:t>（二）计分办法（按四舍五入取至小数点后二位）</w:t>
      </w:r>
    </w:p>
    <w:p>
      <w:pPr>
        <w:pStyle w:val="9"/>
        <w:spacing w:line="360" w:lineRule="exact"/>
        <w:ind w:firstLine="426" w:firstLineChars="202"/>
        <w:rPr>
          <w:rFonts w:hAnsi="宋体" w:cs="宋体"/>
          <w:b/>
          <w:bCs/>
          <w:sz w:val="21"/>
        </w:rPr>
      </w:pPr>
      <w:r>
        <w:rPr>
          <w:rFonts w:hint="eastAsia" w:hAnsi="宋体" w:cs="宋体"/>
          <w:b/>
          <w:bCs/>
          <w:sz w:val="21"/>
        </w:rPr>
        <w:t>1、价格分………………………………………………………………………10分</w:t>
      </w:r>
    </w:p>
    <w:p>
      <w:pPr>
        <w:pStyle w:val="9"/>
        <w:spacing w:line="360" w:lineRule="exact"/>
        <w:ind w:firstLine="424" w:firstLineChars="202"/>
        <w:rPr>
          <w:rFonts w:hAnsi="宋体" w:cs="宋体"/>
          <w:bCs/>
          <w:sz w:val="21"/>
        </w:rPr>
      </w:pPr>
      <w:r>
        <w:rPr>
          <w:rFonts w:hint="eastAsia" w:hAnsi="宋体" w:cs="宋体"/>
          <w:bCs/>
          <w:sz w:val="21"/>
        </w:rPr>
        <w:t>（1）评标价为供应商的最终报价进行政策性扣除后的价格，评标价只是作为评标时使用。最终成交人的成交金额＝最终报价。</w:t>
      </w:r>
    </w:p>
    <w:p>
      <w:pPr>
        <w:pStyle w:val="9"/>
        <w:spacing w:line="360" w:lineRule="exact"/>
        <w:ind w:firstLine="424" w:firstLineChars="202"/>
        <w:rPr>
          <w:rFonts w:hAnsi="宋体" w:cs="宋体"/>
          <w:bCs/>
          <w:sz w:val="21"/>
        </w:rPr>
      </w:pPr>
      <w:r>
        <w:rPr>
          <w:rFonts w:hint="eastAsia" w:hAnsi="宋体" w:cs="宋体"/>
          <w:bCs/>
          <w:sz w:val="21"/>
        </w:rPr>
        <w:t>（2）按照《政府采购促进中小企业发展暂行办法》（财库[2011]181号）之规定，对小型和微型企业产品的价格给予6%的扣除。</w:t>
      </w:r>
    </w:p>
    <w:p>
      <w:pPr>
        <w:pStyle w:val="9"/>
        <w:spacing w:line="360" w:lineRule="exact"/>
        <w:ind w:firstLine="424" w:firstLineChars="202"/>
        <w:rPr>
          <w:rFonts w:hAnsi="宋体" w:cs="宋体"/>
          <w:bCs/>
          <w:sz w:val="21"/>
        </w:rPr>
      </w:pPr>
      <w:r>
        <w:rPr>
          <w:rFonts w:hint="eastAsia" w:hAnsi="宋体" w:cs="宋体"/>
          <w:bCs/>
          <w:sz w:val="21"/>
        </w:rPr>
        <w:t>（3）按照《财政部、司法部关于政府采购支持监狱企业发展有关问题的通知》（财库〔2014〕68号）的规定，监狱企业视同小型、微型企业，享受预留份额、评审中价格扣除等促进中小企业发展的政府采购政策。</w:t>
      </w:r>
    </w:p>
    <w:p>
      <w:pPr>
        <w:pStyle w:val="9"/>
        <w:spacing w:line="360" w:lineRule="exact"/>
        <w:ind w:firstLine="424" w:firstLineChars="202"/>
        <w:rPr>
          <w:rFonts w:hAnsi="宋体" w:cs="宋体"/>
          <w:bCs/>
          <w:sz w:val="21"/>
        </w:rPr>
      </w:pPr>
      <w:r>
        <w:rPr>
          <w:rFonts w:hint="eastAsia" w:hAnsi="宋体" w:cs="宋体"/>
          <w:bCs/>
          <w:sz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9"/>
        <w:spacing w:line="360" w:lineRule="exact"/>
        <w:ind w:firstLine="424" w:firstLineChars="202"/>
        <w:rPr>
          <w:rFonts w:hAnsi="宋体" w:cs="宋体"/>
          <w:bCs/>
          <w:sz w:val="21"/>
        </w:rPr>
      </w:pPr>
      <w:r>
        <w:rPr>
          <w:rFonts w:hint="eastAsia" w:hAnsi="宋体" w:cs="宋体"/>
          <w:bCs/>
          <w:sz w:val="21"/>
        </w:rPr>
        <w:t>（5）政策性扣除计算方法。</w:t>
      </w:r>
    </w:p>
    <w:p>
      <w:pPr>
        <w:pStyle w:val="9"/>
        <w:spacing w:line="360" w:lineRule="exact"/>
        <w:ind w:firstLine="424" w:firstLineChars="202"/>
        <w:rPr>
          <w:rFonts w:hAnsi="宋体" w:cs="宋体"/>
          <w:bCs/>
          <w:sz w:val="21"/>
        </w:rPr>
      </w:pPr>
      <w:r>
        <w:rPr>
          <w:rFonts w:hint="eastAsia" w:hAnsi="宋体" w:cs="宋体"/>
          <w:bCs/>
          <w:sz w:val="21"/>
        </w:rPr>
        <w:t>供应商被评定为监狱企业或残疾人福利性单位或小型和微型企业且其所磋商产品为小型和微型企业产品的，该供应商的最终报价给予6%的扣除，扣除后的价格为评标报价，即评标报价=最终报价×（1-6%）；除上述情况外，评标报价=最终报价。</w:t>
      </w:r>
    </w:p>
    <w:p>
      <w:pPr>
        <w:pStyle w:val="9"/>
        <w:spacing w:line="360" w:lineRule="exact"/>
        <w:ind w:firstLine="424" w:firstLineChars="202"/>
        <w:rPr>
          <w:rFonts w:hAnsi="宋体" w:cs="宋体"/>
          <w:bCs/>
          <w:sz w:val="21"/>
        </w:rPr>
      </w:pPr>
      <w:r>
        <w:rPr>
          <w:rFonts w:hint="eastAsia" w:hAnsi="宋体" w:cs="宋体"/>
          <w:bCs/>
          <w:sz w:val="21"/>
        </w:rPr>
        <w:t>（6）以进入综合评分环节的最低的评标报价为基准价，基准价报价得分为10分。</w:t>
      </w:r>
    </w:p>
    <w:p>
      <w:pPr>
        <w:pStyle w:val="9"/>
        <w:spacing w:line="360" w:lineRule="exact"/>
        <w:ind w:firstLine="424" w:firstLineChars="202"/>
        <w:rPr>
          <w:rFonts w:hAnsi="宋体" w:cs="宋体"/>
          <w:bCs/>
          <w:sz w:val="21"/>
        </w:rPr>
      </w:pPr>
      <w:r>
        <w:rPr>
          <w:rFonts w:hint="eastAsia" w:hAnsi="宋体" w:cs="宋体"/>
          <w:bCs/>
          <w:sz w:val="21"/>
        </w:rPr>
        <w:t xml:space="preserve">（7）价格分计算公式：某供应商价格分=基准价/某供应商评标报价金额×10分 </w:t>
      </w:r>
    </w:p>
    <w:p>
      <w:pPr>
        <w:spacing w:line="360" w:lineRule="auto"/>
        <w:ind w:firstLine="422" w:firstLineChars="200"/>
        <w:textAlignment w:val="top"/>
        <w:rPr>
          <w:rFonts w:ascii="宋体" w:hAnsi="宋体" w:cs="宋体"/>
          <w:b/>
          <w:bCs/>
          <w:szCs w:val="20"/>
        </w:rPr>
      </w:pPr>
      <w:r>
        <w:rPr>
          <w:rFonts w:hint="eastAsia" w:ascii="宋体" w:hAnsi="宋体" w:cs="宋体"/>
          <w:b/>
          <w:bCs/>
          <w:szCs w:val="20"/>
        </w:rPr>
        <w:t>2、技术</w:t>
      </w:r>
      <w:r>
        <w:rPr>
          <w:rFonts w:hint="eastAsia" w:ascii="宋体" w:hAnsi="宋体" w:cs="宋体"/>
          <w:b/>
          <w:szCs w:val="20"/>
        </w:rPr>
        <w:t>分</w:t>
      </w:r>
      <w:r>
        <w:rPr>
          <w:rFonts w:hint="eastAsia" w:ascii="宋体" w:hAnsi="宋体" w:cs="宋体"/>
          <w:b/>
          <w:bCs/>
          <w:szCs w:val="20"/>
        </w:rPr>
        <w:t>…………………………………………………………………………64分</w:t>
      </w:r>
    </w:p>
    <w:p>
      <w:pPr>
        <w:spacing w:line="360" w:lineRule="auto"/>
        <w:ind w:firstLine="422" w:firstLineChars="200"/>
        <w:textAlignment w:val="top"/>
        <w:rPr>
          <w:rFonts w:ascii="宋体" w:hAnsi="宋体" w:cs="宋体"/>
          <w:b/>
          <w:bCs/>
          <w:szCs w:val="20"/>
        </w:rPr>
      </w:pPr>
      <w:r>
        <w:rPr>
          <w:rFonts w:hint="eastAsia" w:ascii="宋体" w:hAnsi="宋体" w:cs="宋体"/>
          <w:b/>
          <w:bCs/>
          <w:szCs w:val="20"/>
        </w:rPr>
        <w:t>（1）项目理解和难点、关键点分析分（满分18分）</w:t>
      </w:r>
    </w:p>
    <w:p>
      <w:pPr>
        <w:spacing w:line="360" w:lineRule="auto"/>
        <w:ind w:firstLine="420" w:firstLineChars="200"/>
        <w:textAlignment w:val="top"/>
        <w:rPr>
          <w:rFonts w:ascii="宋体" w:hAnsi="宋体" w:cs="宋体" w:eastAsiaTheme="minorEastAsia"/>
          <w:szCs w:val="21"/>
        </w:rPr>
      </w:pPr>
      <w:r>
        <w:rPr>
          <w:rFonts w:hint="eastAsia" w:ascii="宋体" w:hAnsi="宋体" w:cs="宋体"/>
          <w:szCs w:val="21"/>
        </w:rPr>
        <w:t>由磋商小组根据供应商提供的项目理解和难点、关键点分析等内容进行独立打分。</w:t>
      </w:r>
    </w:p>
    <w:p>
      <w:pPr>
        <w:spacing w:line="360" w:lineRule="auto"/>
        <w:ind w:firstLine="420" w:firstLineChars="200"/>
        <w:textAlignment w:val="top"/>
        <w:rPr>
          <w:rFonts w:ascii="宋体" w:hAnsi="宋体" w:cs="宋体"/>
          <w:szCs w:val="21"/>
        </w:rPr>
      </w:pPr>
      <w:r>
        <w:rPr>
          <w:rFonts w:hint="eastAsia" w:ascii="宋体" w:hAnsi="宋体" w:cs="宋体"/>
          <w:szCs w:val="21"/>
        </w:rPr>
        <w:t>一档（5分）：对项目总体及难点有认识，解决方案可操作性不强，仅能满足项目要求；</w:t>
      </w:r>
    </w:p>
    <w:p>
      <w:pPr>
        <w:spacing w:line="360" w:lineRule="auto"/>
        <w:ind w:firstLine="420" w:firstLineChars="200"/>
        <w:textAlignment w:val="top"/>
        <w:rPr>
          <w:rFonts w:ascii="宋体" w:hAnsi="宋体" w:cs="宋体"/>
          <w:szCs w:val="21"/>
        </w:rPr>
      </w:pPr>
      <w:r>
        <w:rPr>
          <w:rFonts w:hint="eastAsia" w:ascii="宋体" w:hAnsi="宋体" w:cs="宋体"/>
          <w:szCs w:val="21"/>
        </w:rPr>
        <w:t>二档（10分）：对项目总体及难点有一定认识，解决难点方案可操作性一般，建议基本可行，较好的满足项目要求；</w:t>
      </w:r>
    </w:p>
    <w:p>
      <w:pPr>
        <w:spacing w:line="360" w:lineRule="auto"/>
        <w:ind w:firstLine="420" w:firstLineChars="200"/>
        <w:textAlignment w:val="top"/>
        <w:rPr>
          <w:rFonts w:ascii="宋体" w:hAnsi="宋体" w:cs="宋体"/>
          <w:szCs w:val="21"/>
        </w:rPr>
      </w:pPr>
      <w:r>
        <w:rPr>
          <w:rFonts w:hint="eastAsia" w:ascii="宋体" w:hAnsi="宋体" w:cs="宋体"/>
          <w:szCs w:val="21"/>
        </w:rPr>
        <w:t>三档（15分）：对项目总体及难点有深刻认识，解决难点方案可操作性强，建议可行，很好的满足项目要求。</w:t>
      </w:r>
    </w:p>
    <w:p>
      <w:pPr>
        <w:spacing w:line="360" w:lineRule="auto"/>
        <w:ind w:firstLine="420" w:firstLineChars="200"/>
        <w:textAlignment w:val="top"/>
      </w:pPr>
      <w:r>
        <w:rPr>
          <w:rFonts w:hint="eastAsia" w:ascii="宋体" w:hAnsi="宋体" w:cs="宋体"/>
          <w:szCs w:val="21"/>
        </w:rPr>
        <w:t>三档（18分）：对项目总体及难点有深刻认识，解决难点方案可操作性强，建议可行，有针对性，充分满足项目要求。</w:t>
      </w:r>
    </w:p>
    <w:p>
      <w:pPr>
        <w:spacing w:line="360" w:lineRule="auto"/>
        <w:ind w:firstLine="420" w:firstLineChars="200"/>
        <w:textAlignment w:val="top"/>
        <w:rPr>
          <w:rFonts w:ascii="宋体" w:hAnsi="宋体" w:cs="宋体"/>
          <w:szCs w:val="21"/>
        </w:rPr>
      </w:pPr>
      <w:r>
        <w:rPr>
          <w:rFonts w:hint="eastAsia" w:ascii="宋体" w:hAnsi="宋体" w:cs="宋体"/>
          <w:szCs w:val="21"/>
        </w:rPr>
        <w:t>注：供应商未提供或提供的内容不符合采购需求的，不得分。</w:t>
      </w:r>
    </w:p>
    <w:p>
      <w:pPr>
        <w:spacing w:line="360" w:lineRule="auto"/>
        <w:ind w:firstLine="422" w:firstLineChars="200"/>
        <w:textAlignment w:val="top"/>
        <w:rPr>
          <w:rFonts w:ascii="宋体" w:hAnsi="宋体" w:cs="宋体"/>
          <w:b/>
          <w:szCs w:val="21"/>
        </w:rPr>
      </w:pPr>
      <w:r>
        <w:rPr>
          <w:rFonts w:hint="eastAsia" w:ascii="宋体" w:hAnsi="宋体" w:cs="宋体"/>
          <w:b/>
          <w:szCs w:val="21"/>
        </w:rPr>
        <w:t>（2）项目服务方案分（满分30分）</w:t>
      </w:r>
    </w:p>
    <w:p>
      <w:pPr>
        <w:spacing w:line="360" w:lineRule="auto"/>
        <w:ind w:firstLine="420" w:firstLineChars="200"/>
        <w:textAlignment w:val="top"/>
        <w:rPr>
          <w:rFonts w:ascii="宋体" w:hAnsi="宋体" w:cs="宋体"/>
          <w:szCs w:val="21"/>
        </w:rPr>
      </w:pPr>
      <w:r>
        <w:rPr>
          <w:rFonts w:hint="eastAsia" w:ascii="宋体" w:hAnsi="宋体" w:cs="宋体"/>
          <w:szCs w:val="21"/>
        </w:rPr>
        <w:t>由磋商小组根据供应商提供的项目服务方案内容进行独立打分。</w:t>
      </w:r>
    </w:p>
    <w:p>
      <w:pPr>
        <w:spacing w:line="360" w:lineRule="auto"/>
        <w:ind w:firstLine="420" w:firstLineChars="200"/>
        <w:textAlignment w:val="top"/>
        <w:rPr>
          <w:rFonts w:ascii="宋体" w:hAnsi="宋体" w:cs="宋体"/>
          <w:szCs w:val="21"/>
        </w:rPr>
      </w:pPr>
      <w:r>
        <w:rPr>
          <w:rFonts w:hint="eastAsia" w:ascii="宋体" w:hAnsi="宋体" w:cs="宋体"/>
          <w:szCs w:val="21"/>
        </w:rPr>
        <w:t>一档（6分）:基本理解本项目的目标、范围；制订的方案基本明确、基本满足国家规范和采购文件的要求；提出了基本可行的质量控制、进度控制的目标、方法、措施。</w:t>
      </w:r>
    </w:p>
    <w:p>
      <w:pPr>
        <w:spacing w:line="360" w:lineRule="auto"/>
        <w:ind w:firstLine="420" w:firstLineChars="200"/>
        <w:textAlignment w:val="top"/>
        <w:rPr>
          <w:rFonts w:ascii="宋体" w:hAnsi="宋体" w:cs="宋体"/>
          <w:szCs w:val="21"/>
        </w:rPr>
      </w:pPr>
      <w:r>
        <w:rPr>
          <w:rFonts w:hint="eastAsia" w:ascii="宋体" w:hAnsi="宋体" w:cs="宋体"/>
          <w:szCs w:val="21"/>
        </w:rPr>
        <w:t>二档（12分）:较准确理解本项目的目标、范围；能够把握本项目的技术重点、难点；明确制订方案；提出了基本可行的质量控制、进度控制的目标、方法、措施；基本满足国家规范和采购文件的要求。</w:t>
      </w:r>
    </w:p>
    <w:p>
      <w:pPr>
        <w:spacing w:line="360" w:lineRule="auto"/>
        <w:ind w:firstLine="420" w:firstLineChars="200"/>
        <w:textAlignment w:val="top"/>
        <w:rPr>
          <w:rFonts w:ascii="宋体" w:hAnsi="宋体" w:cs="宋体"/>
          <w:szCs w:val="21"/>
        </w:rPr>
      </w:pPr>
      <w:r>
        <w:rPr>
          <w:rFonts w:hint="eastAsia" w:ascii="宋体" w:hAnsi="宋体" w:cs="宋体"/>
          <w:szCs w:val="21"/>
        </w:rPr>
        <w:t>三档（18分）:准确理解本项目的目标、范围；能够把握本项目的技术重点、难点；制订明确的作业流程，详细制订方案；提出了较好可行的质量控制、进度控制的目标、方法、措施；完全满足国家规范和采购文件的要求。</w:t>
      </w:r>
    </w:p>
    <w:p>
      <w:pPr>
        <w:spacing w:line="360" w:lineRule="auto"/>
        <w:ind w:firstLine="420" w:firstLineChars="200"/>
        <w:textAlignment w:val="top"/>
        <w:rPr>
          <w:rFonts w:ascii="宋体" w:hAnsi="宋体" w:cs="宋体"/>
          <w:szCs w:val="21"/>
        </w:rPr>
      </w:pPr>
      <w:r>
        <w:rPr>
          <w:rFonts w:hint="eastAsia" w:ascii="宋体" w:hAnsi="宋体" w:cs="宋体"/>
          <w:szCs w:val="21"/>
        </w:rPr>
        <w:t>四档（24分）：准确理解本项目的目标、范围；能够把握本项目的技术重点、难点；制订明确的作业流程，详细制订方案；提出了较好可行的质量控制、进度控制的目标、方法、措施；完全满足国家规范和采购文件的要求；提出有利于该项目进展的意见和建议。</w:t>
      </w:r>
    </w:p>
    <w:p>
      <w:pPr>
        <w:spacing w:line="360" w:lineRule="auto"/>
        <w:ind w:firstLine="420" w:firstLineChars="200"/>
        <w:textAlignment w:val="top"/>
        <w:rPr>
          <w:rFonts w:ascii="宋体" w:hAnsi="宋体" w:cs="宋体"/>
          <w:szCs w:val="21"/>
        </w:rPr>
      </w:pPr>
      <w:r>
        <w:rPr>
          <w:rFonts w:hint="eastAsia" w:ascii="宋体" w:hAnsi="宋体" w:cs="宋体"/>
          <w:szCs w:val="21"/>
        </w:rPr>
        <w:t>五档（30分）：精确理解本项目的目标、范围；精确把握本项目的技术重点、难点；制订明确的作业流程，详细制订方案；人员工作分配合理，项目组成员具有丰富经验；提出了较好可行的质量控制、进度控制的目标、方法、措施；完全满足国家规范和采购文件的要求；提出有利于该项目进展的意见和建议。</w:t>
      </w:r>
    </w:p>
    <w:p>
      <w:pPr>
        <w:spacing w:line="360" w:lineRule="auto"/>
        <w:ind w:firstLine="420" w:firstLineChars="200"/>
        <w:textAlignment w:val="top"/>
        <w:rPr>
          <w:rFonts w:ascii="宋体" w:hAnsi="宋体" w:cs="宋体"/>
          <w:szCs w:val="21"/>
        </w:rPr>
      </w:pPr>
      <w:r>
        <w:rPr>
          <w:rFonts w:hint="eastAsia" w:ascii="宋体" w:hAnsi="宋体" w:cs="宋体"/>
          <w:szCs w:val="21"/>
        </w:rPr>
        <w:t>注：供应商未提供或提供的内容不符合采购需求的，不得分。</w:t>
      </w:r>
    </w:p>
    <w:p>
      <w:pPr>
        <w:spacing w:line="360" w:lineRule="auto"/>
        <w:ind w:firstLine="422" w:firstLineChars="200"/>
        <w:textAlignment w:val="top"/>
        <w:rPr>
          <w:rFonts w:ascii="宋体" w:hAnsi="宋体" w:cs="宋体"/>
          <w:b/>
          <w:szCs w:val="21"/>
        </w:rPr>
      </w:pPr>
      <w:r>
        <w:rPr>
          <w:rFonts w:hint="eastAsia" w:ascii="宋体" w:hAnsi="宋体" w:cs="宋体"/>
          <w:b/>
          <w:szCs w:val="21"/>
        </w:rPr>
        <w:t>（3）售后服务方案分（满分16分）</w:t>
      </w:r>
    </w:p>
    <w:p>
      <w:pPr>
        <w:spacing w:line="360" w:lineRule="auto"/>
        <w:ind w:firstLine="420" w:firstLineChars="200"/>
        <w:textAlignment w:val="top"/>
        <w:rPr>
          <w:rFonts w:ascii="宋体" w:hAnsi="宋体" w:cs="宋体"/>
          <w:szCs w:val="21"/>
        </w:rPr>
      </w:pPr>
      <w:r>
        <w:rPr>
          <w:rFonts w:hint="eastAsia" w:ascii="宋体" w:hAnsi="宋体" w:cs="宋体"/>
          <w:szCs w:val="21"/>
        </w:rPr>
        <w:t>由磋商小组根据供应商提供本地化服务、接到通知到达现场处理问题时间、应急方案、回访措施、投入售后服务人员配置针对性强等方面进行独立打分。</w:t>
      </w:r>
    </w:p>
    <w:p>
      <w:pPr>
        <w:spacing w:line="360" w:lineRule="auto"/>
        <w:ind w:firstLine="420" w:firstLineChars="200"/>
        <w:textAlignment w:val="top"/>
        <w:rPr>
          <w:rFonts w:ascii="宋体" w:hAnsi="宋体" w:cs="宋体"/>
          <w:szCs w:val="21"/>
        </w:rPr>
      </w:pPr>
      <w:r>
        <w:rPr>
          <w:rFonts w:hint="eastAsia" w:ascii="宋体" w:hAnsi="宋体" w:cs="宋体"/>
          <w:szCs w:val="21"/>
        </w:rPr>
        <w:t>一档（5分）：能够提供符合项目基本要求的售后服务方案，售后服务方案较简单。</w:t>
      </w:r>
    </w:p>
    <w:p>
      <w:pPr>
        <w:spacing w:line="360" w:lineRule="auto"/>
        <w:ind w:firstLine="420" w:firstLineChars="200"/>
        <w:textAlignment w:val="top"/>
        <w:rPr>
          <w:rFonts w:ascii="宋体" w:hAnsi="宋体" w:cs="宋体"/>
          <w:szCs w:val="21"/>
        </w:rPr>
      </w:pPr>
      <w:r>
        <w:rPr>
          <w:rFonts w:hint="eastAsia" w:ascii="宋体" w:hAnsi="宋体" w:cs="宋体"/>
          <w:szCs w:val="21"/>
        </w:rPr>
        <w:t>二档（10分）：在符合项目基本要求的前提下，售后服务方案较详细，有售后服务管理流程。</w:t>
      </w:r>
    </w:p>
    <w:p>
      <w:pPr>
        <w:spacing w:line="360" w:lineRule="auto"/>
        <w:ind w:firstLine="420" w:firstLineChars="200"/>
        <w:textAlignment w:val="top"/>
        <w:rPr>
          <w:rFonts w:ascii="宋体" w:hAnsi="宋体" w:cs="宋体"/>
          <w:szCs w:val="21"/>
        </w:rPr>
      </w:pPr>
      <w:r>
        <w:rPr>
          <w:rFonts w:hint="eastAsia" w:ascii="宋体" w:hAnsi="宋体" w:cs="宋体"/>
          <w:szCs w:val="21"/>
        </w:rPr>
        <w:t>三档（16分）：在符合项目基本要求的前提下，售后服务方案另包含有合理可行并且具有针对性的应急保障方案、保密承诺等，且描述了项目售后维护和应急保障方案的方法以及实现方式，售后服务机构及联系人、技术人员名单等资料详细，服务承诺和保障措施，有额外服务措施和内容。</w:t>
      </w:r>
    </w:p>
    <w:p>
      <w:pPr>
        <w:spacing w:line="360" w:lineRule="auto"/>
        <w:ind w:firstLine="420" w:firstLineChars="200"/>
        <w:textAlignment w:val="top"/>
        <w:rPr>
          <w:rFonts w:ascii="宋体" w:hAnsi="宋体" w:cs="宋体"/>
          <w:szCs w:val="21"/>
        </w:rPr>
      </w:pPr>
      <w:r>
        <w:rPr>
          <w:rFonts w:hint="eastAsia" w:ascii="宋体" w:hAnsi="宋体" w:cs="宋体"/>
          <w:szCs w:val="21"/>
        </w:rPr>
        <w:t>注：供应商未提供或提供的内容不符合招标项目采购需求的，不得分。</w:t>
      </w:r>
    </w:p>
    <w:p>
      <w:pPr>
        <w:spacing w:line="360" w:lineRule="auto"/>
        <w:ind w:firstLine="422" w:firstLineChars="200"/>
        <w:textAlignment w:val="top"/>
        <w:rPr>
          <w:rFonts w:ascii="宋体" w:hAnsi="宋体" w:cs="宋体"/>
          <w:b/>
          <w:bCs/>
          <w:szCs w:val="20"/>
        </w:rPr>
      </w:pPr>
      <w:r>
        <w:rPr>
          <w:rFonts w:hint="eastAsia" w:ascii="宋体" w:hAnsi="宋体" w:cs="宋体"/>
          <w:b/>
          <w:bCs/>
          <w:szCs w:val="20"/>
        </w:rPr>
        <w:t>3、</w:t>
      </w:r>
      <w:r>
        <w:rPr>
          <w:rFonts w:hint="eastAsia" w:ascii="宋体" w:hAnsi="宋体" w:cs="宋体"/>
          <w:b/>
          <w:szCs w:val="20"/>
        </w:rPr>
        <w:t>人员配置分</w:t>
      </w:r>
      <w:r>
        <w:rPr>
          <w:rFonts w:hint="eastAsia" w:ascii="宋体" w:hAnsi="宋体" w:cs="宋体"/>
          <w:b/>
          <w:bCs/>
          <w:szCs w:val="20"/>
        </w:rPr>
        <w:t>……………………………………………………………………12分</w:t>
      </w:r>
    </w:p>
    <w:p>
      <w:pPr>
        <w:spacing w:line="360" w:lineRule="auto"/>
        <w:ind w:firstLine="422" w:firstLineChars="200"/>
        <w:rPr>
          <w:rFonts w:ascii="宋体" w:hAnsi="宋体" w:cs="宋体"/>
          <w:b/>
          <w:bCs/>
          <w:szCs w:val="20"/>
        </w:rPr>
      </w:pPr>
      <w:r>
        <w:rPr>
          <w:rFonts w:hint="eastAsia" w:ascii="宋体" w:hAnsi="宋体" w:cs="宋体"/>
          <w:b/>
          <w:bCs/>
          <w:szCs w:val="20"/>
        </w:rPr>
        <w:t>（1）项目组成员中每具有1名野生动植物保护等相关专业技术人员，并持有相关中级以上（含中级）称职证的，每有1人得3分，满分9分。</w:t>
      </w:r>
    </w:p>
    <w:p>
      <w:pPr>
        <w:pStyle w:val="2"/>
        <w:ind w:firstLine="422"/>
        <w:rPr>
          <w:b/>
          <w:bCs/>
        </w:rPr>
      </w:pPr>
      <w:r>
        <w:rPr>
          <w:rFonts w:hint="eastAsia" w:ascii="宋体" w:hAnsi="宋体" w:cs="宋体"/>
          <w:b/>
          <w:bCs/>
          <w:szCs w:val="20"/>
        </w:rPr>
        <w:t>（2）项目负责人具有野生动植物保护等相关专业博士学位的得3分，硕士或学士学位的得1分，否则不得分。</w:t>
      </w:r>
    </w:p>
    <w:p>
      <w:pPr>
        <w:spacing w:line="360" w:lineRule="auto"/>
        <w:ind w:firstLine="422" w:firstLineChars="200"/>
        <w:textAlignment w:val="top"/>
        <w:rPr>
          <w:rFonts w:ascii="宋体" w:hAnsi="宋体" w:cs="宋体"/>
          <w:b/>
          <w:szCs w:val="21"/>
        </w:rPr>
      </w:pPr>
      <w:r>
        <w:rPr>
          <w:rFonts w:hint="eastAsia" w:ascii="宋体" w:hAnsi="宋体" w:cs="宋体"/>
          <w:b/>
          <w:szCs w:val="21"/>
        </w:rPr>
        <w:t>注：以上人员隶属于供应商，并提供以上人员相关证书及响应文件递交截止之日前半年内磋商供应商连续三个月为拟投入人员缴纳社保费的缴费凭证复印件，若不提供或不满足上述要求的不得分。</w:t>
      </w:r>
    </w:p>
    <w:p>
      <w:pPr>
        <w:spacing w:line="360" w:lineRule="auto"/>
        <w:ind w:firstLine="422" w:firstLineChars="200"/>
        <w:textAlignment w:val="top"/>
        <w:rPr>
          <w:rFonts w:ascii="宋体" w:hAnsi="宋体" w:cs="宋体"/>
          <w:b/>
          <w:szCs w:val="21"/>
        </w:rPr>
      </w:pPr>
      <w:r>
        <w:rPr>
          <w:rFonts w:hint="eastAsia" w:ascii="宋体" w:hAnsi="宋体" w:cs="宋体"/>
          <w:b/>
          <w:szCs w:val="21"/>
        </w:rPr>
        <w:t>4、信誉业绩分………………………………………………………………14分</w:t>
      </w:r>
    </w:p>
    <w:p>
      <w:pPr>
        <w:spacing w:line="360" w:lineRule="auto"/>
        <w:ind w:firstLine="422" w:firstLineChars="200"/>
        <w:textAlignment w:val="top"/>
        <w:rPr>
          <w:rFonts w:ascii="宋体" w:hAnsi="宋体" w:cs="宋体"/>
          <w:b/>
          <w:bCs/>
          <w:szCs w:val="21"/>
        </w:rPr>
      </w:pPr>
      <w:r>
        <w:rPr>
          <w:rFonts w:hint="eastAsia" w:ascii="宋体" w:hAnsi="宋体" w:cs="宋体"/>
          <w:b/>
          <w:bCs/>
          <w:szCs w:val="21"/>
        </w:rPr>
        <w:t>（1）供应商出具过植物或动物物种监测等相关报告得2分。</w:t>
      </w:r>
    </w:p>
    <w:p>
      <w:pPr>
        <w:pStyle w:val="2"/>
        <w:ind w:firstLine="422"/>
        <w:rPr>
          <w:b/>
          <w:bCs/>
        </w:rPr>
      </w:pPr>
      <w:r>
        <w:rPr>
          <w:rFonts w:hint="eastAsia" w:ascii="宋体" w:hAnsi="宋体" w:cs="宋体"/>
          <w:b/>
          <w:bCs/>
          <w:szCs w:val="21"/>
        </w:rPr>
        <w:t>（2）2016年1月1日以来完成过类似（植被、动物物种、环境等方面监测）政府采购项目，每提供一个得3分，满分12分。（提供中标（成交）通知书复印件及合同复印件，原件备查，未提供证明文件的不计分）</w:t>
      </w:r>
    </w:p>
    <w:p>
      <w:pPr>
        <w:spacing w:line="360" w:lineRule="auto"/>
        <w:ind w:firstLine="422" w:firstLineChars="200"/>
        <w:textAlignment w:val="top"/>
        <w:rPr>
          <w:rFonts w:hAnsi="宋体" w:cs="宋体"/>
          <w:b/>
        </w:rPr>
      </w:pPr>
      <w:r>
        <w:rPr>
          <w:rFonts w:hint="eastAsia" w:ascii="宋体" w:hAnsi="宋体" w:cs="宋体"/>
          <w:b/>
          <w:szCs w:val="21"/>
        </w:rPr>
        <w:t>注：提供相关证明材料复印件并加盖供应商公章，原件备查，未按要求提供者不得分。</w:t>
      </w:r>
    </w:p>
    <w:p>
      <w:pPr>
        <w:pStyle w:val="9"/>
        <w:spacing w:line="360" w:lineRule="exact"/>
        <w:ind w:firstLine="426" w:firstLineChars="202"/>
        <w:rPr>
          <w:rFonts w:hAnsi="宋体" w:cs="宋体"/>
          <w:b/>
          <w:sz w:val="21"/>
        </w:rPr>
      </w:pPr>
      <w:r>
        <w:rPr>
          <w:rFonts w:hint="eastAsia" w:hAnsi="宋体" w:cs="宋体"/>
          <w:b/>
          <w:sz w:val="21"/>
        </w:rPr>
        <w:t>(三)、综合总得分=1+2+3+4。</w:t>
      </w:r>
    </w:p>
    <w:p>
      <w:pPr>
        <w:pStyle w:val="9"/>
        <w:spacing w:line="360" w:lineRule="exact"/>
        <w:ind w:firstLine="424" w:firstLineChars="202"/>
        <w:rPr>
          <w:rFonts w:hAnsi="宋体" w:cs="宋体"/>
          <w:bCs/>
          <w:sz w:val="21"/>
        </w:rPr>
      </w:pPr>
      <w:r>
        <w:rPr>
          <w:rFonts w:hint="eastAsia" w:hAnsi="宋体" w:cs="宋体"/>
          <w:bCs/>
          <w:sz w:val="21"/>
        </w:rPr>
        <w:t>三、推荐成交候选供应商原则</w:t>
      </w:r>
    </w:p>
    <w:p>
      <w:pPr>
        <w:pStyle w:val="9"/>
        <w:spacing w:line="360" w:lineRule="exact"/>
        <w:ind w:firstLine="424" w:firstLineChars="202"/>
        <w:rPr>
          <w:rFonts w:hAnsi="宋体" w:cs="宋体"/>
          <w:bCs/>
          <w:sz w:val="21"/>
        </w:rPr>
      </w:pPr>
      <w:r>
        <w:rPr>
          <w:rFonts w:hint="eastAsia" w:hAnsi="宋体" w:cs="宋体"/>
          <w:bCs/>
          <w:sz w:val="21"/>
        </w:rPr>
        <w:t>（1）磋商小组应当根据综合评分情况，按照评审得分由高到低顺序推荐至少2名成交候选供应商，并编写评审报告。磋商小组根据综合得分由高到低排列次序，若得分相同时，以评审报价由低到高顺序排列；若得分相同且评审报价相同的，以最后报价由低到高顺序排列；若仍相同的，按项目服务承诺方案分由高到低顺序排列并推荐成交候选供应商。</w:t>
      </w:r>
    </w:p>
    <w:p>
      <w:pPr>
        <w:pStyle w:val="9"/>
        <w:spacing w:line="360" w:lineRule="exact"/>
        <w:ind w:firstLine="424" w:firstLineChars="202"/>
        <w:rPr>
          <w:rFonts w:hAnsi="宋体" w:cs="宋体"/>
          <w:bCs/>
          <w:sz w:val="21"/>
        </w:rPr>
      </w:pPr>
      <w:r>
        <w:rPr>
          <w:rFonts w:hint="eastAsia" w:hAnsi="宋体" w:cs="宋体"/>
          <w:bCs/>
          <w:sz w:val="21"/>
        </w:rPr>
        <w:t>（2）成交供应商放弃成交、因不可抗力提出不能履行合同，采购单位可以顺延取排名后一位的成交候选供应商为成交供应商或重新组织采购。</w:t>
      </w:r>
    </w:p>
    <w:p>
      <w:pPr>
        <w:pStyle w:val="9"/>
        <w:spacing w:line="360" w:lineRule="exact"/>
        <w:ind w:firstLine="424" w:firstLineChars="202"/>
        <w:rPr>
          <w:rFonts w:hAnsi="宋体" w:cs="宋体"/>
          <w:sz w:val="21"/>
        </w:rPr>
      </w:pPr>
      <w:r>
        <w:rPr>
          <w:rFonts w:hint="eastAsia" w:hAnsi="宋体" w:cs="宋体"/>
          <w:bCs/>
          <w:sz w:val="21"/>
        </w:rPr>
        <w:t>（3）磋商小组认为，某磋商人的有效报价或者某些分项报价明显不合理或者低于成本，有可能影响服务质量和不能诚信履约的，应要求其在规定的期限内提供书面文件予以解释说明，并提交相关证明材料，否则，磋商小组不推荐该磋商人为成交候选人。</w:t>
      </w:r>
    </w:p>
    <w:p>
      <w:pPr>
        <w:widowControl/>
        <w:jc w:val="left"/>
        <w:rPr>
          <w:rFonts w:ascii="宋体" w:hAnsi="宋体" w:cs="宋体"/>
          <w:szCs w:val="21"/>
        </w:rPr>
      </w:pPr>
    </w:p>
    <w:p>
      <w:pPr>
        <w:widowControl/>
        <w:jc w:val="left"/>
        <w:rPr>
          <w:rFonts w:ascii="宋体" w:hAnsi="宋体" w:cs="宋体"/>
        </w:rPr>
      </w:pPr>
    </w:p>
    <w:p>
      <w:pPr>
        <w:pStyle w:val="31"/>
      </w:pPr>
    </w:p>
    <w:p>
      <w:pPr>
        <w:pStyle w:val="31"/>
      </w:pPr>
    </w:p>
    <w:p>
      <w:pPr>
        <w:pStyle w:val="31"/>
      </w:pPr>
    </w:p>
    <w:p>
      <w:pPr>
        <w:pStyle w:val="4"/>
        <w:jc w:val="center"/>
      </w:pPr>
      <w:bookmarkStart w:id="41" w:name="_Toc514340099"/>
      <w:bookmarkStart w:id="42" w:name="_Toc27287"/>
    </w:p>
    <w:p>
      <w:pPr>
        <w:pStyle w:val="4"/>
        <w:jc w:val="center"/>
      </w:pPr>
      <w:r>
        <w:rPr>
          <w:rFonts w:hint="eastAsia"/>
        </w:rPr>
        <w:t>第五章 响应文件格式</w:t>
      </w:r>
      <w:bookmarkEnd w:id="41"/>
      <w:bookmarkEnd w:id="42"/>
    </w:p>
    <w:p>
      <w:pPr>
        <w:spacing w:line="240" w:lineRule="atLeast"/>
        <w:jc w:val="center"/>
        <w:rPr>
          <w:rFonts w:ascii="宋体" w:hAnsi="宋体"/>
          <w:b/>
          <w:sz w:val="32"/>
          <w:szCs w:val="32"/>
        </w:rPr>
      </w:pPr>
    </w:p>
    <w:p>
      <w:pPr>
        <w:spacing w:line="240" w:lineRule="atLeast"/>
        <w:jc w:val="center"/>
        <w:rPr>
          <w:rFonts w:ascii="宋体" w:hAnsi="宋体"/>
          <w:b/>
          <w:sz w:val="32"/>
          <w:szCs w:val="32"/>
        </w:rPr>
      </w:pPr>
      <w:r>
        <w:rPr>
          <w:rFonts w:hint="eastAsia" w:ascii="宋体" w:hAnsi="宋体"/>
          <w:b/>
          <w:sz w:val="44"/>
          <w:szCs w:val="44"/>
        </w:rPr>
        <w:t>响 应 文 件</w:t>
      </w:r>
      <w:r>
        <w:rPr>
          <w:rFonts w:hint="eastAsia" w:ascii="宋体" w:hAnsi="宋体"/>
          <w:szCs w:val="21"/>
        </w:rPr>
        <w:t>(封面）</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ind w:firstLine="420" w:firstLineChars="200"/>
        <w:jc w:val="left"/>
        <w:rPr>
          <w:rFonts w:ascii="宋体" w:hAnsi="宋体"/>
          <w:szCs w:val="21"/>
          <w:u w:val="single"/>
        </w:rPr>
      </w:pPr>
      <w:r>
        <w:rPr>
          <w:rFonts w:hint="eastAsia" w:ascii="宋体" w:hAnsi="宋体"/>
          <w:szCs w:val="21"/>
        </w:rPr>
        <w:t>采购项目编号：</w:t>
      </w:r>
    </w:p>
    <w:p>
      <w:pPr>
        <w:tabs>
          <w:tab w:val="left" w:pos="3240"/>
        </w:tabs>
        <w:spacing w:line="360" w:lineRule="auto"/>
        <w:ind w:firstLine="420" w:firstLineChars="200"/>
        <w:jc w:val="left"/>
        <w:rPr>
          <w:rFonts w:ascii="宋体" w:hAnsi="宋体"/>
          <w:szCs w:val="21"/>
          <w:u w:val="single"/>
        </w:rPr>
      </w:pPr>
      <w:r>
        <w:rPr>
          <w:rFonts w:hint="eastAsia" w:ascii="宋体" w:hAnsi="宋体"/>
          <w:szCs w:val="21"/>
        </w:rPr>
        <w:t>采购项目名称：</w:t>
      </w:r>
    </w:p>
    <w:p>
      <w:pPr>
        <w:tabs>
          <w:tab w:val="left" w:pos="2625"/>
        </w:tabs>
        <w:spacing w:line="360" w:lineRule="auto"/>
        <w:jc w:val="center"/>
        <w:rPr>
          <w:rFonts w:ascii="宋体" w:hAnsi="宋体"/>
          <w:szCs w:val="21"/>
        </w:rPr>
      </w:pPr>
    </w:p>
    <w:p>
      <w:pPr>
        <w:widowControl/>
        <w:jc w:val="left"/>
      </w:pPr>
    </w:p>
    <w:p>
      <w:pPr>
        <w:tabs>
          <w:tab w:val="left" w:pos="2625"/>
        </w:tabs>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 xml:space="preserve">                                        （供应商名称）</w:t>
      </w:r>
    </w:p>
    <w:p>
      <w:pPr>
        <w:spacing w:line="360" w:lineRule="auto"/>
        <w:ind w:firstLine="6111" w:firstLineChars="2910"/>
        <w:rPr>
          <w:rFonts w:ascii="宋体" w:hAnsi="宋体"/>
          <w:szCs w:val="21"/>
        </w:rPr>
      </w:pPr>
      <w:r>
        <w:rPr>
          <w:rFonts w:hint="eastAsia" w:ascii="宋体" w:hAnsi="宋体"/>
          <w:szCs w:val="21"/>
        </w:rPr>
        <w:t>年月    日</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widowControl/>
        <w:jc w:val="left"/>
      </w:pPr>
    </w:p>
    <w:p>
      <w:pPr>
        <w:widowControl/>
        <w:jc w:val="left"/>
      </w:pPr>
    </w:p>
    <w:p>
      <w:pPr>
        <w:widowControl/>
        <w:jc w:val="left"/>
      </w:pPr>
    </w:p>
    <w:p>
      <w:pPr>
        <w:widowControl/>
        <w:jc w:val="left"/>
      </w:pPr>
    </w:p>
    <w:p>
      <w:pPr>
        <w:widowControl/>
        <w:jc w:val="center"/>
        <w:rPr>
          <w:b/>
          <w:sz w:val="30"/>
          <w:szCs w:val="30"/>
        </w:rPr>
      </w:pPr>
      <w:r>
        <w:rPr>
          <w:rFonts w:hint="eastAsia"/>
          <w:b/>
          <w:sz w:val="30"/>
          <w:szCs w:val="30"/>
        </w:rPr>
        <w:t>目录</w:t>
      </w:r>
    </w:p>
    <w:p>
      <w:pPr>
        <w:widowControl/>
        <w:jc w:val="left"/>
      </w:pPr>
    </w:p>
    <w:p>
      <w:pPr>
        <w:spacing w:line="300" w:lineRule="auto"/>
        <w:rPr>
          <w:rFonts w:ascii="宋体" w:hAnsi="宋体"/>
          <w:bCs/>
          <w:szCs w:val="21"/>
        </w:rPr>
      </w:pPr>
      <w:r>
        <w:rPr>
          <w:rFonts w:hint="eastAsia" w:ascii="宋体" w:hAnsi="宋体"/>
          <w:bCs/>
          <w:szCs w:val="21"/>
        </w:rPr>
        <w:t>（1）磋商书；（必须提供）</w:t>
      </w:r>
    </w:p>
    <w:p>
      <w:pPr>
        <w:spacing w:line="300" w:lineRule="auto"/>
        <w:rPr>
          <w:rFonts w:ascii="宋体" w:hAnsi="宋体"/>
          <w:bCs/>
          <w:szCs w:val="21"/>
        </w:rPr>
      </w:pPr>
      <w:r>
        <w:rPr>
          <w:rFonts w:hint="eastAsia" w:ascii="宋体" w:hAnsi="宋体"/>
          <w:bCs/>
          <w:szCs w:val="21"/>
        </w:rPr>
        <w:t>（2）磋商报价表；（必须提供）</w:t>
      </w:r>
    </w:p>
    <w:p>
      <w:pPr>
        <w:spacing w:line="300" w:lineRule="auto"/>
        <w:rPr>
          <w:rFonts w:ascii="宋体" w:hAnsi="宋体"/>
          <w:bCs/>
          <w:szCs w:val="21"/>
        </w:rPr>
      </w:pPr>
      <w:r>
        <w:rPr>
          <w:rFonts w:hint="eastAsia" w:ascii="宋体" w:hAnsi="宋体"/>
          <w:bCs/>
          <w:szCs w:val="21"/>
        </w:rPr>
        <w:t>（3）响应、偏离情况说明表；（必须提供）</w:t>
      </w:r>
    </w:p>
    <w:p>
      <w:pPr>
        <w:spacing w:line="300" w:lineRule="auto"/>
        <w:rPr>
          <w:rFonts w:ascii="宋体" w:hAnsi="宋体"/>
          <w:bCs/>
          <w:szCs w:val="21"/>
        </w:rPr>
      </w:pPr>
      <w:r>
        <w:rPr>
          <w:rFonts w:hint="eastAsia" w:ascii="宋体" w:hAnsi="宋体"/>
          <w:bCs/>
          <w:szCs w:val="21"/>
        </w:rPr>
        <w:t>（4）服务方案；（必须提供）</w:t>
      </w:r>
    </w:p>
    <w:p>
      <w:pPr>
        <w:spacing w:line="300" w:lineRule="auto"/>
        <w:rPr>
          <w:rFonts w:ascii="宋体" w:hAnsi="宋体"/>
          <w:bCs/>
          <w:szCs w:val="21"/>
        </w:rPr>
      </w:pPr>
      <w:r>
        <w:rPr>
          <w:rFonts w:hint="eastAsia" w:ascii="宋体" w:hAnsi="宋体"/>
          <w:bCs/>
          <w:szCs w:val="21"/>
        </w:rPr>
        <w:t>（5）有效的“营业执照”正本或副本复印件及供应商具备林业调查规划设计丙级以上（含丙级）资质复印件；（必须提供）</w:t>
      </w:r>
    </w:p>
    <w:p>
      <w:pPr>
        <w:spacing w:line="300" w:lineRule="auto"/>
        <w:rPr>
          <w:rFonts w:ascii="宋体" w:hAnsi="宋体"/>
          <w:bCs/>
          <w:szCs w:val="21"/>
        </w:rPr>
      </w:pPr>
      <w:r>
        <w:rPr>
          <w:rFonts w:hint="eastAsia" w:ascii="宋体" w:hAnsi="宋体"/>
          <w:bCs/>
          <w:szCs w:val="21"/>
        </w:rPr>
        <w:t>（6）法定代表人身份证明及法定代表人有效身份证正反面复印件；（必须提供）</w:t>
      </w:r>
    </w:p>
    <w:p>
      <w:pPr>
        <w:spacing w:line="300" w:lineRule="auto"/>
        <w:rPr>
          <w:rFonts w:ascii="宋体" w:hAnsi="宋体"/>
          <w:bCs/>
          <w:szCs w:val="21"/>
        </w:rPr>
      </w:pPr>
      <w:r>
        <w:rPr>
          <w:rFonts w:hint="eastAsia" w:ascii="宋体" w:hAnsi="宋体"/>
          <w:bCs/>
          <w:szCs w:val="21"/>
        </w:rPr>
        <w:t>（7）法定代表人授权委托书及被授权人有效身份证正反面复印件；（委托代理时，必须提供）</w:t>
      </w:r>
    </w:p>
    <w:p>
      <w:pPr>
        <w:spacing w:line="300" w:lineRule="auto"/>
        <w:rPr>
          <w:rFonts w:ascii="宋体" w:hAnsi="宋体"/>
          <w:bCs/>
          <w:szCs w:val="21"/>
        </w:rPr>
      </w:pPr>
      <w:r>
        <w:rPr>
          <w:rFonts w:hint="eastAsia" w:ascii="宋体" w:hAnsi="宋体"/>
          <w:bCs/>
          <w:szCs w:val="21"/>
        </w:rPr>
        <w:t xml:space="preserve">（8）参加政府采购活动前3年内在经营活动中没有重大违法记录的书面声明；（必须提供） </w:t>
      </w:r>
    </w:p>
    <w:p>
      <w:pPr>
        <w:spacing w:line="300" w:lineRule="auto"/>
        <w:rPr>
          <w:rFonts w:ascii="宋体" w:hAnsi="宋体"/>
          <w:bCs/>
          <w:szCs w:val="21"/>
        </w:rPr>
      </w:pPr>
      <w:r>
        <w:rPr>
          <w:rFonts w:hint="eastAsia" w:ascii="宋体" w:hAnsi="宋体"/>
          <w:bCs/>
          <w:szCs w:val="21"/>
        </w:rPr>
        <w:t>（9）截标时间前半年内，连续三个月供应商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供应商所在地的税务部门出具的《依法纳税或依法免税证明》复印件。（新成立的公司以实际情况为准）；（必须提供）</w:t>
      </w:r>
    </w:p>
    <w:p>
      <w:pPr>
        <w:spacing w:line="300" w:lineRule="auto"/>
        <w:rPr>
          <w:rFonts w:ascii="宋体" w:hAnsi="宋体"/>
          <w:bCs/>
          <w:szCs w:val="21"/>
        </w:rPr>
      </w:pPr>
      <w:r>
        <w:rPr>
          <w:rFonts w:hint="eastAsia" w:ascii="宋体" w:hAnsi="宋体"/>
          <w:bCs/>
          <w:szCs w:val="21"/>
        </w:rPr>
        <w:t>（10）截标时间前半年内，连续三个月供应商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新成立的公司以实际情况为准）；（必须提供）</w:t>
      </w:r>
    </w:p>
    <w:p>
      <w:pPr>
        <w:spacing w:line="300" w:lineRule="auto"/>
        <w:rPr>
          <w:rFonts w:ascii="宋体" w:hAnsi="宋体"/>
          <w:bCs/>
          <w:szCs w:val="21"/>
        </w:rPr>
      </w:pPr>
      <w:r>
        <w:rPr>
          <w:rFonts w:hint="eastAsia" w:ascii="宋体" w:hAnsi="宋体"/>
          <w:bCs/>
          <w:szCs w:val="21"/>
        </w:rPr>
        <w:t>（11）供应商认为需要提供的有关资料。</w:t>
      </w:r>
    </w:p>
    <w:p>
      <w:pPr>
        <w:spacing w:line="300" w:lineRule="auto"/>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pStyle w:val="31"/>
        <w:rPr>
          <w:rFonts w:ascii="宋体" w:hAnsi="宋体"/>
          <w:b/>
          <w:szCs w:val="21"/>
        </w:rPr>
      </w:pPr>
    </w:p>
    <w:p>
      <w:pPr>
        <w:spacing w:line="320" w:lineRule="exact"/>
        <w:jc w:val="center"/>
        <w:rPr>
          <w:rFonts w:ascii="宋体" w:hAnsi="宋体"/>
          <w:b/>
          <w:sz w:val="32"/>
          <w:szCs w:val="32"/>
        </w:rPr>
      </w:pPr>
      <w:r>
        <w:rPr>
          <w:rFonts w:hint="eastAsia" w:ascii="宋体" w:hAnsi="宋体"/>
          <w:b/>
          <w:sz w:val="32"/>
          <w:szCs w:val="32"/>
        </w:rPr>
        <w:t>1.磋   商  书</w:t>
      </w:r>
    </w:p>
    <w:p>
      <w:pPr>
        <w:spacing w:line="320" w:lineRule="exact"/>
        <w:jc w:val="center"/>
        <w:rPr>
          <w:rFonts w:ascii="宋体" w:hAnsi="宋体"/>
          <w:b/>
          <w:sz w:val="32"/>
          <w:szCs w:val="32"/>
        </w:rPr>
      </w:pPr>
    </w:p>
    <w:p>
      <w:pPr>
        <w:pStyle w:val="9"/>
        <w:spacing w:line="320" w:lineRule="exact"/>
        <w:rPr>
          <w:rFonts w:hAnsi="宋体"/>
          <w:sz w:val="21"/>
        </w:rPr>
      </w:pPr>
      <w:r>
        <w:rPr>
          <w:rFonts w:hint="eastAsia" w:hAnsi="宋体"/>
          <w:sz w:val="21"/>
          <w:u w:val="single"/>
        </w:rPr>
        <w:t>广西科联招标中心有限公司</w:t>
      </w:r>
      <w:r>
        <w:rPr>
          <w:rFonts w:hint="eastAsia" w:hAnsi="宋体"/>
          <w:sz w:val="21"/>
        </w:rPr>
        <w:t>：</w:t>
      </w:r>
    </w:p>
    <w:p>
      <w:pPr>
        <w:pStyle w:val="9"/>
        <w:spacing w:line="320" w:lineRule="exact"/>
        <w:ind w:firstLine="480"/>
        <w:rPr>
          <w:rFonts w:hAnsi="宋体"/>
          <w:sz w:val="21"/>
        </w:rPr>
      </w:pPr>
      <w:r>
        <w:rPr>
          <w:rFonts w:hint="eastAsia" w:hAnsi="宋体"/>
          <w:sz w:val="21"/>
        </w:rPr>
        <w:t>依据贵方</w:t>
      </w:r>
      <w:r>
        <w:rPr>
          <w:rFonts w:hint="eastAsia" w:hAnsi="宋体"/>
          <w:sz w:val="21"/>
          <w:u w:val="single"/>
        </w:rPr>
        <w:t>（项目名称/文件编号）</w:t>
      </w:r>
      <w:r>
        <w:rPr>
          <w:rFonts w:hint="eastAsia" w:hAnsi="宋体"/>
          <w:sz w:val="21"/>
        </w:rPr>
        <w:t>项目采购的磋商邀请，我方</w:t>
      </w:r>
      <w:r>
        <w:rPr>
          <w:rFonts w:hint="eastAsia" w:hAnsi="宋体"/>
          <w:sz w:val="21"/>
          <w:u w:val="single"/>
        </w:rPr>
        <w:t>（姓名和职务）</w:t>
      </w:r>
      <w:r>
        <w:rPr>
          <w:rFonts w:hint="eastAsia" w:hAnsi="宋体"/>
          <w:sz w:val="21"/>
        </w:rPr>
        <w:t>经正式授权并代表供应商</w:t>
      </w:r>
      <w:r>
        <w:rPr>
          <w:rFonts w:hint="eastAsia" w:hAnsi="宋体"/>
          <w:sz w:val="21"/>
          <w:u w:val="single"/>
        </w:rPr>
        <w:t>（供应商名称、地址）</w:t>
      </w:r>
      <w:r>
        <w:rPr>
          <w:rFonts w:hint="eastAsia" w:hAnsi="宋体"/>
          <w:sz w:val="21"/>
        </w:rPr>
        <w:t>提交响应文件正本一份，副本份。</w:t>
      </w:r>
    </w:p>
    <w:p>
      <w:pPr>
        <w:pStyle w:val="9"/>
        <w:spacing w:line="320" w:lineRule="exact"/>
        <w:ind w:firstLine="420" w:firstLineChars="200"/>
        <w:rPr>
          <w:rFonts w:hAnsi="宋体"/>
          <w:sz w:val="21"/>
        </w:rPr>
      </w:pPr>
      <w:r>
        <w:rPr>
          <w:rFonts w:hint="eastAsia" w:hAnsi="宋体"/>
          <w:sz w:val="21"/>
        </w:rPr>
        <w:t>在此，授权代表宣布同意如下：</w:t>
      </w:r>
    </w:p>
    <w:p>
      <w:pPr>
        <w:pStyle w:val="9"/>
        <w:spacing w:line="320" w:lineRule="exact"/>
        <w:ind w:firstLine="480"/>
        <w:rPr>
          <w:rFonts w:hAnsi="宋体"/>
          <w:sz w:val="21"/>
        </w:rPr>
      </w:pPr>
      <w:r>
        <w:rPr>
          <w:rFonts w:hint="eastAsia" w:hAnsi="宋体"/>
          <w:sz w:val="21"/>
        </w:rPr>
        <w:t>1. 将按竞争性磋商文件的约定履行合同责任和义务；</w:t>
      </w:r>
    </w:p>
    <w:p>
      <w:pPr>
        <w:pStyle w:val="9"/>
        <w:spacing w:line="320" w:lineRule="exact"/>
        <w:ind w:left="840" w:hanging="360"/>
        <w:rPr>
          <w:rFonts w:hAnsi="宋体"/>
          <w:sz w:val="21"/>
        </w:rPr>
      </w:pPr>
      <w:r>
        <w:rPr>
          <w:rFonts w:hint="eastAsia" w:hAnsi="宋体"/>
          <w:sz w:val="21"/>
        </w:rPr>
        <w:t>2. 已详细审查全部竞争性磋商文件，包括</w:t>
      </w:r>
      <w:r>
        <w:rPr>
          <w:rFonts w:hint="eastAsia" w:hAnsi="宋体"/>
          <w:sz w:val="21"/>
          <w:u w:val="single"/>
        </w:rPr>
        <w:t>（补遗文件）（如果有的话）</w:t>
      </w:r>
      <w:r>
        <w:rPr>
          <w:rFonts w:hint="eastAsia" w:hAnsi="宋体"/>
          <w:sz w:val="21"/>
        </w:rPr>
        <w:t>；我们完全理解并同意放弃对这方面有不明及误解的权力；</w:t>
      </w:r>
    </w:p>
    <w:p>
      <w:pPr>
        <w:pStyle w:val="9"/>
        <w:spacing w:line="320" w:lineRule="exact"/>
        <w:ind w:left="840" w:hanging="360"/>
        <w:rPr>
          <w:rFonts w:hAnsi="宋体"/>
          <w:sz w:val="21"/>
        </w:rPr>
      </w:pPr>
      <w:r>
        <w:rPr>
          <w:rFonts w:hint="eastAsia" w:hAnsi="宋体"/>
          <w:sz w:val="21"/>
        </w:rPr>
        <w:t>3. 同意提供按照贵方可能要求的与其磋商有关的一切数据或资料；</w:t>
      </w:r>
    </w:p>
    <w:p>
      <w:pPr>
        <w:pStyle w:val="9"/>
        <w:spacing w:line="320" w:lineRule="exact"/>
        <w:ind w:left="840" w:hanging="360"/>
        <w:rPr>
          <w:rFonts w:hAnsi="宋体"/>
          <w:sz w:val="21"/>
        </w:rPr>
      </w:pPr>
      <w:r>
        <w:rPr>
          <w:rFonts w:hint="eastAsia" w:hAnsi="宋体"/>
          <w:sz w:val="21"/>
        </w:rPr>
        <w:t>4. 与本磋商有关的一切正式往来信函请寄：邮政编号：</w:t>
      </w:r>
    </w:p>
    <w:p>
      <w:pPr>
        <w:pStyle w:val="9"/>
        <w:spacing w:line="320" w:lineRule="exact"/>
        <w:ind w:firstLine="840"/>
        <w:rPr>
          <w:rFonts w:hAnsi="宋体"/>
          <w:sz w:val="21"/>
        </w:rPr>
      </w:pPr>
      <w:r>
        <w:rPr>
          <w:rFonts w:hint="eastAsia" w:hAnsi="宋体"/>
          <w:sz w:val="21"/>
        </w:rPr>
        <w:t>电话/传真： 电子函件：</w:t>
      </w:r>
    </w:p>
    <w:p>
      <w:pPr>
        <w:pStyle w:val="9"/>
        <w:spacing w:line="320" w:lineRule="exact"/>
        <w:ind w:firstLine="840"/>
        <w:rPr>
          <w:rFonts w:hAnsi="宋体"/>
          <w:sz w:val="21"/>
        </w:rPr>
      </w:pPr>
    </w:p>
    <w:p>
      <w:pPr>
        <w:pStyle w:val="9"/>
        <w:spacing w:line="320" w:lineRule="exact"/>
        <w:ind w:firstLine="840"/>
        <w:rPr>
          <w:rFonts w:hAnsi="宋体"/>
          <w:sz w:val="21"/>
          <w:u w:val="single"/>
        </w:rPr>
      </w:pPr>
      <w:r>
        <w:rPr>
          <w:rFonts w:hint="eastAsia" w:hAnsi="宋体"/>
          <w:sz w:val="21"/>
        </w:rPr>
        <w:t>法定代表人或被授权人签字：</w:t>
      </w:r>
    </w:p>
    <w:p>
      <w:pPr>
        <w:pStyle w:val="9"/>
        <w:spacing w:line="320" w:lineRule="exact"/>
        <w:ind w:firstLine="840"/>
        <w:rPr>
          <w:rFonts w:hAnsi="宋体"/>
          <w:sz w:val="21"/>
        </w:rPr>
      </w:pPr>
      <w:r>
        <w:rPr>
          <w:rFonts w:hint="eastAsia" w:hAnsi="宋体"/>
          <w:sz w:val="21"/>
        </w:rPr>
        <w:t>供应商名称（公章）：</w:t>
      </w:r>
    </w:p>
    <w:p>
      <w:pPr>
        <w:pStyle w:val="9"/>
        <w:spacing w:line="320" w:lineRule="exact"/>
        <w:ind w:firstLine="840"/>
        <w:rPr>
          <w:rFonts w:hAnsi="宋体"/>
          <w:sz w:val="21"/>
          <w:u w:val="single"/>
        </w:rPr>
      </w:pPr>
      <w:r>
        <w:rPr>
          <w:rFonts w:hint="eastAsia" w:hAnsi="宋体"/>
          <w:sz w:val="21"/>
        </w:rPr>
        <w:t>日期：年月日</w:t>
      </w:r>
    </w:p>
    <w:p>
      <w:pPr>
        <w:pStyle w:val="9"/>
        <w:spacing w:line="320" w:lineRule="exact"/>
        <w:ind w:firstLine="840"/>
        <w:rPr>
          <w:rFonts w:hAnsi="宋体"/>
          <w:sz w:val="21"/>
        </w:rPr>
      </w:pPr>
    </w:p>
    <w:p>
      <w:pPr>
        <w:pStyle w:val="9"/>
        <w:spacing w:line="320" w:lineRule="exact"/>
        <w:ind w:firstLine="840"/>
        <w:rPr>
          <w:rFonts w:hAnsi="宋体"/>
          <w:sz w:val="21"/>
        </w:rPr>
      </w:pPr>
      <w:r>
        <w:rPr>
          <w:rFonts w:hint="eastAsia" w:hAnsi="宋体"/>
          <w:sz w:val="21"/>
        </w:rPr>
        <w:t>开户银行：  帐号/行号：</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31"/>
      </w:pPr>
    </w:p>
    <w:p>
      <w:pPr>
        <w:pStyle w:val="31"/>
      </w:pPr>
    </w:p>
    <w:p>
      <w:pPr>
        <w:pStyle w:val="31"/>
      </w:pPr>
    </w:p>
    <w:p>
      <w:pPr>
        <w:widowControl/>
        <w:jc w:val="left"/>
      </w:pPr>
    </w:p>
    <w:p>
      <w:pPr>
        <w:spacing w:line="300" w:lineRule="auto"/>
        <w:jc w:val="center"/>
        <w:rPr>
          <w:rFonts w:ascii="宋体" w:hAnsi="宋体"/>
          <w:b/>
          <w:sz w:val="32"/>
          <w:szCs w:val="32"/>
        </w:rPr>
      </w:pPr>
      <w:r>
        <w:rPr>
          <w:rFonts w:hint="eastAsia" w:ascii="宋体" w:hAnsi="宋体"/>
          <w:b/>
          <w:sz w:val="32"/>
          <w:szCs w:val="32"/>
        </w:rPr>
        <w:t>2.磋 商 报  价  表</w:t>
      </w:r>
    </w:p>
    <w:p>
      <w:pPr>
        <w:spacing w:line="300" w:lineRule="auto"/>
        <w:rPr>
          <w:rFonts w:ascii="宋体" w:hAnsi="宋体"/>
          <w:szCs w:val="21"/>
        </w:rPr>
      </w:pPr>
    </w:p>
    <w:p>
      <w:pPr>
        <w:spacing w:line="300" w:lineRule="auto"/>
        <w:rPr>
          <w:rFonts w:ascii="宋体" w:hAnsi="宋体"/>
          <w:szCs w:val="21"/>
          <w:u w:val="single"/>
        </w:rPr>
      </w:pPr>
      <w:r>
        <w:rPr>
          <w:rFonts w:hint="eastAsia" w:ascii="宋体" w:hAnsi="宋体"/>
          <w:szCs w:val="21"/>
        </w:rPr>
        <w:t>采购项目编号:</w:t>
      </w:r>
    </w:p>
    <w:p>
      <w:pPr>
        <w:spacing w:line="300" w:lineRule="auto"/>
        <w:rPr>
          <w:rFonts w:ascii="宋体" w:hAnsi="宋体"/>
          <w:szCs w:val="21"/>
        </w:rPr>
      </w:pPr>
      <w:r>
        <w:rPr>
          <w:rFonts w:hint="eastAsia" w:ascii="宋体" w:hAnsi="宋体"/>
          <w:szCs w:val="21"/>
        </w:rPr>
        <w:t>采购项目名称:</w:t>
      </w:r>
    </w:p>
    <w:tbl>
      <w:tblPr>
        <w:tblStyle w:val="17"/>
        <w:tblW w:w="925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3738"/>
        <w:gridCol w:w="181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709" w:type="dxa"/>
            <w:vAlign w:val="center"/>
          </w:tcPr>
          <w:p>
            <w:pPr>
              <w:autoSpaceDE w:val="0"/>
              <w:autoSpaceDN w:val="0"/>
              <w:adjustRightInd w:val="0"/>
              <w:spacing w:line="460" w:lineRule="exact"/>
              <w:jc w:val="center"/>
              <w:rPr>
                <w:rFonts w:ascii="宋体" w:hAnsi="宋体"/>
                <w:b/>
                <w:bCs/>
                <w:kern w:val="0"/>
              </w:rPr>
            </w:pPr>
            <w:bookmarkStart w:id="43" w:name="_Toc271277257"/>
            <w:bookmarkStart w:id="44" w:name="_Toc224308531"/>
            <w:bookmarkStart w:id="45" w:name="_Toc224308393"/>
            <w:bookmarkStart w:id="46" w:name="_Toc248561113"/>
            <w:bookmarkStart w:id="47" w:name="_Toc271534429"/>
            <w:bookmarkStart w:id="48" w:name="_Toc224307570"/>
            <w:bookmarkStart w:id="49" w:name="_Toc248340231"/>
            <w:r>
              <w:rPr>
                <w:rFonts w:hint="eastAsia" w:ascii="宋体" w:hAnsi="宋体"/>
                <w:b/>
                <w:bCs/>
                <w:kern w:val="0"/>
              </w:rPr>
              <w:t>序号</w:t>
            </w:r>
            <w:bookmarkEnd w:id="43"/>
            <w:bookmarkEnd w:id="44"/>
            <w:bookmarkEnd w:id="45"/>
            <w:bookmarkEnd w:id="46"/>
            <w:bookmarkEnd w:id="47"/>
            <w:bookmarkEnd w:id="48"/>
            <w:bookmarkEnd w:id="49"/>
          </w:p>
        </w:tc>
        <w:tc>
          <w:tcPr>
            <w:tcW w:w="1985" w:type="dxa"/>
            <w:vAlign w:val="center"/>
          </w:tcPr>
          <w:p>
            <w:pPr>
              <w:autoSpaceDE w:val="0"/>
              <w:autoSpaceDN w:val="0"/>
              <w:adjustRightInd w:val="0"/>
              <w:spacing w:line="460" w:lineRule="exact"/>
              <w:jc w:val="center"/>
              <w:rPr>
                <w:rFonts w:ascii="宋体" w:hAnsi="宋体"/>
                <w:b/>
                <w:bCs/>
                <w:kern w:val="0"/>
              </w:rPr>
            </w:pPr>
            <w:r>
              <w:rPr>
                <w:rFonts w:hint="eastAsia" w:ascii="宋体" w:hAnsi="宋体"/>
                <w:b/>
                <w:bCs/>
                <w:kern w:val="0"/>
              </w:rPr>
              <w:t>项目名称</w:t>
            </w:r>
          </w:p>
        </w:tc>
        <w:tc>
          <w:tcPr>
            <w:tcW w:w="3738" w:type="dxa"/>
            <w:vAlign w:val="center"/>
          </w:tcPr>
          <w:p>
            <w:pPr>
              <w:autoSpaceDE w:val="0"/>
              <w:autoSpaceDN w:val="0"/>
              <w:adjustRightInd w:val="0"/>
              <w:spacing w:line="460" w:lineRule="exact"/>
              <w:jc w:val="center"/>
              <w:rPr>
                <w:rFonts w:ascii="宋体" w:hAnsi="宋体"/>
                <w:b/>
                <w:bCs/>
                <w:kern w:val="0"/>
              </w:rPr>
            </w:pPr>
            <w:r>
              <w:rPr>
                <w:rFonts w:hint="eastAsia" w:ascii="宋体" w:hAnsi="宋体"/>
                <w:b/>
                <w:bCs/>
                <w:kern w:val="0"/>
              </w:rPr>
              <w:t>数量</w:t>
            </w:r>
          </w:p>
        </w:tc>
        <w:tc>
          <w:tcPr>
            <w:tcW w:w="1819" w:type="dxa"/>
            <w:vAlign w:val="center"/>
          </w:tcPr>
          <w:p>
            <w:pPr>
              <w:autoSpaceDE w:val="0"/>
              <w:autoSpaceDN w:val="0"/>
              <w:adjustRightInd w:val="0"/>
              <w:spacing w:line="460" w:lineRule="exact"/>
              <w:jc w:val="center"/>
              <w:rPr>
                <w:rFonts w:ascii="宋体" w:hAnsi="宋体"/>
                <w:b/>
                <w:bCs/>
                <w:kern w:val="0"/>
              </w:rPr>
            </w:pPr>
            <w:bookmarkStart w:id="50" w:name="_Toc224308533"/>
            <w:bookmarkStart w:id="51" w:name="_Toc224308395"/>
            <w:bookmarkStart w:id="52" w:name="_Toc248340234"/>
            <w:bookmarkStart w:id="53" w:name="_Toc271534432"/>
            <w:bookmarkStart w:id="54" w:name="_Toc248561116"/>
            <w:bookmarkStart w:id="55" w:name="_Toc271277260"/>
            <w:bookmarkStart w:id="56" w:name="_Toc224307572"/>
            <w:r>
              <w:rPr>
                <w:rFonts w:hint="eastAsia" w:ascii="宋体" w:hAnsi="宋体"/>
                <w:b/>
                <w:bCs/>
                <w:kern w:val="0"/>
              </w:rPr>
              <w:t>合计 (元)</w:t>
            </w:r>
            <w:bookmarkEnd w:id="50"/>
            <w:bookmarkEnd w:id="51"/>
            <w:bookmarkEnd w:id="52"/>
            <w:bookmarkEnd w:id="53"/>
            <w:bookmarkEnd w:id="54"/>
            <w:bookmarkEnd w:id="55"/>
            <w:bookmarkEnd w:id="56"/>
          </w:p>
        </w:tc>
        <w:tc>
          <w:tcPr>
            <w:tcW w:w="1000" w:type="dxa"/>
            <w:vAlign w:val="center"/>
          </w:tcPr>
          <w:p>
            <w:pPr>
              <w:autoSpaceDE w:val="0"/>
              <w:autoSpaceDN w:val="0"/>
              <w:adjustRightInd w:val="0"/>
              <w:spacing w:line="460" w:lineRule="exact"/>
              <w:jc w:val="center"/>
              <w:rPr>
                <w:rFonts w:ascii="宋体" w:hAnsi="宋体"/>
                <w:b/>
                <w:bCs/>
                <w:kern w:val="0"/>
              </w:rPr>
            </w:pPr>
            <w:bookmarkStart w:id="57" w:name="_Toc271277263"/>
            <w:bookmarkStart w:id="58" w:name="_Toc271534435"/>
            <w:bookmarkStart w:id="59" w:name="_Toc224307573"/>
            <w:bookmarkStart w:id="60" w:name="_Toc248340237"/>
            <w:bookmarkStart w:id="61" w:name="_Toc224308534"/>
            <w:bookmarkStart w:id="62" w:name="_Toc248561119"/>
            <w:bookmarkStart w:id="63" w:name="_Toc224308396"/>
            <w:r>
              <w:rPr>
                <w:rFonts w:hint="eastAsia" w:ascii="宋体" w:hAnsi="宋体"/>
                <w:b/>
                <w:bCs/>
                <w:kern w:val="0"/>
              </w:rPr>
              <w:t>备　注</w:t>
            </w:r>
            <w:bookmarkEnd w:id="57"/>
            <w:bookmarkEnd w:id="58"/>
            <w:bookmarkEnd w:id="59"/>
            <w:bookmarkEnd w:id="60"/>
            <w:bookmarkEnd w:id="61"/>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709" w:type="dxa"/>
            <w:vAlign w:val="center"/>
          </w:tcPr>
          <w:p>
            <w:pPr>
              <w:autoSpaceDE w:val="0"/>
              <w:autoSpaceDN w:val="0"/>
              <w:adjustRightInd w:val="0"/>
              <w:spacing w:line="460" w:lineRule="exact"/>
              <w:jc w:val="center"/>
              <w:rPr>
                <w:rFonts w:ascii="宋体" w:hAnsi="宋体"/>
                <w:bCs/>
                <w:kern w:val="0"/>
              </w:rPr>
            </w:pPr>
          </w:p>
        </w:tc>
        <w:tc>
          <w:tcPr>
            <w:tcW w:w="1985" w:type="dxa"/>
            <w:vAlign w:val="center"/>
          </w:tcPr>
          <w:p>
            <w:pPr>
              <w:autoSpaceDE w:val="0"/>
              <w:autoSpaceDN w:val="0"/>
              <w:adjustRightInd w:val="0"/>
              <w:spacing w:line="460" w:lineRule="exact"/>
              <w:jc w:val="center"/>
              <w:rPr>
                <w:rFonts w:ascii="宋体" w:hAnsi="宋体"/>
                <w:szCs w:val="21"/>
              </w:rPr>
            </w:pPr>
          </w:p>
        </w:tc>
        <w:tc>
          <w:tcPr>
            <w:tcW w:w="3738" w:type="dxa"/>
            <w:vAlign w:val="center"/>
          </w:tcPr>
          <w:p>
            <w:pPr>
              <w:autoSpaceDE w:val="0"/>
              <w:autoSpaceDN w:val="0"/>
              <w:adjustRightInd w:val="0"/>
              <w:spacing w:line="460" w:lineRule="exact"/>
              <w:jc w:val="center"/>
              <w:rPr>
                <w:rFonts w:ascii="宋体" w:hAnsi="宋体"/>
                <w:bCs/>
                <w:kern w:val="0"/>
              </w:rPr>
            </w:pPr>
          </w:p>
        </w:tc>
        <w:tc>
          <w:tcPr>
            <w:tcW w:w="1819" w:type="dxa"/>
            <w:vAlign w:val="center"/>
          </w:tcPr>
          <w:p>
            <w:pPr>
              <w:autoSpaceDE w:val="0"/>
              <w:autoSpaceDN w:val="0"/>
              <w:adjustRightInd w:val="0"/>
              <w:spacing w:line="460" w:lineRule="exact"/>
              <w:rPr>
                <w:rFonts w:ascii="宋体" w:hAnsi="宋体"/>
                <w:bCs/>
                <w:kern w:val="0"/>
              </w:rPr>
            </w:pPr>
          </w:p>
        </w:tc>
        <w:tc>
          <w:tcPr>
            <w:tcW w:w="1000" w:type="dxa"/>
            <w:vAlign w:val="center"/>
          </w:tcPr>
          <w:p>
            <w:pPr>
              <w:autoSpaceDE w:val="0"/>
              <w:autoSpaceDN w:val="0"/>
              <w:adjustRightInd w:val="0"/>
              <w:spacing w:line="460" w:lineRule="exact"/>
              <w:rPr>
                <w:rFonts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709" w:type="dxa"/>
            <w:vAlign w:val="center"/>
          </w:tcPr>
          <w:p>
            <w:pPr>
              <w:autoSpaceDE w:val="0"/>
              <w:autoSpaceDN w:val="0"/>
              <w:adjustRightInd w:val="0"/>
              <w:spacing w:line="460" w:lineRule="exact"/>
              <w:jc w:val="center"/>
              <w:rPr>
                <w:rFonts w:ascii="宋体" w:hAnsi="宋体"/>
                <w:bCs/>
                <w:kern w:val="0"/>
              </w:rPr>
            </w:pPr>
          </w:p>
        </w:tc>
        <w:tc>
          <w:tcPr>
            <w:tcW w:w="1985" w:type="dxa"/>
            <w:vAlign w:val="center"/>
          </w:tcPr>
          <w:p>
            <w:pPr>
              <w:autoSpaceDE w:val="0"/>
              <w:autoSpaceDN w:val="0"/>
              <w:adjustRightInd w:val="0"/>
              <w:spacing w:line="460" w:lineRule="exact"/>
              <w:jc w:val="center"/>
              <w:rPr>
                <w:rFonts w:ascii="宋体" w:hAnsi="宋体"/>
                <w:szCs w:val="21"/>
              </w:rPr>
            </w:pPr>
          </w:p>
        </w:tc>
        <w:tc>
          <w:tcPr>
            <w:tcW w:w="3738" w:type="dxa"/>
            <w:vAlign w:val="center"/>
          </w:tcPr>
          <w:p>
            <w:pPr>
              <w:autoSpaceDE w:val="0"/>
              <w:autoSpaceDN w:val="0"/>
              <w:adjustRightInd w:val="0"/>
              <w:spacing w:line="460" w:lineRule="exact"/>
              <w:jc w:val="center"/>
              <w:rPr>
                <w:rFonts w:ascii="宋体" w:hAnsi="宋体"/>
                <w:bCs/>
                <w:kern w:val="0"/>
              </w:rPr>
            </w:pPr>
          </w:p>
        </w:tc>
        <w:tc>
          <w:tcPr>
            <w:tcW w:w="1819" w:type="dxa"/>
            <w:vAlign w:val="center"/>
          </w:tcPr>
          <w:p>
            <w:pPr>
              <w:autoSpaceDE w:val="0"/>
              <w:autoSpaceDN w:val="0"/>
              <w:adjustRightInd w:val="0"/>
              <w:spacing w:line="460" w:lineRule="exact"/>
              <w:rPr>
                <w:rFonts w:ascii="宋体" w:hAnsi="宋体"/>
                <w:bCs/>
                <w:kern w:val="0"/>
              </w:rPr>
            </w:pPr>
          </w:p>
        </w:tc>
        <w:tc>
          <w:tcPr>
            <w:tcW w:w="1000" w:type="dxa"/>
            <w:vAlign w:val="center"/>
          </w:tcPr>
          <w:p>
            <w:pPr>
              <w:autoSpaceDE w:val="0"/>
              <w:autoSpaceDN w:val="0"/>
              <w:adjustRightInd w:val="0"/>
              <w:spacing w:line="460" w:lineRule="exact"/>
              <w:rPr>
                <w:rFonts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09" w:type="dxa"/>
            <w:vAlign w:val="center"/>
          </w:tcPr>
          <w:p>
            <w:pPr>
              <w:autoSpaceDE w:val="0"/>
              <w:autoSpaceDN w:val="0"/>
              <w:adjustRightInd w:val="0"/>
              <w:spacing w:line="460" w:lineRule="exact"/>
              <w:jc w:val="center"/>
              <w:rPr>
                <w:rFonts w:ascii="宋体" w:hAnsi="宋体"/>
                <w:bCs/>
                <w:kern w:val="0"/>
              </w:rPr>
            </w:pPr>
          </w:p>
        </w:tc>
        <w:tc>
          <w:tcPr>
            <w:tcW w:w="1985" w:type="dxa"/>
            <w:vAlign w:val="center"/>
          </w:tcPr>
          <w:p>
            <w:pPr>
              <w:autoSpaceDE w:val="0"/>
              <w:autoSpaceDN w:val="0"/>
              <w:adjustRightInd w:val="0"/>
              <w:spacing w:line="460" w:lineRule="exact"/>
              <w:jc w:val="center"/>
              <w:rPr>
                <w:rFonts w:ascii="宋体" w:hAnsi="宋体"/>
                <w:szCs w:val="21"/>
              </w:rPr>
            </w:pPr>
          </w:p>
        </w:tc>
        <w:tc>
          <w:tcPr>
            <w:tcW w:w="3738" w:type="dxa"/>
            <w:vAlign w:val="center"/>
          </w:tcPr>
          <w:p>
            <w:pPr>
              <w:autoSpaceDE w:val="0"/>
              <w:autoSpaceDN w:val="0"/>
              <w:adjustRightInd w:val="0"/>
              <w:spacing w:line="460" w:lineRule="exact"/>
              <w:jc w:val="center"/>
              <w:rPr>
                <w:rFonts w:ascii="宋体" w:hAnsi="宋体"/>
                <w:bCs/>
                <w:kern w:val="0"/>
              </w:rPr>
            </w:pPr>
          </w:p>
        </w:tc>
        <w:tc>
          <w:tcPr>
            <w:tcW w:w="1819" w:type="dxa"/>
            <w:vAlign w:val="center"/>
          </w:tcPr>
          <w:p>
            <w:pPr>
              <w:autoSpaceDE w:val="0"/>
              <w:autoSpaceDN w:val="0"/>
              <w:adjustRightInd w:val="0"/>
              <w:spacing w:line="460" w:lineRule="exact"/>
              <w:rPr>
                <w:rFonts w:ascii="宋体" w:hAnsi="宋体"/>
                <w:bCs/>
                <w:kern w:val="0"/>
              </w:rPr>
            </w:pPr>
          </w:p>
        </w:tc>
        <w:tc>
          <w:tcPr>
            <w:tcW w:w="1000" w:type="dxa"/>
            <w:vAlign w:val="center"/>
          </w:tcPr>
          <w:p>
            <w:pPr>
              <w:autoSpaceDE w:val="0"/>
              <w:autoSpaceDN w:val="0"/>
              <w:adjustRightInd w:val="0"/>
              <w:spacing w:line="460" w:lineRule="exact"/>
              <w:rPr>
                <w:rFonts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9251" w:type="dxa"/>
            <w:gridSpan w:val="5"/>
            <w:vAlign w:val="center"/>
          </w:tcPr>
          <w:p>
            <w:pPr>
              <w:autoSpaceDE w:val="0"/>
              <w:autoSpaceDN w:val="0"/>
              <w:adjustRightInd w:val="0"/>
              <w:spacing w:line="460" w:lineRule="exact"/>
              <w:rPr>
                <w:rFonts w:ascii="宋体" w:hAnsi="宋体"/>
                <w:bCs/>
                <w:kern w:val="0"/>
              </w:rPr>
            </w:pPr>
            <w:bookmarkStart w:id="64" w:name="_Toc224307577"/>
            <w:bookmarkStart w:id="65" w:name="_Toc224308400"/>
            <w:bookmarkStart w:id="66" w:name="_Toc248561122"/>
            <w:bookmarkStart w:id="67" w:name="_Toc271277266"/>
            <w:bookmarkStart w:id="68" w:name="_Toc271534438"/>
            <w:bookmarkStart w:id="69" w:name="_Toc224308538"/>
            <w:bookmarkStart w:id="70" w:name="_Toc248340240"/>
            <w:r>
              <w:rPr>
                <w:rFonts w:hint="eastAsia" w:ascii="宋体" w:hAnsi="宋体"/>
                <w:bCs/>
                <w:kern w:val="0"/>
              </w:rPr>
              <w:t>总报价（人民币大写）：（ ￥元）</w:t>
            </w:r>
            <w:bookmarkEnd w:id="64"/>
            <w:bookmarkEnd w:id="65"/>
            <w:bookmarkEnd w:id="66"/>
            <w:bookmarkEnd w:id="67"/>
            <w:bookmarkEnd w:id="68"/>
            <w:bookmarkEnd w:id="69"/>
            <w:bookmarkEnd w:id="70"/>
          </w:p>
        </w:tc>
      </w:tr>
    </w:tbl>
    <w:p>
      <w:pPr>
        <w:pStyle w:val="9"/>
        <w:snapToGrid w:val="0"/>
        <w:spacing w:line="400" w:lineRule="exact"/>
        <w:ind w:firstLine="402" w:firstLineChars="200"/>
        <w:rPr>
          <w:rFonts w:hAnsi="宋体"/>
          <w:b/>
        </w:rPr>
      </w:pPr>
    </w:p>
    <w:p>
      <w:pPr>
        <w:pStyle w:val="9"/>
        <w:snapToGrid w:val="0"/>
        <w:spacing w:line="400" w:lineRule="exact"/>
        <w:rPr>
          <w:rFonts w:hAnsi="宋体"/>
          <w:b/>
        </w:rPr>
      </w:pPr>
      <w:r>
        <w:rPr>
          <w:rFonts w:hint="eastAsia" w:hAnsi="宋体"/>
          <w:b/>
        </w:rPr>
        <w:t>费用报价注意事项：</w:t>
      </w:r>
    </w:p>
    <w:p>
      <w:pPr>
        <w:autoSpaceDE w:val="0"/>
        <w:autoSpaceDN w:val="0"/>
        <w:adjustRightInd w:val="0"/>
        <w:spacing w:line="460" w:lineRule="exact"/>
        <w:ind w:firstLine="420" w:firstLineChars="200"/>
        <w:rPr>
          <w:rFonts w:ascii="宋体" w:hAnsi="宋体"/>
          <w:kern w:val="0"/>
          <w:szCs w:val="21"/>
        </w:rPr>
      </w:pPr>
      <w:r>
        <w:rPr>
          <w:rFonts w:hint="eastAsia" w:ascii="宋体" w:hAnsi="宋体"/>
          <w:kern w:val="0"/>
          <w:szCs w:val="21"/>
        </w:rPr>
        <w:t>1、按固定总额报价。参考市场价格和有关相关规定，由供应商考虑各方面因素、风险，以固定总额报价，总价包干；</w:t>
      </w:r>
    </w:p>
    <w:p>
      <w:pPr>
        <w:spacing w:line="340" w:lineRule="exact"/>
        <w:ind w:firstLine="420" w:firstLineChars="200"/>
        <w:rPr>
          <w:rFonts w:ascii="宋体" w:hAnsi="宋体"/>
          <w:b/>
          <w:sz w:val="24"/>
        </w:rPr>
      </w:pPr>
      <w:r>
        <w:rPr>
          <w:rFonts w:hint="eastAsia" w:ascii="宋体" w:hAnsi="宋体"/>
          <w:kern w:val="0"/>
          <w:szCs w:val="21"/>
        </w:rPr>
        <w:t>2、磋商报价包含</w:t>
      </w:r>
      <w:r>
        <w:rPr>
          <w:rFonts w:hint="eastAsia" w:ascii="宋体" w:hAnsi="宋体"/>
          <w:szCs w:val="21"/>
        </w:rPr>
        <w:t>完成约定服务内容所聘用人员的待遇、装备、办公设备、日常管理、税金等支出。</w:t>
      </w:r>
    </w:p>
    <w:p>
      <w:pPr>
        <w:pStyle w:val="9"/>
        <w:rPr>
          <w:rFonts w:hAnsi="宋体"/>
          <w:sz w:val="21"/>
        </w:rPr>
      </w:pPr>
    </w:p>
    <w:p>
      <w:pPr>
        <w:pStyle w:val="9"/>
        <w:rPr>
          <w:rFonts w:hAnsi="宋体"/>
          <w:sz w:val="21"/>
        </w:rPr>
      </w:pPr>
    </w:p>
    <w:p>
      <w:pPr>
        <w:pStyle w:val="9"/>
        <w:rPr>
          <w:rFonts w:hAnsi="宋体"/>
          <w:sz w:val="21"/>
        </w:rPr>
      </w:pPr>
      <w:r>
        <w:rPr>
          <w:rFonts w:hint="eastAsia" w:hAnsi="宋体"/>
          <w:sz w:val="21"/>
        </w:rPr>
        <w:t>供应商（公章）</w:t>
      </w:r>
    </w:p>
    <w:p>
      <w:pPr>
        <w:pStyle w:val="9"/>
        <w:rPr>
          <w:rFonts w:hAnsi="宋体"/>
          <w:sz w:val="21"/>
        </w:rPr>
      </w:pPr>
    </w:p>
    <w:p>
      <w:pPr>
        <w:pStyle w:val="9"/>
        <w:rPr>
          <w:rFonts w:hAnsi="宋体"/>
          <w:sz w:val="21"/>
          <w:u w:val="single"/>
        </w:rPr>
      </w:pPr>
      <w:r>
        <w:rPr>
          <w:rFonts w:hint="eastAsia" w:hAnsi="宋体"/>
          <w:sz w:val="21"/>
        </w:rPr>
        <w:t>法定代表人或委托代理人签字</w:t>
      </w:r>
    </w:p>
    <w:p>
      <w:pPr>
        <w:pStyle w:val="9"/>
        <w:rPr>
          <w:rFonts w:hAnsi="宋体"/>
          <w:sz w:val="21"/>
          <w:u w:val="single"/>
        </w:rPr>
      </w:pPr>
    </w:p>
    <w:p>
      <w:pPr>
        <w:pStyle w:val="9"/>
        <w:rPr>
          <w:rFonts w:hAnsi="宋体"/>
          <w:sz w:val="21"/>
        </w:rPr>
      </w:pPr>
      <w:r>
        <w:rPr>
          <w:rFonts w:hint="eastAsia" w:hAnsi="宋体"/>
          <w:sz w:val="21"/>
        </w:rPr>
        <w:t>日期</w:t>
      </w:r>
    </w:p>
    <w:p>
      <w:bookmarkStart w:id="71" w:name="_Toc356165644"/>
      <w:bookmarkStart w:id="72" w:name="_Toc356979893"/>
    </w:p>
    <w:p/>
    <w:p/>
    <w:p/>
    <w:p>
      <w:pPr>
        <w:widowControl/>
        <w:jc w:val="left"/>
      </w:pPr>
    </w:p>
    <w:p>
      <w:pPr>
        <w:widowControl/>
        <w:jc w:val="left"/>
      </w:pPr>
    </w:p>
    <w:p>
      <w:pPr>
        <w:widowControl/>
        <w:jc w:val="left"/>
      </w:pPr>
    </w:p>
    <w:p>
      <w:pPr>
        <w:widowControl/>
        <w:jc w:val="left"/>
      </w:pPr>
    </w:p>
    <w:bookmarkEnd w:id="71"/>
    <w:bookmarkEnd w:id="72"/>
    <w:p>
      <w:pPr>
        <w:pStyle w:val="31"/>
      </w:pPr>
    </w:p>
    <w:p>
      <w:pPr>
        <w:spacing w:line="300" w:lineRule="auto"/>
        <w:jc w:val="center"/>
        <w:rPr>
          <w:rFonts w:ascii="宋体" w:hAnsi="宋体"/>
          <w:b/>
          <w:sz w:val="32"/>
          <w:szCs w:val="32"/>
        </w:rPr>
      </w:pPr>
      <w:r>
        <w:rPr>
          <w:rFonts w:hint="eastAsia" w:ascii="宋体" w:hAnsi="宋体"/>
          <w:b/>
          <w:sz w:val="32"/>
          <w:szCs w:val="32"/>
        </w:rPr>
        <w:t>3.响应、偏离情况说明表</w:t>
      </w:r>
    </w:p>
    <w:p>
      <w:pPr>
        <w:spacing w:line="300" w:lineRule="auto"/>
        <w:rPr>
          <w:rFonts w:ascii="宋体" w:hAnsi="宋体"/>
          <w:szCs w:val="21"/>
        </w:rPr>
      </w:pPr>
    </w:p>
    <w:p>
      <w:pPr>
        <w:spacing w:line="300" w:lineRule="auto"/>
        <w:rPr>
          <w:rFonts w:ascii="宋体" w:hAnsi="宋体"/>
          <w:szCs w:val="21"/>
          <w:u w:val="single"/>
        </w:rPr>
      </w:pPr>
      <w:r>
        <w:rPr>
          <w:rFonts w:hint="eastAsia" w:ascii="宋体" w:hAnsi="宋体"/>
          <w:szCs w:val="21"/>
        </w:rPr>
        <w:t>采购项目编号:</w:t>
      </w:r>
    </w:p>
    <w:p>
      <w:pPr>
        <w:spacing w:line="300" w:lineRule="auto"/>
        <w:rPr>
          <w:rFonts w:ascii="宋体" w:hAnsi="宋体"/>
          <w:szCs w:val="21"/>
        </w:rPr>
      </w:pPr>
      <w:r>
        <w:rPr>
          <w:rFonts w:hint="eastAsia" w:ascii="宋体" w:hAnsi="宋体"/>
          <w:szCs w:val="21"/>
        </w:rPr>
        <w:t>采购项目名称:</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67"/>
        <w:gridCol w:w="2520"/>
        <w:gridCol w:w="2292"/>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vAlign w:val="center"/>
          </w:tcPr>
          <w:p>
            <w:pPr>
              <w:pStyle w:val="9"/>
              <w:spacing w:line="400" w:lineRule="exact"/>
              <w:jc w:val="center"/>
              <w:rPr>
                <w:rFonts w:cs="Courier New"/>
                <w:kern w:val="2"/>
                <w:sz w:val="21"/>
              </w:rPr>
            </w:pPr>
          </w:p>
          <w:p>
            <w:pPr>
              <w:pStyle w:val="9"/>
              <w:spacing w:line="400" w:lineRule="exact"/>
              <w:rPr>
                <w:rFonts w:cs="Courier New"/>
                <w:kern w:val="2"/>
                <w:sz w:val="21"/>
              </w:rPr>
            </w:pPr>
            <w:r>
              <w:rPr>
                <w:rFonts w:hint="eastAsia" w:cs="Courier New"/>
                <w:kern w:val="2"/>
                <w:sz w:val="21"/>
              </w:rPr>
              <w:t>项号</w:t>
            </w:r>
          </w:p>
        </w:tc>
        <w:tc>
          <w:tcPr>
            <w:tcW w:w="867" w:type="dxa"/>
          </w:tcPr>
          <w:p>
            <w:pPr>
              <w:pStyle w:val="9"/>
              <w:spacing w:line="400" w:lineRule="exact"/>
              <w:jc w:val="center"/>
              <w:rPr>
                <w:rFonts w:cs="Courier New"/>
                <w:kern w:val="2"/>
                <w:sz w:val="21"/>
              </w:rPr>
            </w:pPr>
            <w:r>
              <w:rPr>
                <w:rFonts w:hint="eastAsia" w:cs="Courier New"/>
                <w:kern w:val="2"/>
                <w:sz w:val="21"/>
              </w:rPr>
              <w:t>服务名称</w:t>
            </w:r>
          </w:p>
        </w:tc>
        <w:tc>
          <w:tcPr>
            <w:tcW w:w="2520" w:type="dxa"/>
            <w:vAlign w:val="center"/>
          </w:tcPr>
          <w:p>
            <w:pPr>
              <w:pStyle w:val="9"/>
              <w:spacing w:line="400" w:lineRule="exact"/>
              <w:jc w:val="center"/>
              <w:rPr>
                <w:rFonts w:cs="Courier New"/>
                <w:kern w:val="2"/>
                <w:sz w:val="21"/>
              </w:rPr>
            </w:pPr>
            <w:r>
              <w:rPr>
                <w:rFonts w:hint="eastAsia" w:cs="Courier New"/>
                <w:kern w:val="2"/>
                <w:sz w:val="21"/>
              </w:rPr>
              <w:t>磋商文件要求</w:t>
            </w:r>
          </w:p>
        </w:tc>
        <w:tc>
          <w:tcPr>
            <w:tcW w:w="2292" w:type="dxa"/>
            <w:vAlign w:val="center"/>
          </w:tcPr>
          <w:p>
            <w:pPr>
              <w:pStyle w:val="9"/>
              <w:spacing w:line="400" w:lineRule="exact"/>
              <w:jc w:val="center"/>
              <w:rPr>
                <w:rFonts w:cs="Courier New"/>
                <w:kern w:val="2"/>
                <w:sz w:val="21"/>
              </w:rPr>
            </w:pPr>
            <w:r>
              <w:rPr>
                <w:rFonts w:hint="eastAsia" w:cs="Courier New"/>
                <w:kern w:val="2"/>
                <w:sz w:val="21"/>
              </w:rPr>
              <w:t>响应承诺</w:t>
            </w:r>
          </w:p>
        </w:tc>
        <w:tc>
          <w:tcPr>
            <w:tcW w:w="2168" w:type="dxa"/>
            <w:vAlign w:val="center"/>
          </w:tcPr>
          <w:p>
            <w:pPr>
              <w:pStyle w:val="9"/>
              <w:spacing w:line="400" w:lineRule="exact"/>
              <w:jc w:val="center"/>
              <w:rPr>
                <w:rFonts w:cs="Courier New"/>
                <w:kern w:val="2"/>
                <w:sz w:val="21"/>
              </w:rPr>
            </w:pPr>
            <w:r>
              <w:rPr>
                <w:rFonts w:hint="eastAsia" w:cs="Courier New"/>
                <w:kern w:val="2"/>
                <w:sz w:val="21"/>
              </w:rPr>
              <w:t>偏离说明（正偏离或负偏离或无偏离）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snapToGrid w:val="0"/>
              <w:spacing w:before="50" w:after="50"/>
              <w:jc w:val="center"/>
              <w:rPr>
                <w:rFonts w:ascii="宋体" w:hAnsi="宋体"/>
                <w:b/>
                <w:szCs w:val="21"/>
              </w:rPr>
            </w:pPr>
            <w:r>
              <w:rPr>
                <w:rFonts w:hint="eastAsia" w:ascii="宋体" w:hAnsi="宋体"/>
                <w:b/>
                <w:szCs w:val="21"/>
              </w:rPr>
              <w:t>1</w:t>
            </w:r>
          </w:p>
        </w:tc>
        <w:tc>
          <w:tcPr>
            <w:tcW w:w="867" w:type="dxa"/>
            <w:vMerge w:val="restart"/>
            <w:vAlign w:val="center"/>
          </w:tcPr>
          <w:p>
            <w:pPr>
              <w:snapToGrid w:val="0"/>
              <w:spacing w:before="50" w:after="50"/>
              <w:jc w:val="center"/>
              <w:rPr>
                <w:rFonts w:ascii="宋体" w:hAnsi="宋体"/>
                <w:b/>
                <w:szCs w:val="21"/>
              </w:rPr>
            </w:pPr>
          </w:p>
        </w:tc>
        <w:tc>
          <w:tcPr>
            <w:tcW w:w="2520" w:type="dxa"/>
            <w:vAlign w:val="center"/>
          </w:tcPr>
          <w:p>
            <w:pPr>
              <w:pStyle w:val="9"/>
              <w:spacing w:line="600" w:lineRule="exact"/>
              <w:jc w:val="center"/>
              <w:rPr>
                <w:rFonts w:cs="Courier New"/>
                <w:kern w:val="2"/>
                <w:sz w:val="21"/>
              </w:rPr>
            </w:pPr>
          </w:p>
        </w:tc>
        <w:tc>
          <w:tcPr>
            <w:tcW w:w="2292" w:type="dxa"/>
            <w:vAlign w:val="center"/>
          </w:tcPr>
          <w:p>
            <w:pPr>
              <w:pStyle w:val="9"/>
              <w:spacing w:line="600" w:lineRule="exact"/>
              <w:jc w:val="center"/>
              <w:rPr>
                <w:rFonts w:cs="Courier New"/>
                <w:kern w:val="2"/>
                <w:sz w:val="21"/>
              </w:rPr>
            </w:pPr>
          </w:p>
        </w:tc>
        <w:tc>
          <w:tcPr>
            <w:tcW w:w="2168" w:type="dxa"/>
            <w:vAlign w:val="center"/>
          </w:tcPr>
          <w:p>
            <w:pPr>
              <w:pStyle w:val="9"/>
              <w:spacing w:line="600" w:lineRule="exact"/>
              <w:jc w:val="center"/>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cs="Courier New"/>
                <w:kern w:val="2"/>
                <w:sz w:val="21"/>
              </w:rPr>
            </w:pPr>
          </w:p>
        </w:tc>
        <w:tc>
          <w:tcPr>
            <w:tcW w:w="2292" w:type="dxa"/>
          </w:tcPr>
          <w:p>
            <w:pPr>
              <w:pStyle w:val="9"/>
              <w:spacing w:line="600" w:lineRule="exact"/>
              <w:rPr>
                <w:rFonts w:cs="Courier New"/>
                <w:kern w:val="2"/>
                <w:sz w:val="21"/>
              </w:rPr>
            </w:pPr>
          </w:p>
        </w:tc>
        <w:tc>
          <w:tcPr>
            <w:tcW w:w="2168" w:type="dxa"/>
          </w:tcPr>
          <w:p>
            <w:pPr>
              <w:pStyle w:val="9"/>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cs="Courier New"/>
                <w:kern w:val="2"/>
                <w:sz w:val="21"/>
              </w:rPr>
            </w:pPr>
          </w:p>
        </w:tc>
        <w:tc>
          <w:tcPr>
            <w:tcW w:w="2292" w:type="dxa"/>
          </w:tcPr>
          <w:p>
            <w:pPr>
              <w:pStyle w:val="9"/>
              <w:spacing w:line="600" w:lineRule="exact"/>
              <w:rPr>
                <w:rFonts w:cs="Courier New"/>
                <w:kern w:val="2"/>
                <w:sz w:val="21"/>
              </w:rPr>
            </w:pPr>
          </w:p>
        </w:tc>
        <w:tc>
          <w:tcPr>
            <w:tcW w:w="2168" w:type="dxa"/>
          </w:tcPr>
          <w:p>
            <w:pPr>
              <w:pStyle w:val="9"/>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cs="Courier New"/>
                <w:kern w:val="2"/>
                <w:sz w:val="21"/>
              </w:rPr>
            </w:pPr>
          </w:p>
        </w:tc>
        <w:tc>
          <w:tcPr>
            <w:tcW w:w="2292" w:type="dxa"/>
          </w:tcPr>
          <w:p>
            <w:pPr>
              <w:pStyle w:val="9"/>
              <w:spacing w:line="600" w:lineRule="exact"/>
              <w:rPr>
                <w:rFonts w:cs="Courier New"/>
                <w:kern w:val="2"/>
                <w:sz w:val="21"/>
              </w:rPr>
            </w:pPr>
          </w:p>
        </w:tc>
        <w:tc>
          <w:tcPr>
            <w:tcW w:w="2168" w:type="dxa"/>
          </w:tcPr>
          <w:p>
            <w:pPr>
              <w:pStyle w:val="9"/>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cs="Courier New"/>
                <w:kern w:val="2"/>
                <w:sz w:val="21"/>
              </w:rPr>
            </w:pPr>
          </w:p>
        </w:tc>
        <w:tc>
          <w:tcPr>
            <w:tcW w:w="2292" w:type="dxa"/>
          </w:tcPr>
          <w:p>
            <w:pPr>
              <w:pStyle w:val="9"/>
              <w:spacing w:line="600" w:lineRule="exact"/>
              <w:rPr>
                <w:rFonts w:cs="Courier New"/>
                <w:kern w:val="2"/>
                <w:sz w:val="21"/>
              </w:rPr>
            </w:pPr>
          </w:p>
        </w:tc>
        <w:tc>
          <w:tcPr>
            <w:tcW w:w="2168" w:type="dxa"/>
          </w:tcPr>
          <w:p>
            <w:pPr>
              <w:pStyle w:val="9"/>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cs="Courier New"/>
                <w:kern w:val="2"/>
                <w:sz w:val="21"/>
              </w:rPr>
            </w:pPr>
          </w:p>
        </w:tc>
        <w:tc>
          <w:tcPr>
            <w:tcW w:w="2292" w:type="dxa"/>
          </w:tcPr>
          <w:p>
            <w:pPr>
              <w:pStyle w:val="9"/>
              <w:spacing w:line="600" w:lineRule="exact"/>
              <w:rPr>
                <w:rFonts w:cs="Courier New"/>
                <w:kern w:val="2"/>
                <w:sz w:val="21"/>
              </w:rPr>
            </w:pPr>
          </w:p>
        </w:tc>
        <w:tc>
          <w:tcPr>
            <w:tcW w:w="2168" w:type="dxa"/>
          </w:tcPr>
          <w:p>
            <w:pPr>
              <w:pStyle w:val="9"/>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cs="Courier New"/>
                <w:kern w:val="2"/>
                <w:sz w:val="21"/>
              </w:rPr>
            </w:pPr>
          </w:p>
        </w:tc>
        <w:tc>
          <w:tcPr>
            <w:tcW w:w="2292" w:type="dxa"/>
          </w:tcPr>
          <w:p>
            <w:pPr>
              <w:pStyle w:val="9"/>
              <w:spacing w:line="600" w:lineRule="exact"/>
              <w:rPr>
                <w:rFonts w:cs="Courier New"/>
                <w:kern w:val="2"/>
                <w:sz w:val="21"/>
              </w:rPr>
            </w:pPr>
          </w:p>
        </w:tc>
        <w:tc>
          <w:tcPr>
            <w:tcW w:w="2168" w:type="dxa"/>
          </w:tcPr>
          <w:p>
            <w:pPr>
              <w:pStyle w:val="9"/>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cs="Courier New"/>
                <w:kern w:val="2"/>
                <w:sz w:val="21"/>
              </w:rPr>
            </w:pPr>
          </w:p>
        </w:tc>
        <w:tc>
          <w:tcPr>
            <w:tcW w:w="2292" w:type="dxa"/>
          </w:tcPr>
          <w:p>
            <w:pPr>
              <w:pStyle w:val="9"/>
              <w:spacing w:line="600" w:lineRule="exact"/>
              <w:rPr>
                <w:rFonts w:cs="Courier New"/>
                <w:kern w:val="2"/>
                <w:sz w:val="21"/>
              </w:rPr>
            </w:pPr>
          </w:p>
        </w:tc>
        <w:tc>
          <w:tcPr>
            <w:tcW w:w="2168" w:type="dxa"/>
          </w:tcPr>
          <w:p>
            <w:pPr>
              <w:pStyle w:val="9"/>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cs="Courier New"/>
                <w:kern w:val="2"/>
                <w:sz w:val="21"/>
              </w:rPr>
            </w:pPr>
          </w:p>
        </w:tc>
        <w:tc>
          <w:tcPr>
            <w:tcW w:w="2292" w:type="dxa"/>
          </w:tcPr>
          <w:p>
            <w:pPr>
              <w:pStyle w:val="9"/>
              <w:spacing w:line="600" w:lineRule="exact"/>
              <w:rPr>
                <w:rFonts w:cs="Courier New"/>
                <w:kern w:val="2"/>
                <w:sz w:val="21"/>
              </w:rPr>
            </w:pPr>
          </w:p>
        </w:tc>
        <w:tc>
          <w:tcPr>
            <w:tcW w:w="2168" w:type="dxa"/>
          </w:tcPr>
          <w:p>
            <w:pPr>
              <w:pStyle w:val="9"/>
              <w:spacing w:line="600" w:lineRule="exact"/>
              <w:rPr>
                <w:rFonts w:cs="Courier New"/>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tcPr>
          <w:p>
            <w:pPr>
              <w:pStyle w:val="9"/>
              <w:spacing w:line="600" w:lineRule="exact"/>
              <w:rPr>
                <w:rFonts w:cs="Courier New"/>
                <w:kern w:val="2"/>
                <w:sz w:val="21"/>
              </w:rPr>
            </w:pPr>
          </w:p>
        </w:tc>
        <w:tc>
          <w:tcPr>
            <w:tcW w:w="867" w:type="dxa"/>
            <w:vMerge w:val="continue"/>
          </w:tcPr>
          <w:p>
            <w:pPr>
              <w:pStyle w:val="9"/>
              <w:spacing w:line="600" w:lineRule="exact"/>
              <w:rPr>
                <w:rFonts w:cs="Courier New"/>
                <w:kern w:val="2"/>
                <w:sz w:val="21"/>
              </w:rPr>
            </w:pPr>
          </w:p>
        </w:tc>
        <w:tc>
          <w:tcPr>
            <w:tcW w:w="2520" w:type="dxa"/>
          </w:tcPr>
          <w:p>
            <w:pPr>
              <w:pStyle w:val="9"/>
              <w:spacing w:line="600" w:lineRule="exact"/>
              <w:rPr>
                <w:rFonts w:hAnsi="宋体" w:cs="Courier New"/>
                <w:kern w:val="2"/>
                <w:sz w:val="21"/>
              </w:rPr>
            </w:pPr>
            <w:r>
              <w:rPr>
                <w:rFonts w:hAnsi="宋体" w:cs="Courier New"/>
                <w:kern w:val="2"/>
                <w:sz w:val="21"/>
              </w:rPr>
              <w:t>…</w:t>
            </w:r>
          </w:p>
        </w:tc>
        <w:tc>
          <w:tcPr>
            <w:tcW w:w="2292" w:type="dxa"/>
          </w:tcPr>
          <w:p>
            <w:pPr>
              <w:pStyle w:val="9"/>
              <w:spacing w:line="600" w:lineRule="exact"/>
              <w:rPr>
                <w:rFonts w:hAnsi="宋体" w:cs="Courier New"/>
                <w:kern w:val="2"/>
                <w:sz w:val="21"/>
              </w:rPr>
            </w:pPr>
            <w:r>
              <w:rPr>
                <w:rFonts w:hAnsi="宋体" w:cs="Courier New"/>
                <w:kern w:val="2"/>
                <w:sz w:val="21"/>
              </w:rPr>
              <w:t>…</w:t>
            </w:r>
          </w:p>
        </w:tc>
        <w:tc>
          <w:tcPr>
            <w:tcW w:w="2168" w:type="dxa"/>
          </w:tcPr>
          <w:p>
            <w:pPr>
              <w:pStyle w:val="9"/>
              <w:spacing w:line="600" w:lineRule="exact"/>
              <w:rPr>
                <w:rFonts w:hAnsi="宋体" w:cs="Courier New"/>
                <w:kern w:val="2"/>
                <w:sz w:val="21"/>
              </w:rPr>
            </w:pPr>
            <w:r>
              <w:rPr>
                <w:rFonts w:hAnsi="宋体" w:cs="Courier New"/>
                <w:kern w:val="2"/>
                <w:sz w:val="21"/>
              </w:rPr>
              <w:t>…</w:t>
            </w:r>
          </w:p>
        </w:tc>
      </w:tr>
    </w:tbl>
    <w:p>
      <w:pPr>
        <w:pStyle w:val="9"/>
        <w:spacing w:line="300" w:lineRule="auto"/>
        <w:rPr>
          <w:rFonts w:hAnsi="宋体"/>
        </w:rPr>
      </w:pPr>
      <w:r>
        <w:rPr>
          <w:rFonts w:hint="eastAsia"/>
        </w:rPr>
        <w:t>注：</w:t>
      </w:r>
      <w:r>
        <w:rPr>
          <w:rFonts w:hint="eastAsia" w:hAnsi="宋体"/>
        </w:rPr>
        <w:t>由供应商根据《</w:t>
      </w:r>
      <w:r>
        <w:rPr>
          <w:rFonts w:hint="eastAsia"/>
        </w:rPr>
        <w:t>采购需求</w:t>
      </w:r>
      <w:r>
        <w:rPr>
          <w:rFonts w:hint="eastAsia" w:hAnsi="宋体"/>
        </w:rPr>
        <w:t>》逐条填写并响应。</w:t>
      </w:r>
    </w:p>
    <w:p>
      <w:pPr>
        <w:pStyle w:val="9"/>
        <w:spacing w:line="300" w:lineRule="auto"/>
        <w:rPr>
          <w:rFonts w:hAnsi="宋体"/>
          <w:sz w:val="21"/>
        </w:rPr>
      </w:pPr>
    </w:p>
    <w:p>
      <w:pPr>
        <w:pStyle w:val="9"/>
        <w:spacing w:line="360" w:lineRule="auto"/>
        <w:ind w:firstLine="3885" w:firstLineChars="1850"/>
        <w:rPr>
          <w:rFonts w:hAnsi="宋体"/>
          <w:sz w:val="21"/>
          <w:u w:val="single"/>
        </w:rPr>
      </w:pPr>
      <w:r>
        <w:rPr>
          <w:rFonts w:hint="eastAsia" w:hAnsi="宋体"/>
          <w:sz w:val="21"/>
        </w:rPr>
        <w:t>法定代表人或被授权人（签字）:</w:t>
      </w:r>
    </w:p>
    <w:p>
      <w:pPr>
        <w:pStyle w:val="9"/>
        <w:spacing w:line="360" w:lineRule="auto"/>
        <w:ind w:firstLine="4830" w:firstLineChars="2300"/>
        <w:rPr>
          <w:rFonts w:hAnsi="宋体"/>
          <w:sz w:val="21"/>
          <w:u w:val="single"/>
        </w:rPr>
      </w:pPr>
      <w:r>
        <w:rPr>
          <w:rFonts w:hint="eastAsia" w:hAnsi="宋体"/>
          <w:sz w:val="21"/>
        </w:rPr>
        <w:t>供应商名称（签公章）：</w:t>
      </w:r>
    </w:p>
    <w:p>
      <w:pPr>
        <w:adjustRightInd w:val="0"/>
        <w:snapToGrid w:val="0"/>
        <w:spacing w:line="360" w:lineRule="auto"/>
        <w:ind w:right="120"/>
        <w:jc w:val="right"/>
        <w:rPr>
          <w:rFonts w:ascii="宋体" w:hAnsi="宋体"/>
          <w:szCs w:val="21"/>
          <w:u w:val="single"/>
        </w:rPr>
      </w:pPr>
      <w:r>
        <w:rPr>
          <w:rFonts w:hint="eastAsia" w:ascii="宋体" w:hAnsi="宋体"/>
          <w:szCs w:val="21"/>
        </w:rPr>
        <w:t xml:space="preserve">  日期：年月日 </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b/>
          <w:szCs w:val="21"/>
        </w:rPr>
      </w:pPr>
      <w:r>
        <w:rPr>
          <w:rFonts w:ascii="宋体" w:hAnsi="宋体"/>
          <w:szCs w:val="21"/>
        </w:rPr>
        <w:br w:type="page"/>
      </w:r>
    </w:p>
    <w:p>
      <w:pPr>
        <w:pStyle w:val="9"/>
        <w:spacing w:line="500" w:lineRule="exact"/>
        <w:jc w:val="center"/>
        <w:rPr>
          <w:rFonts w:ascii="Times New Roman" w:hAnsi="Times New Roman"/>
          <w:b/>
          <w:bCs/>
          <w:sz w:val="30"/>
          <w:szCs w:val="30"/>
        </w:rPr>
      </w:pPr>
      <w:r>
        <w:rPr>
          <w:rFonts w:hint="eastAsia" w:ascii="Times New Roman" w:hAnsi="Times New Roman"/>
          <w:b/>
          <w:bCs/>
          <w:sz w:val="30"/>
          <w:szCs w:val="30"/>
        </w:rPr>
        <w:t>4.服务方案（格式）</w:t>
      </w:r>
    </w:p>
    <w:p>
      <w:pPr>
        <w:pStyle w:val="9"/>
        <w:spacing w:line="440" w:lineRule="exact"/>
        <w:ind w:firstLine="396" w:firstLineChars="198"/>
        <w:rPr>
          <w:rFonts w:hAnsi="宋体"/>
        </w:rPr>
      </w:pPr>
    </w:p>
    <w:p>
      <w:pPr>
        <w:pStyle w:val="9"/>
        <w:spacing w:line="440" w:lineRule="exact"/>
        <w:ind w:firstLine="396" w:firstLineChars="198"/>
        <w:rPr>
          <w:rFonts w:hAnsi="宋体"/>
        </w:rPr>
      </w:pPr>
      <w:r>
        <w:rPr>
          <w:rFonts w:hint="eastAsia" w:hAnsi="宋体"/>
        </w:rPr>
        <w:t>由供应商按本项目竞争性磋商文件第三章“项目需求”及评分办法中的评分点自行编制。</w:t>
      </w:r>
    </w:p>
    <w:p>
      <w:pPr>
        <w:pStyle w:val="9"/>
        <w:spacing w:line="440" w:lineRule="exact"/>
        <w:ind w:firstLine="398" w:firstLineChars="198"/>
        <w:rPr>
          <w:rFonts w:hAnsi="宋体"/>
          <w:b/>
          <w:bCs/>
        </w:rPr>
      </w:pPr>
    </w:p>
    <w:p>
      <w:pPr>
        <w:pStyle w:val="9"/>
        <w:spacing w:line="440" w:lineRule="exact"/>
        <w:ind w:firstLine="396" w:firstLineChars="198"/>
        <w:rPr>
          <w:rFonts w:hAnsi="宋体"/>
        </w:rPr>
      </w:pPr>
    </w:p>
    <w:p>
      <w:pPr>
        <w:pStyle w:val="9"/>
        <w:spacing w:line="440" w:lineRule="exact"/>
        <w:ind w:firstLine="396" w:firstLineChars="198"/>
        <w:rPr>
          <w:rFonts w:hAnsi="宋体"/>
        </w:rPr>
      </w:pPr>
    </w:p>
    <w:p>
      <w:pPr>
        <w:pStyle w:val="9"/>
        <w:spacing w:line="440" w:lineRule="exact"/>
        <w:ind w:firstLine="396" w:firstLineChars="198"/>
        <w:rPr>
          <w:rFonts w:hAnsi="宋体"/>
        </w:rPr>
      </w:pPr>
    </w:p>
    <w:p>
      <w:pPr>
        <w:pStyle w:val="9"/>
        <w:spacing w:line="440" w:lineRule="exact"/>
        <w:ind w:firstLine="396" w:firstLineChars="198"/>
        <w:rPr>
          <w:rFonts w:hAnsi="宋体"/>
        </w:rPr>
      </w:pPr>
    </w:p>
    <w:p>
      <w:pPr>
        <w:pStyle w:val="9"/>
        <w:spacing w:line="440" w:lineRule="exact"/>
        <w:ind w:firstLine="396" w:firstLineChars="198"/>
        <w:rPr>
          <w:rFonts w:hAnsi="宋体"/>
        </w:rPr>
      </w:pPr>
    </w:p>
    <w:p>
      <w:pPr>
        <w:pStyle w:val="9"/>
        <w:spacing w:line="440" w:lineRule="exact"/>
        <w:ind w:firstLine="400" w:firstLineChars="200"/>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line="600" w:lineRule="exact"/>
        <w:rPr>
          <w:rFonts w:ascii="Times New Roman" w:hAnsi="Times New Roman"/>
          <w:u w:val="single"/>
        </w:rPr>
      </w:pPr>
      <w:r>
        <w:rPr>
          <w:rFonts w:hint="eastAsia" w:ascii="Times New Roman" w:hAnsi="Times New Roman"/>
        </w:rPr>
        <w:t>供应商（盖单位公章）：</w:t>
      </w:r>
    </w:p>
    <w:p>
      <w:pPr>
        <w:pStyle w:val="9"/>
        <w:spacing w:line="600" w:lineRule="exact"/>
        <w:rPr>
          <w:rFonts w:ascii="Times New Roman" w:hAnsi="Times New Roman"/>
          <w:u w:val="single"/>
        </w:rPr>
      </w:pPr>
    </w:p>
    <w:p>
      <w:pPr>
        <w:spacing w:line="300" w:lineRule="auto"/>
        <w:rPr>
          <w:u w:val="single"/>
        </w:rPr>
      </w:pPr>
      <w:r>
        <w:rPr>
          <w:rFonts w:hint="eastAsia"/>
        </w:rPr>
        <w:t>法定代表人或其委托代理人（签字或盖章）：</w:t>
      </w:r>
    </w:p>
    <w:p>
      <w:pPr>
        <w:spacing w:line="300" w:lineRule="auto"/>
        <w:rPr>
          <w:rFonts w:ascii="宋体" w:hAnsi="宋体"/>
          <w:b/>
          <w:szCs w:val="21"/>
        </w:rPr>
      </w:pPr>
      <w:r>
        <w:br w:type="page"/>
      </w:r>
    </w:p>
    <w:p>
      <w:pPr>
        <w:pStyle w:val="9"/>
        <w:spacing w:line="440" w:lineRule="exact"/>
        <w:jc w:val="center"/>
        <w:rPr>
          <w:b/>
          <w:sz w:val="32"/>
          <w:szCs w:val="32"/>
        </w:rPr>
      </w:pPr>
      <w:r>
        <w:rPr>
          <w:rFonts w:hint="eastAsia" w:ascii="Times New Roman" w:hAnsi="Times New Roman"/>
          <w:b/>
          <w:bCs/>
          <w:sz w:val="30"/>
          <w:szCs w:val="30"/>
        </w:rPr>
        <w:t>5.有效的“营业执照”正本或副本复印件及供应商具备林业调查规划设计丙级以上（含丙级）资质复印件</w:t>
      </w:r>
      <w:r>
        <w:rPr>
          <w:rFonts w:hint="eastAsia"/>
          <w:b/>
          <w:sz w:val="32"/>
          <w:szCs w:val="32"/>
        </w:rPr>
        <w:t>；</w:t>
      </w:r>
    </w:p>
    <w:p>
      <w:pPr>
        <w:widowControl/>
        <w:jc w:val="left"/>
      </w:pPr>
    </w:p>
    <w:p>
      <w:pPr>
        <w:pStyle w:val="9"/>
        <w:spacing w:line="440" w:lineRule="exact"/>
        <w:rPr>
          <w:b/>
          <w:sz w:val="32"/>
          <w:szCs w:val="32"/>
        </w:rPr>
      </w:pPr>
    </w:p>
    <w:p>
      <w:pPr>
        <w:pStyle w:val="9"/>
        <w:spacing w:line="440" w:lineRule="exact"/>
        <w:rPr>
          <w:b/>
          <w:sz w:val="32"/>
          <w:szCs w:val="32"/>
        </w:rPr>
      </w:pPr>
    </w:p>
    <w:p>
      <w:pPr>
        <w:pStyle w:val="9"/>
        <w:spacing w:line="440" w:lineRule="exact"/>
        <w:rPr>
          <w:b/>
          <w:sz w:val="32"/>
          <w:szCs w:val="32"/>
        </w:rPr>
      </w:pPr>
    </w:p>
    <w:p>
      <w:pPr>
        <w:pStyle w:val="9"/>
        <w:spacing w:line="440" w:lineRule="exact"/>
        <w:rPr>
          <w:b/>
          <w:sz w:val="32"/>
          <w:szCs w:val="32"/>
        </w:rPr>
      </w:pPr>
    </w:p>
    <w:p>
      <w:pPr>
        <w:pStyle w:val="9"/>
        <w:spacing w:line="440" w:lineRule="exact"/>
        <w:jc w:val="center"/>
        <w:rPr>
          <w:b/>
          <w:sz w:val="32"/>
          <w:szCs w:val="32"/>
        </w:rPr>
      </w:pPr>
    </w:p>
    <w:p>
      <w:pPr>
        <w:pStyle w:val="9"/>
        <w:spacing w:line="440" w:lineRule="exact"/>
        <w:jc w:val="center"/>
        <w:rPr>
          <w:b/>
          <w:sz w:val="32"/>
          <w:szCs w:val="32"/>
        </w:rPr>
      </w:pPr>
      <w:r>
        <w:rPr>
          <w:rFonts w:hint="eastAsia"/>
          <w:b/>
          <w:sz w:val="32"/>
          <w:szCs w:val="32"/>
        </w:rPr>
        <w:t>6.法定代表人身份证明及法定代表人有效身份证正反面复印件；</w:t>
      </w:r>
    </w:p>
    <w:p>
      <w:pPr>
        <w:widowControl/>
        <w:jc w:val="left"/>
      </w:pPr>
    </w:p>
    <w:p>
      <w:pPr>
        <w:pStyle w:val="9"/>
        <w:spacing w:line="440" w:lineRule="exact"/>
        <w:jc w:val="center"/>
        <w:rPr>
          <w:b/>
        </w:rPr>
      </w:pPr>
      <w:r>
        <w:rPr>
          <w:rFonts w:hint="eastAsia"/>
          <w:b/>
          <w:sz w:val="32"/>
          <w:szCs w:val="32"/>
        </w:rPr>
        <w:t>法定代表人身份证明（格式）</w:t>
      </w:r>
    </w:p>
    <w:p>
      <w:pPr>
        <w:spacing w:line="500" w:lineRule="exact"/>
        <w:rPr>
          <w:rFonts w:ascii="宋体" w:hAnsi="宋体"/>
          <w:szCs w:val="21"/>
        </w:rPr>
      </w:pPr>
      <w:r>
        <w:rPr>
          <w:rFonts w:hint="eastAsia" w:ascii="宋体" w:hAnsi="宋体"/>
          <w:szCs w:val="21"/>
        </w:rPr>
        <w:t>供应商名称：</w:t>
      </w:r>
    </w:p>
    <w:p>
      <w:pPr>
        <w:spacing w:line="500" w:lineRule="exact"/>
        <w:rPr>
          <w:rFonts w:ascii="宋体" w:hAnsi="宋体"/>
          <w:szCs w:val="21"/>
        </w:rPr>
      </w:pPr>
      <w:r>
        <w:rPr>
          <w:rFonts w:hint="eastAsia" w:ascii="宋体" w:hAnsi="宋体"/>
          <w:szCs w:val="21"/>
        </w:rPr>
        <w:t>单位性质：</w:t>
      </w:r>
    </w:p>
    <w:p>
      <w:pPr>
        <w:spacing w:line="500" w:lineRule="exact"/>
        <w:rPr>
          <w:rFonts w:ascii="宋体" w:hAnsi="宋体"/>
          <w:szCs w:val="21"/>
        </w:rPr>
      </w:pPr>
      <w:r>
        <w:rPr>
          <w:rFonts w:hint="eastAsia" w:ascii="宋体" w:hAnsi="宋体"/>
          <w:szCs w:val="21"/>
        </w:rPr>
        <w:t>地    址：</w:t>
      </w:r>
    </w:p>
    <w:p>
      <w:pPr>
        <w:spacing w:line="500" w:lineRule="exact"/>
        <w:rPr>
          <w:rFonts w:ascii="宋体" w:hAnsi="宋体"/>
          <w:szCs w:val="21"/>
        </w:rPr>
      </w:pPr>
      <w:r>
        <w:rPr>
          <w:rFonts w:hint="eastAsia" w:ascii="宋体" w:hAnsi="宋体"/>
          <w:szCs w:val="21"/>
        </w:rPr>
        <w:t>成立时间：年月日</w:t>
      </w:r>
    </w:p>
    <w:p>
      <w:pPr>
        <w:spacing w:line="500" w:lineRule="exact"/>
        <w:rPr>
          <w:rFonts w:ascii="宋体" w:hAnsi="宋体"/>
          <w:szCs w:val="21"/>
        </w:rPr>
      </w:pPr>
      <w:r>
        <w:rPr>
          <w:rFonts w:hint="eastAsia" w:ascii="宋体" w:hAnsi="宋体"/>
          <w:szCs w:val="21"/>
        </w:rPr>
        <w:t>经营期限：</w:t>
      </w:r>
    </w:p>
    <w:p>
      <w:pPr>
        <w:spacing w:line="500" w:lineRule="exact"/>
        <w:rPr>
          <w:rFonts w:ascii="宋体" w:hAnsi="宋体"/>
          <w:szCs w:val="21"/>
        </w:rPr>
      </w:pPr>
      <w:r>
        <w:rPr>
          <w:rFonts w:hint="eastAsia" w:ascii="宋体" w:hAnsi="宋体"/>
          <w:szCs w:val="21"/>
        </w:rPr>
        <w:t>姓    名：性      别：</w:t>
      </w:r>
    </w:p>
    <w:p>
      <w:pPr>
        <w:spacing w:line="500" w:lineRule="exact"/>
        <w:rPr>
          <w:rFonts w:ascii="宋体" w:hAnsi="宋体"/>
          <w:szCs w:val="21"/>
          <w:u w:val="single"/>
        </w:rPr>
      </w:pPr>
      <w:r>
        <w:rPr>
          <w:rFonts w:hint="eastAsia" w:ascii="宋体" w:hAnsi="宋体"/>
          <w:szCs w:val="21"/>
        </w:rPr>
        <w:t>年    龄：职      务：</w:t>
      </w:r>
    </w:p>
    <w:p>
      <w:pPr>
        <w:spacing w:line="500" w:lineRule="exact"/>
        <w:rPr>
          <w:rFonts w:ascii="宋体" w:hAnsi="宋体"/>
          <w:szCs w:val="21"/>
        </w:rPr>
      </w:pPr>
      <w:r>
        <w:rPr>
          <w:rFonts w:hint="eastAsia" w:ascii="宋体" w:hAnsi="宋体"/>
          <w:szCs w:val="21"/>
        </w:rPr>
        <w:t>身份证</w:t>
      </w:r>
      <w:r>
        <w:rPr>
          <w:rFonts w:hint="eastAsia"/>
          <w:szCs w:val="21"/>
        </w:rPr>
        <w:t>号码：</w:t>
      </w:r>
    </w:p>
    <w:p>
      <w:pPr>
        <w:spacing w:line="500" w:lineRule="exact"/>
        <w:rPr>
          <w:rFonts w:ascii="宋体" w:hAnsi="宋体"/>
          <w:szCs w:val="21"/>
        </w:rPr>
      </w:pPr>
      <w:r>
        <w:rPr>
          <w:rFonts w:hint="eastAsia" w:ascii="宋体" w:hAnsi="宋体"/>
          <w:szCs w:val="21"/>
        </w:rPr>
        <w:t>系（供应商名称）的法定代表人。</w:t>
      </w:r>
    </w:p>
    <w:p>
      <w:pPr>
        <w:pStyle w:val="9"/>
        <w:spacing w:line="460" w:lineRule="exact"/>
        <w:ind w:firstLine="514" w:firstLineChars="257"/>
      </w:pPr>
      <w:r>
        <w:rPr>
          <w:rFonts w:hint="eastAsia" w:hAnsi="宋体"/>
        </w:rPr>
        <w:t>特此证明。</w:t>
      </w:r>
    </w:p>
    <w:p>
      <w:pPr>
        <w:widowControl/>
        <w:jc w:val="left"/>
      </w:pPr>
    </w:p>
    <w:p>
      <w:pPr>
        <w:spacing w:line="300" w:lineRule="auto"/>
      </w:pPr>
      <w:r>
        <w:rPr>
          <w:rFonts w:hint="eastAsia"/>
          <w:szCs w:val="21"/>
        </w:rPr>
        <w:t>附：法定代表人有效身份证正反面复印件。</w:t>
      </w:r>
    </w:p>
    <w:p>
      <w:pPr>
        <w:widowControl/>
        <w:jc w:val="left"/>
      </w:pPr>
    </w:p>
    <w:p>
      <w:pPr>
        <w:pStyle w:val="9"/>
        <w:wordWrap w:val="0"/>
        <w:spacing w:line="460" w:lineRule="exact"/>
        <w:ind w:firstLine="514" w:firstLineChars="257"/>
        <w:jc w:val="right"/>
      </w:pPr>
      <w:r>
        <w:rPr>
          <w:rFonts w:hint="eastAsia"/>
        </w:rPr>
        <w:t>供应商：（盖单位公章）</w:t>
      </w:r>
    </w:p>
    <w:p>
      <w:pPr>
        <w:pStyle w:val="9"/>
        <w:spacing w:line="460" w:lineRule="exact"/>
        <w:ind w:firstLine="514" w:firstLineChars="257"/>
      </w:pPr>
    </w:p>
    <w:p>
      <w:pPr>
        <w:pStyle w:val="9"/>
        <w:spacing w:line="460" w:lineRule="exact"/>
        <w:ind w:firstLine="500" w:firstLineChars="250"/>
        <w:jc w:val="right"/>
      </w:pPr>
      <w:r>
        <w:rPr>
          <w:rFonts w:hint="eastAsia"/>
        </w:rPr>
        <w:t>日期：   年    月    日</w:t>
      </w:r>
    </w:p>
    <w:p>
      <w:pPr>
        <w:widowControl/>
        <w:jc w:val="left"/>
      </w:pPr>
    </w:p>
    <w:p>
      <w:pPr>
        <w:widowControl/>
        <w:jc w:val="left"/>
      </w:pPr>
    </w:p>
    <w:p>
      <w:pPr>
        <w:pStyle w:val="6"/>
      </w:pPr>
    </w:p>
    <w:p>
      <w:pPr>
        <w:pStyle w:val="7"/>
      </w:pPr>
    </w:p>
    <w:p>
      <w:pPr>
        <w:pStyle w:val="9"/>
        <w:spacing w:line="440" w:lineRule="exact"/>
        <w:jc w:val="center"/>
        <w:rPr>
          <w:b/>
          <w:sz w:val="32"/>
          <w:szCs w:val="32"/>
        </w:rPr>
      </w:pPr>
      <w:r>
        <w:rPr>
          <w:rFonts w:hint="eastAsia"/>
          <w:b/>
          <w:sz w:val="32"/>
          <w:szCs w:val="32"/>
        </w:rPr>
        <w:t>7.法定代表人授权委托书及被授权人有效身份证正反面复印件；（委托代理时，必须提供）</w:t>
      </w:r>
    </w:p>
    <w:p>
      <w:pPr>
        <w:widowControl/>
        <w:jc w:val="left"/>
      </w:pPr>
    </w:p>
    <w:p>
      <w:pPr>
        <w:adjustRightInd w:val="0"/>
        <w:snapToGrid w:val="0"/>
        <w:spacing w:line="300" w:lineRule="auto"/>
        <w:jc w:val="center"/>
        <w:rPr>
          <w:rFonts w:ascii="宋体" w:hAnsi="宋体"/>
          <w:b/>
          <w:sz w:val="32"/>
          <w:szCs w:val="32"/>
        </w:rPr>
      </w:pPr>
      <w:r>
        <w:rPr>
          <w:rFonts w:hint="eastAsia" w:ascii="宋体" w:hAnsi="宋体"/>
          <w:b/>
          <w:sz w:val="32"/>
          <w:szCs w:val="32"/>
        </w:rPr>
        <w:t>法 定 代 表 人 授 权 书</w:t>
      </w:r>
    </w:p>
    <w:p>
      <w:pPr>
        <w:adjustRightInd w:val="0"/>
        <w:snapToGrid w:val="0"/>
        <w:spacing w:line="300" w:lineRule="auto"/>
        <w:rPr>
          <w:rFonts w:ascii="宋体" w:hAnsi="宋体"/>
          <w:szCs w:val="21"/>
        </w:rPr>
      </w:pPr>
    </w:p>
    <w:p>
      <w:pPr>
        <w:snapToGrid w:val="0"/>
        <w:spacing w:line="360" w:lineRule="auto"/>
        <w:rPr>
          <w:rFonts w:ascii="宋体" w:hAnsi="宋体"/>
          <w:b/>
          <w:bCs/>
          <w:sz w:val="24"/>
          <w:szCs w:val="20"/>
        </w:rPr>
      </w:pPr>
      <w:r>
        <w:rPr>
          <w:rFonts w:hint="eastAsia" w:ascii="宋体" w:hAnsi="宋体"/>
          <w:bCs/>
          <w:sz w:val="24"/>
        </w:rPr>
        <w:t>致：</w:t>
      </w:r>
      <w:r>
        <w:rPr>
          <w:rFonts w:hint="eastAsia" w:ascii="宋体" w:hAnsi="宋体"/>
          <w:sz w:val="24"/>
          <w:u w:val="single"/>
        </w:rPr>
        <w:t>广西科联招标中心有限公司</w:t>
      </w:r>
      <w:r>
        <w:rPr>
          <w:rFonts w:hint="eastAsia" w:ascii="宋体" w:hAnsi="宋体"/>
          <w:sz w:val="24"/>
        </w:rPr>
        <w:t>：</w:t>
      </w:r>
    </w:p>
    <w:p>
      <w:pPr>
        <w:snapToGrid w:val="0"/>
        <w:spacing w:line="360" w:lineRule="auto"/>
        <w:ind w:firstLine="566" w:firstLineChars="236"/>
        <w:rPr>
          <w:rFonts w:ascii="宋体" w:hAnsi="宋体"/>
          <w:sz w:val="24"/>
          <w:szCs w:val="20"/>
        </w:rPr>
      </w:pPr>
      <w:r>
        <w:rPr>
          <w:rFonts w:hint="eastAsia" w:ascii="宋体" w:hAnsi="宋体"/>
          <w:sz w:val="24"/>
        </w:rPr>
        <w:t>我______</w:t>
      </w:r>
      <w:r>
        <w:rPr>
          <w:rFonts w:hint="eastAsia" w:ascii="宋体" w:hAnsi="宋体"/>
          <w:sz w:val="24"/>
          <w:u w:val="single"/>
        </w:rPr>
        <w:t>_     _</w:t>
      </w:r>
      <w:r>
        <w:rPr>
          <w:rFonts w:hint="eastAsia" w:ascii="宋体" w:hAnsi="宋体"/>
          <w:sz w:val="24"/>
        </w:rPr>
        <w:t>_（姓名）系______</w:t>
      </w:r>
      <w:r>
        <w:rPr>
          <w:rFonts w:hint="eastAsia" w:ascii="宋体" w:hAnsi="宋体"/>
          <w:sz w:val="24"/>
          <w:u w:val="single"/>
        </w:rPr>
        <w:t>_     _</w:t>
      </w:r>
      <w:r>
        <w:rPr>
          <w:rFonts w:hint="eastAsia" w:ascii="宋体" w:hAnsi="宋体"/>
          <w:sz w:val="24"/>
        </w:rPr>
        <w:t>_（供应商名称）的法定代表人，现授权委托本单位在职职工 （姓名）以我方的名义参加项目的磋商活动，并代表我方全权办理针对上述项目的递交文件、磋商、澄清、签约等具体事务和签署相关文件。</w:t>
      </w:r>
    </w:p>
    <w:p>
      <w:pPr>
        <w:snapToGrid w:val="0"/>
        <w:spacing w:line="360" w:lineRule="auto"/>
        <w:rPr>
          <w:rFonts w:ascii="宋体" w:hAnsi="宋体"/>
          <w:sz w:val="24"/>
          <w:szCs w:val="20"/>
        </w:rPr>
      </w:pPr>
      <w:r>
        <w:rPr>
          <w:rFonts w:hint="eastAsia" w:ascii="宋体" w:hAnsi="宋体"/>
          <w:sz w:val="24"/>
        </w:rPr>
        <w:t xml:space="preserve">    我方对被授权人的签名事项负全部责任。</w:t>
      </w:r>
    </w:p>
    <w:p>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rPr>
      </w:pPr>
      <w:r>
        <w:rPr>
          <w:rFonts w:hint="eastAsia" w:ascii="宋体" w:hAnsi="宋体"/>
          <w:sz w:val="24"/>
        </w:rPr>
        <w:t>被授权人无转委托权，特此委托。</w:t>
      </w:r>
    </w:p>
    <w:p>
      <w:pPr>
        <w:snapToGrid w:val="0"/>
        <w:spacing w:line="360" w:lineRule="auto"/>
        <w:ind w:firstLine="480"/>
        <w:rPr>
          <w:rFonts w:ascii="宋体" w:hAnsi="宋体"/>
          <w:sz w:val="24"/>
          <w:szCs w:val="20"/>
        </w:rPr>
      </w:pPr>
      <w:r>
        <w:rPr>
          <w:rFonts w:hint="eastAsia" w:ascii="宋体" w:hAnsi="宋体"/>
          <w:sz w:val="24"/>
        </w:rPr>
        <w:t>附：被授权人有效身份证正反面复印件</w:t>
      </w:r>
    </w:p>
    <w:p>
      <w:pPr>
        <w:snapToGrid w:val="0"/>
        <w:spacing w:beforeLines="50" w:after="50"/>
        <w:rPr>
          <w:rFonts w:ascii="宋体" w:hAnsi="宋体"/>
          <w:sz w:val="24"/>
          <w:szCs w:val="20"/>
        </w:rPr>
      </w:pPr>
    </w:p>
    <w:p>
      <w:pPr>
        <w:snapToGrid w:val="0"/>
        <w:spacing w:beforeLines="50" w:after="50"/>
        <w:rPr>
          <w:rFonts w:ascii="宋体" w:hAnsi="宋体"/>
          <w:sz w:val="24"/>
          <w:u w:val="single"/>
        </w:rPr>
      </w:pPr>
      <w:r>
        <w:rPr>
          <w:rFonts w:hint="eastAsia" w:ascii="宋体" w:hAnsi="宋体"/>
          <w:sz w:val="24"/>
        </w:rPr>
        <w:t>被授权人签名：            法定代表人签名：</w:t>
      </w:r>
    </w:p>
    <w:p>
      <w:pPr>
        <w:snapToGrid w:val="0"/>
        <w:spacing w:beforeLines="50" w:after="50"/>
        <w:rPr>
          <w:rFonts w:ascii="宋体" w:hAnsi="宋体"/>
          <w:sz w:val="24"/>
          <w:szCs w:val="20"/>
        </w:rPr>
      </w:pPr>
      <w:r>
        <w:rPr>
          <w:rFonts w:hint="eastAsia" w:ascii="宋体" w:hAnsi="宋体"/>
          <w:sz w:val="24"/>
        </w:rPr>
        <w:t>所在部门职务：                      职务：</w:t>
      </w:r>
    </w:p>
    <w:p>
      <w:pPr>
        <w:snapToGrid w:val="0"/>
        <w:spacing w:beforeLines="50" w:after="50"/>
        <w:rPr>
          <w:rFonts w:ascii="宋体" w:hAnsi="宋体"/>
          <w:sz w:val="24"/>
          <w:szCs w:val="20"/>
        </w:rPr>
      </w:pPr>
      <w:r>
        <w:rPr>
          <w:rFonts w:hint="eastAsia" w:ascii="宋体" w:hAnsi="宋体"/>
          <w:sz w:val="24"/>
        </w:rPr>
        <w:t>被授权人身份证号码：</w:t>
      </w:r>
    </w:p>
    <w:p>
      <w:pPr>
        <w:snapToGrid w:val="0"/>
        <w:spacing w:beforeLines="50" w:after="50"/>
        <w:jc w:val="center"/>
        <w:rPr>
          <w:rFonts w:ascii="宋体" w:hAnsi="宋体"/>
          <w:sz w:val="24"/>
          <w:szCs w:val="20"/>
        </w:rPr>
      </w:pPr>
      <w:r>
        <w:rPr>
          <w:rFonts w:hint="eastAsia" w:ascii="宋体" w:hAnsi="宋体"/>
          <w:sz w:val="24"/>
        </w:rPr>
        <w:t xml:space="preserve">                                                供应商公章：</w:t>
      </w:r>
    </w:p>
    <w:p>
      <w:pPr>
        <w:autoSpaceDE w:val="0"/>
        <w:autoSpaceDN w:val="0"/>
        <w:spacing w:line="300" w:lineRule="auto"/>
        <w:ind w:left="480" w:hanging="480"/>
        <w:rPr>
          <w:rFonts w:ascii="宋体" w:hAnsi="宋体"/>
          <w:szCs w:val="21"/>
        </w:rPr>
      </w:pPr>
      <w:r>
        <w:rPr>
          <w:rFonts w:hint="eastAsia" w:ascii="宋体" w:hAnsi="宋体"/>
          <w:sz w:val="24"/>
        </w:rPr>
        <w:t xml:space="preserve">                                              年    月    日</w:t>
      </w:r>
    </w:p>
    <w:p>
      <w:pPr>
        <w:widowControl/>
        <w:jc w:val="left"/>
        <w:rPr>
          <w:rFonts w:ascii="宋体" w:hAnsi="宋体"/>
          <w:szCs w:val="21"/>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9"/>
        <w:spacing w:line="440" w:lineRule="exact"/>
        <w:jc w:val="center"/>
        <w:rPr>
          <w:b/>
          <w:sz w:val="32"/>
          <w:szCs w:val="32"/>
        </w:rPr>
      </w:pPr>
      <w:r>
        <w:rPr>
          <w:rFonts w:hint="eastAsia"/>
          <w:b/>
          <w:sz w:val="32"/>
          <w:szCs w:val="32"/>
        </w:rPr>
        <w:t>8.参加政府采购活动前3年内在经营活动中没有重大违法记录的书面声明；</w:t>
      </w:r>
    </w:p>
    <w:p>
      <w:pPr>
        <w:widowControl/>
        <w:jc w:val="left"/>
      </w:pPr>
    </w:p>
    <w:p>
      <w:pPr>
        <w:ind w:firstLine="360" w:firstLineChars="100"/>
        <w:jc w:val="center"/>
        <w:rPr>
          <w:rStyle w:val="39"/>
          <w:rFonts w:ascii="黑体" w:hAnsi="ˎ̥" w:eastAsia="黑体"/>
          <w:sz w:val="36"/>
          <w:szCs w:val="36"/>
        </w:rPr>
      </w:pPr>
      <w:r>
        <w:rPr>
          <w:rFonts w:hint="eastAsia" w:ascii="黑体" w:hAnsi="宋体" w:eastAsia="黑体"/>
          <w:sz w:val="36"/>
          <w:szCs w:val="36"/>
        </w:rPr>
        <w:t>无重大违法记录声明书</w:t>
      </w:r>
    </w:p>
    <w:p>
      <w:pPr>
        <w:ind w:firstLine="210" w:firstLineChars="100"/>
        <w:rPr>
          <w:rStyle w:val="39"/>
          <w:rFonts w:ascii="ˎ̥" w:hAnsi="ˎ̥"/>
          <w:szCs w:val="21"/>
        </w:rPr>
      </w:pPr>
    </w:p>
    <w:p>
      <w:pPr>
        <w:spacing w:line="640" w:lineRule="exact"/>
        <w:rPr>
          <w:rFonts w:ascii="新宋体" w:hAnsi="新宋体" w:eastAsia="新宋体"/>
          <w:sz w:val="28"/>
          <w:szCs w:val="28"/>
        </w:rPr>
      </w:pPr>
      <w:r>
        <w:rPr>
          <w:rStyle w:val="39"/>
          <w:rFonts w:hint="eastAsia" w:ascii="新宋体" w:hAnsi="新宋体" w:eastAsia="新宋体"/>
          <w:sz w:val="28"/>
          <w:szCs w:val="28"/>
        </w:rPr>
        <w:t>广西科联招标中心有限公司：</w:t>
      </w:r>
    </w:p>
    <w:p>
      <w:pPr>
        <w:spacing w:line="640" w:lineRule="exact"/>
        <w:ind w:firstLine="560" w:firstLineChars="200"/>
        <w:rPr>
          <w:rStyle w:val="39"/>
          <w:rFonts w:ascii="新宋体" w:hAnsi="新宋体" w:eastAsia="新宋体"/>
        </w:rPr>
      </w:pPr>
      <w:r>
        <w:rPr>
          <w:rStyle w:val="39"/>
          <w:rFonts w:hint="eastAsia" w:ascii="新宋体" w:hAnsi="新宋体" w:eastAsia="新宋体"/>
          <w:sz w:val="28"/>
          <w:szCs w:val="28"/>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560" w:firstLineChars="200"/>
        <w:rPr>
          <w:rStyle w:val="39"/>
          <w:rFonts w:ascii="新宋体" w:hAnsi="新宋体" w:eastAsia="新宋体"/>
        </w:rPr>
      </w:pPr>
      <w:r>
        <w:rPr>
          <w:rStyle w:val="39"/>
          <w:rFonts w:hint="eastAsia" w:ascii="新宋体" w:hAnsi="新宋体" w:eastAsia="新宋体"/>
          <w:sz w:val="28"/>
          <w:szCs w:val="28"/>
        </w:rPr>
        <w:t>特此承诺。</w:t>
      </w:r>
    </w:p>
    <w:p>
      <w:pPr>
        <w:spacing w:line="640" w:lineRule="exact"/>
        <w:rPr>
          <w:rFonts w:ascii="新宋体" w:hAnsi="新宋体" w:eastAsia="新宋体"/>
          <w:sz w:val="28"/>
          <w:szCs w:val="28"/>
        </w:rPr>
      </w:pPr>
    </w:p>
    <w:p>
      <w:pPr>
        <w:spacing w:line="640" w:lineRule="exact"/>
        <w:ind w:firstLine="560" w:firstLineChars="200"/>
        <w:rPr>
          <w:rStyle w:val="39"/>
          <w:rFonts w:ascii="新宋体" w:hAnsi="新宋体" w:eastAsia="新宋体"/>
          <w:sz w:val="28"/>
          <w:szCs w:val="28"/>
        </w:rPr>
      </w:pPr>
      <w:r>
        <w:rPr>
          <w:rStyle w:val="39"/>
          <w:rFonts w:hint="eastAsia" w:ascii="新宋体" w:hAnsi="新宋体" w:eastAsia="新宋体"/>
          <w:sz w:val="28"/>
          <w:szCs w:val="28"/>
        </w:rPr>
        <w:t xml:space="preserve">供应商公章：  </w:t>
      </w:r>
    </w:p>
    <w:p>
      <w:pPr>
        <w:spacing w:line="640" w:lineRule="exact"/>
        <w:ind w:firstLine="560" w:firstLineChars="200"/>
        <w:rPr>
          <w:rStyle w:val="39"/>
          <w:rFonts w:ascii="新宋体" w:hAnsi="新宋体" w:eastAsia="新宋体"/>
          <w:sz w:val="28"/>
          <w:szCs w:val="28"/>
        </w:rPr>
      </w:pPr>
      <w:r>
        <w:rPr>
          <w:rStyle w:val="39"/>
          <w:rFonts w:hint="eastAsia" w:ascii="新宋体" w:hAnsi="新宋体" w:eastAsia="新宋体"/>
          <w:sz w:val="28"/>
          <w:szCs w:val="28"/>
        </w:rPr>
        <w:t>法定代表人或委托代理人签字：   </w:t>
      </w:r>
    </w:p>
    <w:p>
      <w:pPr>
        <w:spacing w:line="640" w:lineRule="exact"/>
        <w:ind w:firstLine="560" w:firstLineChars="200"/>
        <w:rPr>
          <w:rFonts w:ascii="新宋体" w:hAnsi="新宋体" w:eastAsia="新宋体"/>
          <w:sz w:val="28"/>
          <w:szCs w:val="28"/>
        </w:rPr>
      </w:pPr>
      <w:r>
        <w:rPr>
          <w:rStyle w:val="39"/>
          <w:rFonts w:hint="eastAsia" w:ascii="新宋体" w:hAnsi="新宋体" w:eastAsia="新宋体"/>
          <w:sz w:val="28"/>
          <w:szCs w:val="28"/>
        </w:rPr>
        <w:t>日期：     年     月     日</w:t>
      </w: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
      </w:pPr>
    </w:p>
    <w:p>
      <w:pPr>
        <w:pStyle w:val="2"/>
      </w:pPr>
    </w:p>
    <w:p>
      <w:pPr>
        <w:widowControl/>
        <w:jc w:val="left"/>
      </w:pPr>
    </w:p>
    <w:p>
      <w:pPr>
        <w:widowControl/>
        <w:jc w:val="left"/>
      </w:pPr>
    </w:p>
    <w:p>
      <w:pPr>
        <w:widowControl/>
        <w:jc w:val="left"/>
      </w:pPr>
    </w:p>
    <w:p>
      <w:pPr>
        <w:rPr>
          <w:rFonts w:ascii="宋体" w:hAnsi="宋体"/>
          <w:b/>
          <w:sz w:val="24"/>
        </w:rPr>
      </w:pPr>
      <w:r>
        <w:rPr>
          <w:rFonts w:hint="eastAsia" w:ascii="宋体" w:hAnsi="宋体"/>
          <w:b/>
          <w:sz w:val="24"/>
        </w:rPr>
        <w:t>9.截标时间前半年内，连续三个月供应商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供应商所在地的税务部门出具的《依法纳税或依法免税证明》复印件。（新成立的公司以实际情况为准）；（必须提供）</w:t>
      </w:r>
    </w:p>
    <w:p>
      <w:pPr>
        <w:pStyle w:val="31"/>
        <w:rPr>
          <w:rFonts w:ascii="宋体" w:hAnsi="宋体"/>
          <w:b/>
        </w:rPr>
      </w:pPr>
    </w:p>
    <w:p>
      <w:pPr>
        <w:pStyle w:val="31"/>
        <w:rPr>
          <w:rFonts w:ascii="宋体" w:hAnsi="宋体"/>
          <w:b/>
        </w:rPr>
      </w:pPr>
    </w:p>
    <w:p>
      <w:pPr>
        <w:pStyle w:val="31"/>
        <w:rPr>
          <w:rFonts w:ascii="宋体" w:hAnsi="宋体"/>
          <w:b/>
        </w:rPr>
      </w:pPr>
    </w:p>
    <w:p>
      <w:pPr>
        <w:pStyle w:val="31"/>
        <w:rPr>
          <w:rFonts w:ascii="宋体" w:hAnsi="宋体"/>
          <w:b/>
        </w:rPr>
      </w:pPr>
    </w:p>
    <w:p>
      <w:pPr>
        <w:pStyle w:val="31"/>
        <w:rPr>
          <w:rFonts w:ascii="宋体" w:hAnsi="宋体"/>
          <w:b/>
        </w:rPr>
      </w:pPr>
    </w:p>
    <w:p>
      <w:pPr>
        <w:rPr>
          <w:rFonts w:ascii="宋体" w:hAnsi="宋体"/>
          <w:b/>
          <w:sz w:val="24"/>
        </w:rPr>
      </w:pPr>
      <w:r>
        <w:rPr>
          <w:rFonts w:hint="eastAsia" w:ascii="宋体" w:hAnsi="宋体"/>
          <w:b/>
          <w:sz w:val="24"/>
        </w:rPr>
        <w:t>10.截标时间前半年内，连续三个月供应商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新成立的公司以实际情况为准）；（必须提供）</w:t>
      </w:r>
    </w:p>
    <w:p>
      <w:pPr>
        <w:pStyle w:val="31"/>
        <w:rPr>
          <w:rFonts w:ascii="宋体" w:hAnsi="宋体"/>
          <w:b/>
        </w:rPr>
      </w:pPr>
    </w:p>
    <w:p>
      <w:pPr>
        <w:pStyle w:val="31"/>
        <w:rPr>
          <w:rFonts w:ascii="宋体" w:hAnsi="宋体"/>
          <w:b/>
        </w:rPr>
      </w:pPr>
    </w:p>
    <w:p>
      <w:pPr>
        <w:pStyle w:val="31"/>
        <w:rPr>
          <w:rFonts w:ascii="宋体" w:hAnsi="宋体"/>
          <w:b/>
        </w:rPr>
      </w:pPr>
    </w:p>
    <w:p>
      <w:pPr>
        <w:pStyle w:val="31"/>
        <w:rPr>
          <w:rFonts w:ascii="宋体" w:hAnsi="宋体"/>
          <w:b/>
        </w:rPr>
      </w:pPr>
    </w:p>
    <w:p>
      <w:pPr>
        <w:rPr>
          <w:rFonts w:ascii="宋体" w:hAnsi="宋体"/>
          <w:b/>
          <w:sz w:val="24"/>
        </w:rPr>
      </w:pPr>
      <w:r>
        <w:rPr>
          <w:rFonts w:hint="eastAsia" w:ascii="宋体" w:hAnsi="宋体"/>
          <w:b/>
          <w:sz w:val="24"/>
        </w:rPr>
        <w:t>11.供应商认为需要提供的有关资料。</w:t>
      </w:r>
    </w:p>
    <w:p>
      <w:pPr>
        <w:rPr>
          <w:rFonts w:ascii="宋体" w:hAnsi="宋体"/>
          <w:b/>
          <w:sz w:val="24"/>
        </w:rPr>
      </w:pPr>
    </w:p>
    <w:p>
      <w:pPr>
        <w:widowControl/>
        <w:jc w:val="left"/>
      </w:pPr>
    </w:p>
    <w:p>
      <w:pPr>
        <w:pStyle w:val="6"/>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中小企业声明函</w:t>
      </w:r>
    </w:p>
    <w:p>
      <w:pPr>
        <w:spacing w:line="588" w:lineRule="exact"/>
        <w:rPr>
          <w:rFonts w:ascii="仿宋_GB2312" w:eastAsia="仿宋_GB2312"/>
          <w:b/>
          <w:spacing w:val="6"/>
          <w:sz w:val="30"/>
          <w:szCs w:val="30"/>
        </w:rPr>
      </w:pP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本公司郑重声明，根据《政府采购促进中小企业发展暂行办法》（财库[2011]181号）的规定，本公司为</w:t>
      </w:r>
      <w:bookmarkStart w:id="73" w:name="OLE_LINK5"/>
      <w:bookmarkStart w:id="74" w:name="OLE_LINK2"/>
      <w:r>
        <w:rPr>
          <w:rFonts w:hint="eastAsia" w:ascii="仿宋_GB2312" w:eastAsia="仿宋_GB2312"/>
          <w:spacing w:val="6"/>
          <w:sz w:val="30"/>
          <w:szCs w:val="30"/>
        </w:rPr>
        <w:t>______（请填写：中型、小型、微型）企业</w:t>
      </w:r>
      <w:bookmarkEnd w:id="73"/>
      <w:bookmarkEnd w:id="74"/>
      <w:r>
        <w:rPr>
          <w:rFonts w:hint="eastAsia" w:ascii="仿宋_GB2312" w:eastAsia="仿宋_GB2312"/>
          <w:spacing w:val="6"/>
          <w:sz w:val="30"/>
          <w:szCs w:val="30"/>
        </w:rPr>
        <w:t>。即，本公司同时满足以下条件：</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本公司对上述声明的真实性负责。如有虚假，将依法承担相应责任。</w:t>
      </w:r>
    </w:p>
    <w:p>
      <w:pPr>
        <w:spacing w:line="588" w:lineRule="exact"/>
        <w:rPr>
          <w:rFonts w:ascii="仿宋_GB2312" w:eastAsia="仿宋_GB2312"/>
          <w:spacing w:val="6"/>
          <w:sz w:val="30"/>
          <w:szCs w:val="30"/>
        </w:rPr>
      </w:pP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企业名称（盖章）： </w:t>
      </w:r>
    </w:p>
    <w:p>
      <w:r>
        <w:rPr>
          <w:rFonts w:hint="eastAsia" w:ascii="仿宋_GB2312" w:eastAsia="仿宋_GB2312"/>
          <w:spacing w:val="6"/>
          <w:sz w:val="30"/>
          <w:szCs w:val="30"/>
        </w:rPr>
        <w:t xml:space="preserve">                               日  期：         </w:t>
      </w:r>
      <w:bookmarkStart w:id="75" w:name="OLE_LINK14"/>
      <w:bookmarkStart w:id="76" w:name="OLE_LINK13"/>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bookmarkEnd w:id="75"/>
    <w:bookmarkEnd w:id="76"/>
    <w:p>
      <w:pPr>
        <w:spacing w:line="588" w:lineRule="exact"/>
        <w:rPr>
          <w:rFonts w:ascii="仿宋_GB2312" w:eastAsia="仿宋_GB2312"/>
          <w:b/>
          <w:spacing w:val="6"/>
          <w:sz w:val="30"/>
          <w:szCs w:val="30"/>
        </w:rPr>
      </w:pP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本单位郑重声明，根据《财政部 民政部 中国残疾人联合会关于促进残疾人就业政府采购政策的通知》（财库</w:t>
      </w:r>
      <w:r>
        <w:rPr>
          <w:rFonts w:hint="eastAsia" w:ascii="仿宋_GB2312" w:eastAsia="仿宋_GB2312"/>
          <w:sz w:val="32"/>
          <w:szCs w:val="32"/>
        </w:rPr>
        <w:t>〔2017〕 141</w:t>
      </w:r>
      <w:r>
        <w:rPr>
          <w:rFonts w:hint="eastAsia" w:ascii="仿宋_GB2312"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单位名称（盖章）：</w:t>
      </w: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日  期：</w:t>
      </w:r>
    </w:p>
    <w:p>
      <w:pPr>
        <w:widowControl/>
        <w:jc w:val="left"/>
      </w:pPr>
    </w:p>
    <w:p>
      <w:pPr>
        <w:pStyle w:val="6"/>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3"/>
        <w:jc w:val="center"/>
        <w:rPr>
          <w:bCs/>
          <w:szCs w:val="44"/>
        </w:rPr>
      </w:pPr>
      <w:bookmarkStart w:id="77" w:name="_Toc7937"/>
      <w:bookmarkStart w:id="78" w:name="_Toc514340100"/>
      <w:r>
        <w:rPr>
          <w:rFonts w:hint="eastAsia"/>
          <w:sz w:val="36"/>
          <w:szCs w:val="36"/>
        </w:rPr>
        <w:t>第六章 合  同</w:t>
      </w:r>
      <w:bookmarkEnd w:id="77"/>
      <w:bookmarkEnd w:id="78"/>
    </w:p>
    <w:p>
      <w:pPr>
        <w:pStyle w:val="4"/>
        <w:ind w:firstLine="341"/>
        <w:jc w:val="left"/>
        <w:rPr>
          <w:rFonts w:ascii="宋体" w:hAnsi="宋体"/>
          <w:sz w:val="21"/>
          <w:szCs w:val="21"/>
        </w:rPr>
      </w:pPr>
      <w:r>
        <w:rPr>
          <w:rFonts w:hint="eastAsia" w:ascii="宋体" w:hAnsi="宋体"/>
          <w:sz w:val="21"/>
          <w:szCs w:val="21"/>
        </w:rPr>
        <w:t>说明：</w:t>
      </w:r>
    </w:p>
    <w:p>
      <w:pPr>
        <w:numPr>
          <w:ilvl w:val="0"/>
          <w:numId w:val="2"/>
        </w:numPr>
        <w:spacing w:line="360" w:lineRule="exact"/>
        <w:jc w:val="left"/>
        <w:rPr>
          <w:rFonts w:ascii="宋体" w:hAnsi="宋体"/>
          <w:b/>
          <w:szCs w:val="21"/>
        </w:rPr>
      </w:pPr>
      <w:r>
        <w:rPr>
          <w:rFonts w:hint="eastAsia" w:ascii="宋体" w:hAnsi="宋体"/>
          <w:b/>
          <w:szCs w:val="21"/>
        </w:rPr>
        <w:t>正式合同书应包括此参考格式的内容。</w:t>
      </w:r>
    </w:p>
    <w:p>
      <w:pPr>
        <w:numPr>
          <w:ilvl w:val="0"/>
          <w:numId w:val="2"/>
        </w:numPr>
        <w:spacing w:line="360" w:lineRule="exact"/>
        <w:jc w:val="left"/>
        <w:rPr>
          <w:rFonts w:ascii="宋体" w:hAnsi="宋体"/>
          <w:b/>
          <w:szCs w:val="21"/>
        </w:rPr>
      </w:pPr>
      <w:r>
        <w:rPr>
          <w:rFonts w:hint="eastAsia" w:ascii="宋体" w:hAnsi="宋体"/>
          <w:b/>
          <w:szCs w:val="21"/>
        </w:rPr>
        <w:t>合同签订双方可根据项目的具体要求进行修订，但合同条款不得与采购文件和成交供应商响应文件有实质性偏离。</w:t>
      </w:r>
    </w:p>
    <w:p>
      <w:pPr>
        <w:spacing w:line="360" w:lineRule="exact"/>
        <w:jc w:val="center"/>
        <w:rPr>
          <w:rFonts w:ascii="宋体" w:hAnsi="Courier New" w:cs="Courier New"/>
          <w:b/>
          <w:sz w:val="32"/>
          <w:szCs w:val="21"/>
        </w:rPr>
      </w:pPr>
    </w:p>
    <w:p>
      <w:pPr>
        <w:spacing w:line="360" w:lineRule="exact"/>
        <w:jc w:val="center"/>
        <w:rPr>
          <w:rFonts w:ascii="宋体" w:hAnsi="Courier New" w:cs="Courier New"/>
          <w:b/>
          <w:sz w:val="32"/>
          <w:szCs w:val="21"/>
        </w:rPr>
      </w:pPr>
      <w:r>
        <w:rPr>
          <w:rFonts w:hint="eastAsia" w:ascii="宋体" w:hAnsi="Courier New" w:cs="Courier New"/>
          <w:b/>
          <w:sz w:val="32"/>
          <w:szCs w:val="21"/>
        </w:rPr>
        <w:t>服务合同（格式）</w:t>
      </w:r>
    </w:p>
    <w:p>
      <w:pPr>
        <w:spacing w:line="360" w:lineRule="auto"/>
        <w:ind w:firstLine="420"/>
        <w:rPr>
          <w:rFonts w:ascii="宋体" w:hAnsi="宋体" w:cs="Courier New"/>
          <w:szCs w:val="21"/>
        </w:rPr>
      </w:pPr>
      <w:r>
        <w:rPr>
          <w:rFonts w:hint="eastAsia" w:ascii="宋体" w:hAnsi="宋体" w:cs="Courier New"/>
          <w:szCs w:val="21"/>
        </w:rPr>
        <w:t>合同名称：</w:t>
      </w:r>
    </w:p>
    <w:p>
      <w:pPr>
        <w:spacing w:line="360" w:lineRule="auto"/>
        <w:ind w:firstLine="420"/>
        <w:rPr>
          <w:rFonts w:ascii="宋体" w:hAnsi="宋体" w:cs="Courier New"/>
          <w:szCs w:val="21"/>
        </w:rPr>
      </w:pPr>
      <w:r>
        <w:rPr>
          <w:rFonts w:hint="eastAsia" w:ascii="宋体" w:hAnsi="宋体" w:cs="Courier New"/>
          <w:szCs w:val="21"/>
        </w:rPr>
        <w:t>合同编号：</w:t>
      </w:r>
    </w:p>
    <w:p>
      <w:pPr>
        <w:spacing w:line="360" w:lineRule="auto"/>
        <w:ind w:firstLine="420"/>
        <w:rPr>
          <w:rFonts w:ascii="宋体" w:hAnsi="宋体" w:cs="Courier New"/>
          <w:szCs w:val="21"/>
        </w:rPr>
      </w:pPr>
      <w:r>
        <w:rPr>
          <w:rFonts w:hint="eastAsia" w:ascii="宋体" w:hAnsi="宋体" w:cs="Courier New"/>
          <w:szCs w:val="21"/>
        </w:rPr>
        <w:t>甲方：（采购人）</w:t>
      </w:r>
    </w:p>
    <w:p>
      <w:pPr>
        <w:spacing w:line="360" w:lineRule="auto"/>
        <w:ind w:firstLine="420"/>
        <w:rPr>
          <w:rFonts w:ascii="宋体" w:hAnsi="宋体" w:cs="Courier New"/>
          <w:szCs w:val="21"/>
        </w:rPr>
      </w:pPr>
      <w:r>
        <w:rPr>
          <w:rFonts w:hint="eastAsia" w:ascii="宋体" w:hAnsi="宋体" w:cs="Courier New"/>
          <w:szCs w:val="21"/>
        </w:rPr>
        <w:t>乙方：（中标人）</w:t>
      </w:r>
    </w:p>
    <w:p>
      <w:pPr>
        <w:spacing w:line="360" w:lineRule="auto"/>
        <w:ind w:firstLine="420"/>
        <w:rPr>
          <w:rFonts w:ascii="宋体" w:hAnsi="宋体" w:cs="Courier New"/>
          <w:szCs w:val="21"/>
        </w:rPr>
      </w:pPr>
      <w:r>
        <w:rPr>
          <w:rFonts w:hint="eastAsia" w:ascii="宋体" w:hAnsi="宋体" w:cs="Courier New"/>
          <w:szCs w:val="21"/>
        </w:rPr>
        <w:t>甲、乙双方同意按下述条款和条件签署本合同书（以下简称合同）：</w:t>
      </w:r>
    </w:p>
    <w:p>
      <w:pPr>
        <w:spacing w:line="360" w:lineRule="auto"/>
        <w:ind w:firstLine="420"/>
        <w:rPr>
          <w:rFonts w:ascii="宋体" w:hAnsi="宋体" w:cs="Courier New"/>
          <w:szCs w:val="21"/>
        </w:rPr>
      </w:pPr>
      <w:r>
        <w:rPr>
          <w:rFonts w:hint="eastAsia" w:ascii="宋体" w:hAnsi="宋体" w:cs="Courier New"/>
          <w:szCs w:val="21"/>
        </w:rPr>
        <w:t>1、合同文件</w:t>
      </w:r>
    </w:p>
    <w:p>
      <w:pPr>
        <w:spacing w:line="360" w:lineRule="auto"/>
        <w:ind w:firstLine="420"/>
        <w:rPr>
          <w:rFonts w:ascii="宋体" w:hAnsi="宋体" w:cs="Courier New"/>
          <w:szCs w:val="21"/>
        </w:rPr>
      </w:pPr>
      <w:r>
        <w:rPr>
          <w:rFonts w:hint="eastAsia" w:ascii="宋体" w:hAnsi="宋体" w:cs="Courier New"/>
          <w:szCs w:val="21"/>
        </w:rPr>
        <w:t>本合同所附下列文件是构成本合同不可分割的部分：</w:t>
      </w:r>
    </w:p>
    <w:p>
      <w:pPr>
        <w:spacing w:line="360" w:lineRule="auto"/>
        <w:ind w:firstLine="420"/>
        <w:rPr>
          <w:rFonts w:ascii="宋体" w:hAnsi="宋体" w:cs="Courier New"/>
          <w:szCs w:val="21"/>
        </w:rPr>
      </w:pPr>
      <w:r>
        <w:rPr>
          <w:rFonts w:hint="eastAsia" w:ascii="宋体" w:hAnsi="宋体" w:cs="Courier New"/>
          <w:szCs w:val="21"/>
        </w:rPr>
        <w:t>1.1 合同基本条款</w:t>
      </w:r>
    </w:p>
    <w:p>
      <w:pPr>
        <w:spacing w:line="360" w:lineRule="auto"/>
        <w:ind w:firstLine="420"/>
        <w:rPr>
          <w:rFonts w:ascii="宋体" w:hAnsi="宋体" w:cs="Courier New"/>
          <w:szCs w:val="21"/>
        </w:rPr>
      </w:pPr>
      <w:r>
        <w:rPr>
          <w:rFonts w:hint="eastAsia" w:ascii="宋体" w:hAnsi="宋体" w:cs="Courier New"/>
          <w:szCs w:val="21"/>
        </w:rPr>
        <w:t>1.2采购需求</w:t>
      </w:r>
    </w:p>
    <w:p>
      <w:pPr>
        <w:spacing w:line="360" w:lineRule="auto"/>
        <w:ind w:firstLine="420"/>
        <w:rPr>
          <w:rFonts w:ascii="宋体" w:hAnsi="宋体" w:cs="Courier New"/>
          <w:szCs w:val="21"/>
        </w:rPr>
      </w:pPr>
      <w:r>
        <w:rPr>
          <w:rFonts w:hint="eastAsia" w:ascii="宋体" w:hAnsi="宋体" w:cs="Courier New"/>
          <w:szCs w:val="21"/>
        </w:rPr>
        <w:t>1.3 乙方提交的</w:t>
      </w:r>
      <w:r>
        <w:rPr>
          <w:rFonts w:hint="eastAsia" w:ascii="宋体" w:hAnsi="宋体"/>
          <w:szCs w:val="21"/>
        </w:rPr>
        <w:t>响应文件</w:t>
      </w:r>
    </w:p>
    <w:p>
      <w:pPr>
        <w:spacing w:line="360" w:lineRule="auto"/>
        <w:ind w:firstLine="420"/>
        <w:rPr>
          <w:rFonts w:ascii="宋体" w:hAnsi="宋体" w:cs="Courier New"/>
          <w:szCs w:val="21"/>
        </w:rPr>
      </w:pPr>
      <w:r>
        <w:rPr>
          <w:rFonts w:hint="eastAsia" w:ascii="宋体" w:hAnsi="宋体" w:cs="Courier New"/>
          <w:szCs w:val="21"/>
        </w:rPr>
        <w:t>1.4成交通知书</w:t>
      </w:r>
    </w:p>
    <w:p>
      <w:pPr>
        <w:spacing w:line="360" w:lineRule="auto"/>
        <w:ind w:firstLine="420"/>
        <w:rPr>
          <w:rFonts w:ascii="宋体" w:hAnsi="宋体" w:cs="Courier New"/>
          <w:szCs w:val="21"/>
        </w:rPr>
      </w:pPr>
      <w:r>
        <w:rPr>
          <w:rFonts w:hint="eastAsia" w:ascii="宋体" w:hAnsi="宋体" w:cs="Courier New"/>
          <w:szCs w:val="21"/>
        </w:rPr>
        <w:t>1.5 甲、乙双方商定后的补充协议</w:t>
      </w:r>
    </w:p>
    <w:p>
      <w:pPr>
        <w:spacing w:line="360" w:lineRule="auto"/>
        <w:ind w:firstLine="420"/>
        <w:rPr>
          <w:rFonts w:ascii="宋体" w:hAnsi="宋体" w:cs="Courier New"/>
          <w:szCs w:val="21"/>
        </w:rPr>
      </w:pPr>
      <w:r>
        <w:rPr>
          <w:rFonts w:hint="eastAsia" w:ascii="宋体" w:hAnsi="宋体" w:cs="Courier New"/>
          <w:szCs w:val="21"/>
        </w:rPr>
        <w:t>2、合同范围和条件</w:t>
      </w:r>
    </w:p>
    <w:p>
      <w:pPr>
        <w:spacing w:line="360" w:lineRule="auto"/>
        <w:ind w:firstLine="420"/>
        <w:rPr>
          <w:rFonts w:ascii="宋体" w:hAnsi="宋体" w:cs="Courier New"/>
          <w:szCs w:val="21"/>
        </w:rPr>
      </w:pPr>
      <w:r>
        <w:rPr>
          <w:rFonts w:hint="eastAsia" w:ascii="宋体" w:hAnsi="宋体" w:cs="Courier New"/>
          <w:szCs w:val="21"/>
        </w:rPr>
        <w:t>本合同的范围和条件应与上述合同文件的规定相一致。</w:t>
      </w:r>
    </w:p>
    <w:p>
      <w:pPr>
        <w:spacing w:line="360" w:lineRule="auto"/>
        <w:ind w:firstLine="420"/>
        <w:rPr>
          <w:rFonts w:ascii="宋体" w:hAnsi="宋体" w:cs="Courier New"/>
          <w:szCs w:val="21"/>
        </w:rPr>
      </w:pPr>
      <w:r>
        <w:rPr>
          <w:rFonts w:hint="eastAsia" w:ascii="宋体" w:hAnsi="宋体" w:cs="Courier New"/>
          <w:szCs w:val="21"/>
        </w:rPr>
        <w:t>3、服务内容</w:t>
      </w:r>
    </w:p>
    <w:p>
      <w:pPr>
        <w:spacing w:line="360" w:lineRule="auto"/>
        <w:ind w:firstLine="420"/>
        <w:rPr>
          <w:rFonts w:ascii="宋体" w:hAnsi="宋体" w:cs="Courier New"/>
          <w:szCs w:val="21"/>
        </w:rPr>
      </w:pPr>
      <w:r>
        <w:rPr>
          <w:rFonts w:hint="eastAsia" w:ascii="宋体" w:hAnsi="宋体" w:cs="Courier New"/>
          <w:szCs w:val="21"/>
        </w:rPr>
        <w:t>本合同所涉及的乙方应提供的服务内容详见《采购需求》及《合同基本条款》。</w:t>
      </w:r>
    </w:p>
    <w:p>
      <w:pPr>
        <w:spacing w:line="360" w:lineRule="auto"/>
        <w:ind w:firstLine="420"/>
        <w:rPr>
          <w:rFonts w:ascii="宋体" w:hAnsi="宋体" w:cs="Courier New"/>
          <w:szCs w:val="21"/>
        </w:rPr>
      </w:pPr>
      <w:r>
        <w:rPr>
          <w:rFonts w:hint="eastAsia" w:ascii="宋体" w:hAnsi="宋体" w:cs="Courier New"/>
          <w:szCs w:val="21"/>
        </w:rPr>
        <w:t>4、合同金额</w:t>
      </w:r>
    </w:p>
    <w:p>
      <w:pPr>
        <w:spacing w:line="360" w:lineRule="auto"/>
        <w:ind w:firstLine="420"/>
        <w:jc w:val="left"/>
        <w:rPr>
          <w:rFonts w:ascii="宋体" w:hAnsi="宋体" w:cs="Courier New"/>
          <w:szCs w:val="21"/>
        </w:rPr>
      </w:pPr>
      <w:r>
        <w:rPr>
          <w:rFonts w:hint="eastAsia" w:ascii="宋体" w:hAnsi="宋体" w:cs="Courier New"/>
          <w:szCs w:val="21"/>
        </w:rPr>
        <w:t>4.1根据成交通知书的成交内容，服务总金额为：人民币</w:t>
      </w:r>
      <w:r>
        <w:rPr>
          <w:rFonts w:hint="eastAsia" w:ascii="宋体" w:hAnsi="宋体" w:cs="Courier New"/>
          <w:szCs w:val="21"/>
          <w:u w:val="single"/>
        </w:rPr>
        <w:t xml:space="preserve">            （￥        元）</w:t>
      </w:r>
      <w:r>
        <w:rPr>
          <w:rFonts w:hint="eastAsia" w:ascii="宋体" w:hAnsi="宋体" w:cs="Courier New"/>
          <w:szCs w:val="21"/>
        </w:rPr>
        <w:t>。</w:t>
      </w:r>
    </w:p>
    <w:p>
      <w:pPr>
        <w:spacing w:line="360" w:lineRule="auto"/>
        <w:ind w:firstLine="420"/>
        <w:rPr>
          <w:rFonts w:ascii="宋体" w:hAnsi="宋体" w:cs="Courier New"/>
          <w:szCs w:val="21"/>
        </w:rPr>
      </w:pPr>
      <w:r>
        <w:rPr>
          <w:rFonts w:hint="eastAsia" w:ascii="宋体" w:hAnsi="宋体" w:cs="Courier New"/>
          <w:szCs w:val="21"/>
        </w:rPr>
        <w:t>4.2合同总金额指项目实施过程中使用的各种费用、验收检测、售后服务、税金及其它所有费用的总和。</w:t>
      </w:r>
    </w:p>
    <w:p>
      <w:pPr>
        <w:spacing w:line="360" w:lineRule="auto"/>
        <w:ind w:firstLine="420"/>
        <w:jc w:val="left"/>
        <w:rPr>
          <w:rFonts w:ascii="宋体" w:hAnsi="宋体" w:cs="Courier New"/>
          <w:szCs w:val="21"/>
        </w:rPr>
      </w:pPr>
      <w:r>
        <w:rPr>
          <w:rFonts w:hint="eastAsia" w:ascii="宋体" w:hAnsi="宋体" w:cs="Courier New"/>
          <w:b/>
          <w:szCs w:val="21"/>
        </w:rPr>
        <w:t>5</w:t>
      </w:r>
      <w:r>
        <w:rPr>
          <w:rFonts w:hint="eastAsia" w:ascii="宋体" w:hAnsi="宋体" w:cs="Courier New"/>
          <w:szCs w:val="21"/>
        </w:rPr>
        <w:t>、合同生效及其它</w:t>
      </w:r>
    </w:p>
    <w:p>
      <w:pPr>
        <w:spacing w:line="360" w:lineRule="auto"/>
        <w:ind w:firstLine="420"/>
        <w:rPr>
          <w:rFonts w:ascii="宋体" w:hAnsi="宋体" w:cs="Courier New"/>
          <w:szCs w:val="21"/>
        </w:rPr>
      </w:pPr>
      <w:r>
        <w:rPr>
          <w:rFonts w:hint="eastAsia" w:ascii="宋体" w:hAnsi="宋体" w:cs="Courier New"/>
          <w:szCs w:val="21"/>
        </w:rPr>
        <w:t>本合同一式四份，经甲、乙双方法定代表人或委托代理人签名并加盖公章后生效。甲方执一份，乙方执一份，政府采购监督管理部门执一份，广西科联招标中心有限公司执一份。</w:t>
      </w:r>
    </w:p>
    <w:p>
      <w:pPr>
        <w:spacing w:line="360" w:lineRule="auto"/>
        <w:rPr>
          <w:rFonts w:ascii="宋体" w:hAnsi="宋体" w:cs="Courier New"/>
          <w:szCs w:val="21"/>
        </w:rPr>
      </w:pPr>
      <w:r>
        <w:rPr>
          <w:rFonts w:hint="eastAsia" w:ascii="宋体" w:hAnsi="宋体" w:cs="Courier New"/>
          <w:szCs w:val="21"/>
        </w:rPr>
        <w:t>甲方（公章）：                                乙方（公章）：</w:t>
      </w:r>
    </w:p>
    <w:p>
      <w:pPr>
        <w:spacing w:line="360" w:lineRule="auto"/>
        <w:rPr>
          <w:rFonts w:ascii="宋体" w:hAnsi="宋体" w:cs="Courier New"/>
          <w:szCs w:val="21"/>
        </w:rPr>
      </w:pPr>
      <w:r>
        <w:rPr>
          <w:rFonts w:hint="eastAsia" w:ascii="宋体" w:hAnsi="宋体" w:cs="Courier New"/>
          <w:szCs w:val="21"/>
        </w:rPr>
        <w:t xml:space="preserve">法定代表人                                   法定代表人 </w:t>
      </w:r>
    </w:p>
    <w:p>
      <w:pPr>
        <w:spacing w:line="360" w:lineRule="auto"/>
        <w:rPr>
          <w:rFonts w:ascii="宋体" w:hAnsi="宋体" w:cs="Courier New"/>
          <w:szCs w:val="21"/>
        </w:rPr>
      </w:pPr>
      <w:r>
        <w:rPr>
          <w:rFonts w:hint="eastAsia" w:ascii="宋体" w:hAnsi="宋体" w:cs="Courier New"/>
          <w:szCs w:val="21"/>
        </w:rPr>
        <w:t>或委托代理人：                               或委托代理人：</w:t>
      </w:r>
    </w:p>
    <w:p>
      <w:pPr>
        <w:spacing w:line="360" w:lineRule="auto"/>
        <w:rPr>
          <w:rFonts w:ascii="宋体" w:hAnsi="宋体" w:cs="Courier New"/>
          <w:szCs w:val="21"/>
        </w:rPr>
      </w:pPr>
      <w:r>
        <w:rPr>
          <w:rFonts w:hint="eastAsia" w:ascii="宋体" w:hAnsi="宋体" w:cs="Courier New"/>
          <w:szCs w:val="21"/>
        </w:rPr>
        <w:t>地    址：                                   地    址：</w:t>
      </w:r>
    </w:p>
    <w:p>
      <w:pPr>
        <w:spacing w:line="360" w:lineRule="auto"/>
        <w:rPr>
          <w:rFonts w:ascii="宋体" w:hAnsi="宋体" w:cs="Courier New"/>
          <w:szCs w:val="21"/>
        </w:rPr>
      </w:pPr>
      <w:r>
        <w:rPr>
          <w:rFonts w:hint="eastAsia" w:ascii="宋体" w:hAnsi="宋体" w:cs="Courier New"/>
          <w:szCs w:val="21"/>
        </w:rPr>
        <w:t>联系电话：                                   联系电话：</w:t>
      </w:r>
    </w:p>
    <w:p>
      <w:pPr>
        <w:spacing w:line="360" w:lineRule="auto"/>
        <w:ind w:firstLine="1470" w:firstLineChars="700"/>
        <w:rPr>
          <w:rFonts w:ascii="宋体" w:hAnsi="宋体" w:cs="Courier New"/>
          <w:szCs w:val="21"/>
        </w:rPr>
      </w:pPr>
      <w:r>
        <w:rPr>
          <w:rFonts w:hint="eastAsia" w:ascii="宋体" w:hAnsi="宋体" w:cs="Courier New"/>
          <w:szCs w:val="21"/>
        </w:rPr>
        <w:t xml:space="preserve">                               全  称：</w:t>
      </w:r>
    </w:p>
    <w:p>
      <w:pPr>
        <w:spacing w:line="360" w:lineRule="auto"/>
        <w:ind w:firstLine="3570" w:firstLineChars="1700"/>
        <w:rPr>
          <w:rFonts w:ascii="宋体" w:hAnsi="宋体" w:cs="Courier New"/>
          <w:szCs w:val="21"/>
        </w:rPr>
      </w:pPr>
      <w:r>
        <w:rPr>
          <w:rFonts w:hint="eastAsia" w:ascii="宋体" w:hAnsi="宋体" w:cs="Courier New"/>
          <w:szCs w:val="21"/>
        </w:rPr>
        <w:t xml:space="preserve">           帐  号：</w:t>
      </w:r>
    </w:p>
    <w:p>
      <w:pPr>
        <w:spacing w:line="360" w:lineRule="auto"/>
        <w:ind w:firstLine="1470" w:firstLineChars="700"/>
        <w:rPr>
          <w:rFonts w:ascii="宋体" w:hAnsi="宋体" w:cs="Courier New"/>
          <w:szCs w:val="21"/>
        </w:rPr>
      </w:pPr>
      <w:r>
        <w:rPr>
          <w:rFonts w:hint="eastAsia" w:ascii="宋体" w:hAnsi="宋体" w:cs="Courier New"/>
          <w:szCs w:val="21"/>
        </w:rPr>
        <w:t xml:space="preserve">                               开户行： </w:t>
      </w:r>
    </w:p>
    <w:p>
      <w:pPr>
        <w:spacing w:line="360" w:lineRule="auto"/>
        <w:rPr>
          <w:rFonts w:ascii="宋体" w:hAnsi="宋体" w:cs="Courier New"/>
          <w:szCs w:val="21"/>
        </w:rPr>
      </w:pPr>
      <w:r>
        <w:rPr>
          <w:rFonts w:hint="eastAsia" w:ascii="宋体" w:hAnsi="宋体" w:cs="Courier New"/>
          <w:szCs w:val="21"/>
        </w:rPr>
        <w:t>合同签订时间：    年   月   日               合同签订时间：    年   月   日</w:t>
      </w:r>
    </w:p>
    <w:p>
      <w:pPr>
        <w:spacing w:line="360" w:lineRule="auto"/>
        <w:rPr>
          <w:rFonts w:ascii="宋体" w:hAnsi="宋体" w:cs="Courier New"/>
          <w:b/>
          <w:szCs w:val="21"/>
        </w:rPr>
      </w:pPr>
      <w:r>
        <w:rPr>
          <w:rFonts w:hint="eastAsia" w:ascii="宋体" w:hAnsi="宋体" w:cs="Courier New"/>
          <w:szCs w:val="21"/>
        </w:rPr>
        <w:t>合同签订地点：</w:t>
      </w:r>
    </w:p>
    <w:p>
      <w:pPr>
        <w:spacing w:line="360" w:lineRule="auto"/>
        <w:jc w:val="center"/>
        <w:rPr>
          <w:rFonts w:ascii="宋体" w:hAnsi="宋体" w:cs="Courier New"/>
          <w:b/>
          <w:szCs w:val="21"/>
        </w:rPr>
      </w:pPr>
    </w:p>
    <w:p>
      <w:pPr>
        <w:spacing w:line="360" w:lineRule="auto"/>
        <w:jc w:val="center"/>
        <w:rPr>
          <w:rFonts w:ascii="宋体" w:hAnsi="宋体" w:cs="Courier New"/>
          <w:b/>
          <w:szCs w:val="21"/>
        </w:rPr>
      </w:pPr>
    </w:p>
    <w:p>
      <w:pPr>
        <w:spacing w:line="360" w:lineRule="auto"/>
        <w:jc w:val="center"/>
        <w:rPr>
          <w:rFonts w:ascii="宋体" w:hAnsi="宋体" w:cs="Courier New"/>
          <w:b/>
          <w:szCs w:val="21"/>
        </w:rPr>
      </w:pPr>
      <w:r>
        <w:rPr>
          <w:rFonts w:ascii="宋体" w:hAnsi="宋体" w:cs="Courier New"/>
          <w:b/>
          <w:szCs w:val="21"/>
        </w:rPr>
        <w:br w:type="page"/>
      </w:r>
      <w:r>
        <w:rPr>
          <w:rFonts w:hint="eastAsia" w:ascii="宋体" w:hAnsi="宋体" w:cs="Courier New"/>
          <w:b/>
          <w:szCs w:val="21"/>
        </w:rPr>
        <w:t>合同基本条款</w:t>
      </w:r>
    </w:p>
    <w:p>
      <w:pPr>
        <w:spacing w:line="360" w:lineRule="auto"/>
        <w:jc w:val="center"/>
        <w:rPr>
          <w:rFonts w:ascii="宋体" w:hAnsi="宋体" w:cs="Courier New"/>
          <w:b/>
          <w:szCs w:val="21"/>
        </w:rPr>
      </w:pPr>
      <w:r>
        <w:rPr>
          <w:rFonts w:hint="eastAsia" w:ascii="宋体" w:hAnsi="宋体" w:cs="Courier New"/>
          <w:b/>
          <w:szCs w:val="21"/>
        </w:rPr>
        <w:t>一     说   明</w:t>
      </w:r>
    </w:p>
    <w:p>
      <w:pPr>
        <w:spacing w:line="360" w:lineRule="auto"/>
        <w:ind w:firstLine="420"/>
        <w:rPr>
          <w:rFonts w:ascii="宋体" w:hAnsi="宋体" w:cs="Courier New"/>
          <w:szCs w:val="21"/>
        </w:rPr>
      </w:pPr>
      <w:r>
        <w:rPr>
          <w:rFonts w:hint="eastAsia" w:ascii="宋体" w:hAnsi="宋体" w:cs="Courier New"/>
          <w:szCs w:val="21"/>
        </w:rPr>
        <w:t>1.1合同基本条款是指采购人（以下简称甲方）、中标人（以下简称乙方）应共同遵守的基本原则，并做为双方签约的依据。对于合同的其他条款，双方应本着互谅互让的精神，协商解决。</w:t>
      </w:r>
    </w:p>
    <w:p>
      <w:pPr>
        <w:spacing w:line="360" w:lineRule="auto"/>
        <w:ind w:left="420" w:leftChars="200"/>
        <w:rPr>
          <w:rFonts w:ascii="宋体" w:hAnsi="宋体" w:cs="Courier New"/>
          <w:szCs w:val="21"/>
        </w:rPr>
      </w:pPr>
      <w:r>
        <w:rPr>
          <w:rFonts w:hint="eastAsia" w:ascii="宋体" w:hAnsi="宋体" w:cs="Courier New"/>
          <w:szCs w:val="21"/>
        </w:rPr>
        <w:t>1.2制订《合同基本条款》的依据是：《中华人民共和国合同法》。</w:t>
      </w:r>
      <w:r>
        <w:rPr>
          <w:rFonts w:hint="eastAsia" w:ascii="宋体" w:hAnsi="宋体" w:cs="Courier New"/>
          <w:szCs w:val="21"/>
        </w:rPr>
        <w:cr/>
      </w:r>
      <w:r>
        <w:rPr>
          <w:rFonts w:hint="eastAsia" w:ascii="宋体" w:hAnsi="宋体" w:cs="Courier New"/>
          <w:szCs w:val="21"/>
        </w:rPr>
        <w:t>1.3政府采购合同以书面方式签订。</w:t>
      </w:r>
    </w:p>
    <w:p>
      <w:pPr>
        <w:spacing w:line="360" w:lineRule="auto"/>
        <w:jc w:val="center"/>
        <w:rPr>
          <w:rFonts w:ascii="宋体" w:hAnsi="宋体" w:cs="Courier New"/>
          <w:b/>
          <w:szCs w:val="21"/>
        </w:rPr>
      </w:pPr>
      <w:r>
        <w:rPr>
          <w:rFonts w:hint="eastAsia" w:ascii="宋体" w:hAnsi="宋体" w:cs="Courier New"/>
          <w:b/>
          <w:szCs w:val="21"/>
        </w:rPr>
        <w:t>二   服务条款</w:t>
      </w:r>
    </w:p>
    <w:p>
      <w:pPr>
        <w:spacing w:line="360" w:lineRule="auto"/>
        <w:ind w:firstLine="420"/>
        <w:rPr>
          <w:rFonts w:ascii="宋体" w:hAnsi="宋体" w:cs="Courier New"/>
          <w:szCs w:val="21"/>
        </w:rPr>
      </w:pPr>
      <w:r>
        <w:rPr>
          <w:rFonts w:hint="eastAsia" w:ascii="宋体" w:hAnsi="宋体" w:cs="Courier New"/>
          <w:szCs w:val="21"/>
        </w:rPr>
        <w:t>2.1甲、乙双方须将采购文件、响应文件及评标委员会确认的服务内容、服务期限和服务承诺内容等作为本条款的基础。</w:t>
      </w:r>
    </w:p>
    <w:p>
      <w:pPr>
        <w:spacing w:line="360" w:lineRule="auto"/>
        <w:jc w:val="center"/>
        <w:rPr>
          <w:rFonts w:ascii="宋体" w:hAnsi="宋体" w:cs="Courier New"/>
          <w:b/>
          <w:szCs w:val="21"/>
        </w:rPr>
      </w:pPr>
      <w:r>
        <w:rPr>
          <w:rFonts w:hint="eastAsia" w:ascii="宋体" w:hAnsi="宋体" w:cs="Courier New"/>
          <w:b/>
          <w:szCs w:val="21"/>
        </w:rPr>
        <w:t>三    质量保证</w:t>
      </w:r>
    </w:p>
    <w:p>
      <w:pPr>
        <w:spacing w:line="360" w:lineRule="auto"/>
        <w:ind w:firstLine="420"/>
        <w:rPr>
          <w:rFonts w:ascii="宋体" w:hAnsi="宋体" w:cs="Courier New"/>
          <w:szCs w:val="21"/>
        </w:rPr>
      </w:pPr>
      <w:r>
        <w:rPr>
          <w:rFonts w:hint="eastAsia" w:ascii="宋体" w:hAnsi="宋体" w:cs="Courier New"/>
          <w:szCs w:val="21"/>
        </w:rPr>
        <w:t>4.1乙方须按采购文件规定的项目要求、技术要求、质量标准向甲方提供真实、有效的检测数据及资料。</w:t>
      </w:r>
    </w:p>
    <w:p>
      <w:pPr>
        <w:spacing w:line="360" w:lineRule="auto"/>
        <w:ind w:firstLine="420"/>
        <w:rPr>
          <w:rFonts w:ascii="宋体" w:hAnsi="宋体" w:cs="Courier New"/>
          <w:szCs w:val="21"/>
        </w:rPr>
      </w:pPr>
      <w:r>
        <w:rPr>
          <w:rFonts w:hint="eastAsia" w:ascii="宋体" w:hAnsi="宋体" w:cs="Courier New"/>
          <w:szCs w:val="21"/>
        </w:rPr>
        <w:t>4.2乙方须按项目要求及服务承诺要求实施。对达不到技术要求者，由乙方承担所发生的全部费用。</w:t>
      </w:r>
    </w:p>
    <w:p>
      <w:pPr>
        <w:spacing w:line="360" w:lineRule="auto"/>
        <w:jc w:val="center"/>
        <w:rPr>
          <w:rFonts w:ascii="宋体" w:hAnsi="宋体" w:cs="Courier New"/>
          <w:b/>
          <w:szCs w:val="21"/>
        </w:rPr>
      </w:pPr>
      <w:r>
        <w:rPr>
          <w:rFonts w:hint="eastAsia" w:ascii="宋体" w:hAnsi="宋体" w:cs="Courier New"/>
          <w:b/>
          <w:szCs w:val="21"/>
        </w:rPr>
        <w:t>四     验  收</w:t>
      </w:r>
    </w:p>
    <w:p>
      <w:pPr>
        <w:spacing w:line="360" w:lineRule="auto"/>
        <w:ind w:firstLine="420"/>
        <w:rPr>
          <w:rFonts w:ascii="宋体" w:hAnsi="宋体" w:cs="Courier New"/>
          <w:szCs w:val="21"/>
        </w:rPr>
      </w:pPr>
      <w:r>
        <w:rPr>
          <w:rFonts w:hint="eastAsia" w:ascii="宋体" w:hAnsi="宋体" w:cs="Courier New"/>
          <w:szCs w:val="21"/>
        </w:rPr>
        <w:t>5.1乙方交付前须对服务内容作出全面检查和对验收文件进行整理列出清单，作为甲方验收的技术条件依据，检验的结果交甲方。</w:t>
      </w:r>
    </w:p>
    <w:p>
      <w:pPr>
        <w:spacing w:line="360" w:lineRule="auto"/>
        <w:ind w:firstLine="420"/>
        <w:rPr>
          <w:rFonts w:ascii="宋体" w:hAnsi="宋体" w:cs="Courier New"/>
          <w:szCs w:val="21"/>
        </w:rPr>
      </w:pPr>
      <w:r>
        <w:rPr>
          <w:rFonts w:hint="eastAsia" w:ascii="宋体" w:hAnsi="宋体" w:cs="Courier New"/>
          <w:szCs w:val="21"/>
        </w:rPr>
        <w:t>5.2甲方对乙方所提供服务依照招标文件上的项目需求和国家有关标准进行验收，达到要求的，给予签收。验收不合格的，后果由乙方负责。</w:t>
      </w:r>
    </w:p>
    <w:p>
      <w:pPr>
        <w:spacing w:line="360" w:lineRule="auto"/>
        <w:ind w:firstLine="420"/>
        <w:rPr>
          <w:rFonts w:ascii="宋体" w:hAnsi="宋体" w:cs="Courier New"/>
          <w:szCs w:val="21"/>
        </w:rPr>
      </w:pPr>
      <w:r>
        <w:rPr>
          <w:rFonts w:hint="eastAsia" w:ascii="宋体" w:hAnsi="宋体" w:cs="Courier New"/>
          <w:szCs w:val="21"/>
        </w:rPr>
        <w:t>5.3如果检测结果不能符合国家有关规定和招标文件采购要求的，或者所提供的调查报告及工作方案等服务与乙方报价时承诺的内容、数量等要求不一致，甲方可以拒绝接受该调查报告及工作方案等服务，乙方须免费更换和补齐被拒绝的服务项目，以满足招标文件的要求。</w:t>
      </w:r>
    </w:p>
    <w:p>
      <w:pPr>
        <w:spacing w:line="360" w:lineRule="auto"/>
        <w:jc w:val="center"/>
        <w:rPr>
          <w:rFonts w:ascii="宋体" w:hAnsi="宋体" w:cs="Courier New"/>
          <w:b/>
          <w:szCs w:val="21"/>
        </w:rPr>
      </w:pPr>
      <w:r>
        <w:rPr>
          <w:rFonts w:hint="eastAsia" w:ascii="宋体" w:hAnsi="宋体" w:cs="Courier New"/>
          <w:b/>
          <w:szCs w:val="21"/>
        </w:rPr>
        <w:t>六    交付期及交付方式</w:t>
      </w:r>
    </w:p>
    <w:p>
      <w:pPr>
        <w:spacing w:line="360" w:lineRule="auto"/>
        <w:ind w:firstLine="420"/>
        <w:rPr>
          <w:rFonts w:ascii="宋体" w:hAnsi="宋体" w:cs="Courier New"/>
          <w:szCs w:val="21"/>
        </w:rPr>
      </w:pPr>
      <w:r>
        <w:rPr>
          <w:rFonts w:hint="eastAsia" w:ascii="宋体" w:hAnsi="宋体" w:cs="Courier New"/>
          <w:szCs w:val="21"/>
        </w:rPr>
        <w:t>6.1服务期限：按项目要求规定时间。</w:t>
      </w:r>
    </w:p>
    <w:p>
      <w:pPr>
        <w:spacing w:line="360" w:lineRule="auto"/>
        <w:ind w:firstLine="420"/>
        <w:rPr>
          <w:rFonts w:ascii="宋体" w:hAnsi="宋体" w:cs="Courier New"/>
          <w:szCs w:val="21"/>
          <w:u w:val="single"/>
        </w:rPr>
      </w:pPr>
      <w:r>
        <w:rPr>
          <w:rFonts w:hint="eastAsia" w:ascii="宋体" w:hAnsi="宋体" w:cs="Courier New"/>
          <w:szCs w:val="21"/>
        </w:rPr>
        <w:t>6.2服务方式：现场验收。</w:t>
      </w:r>
    </w:p>
    <w:p>
      <w:pPr>
        <w:spacing w:line="360" w:lineRule="auto"/>
        <w:ind w:firstLine="420"/>
        <w:rPr>
          <w:rFonts w:ascii="宋体" w:hAnsi="宋体" w:cs="Courier New"/>
          <w:szCs w:val="21"/>
          <w:u w:val="single"/>
        </w:rPr>
      </w:pPr>
      <w:r>
        <w:rPr>
          <w:rFonts w:hint="eastAsia" w:ascii="宋体" w:hAnsi="宋体" w:cs="Courier New"/>
          <w:szCs w:val="21"/>
        </w:rPr>
        <w:t>6.3服务地点：按采购人指定地点。</w:t>
      </w:r>
    </w:p>
    <w:p>
      <w:pPr>
        <w:spacing w:line="360" w:lineRule="auto"/>
        <w:jc w:val="center"/>
        <w:rPr>
          <w:rFonts w:ascii="宋体" w:hAnsi="宋体" w:cs="Courier New"/>
          <w:b/>
          <w:szCs w:val="21"/>
        </w:rPr>
      </w:pPr>
      <w:r>
        <w:rPr>
          <w:rFonts w:hint="eastAsia" w:ascii="宋体" w:hAnsi="宋体" w:cs="Courier New"/>
          <w:b/>
          <w:szCs w:val="21"/>
        </w:rPr>
        <w:t>七    付款方式</w:t>
      </w:r>
    </w:p>
    <w:p>
      <w:pPr>
        <w:spacing w:line="360" w:lineRule="auto"/>
        <w:ind w:firstLine="420"/>
        <w:rPr>
          <w:rFonts w:ascii="宋体" w:hAnsi="宋体" w:cs="Courier New"/>
          <w:szCs w:val="21"/>
        </w:rPr>
      </w:pPr>
      <w:r>
        <w:rPr>
          <w:rFonts w:hint="eastAsia" w:ascii="宋体" w:hAnsi="宋体" w:cs="Courier New"/>
          <w:szCs w:val="21"/>
        </w:rPr>
        <w:t>7.1合同总金额指服务项目实施过程中的各种费用、税金及其它所有费用的总和。</w:t>
      </w:r>
    </w:p>
    <w:p>
      <w:pPr>
        <w:spacing w:line="360" w:lineRule="auto"/>
        <w:ind w:firstLine="420"/>
        <w:rPr>
          <w:rFonts w:ascii="宋体" w:hAnsi="宋体"/>
          <w:szCs w:val="21"/>
        </w:rPr>
      </w:pPr>
      <w:r>
        <w:rPr>
          <w:rFonts w:hint="eastAsia" w:ascii="宋体" w:hAnsi="宋体"/>
          <w:szCs w:val="21"/>
        </w:rPr>
        <w:t>7.2付款方式：</w:t>
      </w:r>
      <w:r>
        <w:rPr>
          <w:rFonts w:hint="eastAsia" w:ascii="宋体" w:hAnsi="宋体" w:cs="宋体"/>
          <w:szCs w:val="21"/>
        </w:rPr>
        <w:t>1）项目技术服务费，包括现状调研费、成果编制费、图件制作费、评审费、印刷费等相关费用。2）技术服务费由甲方分期支付给乙方。具体支付方式和时间如下：①合同签订后甲方</w:t>
      </w:r>
      <w:r>
        <w:rPr>
          <w:rFonts w:hint="eastAsia" w:ascii="宋体" w:hAnsi="宋体" w:cs="仿宋"/>
          <w:bCs/>
          <w:szCs w:val="21"/>
        </w:rPr>
        <w:t>按财政国库集中支付规定程序办理预付合同价款的40%，作为项目启动资金，以利于资料收集、现状调查等各项前期工作开展。②乙方提交项目成果最终稿给甲方后，甲方向乙方按财政国库集中支付规定程序办理支付项目余下合同款60%。</w:t>
      </w:r>
    </w:p>
    <w:p>
      <w:pPr>
        <w:spacing w:line="360" w:lineRule="auto"/>
        <w:jc w:val="center"/>
        <w:rPr>
          <w:rFonts w:ascii="宋体" w:hAnsi="宋体" w:cs="Courier New"/>
          <w:b/>
          <w:szCs w:val="21"/>
        </w:rPr>
      </w:pPr>
      <w:r>
        <w:rPr>
          <w:rFonts w:hint="eastAsia" w:ascii="宋体" w:hAnsi="宋体" w:cs="Courier New"/>
          <w:b/>
          <w:szCs w:val="21"/>
        </w:rPr>
        <w:t>八     违约责任</w:t>
      </w:r>
    </w:p>
    <w:p>
      <w:pPr>
        <w:spacing w:line="360" w:lineRule="auto"/>
        <w:ind w:firstLine="420"/>
        <w:rPr>
          <w:rFonts w:ascii="宋体" w:hAnsi="宋体" w:cs="Courier New"/>
          <w:szCs w:val="21"/>
        </w:rPr>
      </w:pPr>
      <w:r>
        <w:rPr>
          <w:rFonts w:hint="eastAsia" w:ascii="宋体" w:hAnsi="宋体" w:cs="Courier New"/>
          <w:szCs w:val="21"/>
        </w:rPr>
        <w:t>8.1逾期交付或无正当理由拒收的，违约方每天按合同额的5‰支付违约金。</w:t>
      </w:r>
    </w:p>
    <w:p>
      <w:pPr>
        <w:spacing w:line="360" w:lineRule="auto"/>
        <w:ind w:firstLine="420"/>
        <w:rPr>
          <w:rFonts w:ascii="宋体" w:hAnsi="宋体" w:cs="Courier New"/>
          <w:szCs w:val="21"/>
        </w:rPr>
      </w:pPr>
      <w:r>
        <w:rPr>
          <w:rFonts w:hint="eastAsia" w:ascii="宋体" w:hAnsi="宋体" w:cs="Courier New"/>
          <w:szCs w:val="21"/>
        </w:rPr>
        <w:t>8.2逾期超过10天仍不能交付的，甲方可解除双方的供货合同，造成甲方损失的，由乙方负责赔偿。</w:t>
      </w:r>
    </w:p>
    <w:p>
      <w:pPr>
        <w:spacing w:line="360" w:lineRule="auto"/>
        <w:ind w:firstLine="420"/>
        <w:rPr>
          <w:rFonts w:ascii="宋体" w:hAnsi="宋体" w:cs="Courier New"/>
          <w:szCs w:val="21"/>
        </w:rPr>
      </w:pPr>
      <w:r>
        <w:rPr>
          <w:rFonts w:hint="eastAsia" w:ascii="宋体" w:hAnsi="宋体" w:cs="Courier New"/>
          <w:szCs w:val="21"/>
        </w:rPr>
        <w:t>8.3如因工作内容泄密的并给对方造成经济损失的，由泄密方承担完全责任。</w:t>
      </w:r>
    </w:p>
    <w:p>
      <w:pPr>
        <w:spacing w:line="360" w:lineRule="auto"/>
        <w:ind w:firstLine="420"/>
        <w:rPr>
          <w:rFonts w:ascii="宋体" w:hAnsi="宋体" w:cs="Courier New"/>
          <w:szCs w:val="21"/>
        </w:rPr>
      </w:pPr>
      <w:r>
        <w:rPr>
          <w:rFonts w:hint="eastAsia" w:ascii="宋体" w:hAnsi="宋体" w:cs="Courier New"/>
          <w:szCs w:val="21"/>
        </w:rPr>
        <w:t>8.4其它未尽事宜，双方签订合同时按合同法议定。</w:t>
      </w:r>
    </w:p>
    <w:p>
      <w:pPr>
        <w:spacing w:line="360" w:lineRule="auto"/>
        <w:jc w:val="center"/>
        <w:rPr>
          <w:rFonts w:ascii="宋体" w:hAnsi="宋体" w:cs="Courier New"/>
          <w:b/>
          <w:szCs w:val="21"/>
        </w:rPr>
      </w:pPr>
      <w:r>
        <w:rPr>
          <w:rFonts w:hint="eastAsia" w:ascii="宋体" w:hAnsi="宋体" w:cs="Courier New"/>
          <w:b/>
          <w:szCs w:val="21"/>
        </w:rPr>
        <w:t>九    不可抗力事件处理</w:t>
      </w:r>
    </w:p>
    <w:p>
      <w:pPr>
        <w:spacing w:line="360" w:lineRule="auto"/>
        <w:ind w:firstLine="420"/>
        <w:rPr>
          <w:rFonts w:ascii="宋体" w:hAnsi="宋体" w:cs="Courier New"/>
          <w:szCs w:val="21"/>
        </w:rPr>
      </w:pPr>
      <w:r>
        <w:rPr>
          <w:rFonts w:hint="eastAsia" w:ascii="宋体" w:hAnsi="宋体" w:cs="Courier New"/>
          <w:szCs w:val="21"/>
        </w:rPr>
        <w:t>9.1在合同有效期限内，任何一方因不可抗力事件导致不能履行合同，则合同履行期可延长，其延长期与不可抗力影响期相同。</w:t>
      </w:r>
    </w:p>
    <w:p>
      <w:pPr>
        <w:spacing w:line="360" w:lineRule="auto"/>
        <w:ind w:firstLine="420"/>
        <w:rPr>
          <w:rFonts w:ascii="宋体" w:hAnsi="宋体" w:cs="Courier New"/>
          <w:szCs w:val="21"/>
        </w:rPr>
      </w:pPr>
      <w:r>
        <w:rPr>
          <w:rFonts w:hint="eastAsia" w:ascii="宋体" w:hAnsi="宋体" w:cs="Courier New"/>
          <w:szCs w:val="21"/>
        </w:rPr>
        <w:t>9.2不可抗力事件发生后，应立即通知对方，并寄送有关权威机构出具的证明。</w:t>
      </w:r>
    </w:p>
    <w:p>
      <w:pPr>
        <w:spacing w:line="360" w:lineRule="auto"/>
        <w:ind w:firstLine="420"/>
        <w:rPr>
          <w:rFonts w:ascii="宋体" w:hAnsi="宋体" w:cs="Courier New"/>
          <w:szCs w:val="21"/>
        </w:rPr>
      </w:pPr>
      <w:r>
        <w:rPr>
          <w:rFonts w:hint="eastAsia" w:ascii="宋体" w:hAnsi="宋体" w:cs="Courier New"/>
          <w:szCs w:val="21"/>
        </w:rPr>
        <w:t>9.3不可抗力事件延续90天以上，双方应通过友好协商，确定是否继续履行合同。</w:t>
      </w:r>
    </w:p>
    <w:p>
      <w:pPr>
        <w:spacing w:line="360" w:lineRule="auto"/>
        <w:jc w:val="center"/>
        <w:rPr>
          <w:rFonts w:ascii="宋体" w:hAnsi="宋体" w:cs="Courier New"/>
          <w:b/>
          <w:szCs w:val="21"/>
        </w:rPr>
      </w:pPr>
      <w:r>
        <w:rPr>
          <w:rFonts w:hint="eastAsia" w:ascii="宋体" w:hAnsi="宋体" w:cs="Courier New"/>
          <w:b/>
          <w:szCs w:val="21"/>
        </w:rPr>
        <w:t>十    仲   裁</w:t>
      </w:r>
    </w:p>
    <w:p>
      <w:pPr>
        <w:spacing w:line="360" w:lineRule="auto"/>
        <w:ind w:firstLine="420"/>
        <w:rPr>
          <w:rFonts w:ascii="宋体" w:hAnsi="宋体" w:cs="Courier New"/>
          <w:b/>
          <w:szCs w:val="21"/>
        </w:rPr>
      </w:pPr>
      <w:r>
        <w:rPr>
          <w:rFonts w:hint="eastAsia" w:ascii="宋体" w:hAnsi="宋体" w:cs="Courier New"/>
          <w:szCs w:val="21"/>
        </w:rPr>
        <w:t>10.1双方在履行合同中所发生的一切争议，应通过协商解决。如协商不成，向防城港仲裁委员会提请仲裁。</w:t>
      </w:r>
    </w:p>
    <w:p>
      <w:pPr>
        <w:spacing w:line="360" w:lineRule="auto"/>
        <w:jc w:val="center"/>
        <w:rPr>
          <w:rFonts w:ascii="宋体" w:hAnsi="宋体" w:cs="Courier New"/>
          <w:b/>
          <w:szCs w:val="21"/>
        </w:rPr>
      </w:pPr>
      <w:r>
        <w:rPr>
          <w:rFonts w:hint="eastAsia" w:ascii="宋体" w:hAnsi="宋体" w:cs="Courier New"/>
          <w:b/>
          <w:szCs w:val="21"/>
        </w:rPr>
        <w:t>十一     合同生效及其它</w:t>
      </w:r>
    </w:p>
    <w:p>
      <w:pPr>
        <w:spacing w:line="360" w:lineRule="auto"/>
        <w:ind w:firstLine="420"/>
        <w:rPr>
          <w:rFonts w:ascii="宋体" w:hAnsi="宋体" w:cs="Courier New"/>
          <w:szCs w:val="21"/>
        </w:rPr>
      </w:pPr>
      <w:r>
        <w:rPr>
          <w:rFonts w:hint="eastAsia" w:ascii="宋体" w:hAnsi="宋体" w:cs="Courier New"/>
          <w:szCs w:val="21"/>
        </w:rPr>
        <w:t>11.1合同经双方法定代表人或委托代理人签名并加盖单位公章后生效。</w:t>
      </w:r>
    </w:p>
    <w:p>
      <w:pPr>
        <w:spacing w:line="360" w:lineRule="auto"/>
        <w:ind w:firstLine="420"/>
        <w:rPr>
          <w:rFonts w:ascii="宋体" w:hAnsi="宋体" w:cs="Courier New"/>
          <w:szCs w:val="21"/>
        </w:rPr>
      </w:pPr>
      <w:r>
        <w:rPr>
          <w:rFonts w:hint="eastAsia" w:ascii="宋体" w:hAnsi="宋体" w:cs="Courier New"/>
          <w:szCs w:val="21"/>
        </w:rPr>
        <w:t>11.2合同履行中，如需修改或补充合同内容，由双方协商另签署书面修改或补充协议，修改或补充协议作为主合同不可分割的一部分。</w:t>
      </w:r>
    </w:p>
    <w:p>
      <w:pPr>
        <w:pStyle w:val="9"/>
        <w:spacing w:line="340" w:lineRule="exact"/>
        <w:rPr>
          <w:sz w:val="21"/>
        </w:rPr>
      </w:pPr>
    </w:p>
    <w:p>
      <w:pPr>
        <w:snapToGrid w:val="0"/>
        <w:spacing w:line="360" w:lineRule="exact"/>
        <w:jc w:val="center"/>
        <w:rPr>
          <w:rFonts w:ascii="宋体" w:hAnsi="宋体"/>
          <w:bCs/>
          <w:sz w:val="32"/>
          <w:szCs w:val="32"/>
        </w:rPr>
      </w:pPr>
    </w:p>
    <w:p/>
    <w:p>
      <w:pPr>
        <w:spacing w:line="520" w:lineRule="exact"/>
        <w:ind w:firstLine="560" w:firstLineChars="200"/>
        <w:rPr>
          <w:rFonts w:ascii="仿宋_GB2312" w:eastAsia="仿宋_GB2312"/>
          <w:sz w:val="28"/>
          <w:szCs w:val="28"/>
        </w:rPr>
      </w:pPr>
    </w:p>
    <w:sectPr>
      <w:headerReference r:id="rId8" w:type="first"/>
      <w:headerReference r:id="rId7" w:type="defaul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文本框 6"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path/>
          <v:fill on="f" focussize="0,0"/>
          <v:stroke on="f" joinstyle="miter"/>
          <v:imagedata o:title=""/>
          <o:lock v:ext="edit"/>
          <v:textbox inset="0mm,0mm,0mm,0mm" style="mso-fit-shape-to-text:t;">
            <w:txbxContent>
              <w:p>
                <w:pPr>
                  <w:pStyle w:val="11"/>
                  <w:jc w:val="center"/>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pPr>
    <w:r>
      <w:rPr>
        <w:rFonts w:hint="eastAsia"/>
      </w:rPr>
      <w:t>防城港经开区和化工园整体安全性风险评价报告编制服务采购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广西十万大山国家级自然保护区保护管理基础设施工程关键物种监测项目（FCZC2020-C3-10004-KLZB）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right="-99" w:firstLine="317"/>
      <w:jc w:val="both"/>
    </w:pPr>
    <w:r>
      <w:rPr>
        <w:rFonts w:hint="eastAsia"/>
      </w:rPr>
      <w:t>广西十万大山国家级自然保护区保护管理基础设施工程关键物种监测项目（FCZC2020-C3-10004-KLZB）</w:t>
    </w:r>
  </w:p>
  <w:p>
    <w:pPr>
      <w:pStyle w:val="12"/>
      <w:pBdr>
        <w:bottom w:val="none" w:color="auto" w:sz="0" w:space="1"/>
      </w:pBdr>
      <w:tabs>
        <w:tab w:val="left" w:pos="4922"/>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911FB"/>
    <w:multiLevelType w:val="singleLevel"/>
    <w:tmpl w:val="B6D911FB"/>
    <w:lvl w:ilvl="0" w:tentative="0">
      <w:start w:val="7"/>
      <w:numFmt w:val="chineseCounting"/>
      <w:suff w:val="nothing"/>
      <w:lvlText w:val="%1、"/>
      <w:lvlJc w:val="left"/>
      <w:rPr>
        <w:rFonts w:hint="eastAsia"/>
      </w:rPr>
    </w:lvl>
  </w:abstractNum>
  <w:abstractNum w:abstractNumId="1">
    <w:nsid w:val="243073DA"/>
    <w:multiLevelType w:val="multilevel"/>
    <w:tmpl w:val="243073D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01B5"/>
    <w:rsid w:val="001230E6"/>
    <w:rsid w:val="001716B8"/>
    <w:rsid w:val="00172A27"/>
    <w:rsid w:val="001B1E55"/>
    <w:rsid w:val="00214351"/>
    <w:rsid w:val="00220BEB"/>
    <w:rsid w:val="0025099B"/>
    <w:rsid w:val="002E4791"/>
    <w:rsid w:val="003E626D"/>
    <w:rsid w:val="003E7912"/>
    <w:rsid w:val="003F6FE7"/>
    <w:rsid w:val="004309F1"/>
    <w:rsid w:val="004C7FD9"/>
    <w:rsid w:val="004D5624"/>
    <w:rsid w:val="005A534B"/>
    <w:rsid w:val="005D0E36"/>
    <w:rsid w:val="005F256F"/>
    <w:rsid w:val="0063000B"/>
    <w:rsid w:val="00640A00"/>
    <w:rsid w:val="007565D2"/>
    <w:rsid w:val="007F7F37"/>
    <w:rsid w:val="00816605"/>
    <w:rsid w:val="00824307"/>
    <w:rsid w:val="00994B9B"/>
    <w:rsid w:val="00AB1143"/>
    <w:rsid w:val="00AE23CF"/>
    <w:rsid w:val="00B1486B"/>
    <w:rsid w:val="00B51725"/>
    <w:rsid w:val="00B8609A"/>
    <w:rsid w:val="00B8791C"/>
    <w:rsid w:val="00C80684"/>
    <w:rsid w:val="00C85E85"/>
    <w:rsid w:val="00C90520"/>
    <w:rsid w:val="00CB68EF"/>
    <w:rsid w:val="00CF617E"/>
    <w:rsid w:val="00D72920"/>
    <w:rsid w:val="00DB20C0"/>
    <w:rsid w:val="00EE3FAE"/>
    <w:rsid w:val="00EF428F"/>
    <w:rsid w:val="00F20276"/>
    <w:rsid w:val="01495547"/>
    <w:rsid w:val="02C853D2"/>
    <w:rsid w:val="03303D87"/>
    <w:rsid w:val="03474F72"/>
    <w:rsid w:val="035D0336"/>
    <w:rsid w:val="04412403"/>
    <w:rsid w:val="056874B9"/>
    <w:rsid w:val="078E2E2B"/>
    <w:rsid w:val="07A46EAE"/>
    <w:rsid w:val="07D15C34"/>
    <w:rsid w:val="092818CD"/>
    <w:rsid w:val="0AD712F2"/>
    <w:rsid w:val="0B196DB1"/>
    <w:rsid w:val="0B4C03CE"/>
    <w:rsid w:val="0B7A0032"/>
    <w:rsid w:val="0B895003"/>
    <w:rsid w:val="0BF77CFF"/>
    <w:rsid w:val="0FCA3877"/>
    <w:rsid w:val="11BD582E"/>
    <w:rsid w:val="1486794F"/>
    <w:rsid w:val="152B1B2B"/>
    <w:rsid w:val="15504393"/>
    <w:rsid w:val="175C1DB1"/>
    <w:rsid w:val="19346599"/>
    <w:rsid w:val="1D9C0772"/>
    <w:rsid w:val="1EA25F2D"/>
    <w:rsid w:val="1EEF590B"/>
    <w:rsid w:val="20783E01"/>
    <w:rsid w:val="208D33E8"/>
    <w:rsid w:val="20E3090B"/>
    <w:rsid w:val="2138053C"/>
    <w:rsid w:val="21497010"/>
    <w:rsid w:val="21773518"/>
    <w:rsid w:val="234570F8"/>
    <w:rsid w:val="235027B0"/>
    <w:rsid w:val="242C5CDE"/>
    <w:rsid w:val="263E111F"/>
    <w:rsid w:val="268951C8"/>
    <w:rsid w:val="271D406E"/>
    <w:rsid w:val="287C48D7"/>
    <w:rsid w:val="2991619E"/>
    <w:rsid w:val="29E24DE2"/>
    <w:rsid w:val="2B011D16"/>
    <w:rsid w:val="2B0E7839"/>
    <w:rsid w:val="2BE34245"/>
    <w:rsid w:val="2C7D21A1"/>
    <w:rsid w:val="2CAA10A6"/>
    <w:rsid w:val="2DBF65AB"/>
    <w:rsid w:val="2DD03F20"/>
    <w:rsid w:val="2E1F27E1"/>
    <w:rsid w:val="2E8B4923"/>
    <w:rsid w:val="2EE2330C"/>
    <w:rsid w:val="2F0379FE"/>
    <w:rsid w:val="2F690029"/>
    <w:rsid w:val="2F8F7369"/>
    <w:rsid w:val="2F9C156A"/>
    <w:rsid w:val="2FFE517A"/>
    <w:rsid w:val="32B462EF"/>
    <w:rsid w:val="3367294C"/>
    <w:rsid w:val="33C656A4"/>
    <w:rsid w:val="34456B6B"/>
    <w:rsid w:val="35CD6680"/>
    <w:rsid w:val="35FA502D"/>
    <w:rsid w:val="3620712D"/>
    <w:rsid w:val="369E0A2A"/>
    <w:rsid w:val="37EA3528"/>
    <w:rsid w:val="380A66AE"/>
    <w:rsid w:val="382C4B1B"/>
    <w:rsid w:val="393028D6"/>
    <w:rsid w:val="39CB4760"/>
    <w:rsid w:val="3A3B31AA"/>
    <w:rsid w:val="3C120CF6"/>
    <w:rsid w:val="3C6F5CCF"/>
    <w:rsid w:val="3C993A55"/>
    <w:rsid w:val="3CFE0D08"/>
    <w:rsid w:val="3CFE4781"/>
    <w:rsid w:val="3D1D28D7"/>
    <w:rsid w:val="3D2B1EE6"/>
    <w:rsid w:val="3D962864"/>
    <w:rsid w:val="3DC334BD"/>
    <w:rsid w:val="3F6259C3"/>
    <w:rsid w:val="3F7A4E7D"/>
    <w:rsid w:val="42324A15"/>
    <w:rsid w:val="42802E63"/>
    <w:rsid w:val="43CF50FB"/>
    <w:rsid w:val="43F721B9"/>
    <w:rsid w:val="4686743D"/>
    <w:rsid w:val="46B36A6B"/>
    <w:rsid w:val="48B87E1D"/>
    <w:rsid w:val="48D34974"/>
    <w:rsid w:val="496157BC"/>
    <w:rsid w:val="4A5E0608"/>
    <w:rsid w:val="4AA0493B"/>
    <w:rsid w:val="4B24505E"/>
    <w:rsid w:val="4BB70E3C"/>
    <w:rsid w:val="4C6D0A6E"/>
    <w:rsid w:val="4CF23B8B"/>
    <w:rsid w:val="4CF8243F"/>
    <w:rsid w:val="4EEB7FA0"/>
    <w:rsid w:val="4FE364FF"/>
    <w:rsid w:val="51056712"/>
    <w:rsid w:val="513D2675"/>
    <w:rsid w:val="515A7B24"/>
    <w:rsid w:val="518435A8"/>
    <w:rsid w:val="547750F8"/>
    <w:rsid w:val="54F9593F"/>
    <w:rsid w:val="57CE7CB0"/>
    <w:rsid w:val="59691E8C"/>
    <w:rsid w:val="59C61FD5"/>
    <w:rsid w:val="5B7278F3"/>
    <w:rsid w:val="5CDB24DE"/>
    <w:rsid w:val="5CEF59B0"/>
    <w:rsid w:val="5D86735C"/>
    <w:rsid w:val="5DEE4C52"/>
    <w:rsid w:val="5F1F2886"/>
    <w:rsid w:val="612E58A6"/>
    <w:rsid w:val="614206CB"/>
    <w:rsid w:val="61D554E4"/>
    <w:rsid w:val="63355767"/>
    <w:rsid w:val="63FC6302"/>
    <w:rsid w:val="65417B45"/>
    <w:rsid w:val="67997914"/>
    <w:rsid w:val="680F28B8"/>
    <w:rsid w:val="6A9039B4"/>
    <w:rsid w:val="6ABA1765"/>
    <w:rsid w:val="6CCB24BA"/>
    <w:rsid w:val="6E5B4CB5"/>
    <w:rsid w:val="6EAA4204"/>
    <w:rsid w:val="6F0E726E"/>
    <w:rsid w:val="70401281"/>
    <w:rsid w:val="71BD2C75"/>
    <w:rsid w:val="727D011F"/>
    <w:rsid w:val="75801828"/>
    <w:rsid w:val="76676E85"/>
    <w:rsid w:val="78A83CAA"/>
    <w:rsid w:val="798D77B6"/>
    <w:rsid w:val="7AE713C4"/>
    <w:rsid w:val="7B764364"/>
    <w:rsid w:val="7B7F7B78"/>
    <w:rsid w:val="7C091A57"/>
    <w:rsid w:val="7C490C39"/>
    <w:rsid w:val="7D904020"/>
    <w:rsid w:val="7E4F4E24"/>
    <w:rsid w:val="7E7C6572"/>
    <w:rsid w:val="7F657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link w:val="38"/>
    <w:qFormat/>
    <w:uiPriority w:val="0"/>
    <w:pPr>
      <w:jc w:val="left"/>
    </w:pPr>
  </w:style>
  <w:style w:type="paragraph" w:styleId="6">
    <w:name w:val="Body Text"/>
    <w:basedOn w:val="1"/>
    <w:next w:val="7"/>
    <w:qFormat/>
    <w:uiPriority w:val="99"/>
    <w:rPr>
      <w:rFonts w:ascii="金山简黑体" w:hAnsi="Courier New" w:eastAsia="金山简黑体"/>
      <w:b/>
      <w:spacing w:val="-8"/>
      <w:sz w:val="44"/>
      <w:szCs w:val="20"/>
    </w:rPr>
  </w:style>
  <w:style w:type="paragraph" w:styleId="7">
    <w:name w:val="Body Text First Indent 2"/>
    <w:basedOn w:val="8"/>
    <w:qFormat/>
    <w:uiPriority w:val="0"/>
    <w:pPr>
      <w:spacing w:after="120" w:line="240" w:lineRule="auto"/>
      <w:ind w:left="420" w:leftChars="200" w:firstLine="420" w:firstLineChars="200"/>
    </w:pPr>
    <w:rPr>
      <w:rFonts w:ascii="Calibri" w:hAnsi="Calibri"/>
      <w:spacing w:val="0"/>
      <w:sz w:val="21"/>
      <w:szCs w:val="24"/>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qFormat/>
    <w:uiPriority w:val="0"/>
    <w:rPr>
      <w:rFonts w:ascii="宋体" w:hAnsi="Courier New"/>
      <w:kern w:val="0"/>
      <w:sz w:val="20"/>
      <w:szCs w:val="21"/>
    </w:rPr>
  </w:style>
  <w:style w:type="paragraph" w:styleId="10">
    <w:name w:val="Balloon Text"/>
    <w:basedOn w:val="1"/>
    <w:link w:val="37"/>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annotation subject"/>
    <w:basedOn w:val="5"/>
    <w:next w:val="5"/>
    <w:link w:val="4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Calibri" w:hAnsi="Calibri" w:eastAsia="宋体" w:cs="Times New Roman"/>
    </w:rPr>
  </w:style>
  <w:style w:type="character" w:styleId="21">
    <w:name w:val="FollowedHyperlink"/>
    <w:basedOn w:val="19"/>
    <w:qFormat/>
    <w:uiPriority w:val="0"/>
    <w:rPr>
      <w:color w:val="434242"/>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Acronym"/>
    <w:basedOn w:val="19"/>
    <w:qFormat/>
    <w:uiPriority w:val="0"/>
  </w:style>
  <w:style w:type="character" w:styleId="25">
    <w:name w:val="HTML Variable"/>
    <w:basedOn w:val="19"/>
    <w:qFormat/>
    <w:uiPriority w:val="0"/>
  </w:style>
  <w:style w:type="character" w:styleId="26">
    <w:name w:val="Hyperlink"/>
    <w:qFormat/>
    <w:uiPriority w:val="0"/>
    <w:rPr>
      <w:rFonts w:ascii="Calibri" w:hAnsi="Calibri" w:eastAsia="宋体" w:cs="Times New Roman"/>
      <w:color w:val="0000FF"/>
      <w:u w:val="single"/>
    </w:rPr>
  </w:style>
  <w:style w:type="character" w:styleId="27">
    <w:name w:val="HTML Code"/>
    <w:basedOn w:val="19"/>
    <w:qFormat/>
    <w:uiPriority w:val="0"/>
    <w:rPr>
      <w:rFonts w:ascii="Courier New" w:hAnsi="Courier New"/>
      <w:sz w:val="20"/>
    </w:rPr>
  </w:style>
  <w:style w:type="character" w:styleId="28">
    <w:name w:val="annotation reference"/>
    <w:qFormat/>
    <w:uiPriority w:val="0"/>
    <w:rPr>
      <w:rFonts w:ascii="Times New Roman" w:hAnsi="Times New Roman" w:eastAsia="宋体" w:cs="Times New Roman"/>
      <w:sz w:val="21"/>
      <w:szCs w:val="21"/>
    </w:rPr>
  </w:style>
  <w:style w:type="character" w:styleId="29">
    <w:name w:val="HTML Cite"/>
    <w:basedOn w:val="19"/>
    <w:qFormat/>
    <w:uiPriority w:val="0"/>
  </w:style>
  <w:style w:type="paragraph" w:customStyle="1" w:styleId="30">
    <w:name w:val="样式45"/>
    <w:basedOn w:val="1"/>
    <w:qFormat/>
    <w:uiPriority w:val="0"/>
    <w:pPr>
      <w:adjustRightInd w:val="0"/>
      <w:snapToGrid w:val="0"/>
      <w:spacing w:line="360" w:lineRule="auto"/>
      <w:ind w:firstLine="200" w:firstLineChars="200"/>
    </w:pPr>
    <w:rPr>
      <w:rFonts w:ascii="宋体" w:hAnsi="宋体" w:eastAsia="仿宋_GB2312"/>
      <w:color w:val="000000"/>
      <w:spacing w:val="1"/>
      <w:kern w:val="28"/>
      <w:sz w:val="28"/>
      <w:szCs w:val="28"/>
    </w:rPr>
  </w:style>
  <w:style w:type="paragraph" w:customStyle="1" w:styleId="31">
    <w:name w:val="表格文字"/>
    <w:basedOn w:val="1"/>
    <w:qFormat/>
    <w:uiPriority w:val="0"/>
    <w:pPr>
      <w:spacing w:before="25" w:after="25"/>
      <w:jc w:val="left"/>
    </w:pPr>
    <w:rPr>
      <w:bCs/>
      <w:spacing w:val="10"/>
      <w:kern w:val="0"/>
      <w:sz w:val="24"/>
    </w:rPr>
  </w:style>
  <w:style w:type="paragraph" w:customStyle="1" w:styleId="32">
    <w:name w:val="Normal_35"/>
    <w:qFormat/>
    <w:uiPriority w:val="0"/>
    <w:pPr>
      <w:framePr w:wrap="around" w:vAnchor="margin" w:hAnchor="text" w:y="1"/>
      <w:widowControl w:val="0"/>
      <w:spacing w:before="120" w:after="240"/>
      <w:jc w:val="both"/>
    </w:pPr>
    <w:rPr>
      <w:rFonts w:ascii="Times New Roman" w:hAnsi="Times New Roman" w:eastAsia="Calibri" w:cs="Calibri"/>
      <w:color w:val="000000"/>
      <w:sz w:val="22"/>
      <w:szCs w:val="22"/>
      <w:lang w:val="ru-RU" w:eastAsia="zh-CN" w:bidi="ar-SA"/>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纯文本1"/>
    <w:qFormat/>
    <w:uiPriority w:val="0"/>
    <w:pPr>
      <w:framePr w:wrap="around" w:vAnchor="margin" w:hAnchor="text" w:y="1"/>
      <w:widowControl w:val="0"/>
      <w:jc w:val="both"/>
    </w:pPr>
    <w:rPr>
      <w:rFonts w:ascii="宋体" w:hAnsi="宋体" w:eastAsia="宋体" w:cs="宋体"/>
      <w:color w:val="000000"/>
      <w:kern w:val="2"/>
      <w:sz w:val="21"/>
      <w:szCs w:val="21"/>
      <w:lang w:val="en-US" w:eastAsia="zh-CN" w:bidi="ar-SA"/>
    </w:rPr>
  </w:style>
  <w:style w:type="paragraph" w:customStyle="1" w:styleId="35">
    <w:name w:val="正文 A"/>
    <w:qFormat/>
    <w:uiPriority w:val="0"/>
    <w:pPr>
      <w:framePr w:wrap="around" w:vAnchor="margin" w:hAnchor="text" w:y="1"/>
      <w:widowControl w:val="0"/>
      <w:jc w:val="both"/>
    </w:pPr>
    <w:rPr>
      <w:rFonts w:ascii="Arial Unicode MS" w:hAnsi="Arial Unicode MS" w:eastAsia="宋体" w:cs="Arial Unicode MS"/>
      <w:color w:val="000000"/>
      <w:kern w:val="2"/>
      <w:sz w:val="21"/>
      <w:szCs w:val="21"/>
      <w:lang w:val="zh-TW" w:eastAsia="zh-TW" w:bidi="ar-SA"/>
    </w:rPr>
  </w:style>
  <w:style w:type="character" w:customStyle="1" w:styleId="36">
    <w:name w:val="无"/>
    <w:qFormat/>
    <w:uiPriority w:val="0"/>
  </w:style>
  <w:style w:type="character" w:customStyle="1" w:styleId="37">
    <w:name w:val="批注框文本 Char"/>
    <w:link w:val="10"/>
    <w:qFormat/>
    <w:uiPriority w:val="0"/>
    <w:rPr>
      <w:rFonts w:ascii="Times New Roman" w:hAnsi="Times New Roman" w:eastAsia="宋体" w:cs="Times New Roman"/>
      <w:kern w:val="2"/>
      <w:sz w:val="18"/>
      <w:szCs w:val="18"/>
    </w:rPr>
  </w:style>
  <w:style w:type="character" w:customStyle="1" w:styleId="38">
    <w:name w:val="批注文字 Char"/>
    <w:link w:val="5"/>
    <w:qFormat/>
    <w:uiPriority w:val="0"/>
    <w:rPr>
      <w:rFonts w:ascii="Times New Roman" w:hAnsi="Times New Roman" w:eastAsia="宋体" w:cs="Times New Roman"/>
      <w:kern w:val="2"/>
      <w:sz w:val="21"/>
      <w:szCs w:val="24"/>
    </w:rPr>
  </w:style>
  <w:style w:type="character" w:customStyle="1" w:styleId="39">
    <w:name w:val="textcontents"/>
    <w:qFormat/>
    <w:uiPriority w:val="0"/>
    <w:rPr>
      <w:rFonts w:ascii="Calibri" w:hAnsi="Calibri" w:eastAsia="宋体" w:cs="Times New Roman"/>
    </w:rPr>
  </w:style>
  <w:style w:type="character" w:customStyle="1" w:styleId="40">
    <w:name w:val="批注主题 Char"/>
    <w:link w:val="16"/>
    <w:qFormat/>
    <w:uiPriority w:val="0"/>
    <w:rPr>
      <w:rFonts w:ascii="Times New Roman" w:hAnsi="Times New Roman" w:eastAsia="宋体" w:cs="Times New Roman"/>
      <w:b/>
      <w:bCs/>
      <w:kern w:val="2"/>
      <w:sz w:val="21"/>
      <w:szCs w:val="24"/>
    </w:rPr>
  </w:style>
  <w:style w:type="character" w:customStyle="1" w:styleId="41">
    <w:name w:val="first-child"/>
    <w:basedOn w:val="19"/>
    <w:qFormat/>
    <w:uiPriority w:val="0"/>
  </w:style>
  <w:style w:type="character" w:customStyle="1" w:styleId="42">
    <w:name w:val="layui-layer-tabnow"/>
    <w:basedOn w:val="19"/>
    <w:qFormat/>
    <w:uiPriority w:val="0"/>
    <w:rPr>
      <w:bdr w:val="single" w:color="CCCCCC" w:sz="6" w:space="0"/>
      <w:shd w:val="clear" w:color="auto" w:fill="FFFFFF"/>
    </w:rPr>
  </w:style>
  <w:style w:type="character" w:customStyle="1" w:styleId="43">
    <w:name w:val="first-child1"/>
    <w:basedOn w:val="19"/>
    <w:qFormat/>
    <w:uiPriority w:val="0"/>
  </w:style>
  <w:style w:type="paragraph" w:customStyle="1" w:styleId="44">
    <w:name w:val="Table Paragraph"/>
    <w:basedOn w:val="1"/>
    <w:qFormat/>
    <w:uiPriority w:val="1"/>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20495</Words>
  <Characters>3786</Characters>
  <Lines>31</Lines>
  <Paragraphs>48</Paragraphs>
  <TotalTime>26</TotalTime>
  <ScaleCrop>false</ScaleCrop>
  <LinksUpToDate>false</LinksUpToDate>
  <CharactersWithSpaces>24233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2020-07-17T08:55:00Z</dcterms:created>
  <dc:creator>Administrator</dc:creator>
  <cp:lastModifiedBy>一朵小蘑菇  </cp:lastModifiedBy>
  <cp:lastPrinted>2020-07-24T04:00:00Z</cp:lastPrinted>
  <dcterms:modified xsi:type="dcterms:W3CDTF">2020-07-24T07:36:00Z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