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72"/>
          <w:szCs w:val="72"/>
          <w14:shadow w14:blurRad="50800" w14:dist="38100" w14:dir="2700000" w14:sx="100000" w14:sy="100000" w14:kx="0" w14:ky="0" w14:algn="tl">
            <w14:srgbClr w14:val="000000">
              <w14:alpha w14:val="60000"/>
            </w14:srgbClr>
          </w14:shadow>
        </w:rPr>
      </w:pPr>
      <w:bookmarkStart w:id="0" w:name="_Toc300671221"/>
      <w:bookmarkStart w:id="1" w:name="_Toc300560840"/>
    </w:p>
    <w:p>
      <w:pPr>
        <w:jc w:val="center"/>
        <w:rPr>
          <w:rFonts w:ascii="宋体" w:hAnsi="宋体" w:cs="宋体"/>
          <w:color w:val="auto"/>
          <w:sz w:val="72"/>
          <w:szCs w:val="72"/>
          <w14:shadow w14:blurRad="50800" w14:dist="38100" w14:dir="2700000" w14:sx="100000" w14:sy="100000" w14:kx="0" w14:ky="0" w14:algn="tl">
            <w14:srgbClr w14:val="000000">
              <w14:alpha w14:val="60000"/>
            </w14:srgbClr>
          </w14:shadow>
        </w:rPr>
      </w:pPr>
      <w:r>
        <w:rPr>
          <w:rFonts w:hint="eastAsia" w:ascii="宋体" w:hAnsi="宋体" w:cs="宋体"/>
          <w:color w:val="auto"/>
          <w:sz w:val="72"/>
          <w:szCs w:val="72"/>
          <w14:shadow w14:blurRad="50800" w14:dist="38100" w14:dir="2700000" w14:sx="100000" w14:sy="100000" w14:kx="0" w14:ky="0" w14:algn="tl">
            <w14:srgbClr w14:val="000000">
              <w14:alpha w14:val="60000"/>
            </w14:srgbClr>
          </w14:shadow>
        </w:rPr>
        <w:t>广西科联招标中心有限公司</w:t>
      </w:r>
    </w:p>
    <w:p>
      <w:pPr>
        <w:jc w:val="center"/>
        <w:rPr>
          <w:rFonts w:ascii="宋体" w:hAnsi="宋体" w:cs="宋体"/>
          <w:color w:val="auto"/>
          <w:szCs w:val="84"/>
        </w:rPr>
      </w:pPr>
      <w:r>
        <w:rPr>
          <w:rFonts w:hint="eastAsia" w:ascii="宋体" w:hAnsi="宋体" w:cs="宋体"/>
          <w:color w:val="auto"/>
          <w:spacing w:val="116"/>
          <w:sz w:val="52"/>
        </w:rPr>
        <w:cr/>
      </w:r>
      <w:r>
        <w:rPr>
          <w:rFonts w:hint="eastAsia" w:ascii="宋体" w:hAnsi="宋体" w:cs="宋体"/>
          <w:color w:val="auto"/>
          <w:spacing w:val="116"/>
          <w:sz w:val="52"/>
        </w:rPr>
        <w:t xml:space="preserve"> </w:t>
      </w:r>
      <w:r>
        <w:rPr>
          <w:rFonts w:hint="eastAsia" w:ascii="宋体" w:hAnsi="宋体" w:cs="宋体"/>
          <w:b/>
          <w:bCs/>
          <w:color w:val="auto"/>
          <w:spacing w:val="100"/>
          <w:sz w:val="84"/>
          <w:szCs w:val="84"/>
          <w14:shadow w14:blurRad="50800" w14:dist="38100" w14:dir="2700000" w14:sx="100000" w14:sy="100000" w14:kx="0" w14:ky="0" w14:algn="tl">
            <w14:srgbClr w14:val="000000">
              <w14:alpha w14:val="60000"/>
            </w14:srgbClr>
          </w14:shadow>
        </w:rPr>
        <w:t>竞争性谈判文</w:t>
      </w:r>
      <w:r>
        <w:rPr>
          <w:rFonts w:hint="eastAsia" w:ascii="宋体" w:hAnsi="宋体" w:cs="宋体"/>
          <w:b/>
          <w:bCs/>
          <w:color w:val="auto"/>
          <w:sz w:val="84"/>
          <w:szCs w:val="84"/>
          <w14:shadow w14:blurRad="50800" w14:dist="38100" w14:dir="2700000" w14:sx="100000" w14:sy="100000" w14:kx="0" w14:ky="0" w14:algn="tl">
            <w14:srgbClr w14:val="000000">
              <w14:alpha w14:val="60000"/>
            </w14:srgbClr>
          </w14:shadow>
        </w:rPr>
        <w:t>件</w:t>
      </w:r>
      <w:r>
        <w:rPr>
          <w:rFonts w:hint="eastAsia" w:ascii="宋体" w:hAnsi="宋体" w:cs="宋体"/>
          <w:color w:val="auto"/>
          <w:sz w:val="72"/>
          <w:szCs w:val="84"/>
        </w:rPr>
        <w:cr/>
      </w: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jc w:val="center"/>
        <w:rPr>
          <w:rFonts w:ascii="宋体" w:hAnsi="宋体" w:cs="宋体"/>
          <w:color w:val="auto"/>
        </w:rPr>
      </w:pPr>
    </w:p>
    <w:p>
      <w:pPr>
        <w:rPr>
          <w:rFonts w:ascii="宋体" w:hAnsi="宋体" w:cs="宋体"/>
          <w:color w:val="auto"/>
        </w:rPr>
      </w:pPr>
    </w:p>
    <w:p>
      <w:pPr>
        <w:jc w:val="center"/>
        <w:rPr>
          <w:rFonts w:ascii="宋体" w:hAnsi="宋体" w:cs="宋体"/>
          <w:color w:val="auto"/>
          <w:sz w:val="32"/>
        </w:rPr>
      </w:pPr>
      <w:r>
        <w:rPr>
          <w:rFonts w:hint="eastAsia" w:ascii="宋体" w:hAnsi="宋体" w:cs="宋体"/>
          <w:color w:val="auto"/>
          <w:sz w:val="32"/>
        </w:rPr>
        <w:t>项目名称：防城港市中医医院康复设备采购</w:t>
      </w:r>
    </w:p>
    <w:p>
      <w:pPr>
        <w:ind w:left="-2" w:leftChars="-1"/>
        <w:jc w:val="center"/>
        <w:rPr>
          <w:rFonts w:ascii="宋体" w:hAnsi="宋体" w:cs="宋体"/>
          <w:color w:val="auto"/>
          <w:sz w:val="32"/>
        </w:rPr>
      </w:pPr>
      <w:r>
        <w:rPr>
          <w:rFonts w:hint="eastAsia" w:ascii="宋体" w:hAnsi="宋体" w:cs="宋体"/>
          <w:color w:val="auto"/>
          <w:sz w:val="32"/>
        </w:rPr>
        <w:t>项目编号：FCZC2020-J1-10008-KLZB</w:t>
      </w:r>
      <w:r>
        <w:rPr>
          <w:rFonts w:hint="eastAsia" w:ascii="宋体" w:hAnsi="宋体" w:cs="宋体"/>
          <w:color w:val="auto"/>
          <w:sz w:val="32"/>
        </w:rPr>
        <w:cr/>
      </w:r>
    </w:p>
    <w:p>
      <w:pPr>
        <w:ind w:left="-2" w:leftChars="-1"/>
        <w:jc w:val="center"/>
        <w:rPr>
          <w:rFonts w:ascii="宋体" w:hAnsi="宋体" w:cs="宋体"/>
          <w:color w:val="auto"/>
        </w:rPr>
      </w:pPr>
      <w:r>
        <w:rPr>
          <w:rFonts w:hint="eastAsia" w:ascii="宋体" w:hAnsi="宋体" w:cs="宋体"/>
          <w:color w:val="auto"/>
        </w:rPr>
        <w:cr/>
      </w:r>
      <w:r>
        <w:rPr>
          <w:rFonts w:hint="eastAsia" w:ascii="宋体" w:hAnsi="宋体" w:cs="宋体"/>
          <w:color w:val="auto"/>
        </w:rPr>
        <w:cr/>
      </w:r>
    </w:p>
    <w:p>
      <w:pPr>
        <w:ind w:left="-2" w:leftChars="-1"/>
        <w:jc w:val="center"/>
        <w:rPr>
          <w:rFonts w:ascii="宋体" w:hAnsi="宋体" w:cs="宋体"/>
          <w:color w:val="auto"/>
        </w:rPr>
      </w:pPr>
    </w:p>
    <w:p>
      <w:pPr>
        <w:jc w:val="center"/>
        <w:rPr>
          <w:rFonts w:ascii="宋体" w:hAnsi="宋体" w:cs="宋体"/>
          <w:color w:val="auto"/>
          <w:sz w:val="32"/>
          <w:szCs w:val="32"/>
        </w:rPr>
      </w:pPr>
      <w:r>
        <w:rPr>
          <w:rFonts w:hint="eastAsia" w:ascii="宋体" w:hAnsi="宋体" w:cs="宋体"/>
          <w:color w:val="auto"/>
          <w:sz w:val="32"/>
          <w:szCs w:val="32"/>
        </w:rPr>
        <w:t>采购单位：防城港市中医医院</w:t>
      </w:r>
    </w:p>
    <w:p>
      <w:pPr>
        <w:jc w:val="center"/>
        <w:rPr>
          <w:rFonts w:ascii="宋体" w:hAnsi="宋体" w:cs="宋体"/>
          <w:color w:val="auto"/>
          <w:sz w:val="32"/>
          <w:szCs w:val="32"/>
        </w:rPr>
      </w:pPr>
      <w:r>
        <w:rPr>
          <w:rFonts w:hint="eastAsia" w:ascii="宋体" w:hAnsi="宋体" w:cs="宋体"/>
          <w:color w:val="auto"/>
          <w:sz w:val="32"/>
          <w:szCs w:val="32"/>
        </w:rPr>
        <w:t>采购代理机构：广西科联招标中心有限公司</w:t>
      </w:r>
    </w:p>
    <w:p>
      <w:pPr>
        <w:jc w:val="center"/>
        <w:rPr>
          <w:rFonts w:ascii="宋体" w:hAnsi="宋体" w:cs="宋体"/>
          <w:color w:val="auto"/>
          <w:spacing w:val="-8"/>
          <w:sz w:val="32"/>
          <w:szCs w:val="32"/>
        </w:rPr>
      </w:pPr>
    </w:p>
    <w:p>
      <w:pPr>
        <w:jc w:val="center"/>
        <w:rPr>
          <w:rFonts w:ascii="宋体" w:hAnsi="宋体" w:cs="宋体"/>
          <w:color w:val="auto"/>
        </w:rPr>
      </w:pPr>
      <w:r>
        <w:rPr>
          <w:rFonts w:hint="eastAsia" w:ascii="宋体" w:hAnsi="宋体" w:cs="宋体"/>
          <w:color w:val="auto"/>
          <w:sz w:val="32"/>
          <w:szCs w:val="32"/>
        </w:rPr>
        <w:t>2020年12月</w:t>
      </w:r>
      <w:r>
        <w:rPr>
          <w:rFonts w:hint="eastAsia" w:ascii="宋体" w:hAnsi="宋体" w:cs="宋体"/>
          <w:color w:val="auto"/>
          <w:sz w:val="32"/>
          <w:szCs w:val="32"/>
        </w:rPr>
        <w:cr/>
      </w:r>
      <w:r>
        <w:rPr>
          <w:rFonts w:hint="eastAsia" w:ascii="宋体" w:hAnsi="宋体" w:cs="宋体"/>
          <w:color w:val="auto"/>
        </w:rPr>
        <w:br w:type="page"/>
      </w:r>
      <w:r>
        <w:rPr>
          <w:rFonts w:hint="eastAsia" w:ascii="宋体" w:hAnsi="宋体" w:cs="宋体"/>
          <w:color w:val="auto"/>
        </w:rPr>
        <w:t xml:space="preserve">                                   </w:t>
      </w:r>
    </w:p>
    <w:p>
      <w:pPr>
        <w:spacing w:line="360" w:lineRule="auto"/>
        <w:jc w:val="center"/>
        <w:rPr>
          <w:rFonts w:ascii="宋体" w:hAnsi="宋体" w:cs="宋体"/>
          <w:b/>
          <w:color w:val="auto"/>
          <w:sz w:val="52"/>
          <w:szCs w:val="52"/>
        </w:rPr>
      </w:pPr>
      <w:r>
        <w:rPr>
          <w:rFonts w:hint="eastAsia" w:ascii="宋体" w:hAnsi="宋体" w:cs="宋体"/>
          <w:b/>
          <w:color w:val="auto"/>
          <w:sz w:val="52"/>
          <w:szCs w:val="52"/>
        </w:rPr>
        <w:t>目    录</w:t>
      </w:r>
    </w:p>
    <w:p>
      <w:pPr>
        <w:spacing w:line="360" w:lineRule="auto"/>
        <w:jc w:val="center"/>
        <w:rPr>
          <w:rFonts w:ascii="宋体" w:hAnsi="宋体" w:cs="宋体"/>
          <w:b/>
          <w:color w:val="auto"/>
          <w:sz w:val="52"/>
          <w:szCs w:val="52"/>
        </w:rPr>
      </w:pPr>
      <w:bookmarkStart w:id="93" w:name="_GoBack"/>
      <w:bookmarkEnd w:id="93"/>
    </w:p>
    <w:p>
      <w:pPr>
        <w:pStyle w:val="34"/>
        <w:rPr>
          <w:rFonts w:ascii="宋体" w:hAnsi="宋体" w:eastAsia="宋体" w:cs="宋体"/>
          <w:color w:val="auto"/>
          <w:sz w:val="21"/>
          <w:szCs w:val="22"/>
        </w:rPr>
      </w:pPr>
      <w:r>
        <w:rPr>
          <w:rFonts w:hint="eastAsia" w:ascii="宋体" w:hAnsi="宋体" w:eastAsia="宋体" w:cs="宋体"/>
          <w:b/>
          <w:color w:val="auto"/>
          <w:sz w:val="52"/>
          <w:szCs w:val="52"/>
        </w:rPr>
        <w:fldChar w:fldCharType="begin"/>
      </w:r>
      <w:r>
        <w:rPr>
          <w:rFonts w:hint="eastAsia" w:ascii="宋体" w:hAnsi="宋体" w:eastAsia="宋体" w:cs="宋体"/>
          <w:b/>
          <w:color w:val="auto"/>
          <w:sz w:val="52"/>
          <w:szCs w:val="52"/>
        </w:rPr>
        <w:instrText xml:space="preserve"> TOC \o "1-3" \h \z \u </w:instrText>
      </w:r>
      <w:r>
        <w:rPr>
          <w:rFonts w:hint="eastAsia" w:ascii="宋体" w:hAnsi="宋体" w:eastAsia="宋体" w:cs="宋体"/>
          <w:b/>
          <w:color w:val="auto"/>
          <w:sz w:val="52"/>
          <w:szCs w:val="52"/>
        </w:rPr>
        <w:fldChar w:fldCharType="separate"/>
      </w:r>
      <w:r>
        <w:rPr>
          <w:color w:val="auto"/>
        </w:rPr>
        <w:fldChar w:fldCharType="begin"/>
      </w:r>
      <w:r>
        <w:rPr>
          <w:color w:val="auto"/>
        </w:rPr>
        <w:instrText xml:space="preserve"> HYPERLINK \l "_Toc488673040" </w:instrText>
      </w:r>
      <w:r>
        <w:rPr>
          <w:color w:val="auto"/>
        </w:rPr>
        <w:fldChar w:fldCharType="separate"/>
      </w:r>
      <w:r>
        <w:rPr>
          <w:rStyle w:val="59"/>
          <w:rFonts w:hint="eastAsia" w:ascii="宋体" w:hAnsi="宋体" w:eastAsia="宋体" w:cs="宋体"/>
          <w:b/>
          <w:color w:val="auto"/>
        </w:rPr>
        <w:t>第一章  竞争性谈判公告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_Toc488673040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rPr>
          <w:rFonts w:ascii="宋体" w:hAnsi="宋体" w:eastAsia="宋体" w:cs="宋体"/>
          <w:color w:val="auto"/>
          <w:sz w:val="21"/>
          <w:szCs w:val="22"/>
        </w:rPr>
      </w:pPr>
      <w:r>
        <w:rPr>
          <w:color w:val="auto"/>
        </w:rPr>
        <w:fldChar w:fldCharType="begin"/>
      </w:r>
      <w:r>
        <w:rPr>
          <w:color w:val="auto"/>
        </w:rPr>
        <w:instrText xml:space="preserve"> HYPERLINK \l "_Toc488673042" </w:instrText>
      </w:r>
      <w:r>
        <w:rPr>
          <w:color w:val="auto"/>
        </w:rPr>
        <w:fldChar w:fldCharType="separate"/>
      </w:r>
      <w:r>
        <w:rPr>
          <w:rStyle w:val="59"/>
          <w:rFonts w:hint="eastAsia" w:ascii="宋体" w:hAnsi="宋体" w:eastAsia="宋体" w:cs="宋体"/>
          <w:b/>
          <w:color w:val="auto"/>
        </w:rPr>
        <w:t>第二章  竞标人须知</w:t>
      </w:r>
      <w:bookmarkStart w:id="2" w:name="_Hlt46132650"/>
      <w:bookmarkStart w:id="3" w:name="_Hlt46132649"/>
      <w:r>
        <w:rPr>
          <w:rStyle w:val="59"/>
          <w:rFonts w:hint="eastAsia" w:ascii="宋体" w:hAnsi="宋体" w:eastAsia="宋体" w:cs="宋体"/>
          <w:b/>
          <w:color w:val="auto"/>
        </w:rPr>
        <w:t>前</w:t>
      </w:r>
      <w:bookmarkEnd w:id="2"/>
      <w:bookmarkEnd w:id="3"/>
      <w:bookmarkStart w:id="4" w:name="_Hlt530468277"/>
      <w:r>
        <w:rPr>
          <w:rStyle w:val="59"/>
          <w:rFonts w:hint="eastAsia" w:ascii="宋体" w:hAnsi="宋体" w:eastAsia="宋体" w:cs="宋体"/>
          <w:b/>
          <w:color w:val="auto"/>
        </w:rPr>
        <w:t>附</w:t>
      </w:r>
      <w:bookmarkEnd w:id="4"/>
      <w:bookmarkStart w:id="5" w:name="_Hlt530467984"/>
      <w:bookmarkStart w:id="6" w:name="_Hlt530467983"/>
      <w:r>
        <w:rPr>
          <w:rStyle w:val="59"/>
          <w:rFonts w:hint="eastAsia" w:ascii="宋体" w:hAnsi="宋体" w:eastAsia="宋体" w:cs="宋体"/>
          <w:b/>
          <w:color w:val="auto"/>
        </w:rPr>
        <w:t>表</w:t>
      </w:r>
      <w:bookmarkEnd w:id="5"/>
      <w:bookmarkEnd w:id="6"/>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_Toc488673042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rPr>
          <w:rFonts w:ascii="宋体" w:hAnsi="宋体" w:eastAsia="宋体" w:cs="宋体"/>
          <w:color w:val="auto"/>
          <w:sz w:val="21"/>
          <w:szCs w:val="22"/>
        </w:rPr>
      </w:pPr>
      <w:r>
        <w:rPr>
          <w:color w:val="auto"/>
        </w:rPr>
        <w:fldChar w:fldCharType="begin"/>
      </w:r>
      <w:r>
        <w:rPr>
          <w:color w:val="auto"/>
        </w:rPr>
        <w:instrText xml:space="preserve"> HYPERLINK \l "_Toc488673045" </w:instrText>
      </w:r>
      <w:r>
        <w:rPr>
          <w:color w:val="auto"/>
        </w:rPr>
        <w:fldChar w:fldCharType="separate"/>
      </w:r>
      <w:r>
        <w:rPr>
          <w:rStyle w:val="59"/>
          <w:rFonts w:hint="eastAsia" w:ascii="宋体" w:hAnsi="宋体" w:eastAsia="宋体" w:cs="宋体"/>
          <w:b/>
          <w:color w:val="auto"/>
        </w:rPr>
        <w:t xml:space="preserve">第三章  项 目 需 </w:t>
      </w:r>
      <w:bookmarkStart w:id="7" w:name="_Hlt49871999"/>
      <w:bookmarkStart w:id="8" w:name="_Hlt49871998"/>
      <w:r>
        <w:rPr>
          <w:rStyle w:val="59"/>
          <w:rFonts w:hint="eastAsia" w:ascii="宋体" w:hAnsi="宋体" w:eastAsia="宋体" w:cs="宋体"/>
          <w:b/>
          <w:color w:val="auto"/>
        </w:rPr>
        <w:t>求</w:t>
      </w:r>
      <w:bookmarkEnd w:id="7"/>
      <w:bookmarkEnd w:id="8"/>
      <w:bookmarkStart w:id="9" w:name="_Hlt47431756"/>
      <w:r>
        <w:rPr>
          <w:rFonts w:hint="eastAsia" w:ascii="宋体" w:hAnsi="宋体" w:eastAsia="宋体" w:cs="宋体"/>
          <w:color w:val="auto"/>
        </w:rPr>
        <w:tab/>
      </w:r>
      <w:bookmarkEnd w:id="9"/>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_Toc488673045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rPr>
          <w:rFonts w:ascii="宋体" w:hAnsi="宋体" w:eastAsia="宋体" w:cs="宋体"/>
          <w:color w:val="auto"/>
          <w:sz w:val="21"/>
          <w:szCs w:val="22"/>
        </w:rPr>
      </w:pPr>
      <w:r>
        <w:rPr>
          <w:color w:val="auto"/>
        </w:rPr>
        <w:fldChar w:fldCharType="begin"/>
      </w:r>
      <w:r>
        <w:rPr>
          <w:color w:val="auto"/>
        </w:rPr>
        <w:instrText xml:space="preserve"> HYPERLINK \l "_Toc488673054" </w:instrText>
      </w:r>
      <w:r>
        <w:rPr>
          <w:color w:val="auto"/>
        </w:rPr>
        <w:fldChar w:fldCharType="separate"/>
      </w:r>
      <w:r>
        <w:rPr>
          <w:rStyle w:val="59"/>
          <w:rFonts w:hint="eastAsia" w:ascii="宋体" w:hAnsi="宋体" w:eastAsia="宋体" w:cs="宋体"/>
          <w:b/>
          <w:color w:val="auto"/>
        </w:rPr>
        <w:t>第四章  谈判书格</w:t>
      </w:r>
      <w:bookmarkStart w:id="10" w:name="_Hlt503799141"/>
      <w:bookmarkStart w:id="11" w:name="_Hlt503799142"/>
      <w:r>
        <w:rPr>
          <w:rStyle w:val="59"/>
          <w:rFonts w:hint="eastAsia" w:ascii="宋体" w:hAnsi="宋体" w:eastAsia="宋体" w:cs="宋体"/>
          <w:b/>
          <w:color w:val="auto"/>
        </w:rPr>
        <w:t>式</w:t>
      </w:r>
      <w:bookmarkEnd w:id="10"/>
      <w:bookmarkEnd w:id="11"/>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_Toc488673054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rPr>
          <w:rFonts w:ascii="宋体" w:hAnsi="宋体" w:eastAsia="宋体" w:cs="宋体"/>
          <w:color w:val="auto"/>
          <w:sz w:val="21"/>
          <w:szCs w:val="22"/>
        </w:rPr>
      </w:pPr>
      <w:r>
        <w:rPr>
          <w:color w:val="auto"/>
        </w:rPr>
        <w:fldChar w:fldCharType="begin"/>
      </w:r>
      <w:r>
        <w:rPr>
          <w:color w:val="auto"/>
        </w:rPr>
        <w:instrText xml:space="preserve"> HYPERLINK \l "_Toc488673066" </w:instrText>
      </w:r>
      <w:r>
        <w:rPr>
          <w:color w:val="auto"/>
        </w:rPr>
        <w:fldChar w:fldCharType="separate"/>
      </w:r>
      <w:r>
        <w:rPr>
          <w:rStyle w:val="59"/>
          <w:rFonts w:hint="eastAsia" w:ascii="宋体" w:hAnsi="宋体" w:eastAsia="宋体" w:cs="宋体"/>
          <w:b/>
          <w:color w:val="auto"/>
        </w:rPr>
        <w:t>第五章  合同主要条款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_Toc488673066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rPr>
          <w:rFonts w:ascii="宋体" w:hAnsi="宋体" w:eastAsia="宋体" w:cs="宋体"/>
          <w:color w:val="auto"/>
          <w:sz w:val="21"/>
          <w:szCs w:val="22"/>
        </w:rPr>
      </w:pPr>
      <w:r>
        <w:rPr>
          <w:color w:val="auto"/>
        </w:rPr>
        <w:fldChar w:fldCharType="begin"/>
      </w:r>
      <w:r>
        <w:rPr>
          <w:color w:val="auto"/>
        </w:rPr>
        <w:instrText xml:space="preserve"> HYPERLINK \l "_Toc488673067" </w:instrText>
      </w:r>
      <w:r>
        <w:rPr>
          <w:color w:val="auto"/>
        </w:rPr>
        <w:fldChar w:fldCharType="separate"/>
      </w:r>
      <w:r>
        <w:rPr>
          <w:rStyle w:val="59"/>
          <w:rFonts w:hint="eastAsia" w:ascii="宋体" w:hAnsi="宋体" w:eastAsia="宋体" w:cs="宋体"/>
          <w:b/>
          <w:color w:val="auto"/>
        </w:rPr>
        <w:t>第六章  评审标准</w:t>
      </w:r>
      <w:bookmarkStart w:id="12" w:name="_Hlt488673076"/>
      <w:r>
        <w:rPr>
          <w:rFonts w:hint="eastAsia" w:ascii="宋体" w:hAnsi="宋体" w:eastAsia="宋体" w:cs="宋体"/>
          <w:color w:val="auto"/>
        </w:rPr>
        <w:tab/>
      </w:r>
      <w:bookmarkEnd w:id="12"/>
      <w:r>
        <w:rPr>
          <w:rFonts w:hint="eastAsia" w:ascii="宋体" w:hAnsi="宋体" w:eastAsia="宋体" w:cs="宋体"/>
          <w:color w:val="auto"/>
        </w:rPr>
        <w:fldChar w:fldCharType="begin"/>
      </w:r>
      <w:r>
        <w:rPr>
          <w:rFonts w:hint="eastAsia" w:ascii="宋体" w:hAnsi="宋体" w:eastAsia="宋体" w:cs="宋体"/>
          <w:color w:val="auto"/>
        </w:rPr>
        <w:instrText xml:space="preserve"> PAGEREF _Toc488673067 \h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34"/>
        <w:spacing w:line="360" w:lineRule="auto"/>
        <w:rPr>
          <w:rStyle w:val="59"/>
          <w:rFonts w:ascii="宋体" w:hAnsi="宋体" w:eastAsia="宋体" w:cs="宋体"/>
          <w:color w:val="auto"/>
        </w:rPr>
      </w:pPr>
      <w:r>
        <w:rPr>
          <w:rFonts w:hint="eastAsia" w:ascii="宋体" w:hAnsi="宋体" w:eastAsia="宋体" w:cs="宋体"/>
          <w:b/>
          <w:color w:val="auto"/>
        </w:rPr>
        <w:fldChar w:fldCharType="end"/>
      </w:r>
    </w:p>
    <w:p>
      <w:pPr>
        <w:pStyle w:val="26"/>
        <w:spacing w:line="700" w:lineRule="exact"/>
        <w:rPr>
          <w:rFonts w:hAnsi="宋体" w:cs="宋体"/>
          <w:color w:val="auto"/>
        </w:rPr>
      </w:pPr>
    </w:p>
    <w:p>
      <w:pPr>
        <w:pStyle w:val="26"/>
        <w:tabs>
          <w:tab w:val="left" w:pos="8415"/>
        </w:tabs>
        <w:spacing w:line="700" w:lineRule="exact"/>
        <w:rPr>
          <w:rFonts w:hAnsi="宋体" w:cs="宋体"/>
          <w:color w:val="auto"/>
        </w:rPr>
      </w:pPr>
      <w:r>
        <w:rPr>
          <w:rFonts w:hint="eastAsia" w:hAnsi="宋体" w:cs="宋体"/>
          <w:color w:val="auto"/>
        </w:rPr>
        <w:tab/>
      </w:r>
    </w:p>
    <w:p>
      <w:pPr>
        <w:pStyle w:val="26"/>
        <w:spacing w:line="700" w:lineRule="exact"/>
        <w:rPr>
          <w:rFonts w:hAnsi="宋体" w:cs="宋体"/>
          <w:color w:val="auto"/>
        </w:rPr>
      </w:pPr>
    </w:p>
    <w:p>
      <w:pPr>
        <w:spacing w:line="100" w:lineRule="exact"/>
        <w:rPr>
          <w:rFonts w:ascii="宋体" w:hAnsi="宋体" w:cs="宋体"/>
          <w:b/>
          <w:bCs/>
          <w:color w:val="auto"/>
        </w:rPr>
      </w:pPr>
      <w:r>
        <w:rPr>
          <w:rFonts w:hint="eastAsia" w:ascii="宋体" w:hAnsi="宋体" w:cs="宋体"/>
          <w:color w:val="auto"/>
          <w:sz w:val="36"/>
        </w:rPr>
        <w:br w:type="page"/>
      </w:r>
    </w:p>
    <w:p>
      <w:pPr>
        <w:spacing w:line="360" w:lineRule="exact"/>
        <w:jc w:val="center"/>
        <w:outlineLvl w:val="0"/>
        <w:rPr>
          <w:rFonts w:ascii="宋体" w:hAnsi="宋体" w:cs="宋体"/>
          <w:b/>
          <w:color w:val="auto"/>
          <w:sz w:val="28"/>
          <w:szCs w:val="28"/>
        </w:rPr>
      </w:pPr>
      <w:bookmarkStart w:id="13" w:name="_Toc488673040"/>
      <w:r>
        <w:rPr>
          <w:rFonts w:hint="eastAsia" w:ascii="宋体" w:hAnsi="宋体" w:cs="宋体"/>
          <w:b/>
          <w:color w:val="auto"/>
          <w:sz w:val="28"/>
          <w:szCs w:val="28"/>
        </w:rPr>
        <w:t>第一章  竞争性谈判公告</w:t>
      </w:r>
      <w:bookmarkEnd w:id="13"/>
    </w:p>
    <w:p>
      <w:pPr>
        <w:spacing w:line="400" w:lineRule="exact"/>
        <w:jc w:val="center"/>
        <w:rPr>
          <w:rFonts w:ascii="宋体" w:hAnsi="宋体" w:cs="宋体"/>
          <w:b/>
          <w:color w:val="auto"/>
          <w:sz w:val="28"/>
          <w:szCs w:val="28"/>
        </w:rPr>
      </w:pPr>
      <w:r>
        <w:rPr>
          <w:rFonts w:hint="eastAsia" w:ascii="宋体" w:hAnsi="宋体" w:cs="宋体"/>
          <w:b/>
          <w:color w:val="auto"/>
          <w:sz w:val="28"/>
          <w:szCs w:val="28"/>
        </w:rPr>
        <w:t>防城港市中医医院康复设备采购</w:t>
      </w:r>
    </w:p>
    <w:p>
      <w:pPr>
        <w:spacing w:line="400" w:lineRule="exact"/>
        <w:jc w:val="center"/>
        <w:rPr>
          <w:rFonts w:ascii="宋体" w:hAnsi="宋体" w:cs="宋体"/>
          <w:b/>
          <w:color w:val="auto"/>
          <w:sz w:val="28"/>
          <w:szCs w:val="28"/>
        </w:rPr>
      </w:pPr>
      <w:r>
        <w:rPr>
          <w:rFonts w:hint="eastAsia" w:ascii="宋体" w:hAnsi="宋体" w:cs="宋体"/>
          <w:b/>
          <w:color w:val="auto"/>
          <w:sz w:val="28"/>
          <w:szCs w:val="28"/>
        </w:rPr>
        <w:t>竞争性谈判公告</w:t>
      </w:r>
    </w:p>
    <w:p>
      <w:pPr>
        <w:spacing w:line="440" w:lineRule="exact"/>
        <w:ind w:firstLine="420" w:firstLineChars="200"/>
        <w:rPr>
          <w:rFonts w:ascii="宋体" w:hAnsi="宋体" w:cs="宋体"/>
          <w:color w:val="auto"/>
        </w:rPr>
      </w:pPr>
      <w:bookmarkStart w:id="14" w:name="_Toc28359012"/>
      <w:bookmarkStart w:id="15" w:name="_Toc35393798"/>
      <w:bookmarkStart w:id="16" w:name="_Toc28359089"/>
      <w:bookmarkStart w:id="17" w:name="_Toc29697"/>
      <w:bookmarkStart w:id="18" w:name="_Toc35393629"/>
      <w:r>
        <w:rPr>
          <w:rFonts w:hint="eastAsia" w:ascii="宋体" w:hAnsi="宋体" w:cs="宋体"/>
          <w:color w:val="auto"/>
        </w:rPr>
        <w:t>项目概况</w:t>
      </w:r>
    </w:p>
    <w:p>
      <w:pPr>
        <w:spacing w:line="440" w:lineRule="exact"/>
        <w:ind w:firstLine="420" w:firstLineChars="200"/>
        <w:rPr>
          <w:rFonts w:ascii="宋体" w:hAnsi="宋体" w:cs="宋体"/>
          <w:color w:val="auto"/>
        </w:rPr>
      </w:pPr>
      <w:r>
        <w:rPr>
          <w:rFonts w:hint="eastAsia" w:ascii="宋体" w:hAnsi="宋体" w:cs="宋体"/>
          <w:color w:val="auto"/>
        </w:rPr>
        <w:t>防城港市中医医院康复设备采购项目的潜在供应商应在政采云平台获取竞争性谈判文件，并于</w:t>
      </w:r>
      <w:r>
        <w:rPr>
          <w:rFonts w:hint="eastAsia" w:ascii="宋体" w:hAnsi="宋体" w:cs="宋体"/>
          <w:color w:val="auto"/>
          <w:lang w:eastAsia="zh-CN"/>
        </w:rPr>
        <w:t>2020年12月10日13点30分整</w:t>
      </w:r>
      <w:r>
        <w:rPr>
          <w:rFonts w:hint="eastAsia" w:ascii="宋体" w:hAnsi="宋体" w:cs="宋体"/>
          <w:color w:val="auto"/>
        </w:rPr>
        <w:t>（北京时间）前提交响应文件。</w:t>
      </w:r>
    </w:p>
    <w:p>
      <w:pPr>
        <w:spacing w:line="440" w:lineRule="exact"/>
        <w:ind w:firstLine="420" w:firstLineChars="200"/>
        <w:rPr>
          <w:rFonts w:ascii="宋体" w:hAnsi="宋体" w:cs="宋体"/>
          <w:color w:val="auto"/>
        </w:rPr>
      </w:pPr>
      <w:r>
        <w:rPr>
          <w:rFonts w:hint="eastAsia" w:ascii="宋体" w:hAnsi="宋体" w:cs="宋体"/>
          <w:color w:val="auto"/>
        </w:rPr>
        <w:t>一、项目基本情况</w:t>
      </w:r>
      <w:bookmarkEnd w:id="14"/>
      <w:bookmarkEnd w:id="15"/>
      <w:bookmarkEnd w:id="16"/>
      <w:bookmarkEnd w:id="17"/>
      <w:bookmarkEnd w:id="18"/>
    </w:p>
    <w:p>
      <w:pPr>
        <w:spacing w:line="460" w:lineRule="exact"/>
        <w:ind w:firstLine="420" w:firstLineChars="200"/>
        <w:rPr>
          <w:rFonts w:ascii="宋体" w:hAnsi="宋体" w:cs="宋体"/>
          <w:color w:val="auto"/>
          <w:szCs w:val="21"/>
        </w:rPr>
      </w:pPr>
      <w:r>
        <w:rPr>
          <w:rFonts w:hint="eastAsia" w:ascii="宋体" w:hAnsi="宋体" w:cs="宋体"/>
          <w:color w:val="auto"/>
          <w:szCs w:val="21"/>
        </w:rPr>
        <w:t>项目编号：FCZC2020-J1-10008-KLZB</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项目名称：防城港市中医医院康复设备采购</w:t>
      </w:r>
    </w:p>
    <w:p>
      <w:pPr>
        <w:spacing w:line="460" w:lineRule="exact"/>
        <w:ind w:firstLine="420" w:firstLineChars="200"/>
        <w:rPr>
          <w:rFonts w:ascii="宋体" w:hAnsi="宋体" w:cs="宋体"/>
          <w:color w:val="auto"/>
          <w:szCs w:val="21"/>
        </w:rPr>
      </w:pPr>
      <w:r>
        <w:rPr>
          <w:rFonts w:hint="eastAsia" w:ascii="宋体" w:hAnsi="宋体" w:cs="宋体"/>
          <w:color w:val="auto"/>
          <w:szCs w:val="21"/>
        </w:rPr>
        <w:t>采购方式：☑竞争性谈判 □竞争性磋商 □询价</w:t>
      </w:r>
    </w:p>
    <w:p>
      <w:pPr>
        <w:spacing w:line="460" w:lineRule="exact"/>
        <w:ind w:firstLine="420" w:firstLineChars="200"/>
        <w:rPr>
          <w:rFonts w:ascii="宋体" w:hAnsi="宋体" w:cs="宋体"/>
          <w:color w:val="auto"/>
          <w:szCs w:val="21"/>
        </w:rPr>
      </w:pPr>
      <w:r>
        <w:rPr>
          <w:rFonts w:hint="eastAsia" w:ascii="宋体" w:hAnsi="宋体" w:cs="宋体"/>
          <w:color w:val="auto"/>
          <w:szCs w:val="21"/>
        </w:rPr>
        <w:t>预算金额：71.069万元</w:t>
      </w:r>
    </w:p>
    <w:p>
      <w:pPr>
        <w:spacing w:line="460" w:lineRule="exact"/>
        <w:ind w:firstLine="420" w:firstLineChars="200"/>
        <w:rPr>
          <w:rFonts w:ascii="宋体" w:hAnsi="宋体" w:cs="宋体"/>
          <w:color w:val="auto"/>
          <w:szCs w:val="21"/>
        </w:rPr>
      </w:pPr>
      <w:r>
        <w:rPr>
          <w:rFonts w:hint="eastAsia" w:ascii="宋体" w:hAnsi="宋体" w:cs="宋体"/>
          <w:color w:val="auto"/>
          <w:szCs w:val="21"/>
        </w:rPr>
        <w:t>最高限价：同预算金额</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采购需求：</w:t>
      </w:r>
      <w:r>
        <w:rPr>
          <w:rFonts w:hint="eastAsia" w:ascii="宋体" w:hAnsi="宋体" w:cs="宋体"/>
          <w:color w:val="auto"/>
        </w:rPr>
        <w:t>防城港市中医医院康复设备1批，详见采购需求。</w:t>
      </w:r>
    </w:p>
    <w:p>
      <w:pPr>
        <w:spacing w:line="460" w:lineRule="exact"/>
        <w:ind w:firstLine="420" w:firstLineChars="200"/>
        <w:rPr>
          <w:rFonts w:ascii="宋体" w:hAnsi="宋体" w:cs="宋体"/>
          <w:color w:val="auto"/>
          <w:szCs w:val="21"/>
          <w:u w:val="single"/>
        </w:rPr>
      </w:pPr>
      <w:r>
        <w:rPr>
          <w:rFonts w:hint="eastAsia" w:ascii="宋体" w:hAnsi="宋体" w:cs="宋体"/>
          <w:color w:val="auto"/>
          <w:szCs w:val="21"/>
        </w:rPr>
        <w:t>合同履行期限：自合同签订之日起</w:t>
      </w:r>
      <w:r>
        <w:rPr>
          <w:rFonts w:hint="eastAsia" w:ascii="宋体" w:hAnsi="宋体" w:cs="宋体"/>
          <w:color w:val="auto"/>
          <w:szCs w:val="21"/>
          <w:lang w:val="en-US" w:eastAsia="zh-CN"/>
        </w:rPr>
        <w:t>15</w:t>
      </w:r>
      <w:r>
        <w:rPr>
          <w:rFonts w:hint="eastAsia" w:ascii="宋体" w:hAnsi="宋体" w:cs="宋体"/>
          <w:color w:val="auto"/>
          <w:szCs w:val="21"/>
        </w:rPr>
        <w:t>天内（日历日）。</w:t>
      </w:r>
    </w:p>
    <w:p>
      <w:pPr>
        <w:spacing w:line="46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spacing w:line="440" w:lineRule="exact"/>
        <w:ind w:firstLine="420" w:firstLineChars="200"/>
        <w:rPr>
          <w:rFonts w:ascii="宋体" w:hAnsi="宋体" w:cs="宋体"/>
          <w:color w:val="auto"/>
        </w:rPr>
      </w:pPr>
      <w:bookmarkStart w:id="19" w:name="_Toc35393630"/>
      <w:bookmarkStart w:id="20" w:name="_Toc35393799"/>
      <w:bookmarkStart w:id="21" w:name="_Toc28359090"/>
      <w:bookmarkStart w:id="22" w:name="_Toc28359013"/>
      <w:bookmarkStart w:id="23" w:name="_Toc17565"/>
      <w:r>
        <w:rPr>
          <w:rFonts w:hint="eastAsia" w:ascii="宋体" w:hAnsi="宋体" w:cs="宋体"/>
          <w:color w:val="auto"/>
        </w:rPr>
        <w:t>二、申请人的资格要求：</w:t>
      </w:r>
      <w:bookmarkEnd w:id="19"/>
      <w:bookmarkEnd w:id="20"/>
      <w:bookmarkEnd w:id="21"/>
      <w:bookmarkEnd w:id="22"/>
      <w:bookmarkEnd w:id="23"/>
    </w:p>
    <w:p>
      <w:pPr>
        <w:spacing w:line="440" w:lineRule="exact"/>
        <w:ind w:firstLine="420" w:firstLineChars="200"/>
        <w:rPr>
          <w:rFonts w:ascii="宋体" w:hAnsi="宋体" w:cs="宋体"/>
          <w:color w:val="auto"/>
        </w:rPr>
      </w:pPr>
      <w:bookmarkStart w:id="24" w:name="_Toc28359091"/>
      <w:bookmarkStart w:id="25" w:name="_Toc35393631"/>
      <w:bookmarkStart w:id="26" w:name="_Toc28414"/>
      <w:bookmarkStart w:id="27" w:name="_Toc28359014"/>
      <w:bookmarkStart w:id="28" w:name="_Toc35393800"/>
      <w:r>
        <w:rPr>
          <w:rFonts w:hint="eastAsia" w:ascii="宋体" w:hAnsi="宋体" w:cs="宋体"/>
          <w:color w:val="auto"/>
        </w:rPr>
        <w:t>1.满足《中华人民共和国政府采购法》第二十二条规定；</w:t>
      </w:r>
    </w:p>
    <w:p>
      <w:pPr>
        <w:spacing w:line="440" w:lineRule="exact"/>
        <w:ind w:firstLine="420" w:firstLineChars="200"/>
        <w:rPr>
          <w:rFonts w:ascii="宋体" w:hAnsi="宋体" w:cs="宋体"/>
          <w:color w:val="auto"/>
        </w:rPr>
      </w:pPr>
      <w:r>
        <w:rPr>
          <w:rFonts w:hint="eastAsia" w:ascii="宋体" w:hAnsi="宋体" w:cs="宋体"/>
          <w:color w:val="auto"/>
        </w:rPr>
        <w:t>2.落实政府采购政策需满足的资格要求：无；</w:t>
      </w:r>
    </w:p>
    <w:p>
      <w:pPr>
        <w:spacing w:line="440" w:lineRule="exact"/>
        <w:ind w:firstLine="420" w:firstLineChars="200"/>
        <w:rPr>
          <w:rFonts w:ascii="宋体" w:hAnsi="宋体" w:cs="宋体"/>
          <w:color w:val="auto"/>
        </w:rPr>
      </w:pPr>
      <w:r>
        <w:rPr>
          <w:rFonts w:hint="eastAsia" w:ascii="宋体" w:hAnsi="宋体" w:cs="宋体"/>
          <w:color w:val="auto"/>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20" w:firstLineChars="200"/>
        <w:rPr>
          <w:rFonts w:ascii="宋体" w:hAnsi="宋体" w:cs="宋体"/>
          <w:color w:val="auto"/>
        </w:rPr>
      </w:pPr>
      <w:r>
        <w:rPr>
          <w:rFonts w:hint="eastAsia" w:ascii="宋体" w:hAnsi="宋体" w:cs="宋体"/>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0" w:firstLineChars="200"/>
        <w:rPr>
          <w:rFonts w:ascii="宋体" w:hAnsi="宋体" w:cs="宋体"/>
          <w:color w:val="auto"/>
        </w:rPr>
      </w:pPr>
      <w:r>
        <w:rPr>
          <w:rFonts w:hint="eastAsia" w:ascii="宋体" w:hAnsi="宋体" w:cs="宋体"/>
          <w:color w:val="auto"/>
        </w:rPr>
        <w:t>5.本项目的特定资格要求：供应商必须具有行业主管部门颁发的有效的《中华人民共和国医疗器械经营企业许可证》或《中华人民共和国医疗器械生产企业许可证》或《二类医疗器械经营备案凭证》。</w:t>
      </w:r>
    </w:p>
    <w:p>
      <w:pPr>
        <w:spacing w:line="440" w:lineRule="exact"/>
        <w:ind w:firstLine="420" w:firstLineChars="200"/>
        <w:rPr>
          <w:rFonts w:ascii="宋体" w:hAnsi="宋体" w:cs="宋体"/>
          <w:color w:val="auto"/>
        </w:rPr>
      </w:pPr>
      <w:r>
        <w:rPr>
          <w:rFonts w:hint="eastAsia" w:ascii="宋体" w:hAnsi="宋体" w:cs="宋体"/>
          <w:color w:val="auto"/>
        </w:rPr>
        <w:t>三、获取采购文件</w:t>
      </w:r>
      <w:bookmarkEnd w:id="24"/>
      <w:bookmarkEnd w:id="25"/>
      <w:bookmarkEnd w:id="26"/>
      <w:bookmarkEnd w:id="27"/>
      <w:bookmarkEnd w:id="28"/>
    </w:p>
    <w:p>
      <w:pPr>
        <w:spacing w:line="460" w:lineRule="exact"/>
        <w:ind w:firstLine="420" w:firstLineChars="200"/>
        <w:rPr>
          <w:rFonts w:ascii="宋体" w:hAnsi="宋体" w:cs="宋体"/>
          <w:color w:val="auto"/>
          <w:szCs w:val="21"/>
        </w:rPr>
      </w:pPr>
      <w:r>
        <w:rPr>
          <w:rFonts w:hint="eastAsia" w:ascii="宋体" w:hAnsi="宋体" w:cs="宋体"/>
          <w:color w:val="auto"/>
          <w:szCs w:val="21"/>
        </w:rPr>
        <w:t>1.时间：本公告发布之时起至2020年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日18时00分止。</w:t>
      </w:r>
    </w:p>
    <w:p>
      <w:pPr>
        <w:spacing w:line="430" w:lineRule="exact"/>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地点：政采云平台</w:t>
      </w:r>
    </w:p>
    <w:p>
      <w:pPr>
        <w:spacing w:line="430" w:lineRule="exact"/>
        <w:ind w:firstLine="424" w:firstLineChars="202"/>
        <w:rPr>
          <w:rFonts w:ascii="宋体" w:hAnsi="宋体" w:cs="宋体"/>
          <w:color w:val="auto"/>
          <w:szCs w:val="21"/>
        </w:rPr>
      </w:pPr>
      <w:r>
        <w:rPr>
          <w:rFonts w:hint="eastAsia" w:ascii="宋体" w:hAnsi="宋体" w:cs="宋体"/>
          <w:color w:val="auto"/>
          <w:szCs w:val="21"/>
        </w:rPr>
        <w:t>3.方式：本项目由潜在供应商登陆政采云平台下载竞争性谈判采购文件电子版，并根据竞争性谈判采购文件规定的响应文件递交截止时间和地点提交响应文件。未注册的供应商可登录政采云平台进行注册（政采云平台-商家入驻-注册），如在操作过程中遇到问题或者需要技术支持，请致电政采云客服热线：400-881-7190。</w:t>
      </w:r>
    </w:p>
    <w:p>
      <w:pPr>
        <w:spacing w:line="430" w:lineRule="exact"/>
        <w:ind w:firstLine="424" w:firstLineChars="202"/>
        <w:rPr>
          <w:rFonts w:ascii="宋体" w:hAnsi="宋体" w:cs="宋体"/>
          <w:color w:val="auto"/>
          <w:szCs w:val="21"/>
        </w:rPr>
      </w:pPr>
      <w:r>
        <w:rPr>
          <w:rFonts w:hint="eastAsia" w:ascii="宋体" w:hAnsi="宋体" w:cs="宋体"/>
          <w:color w:val="auto"/>
          <w:szCs w:val="21"/>
        </w:rPr>
        <w:t>4.售价：0元</w:t>
      </w:r>
    </w:p>
    <w:p>
      <w:pPr>
        <w:spacing w:line="440" w:lineRule="exact"/>
        <w:ind w:firstLine="420" w:firstLineChars="200"/>
        <w:rPr>
          <w:rFonts w:ascii="宋体" w:hAnsi="宋体" w:cs="宋体"/>
          <w:color w:val="auto"/>
        </w:rPr>
      </w:pPr>
      <w:bookmarkStart w:id="29" w:name="_Toc28359092"/>
      <w:bookmarkStart w:id="30" w:name="_Toc35393632"/>
      <w:bookmarkStart w:id="31" w:name="_Toc35393801"/>
      <w:bookmarkStart w:id="32" w:name="_Toc18096"/>
      <w:bookmarkStart w:id="33" w:name="_Toc28359015"/>
      <w:r>
        <w:rPr>
          <w:rFonts w:hint="eastAsia" w:ascii="宋体" w:hAnsi="宋体" w:cs="宋体"/>
          <w:color w:val="auto"/>
        </w:rPr>
        <w:t>四、响应文件提交</w:t>
      </w:r>
    </w:p>
    <w:p>
      <w:pPr>
        <w:spacing w:line="440" w:lineRule="exact"/>
        <w:ind w:firstLine="420" w:firstLineChars="200"/>
        <w:rPr>
          <w:rFonts w:ascii="宋体" w:hAnsi="宋体" w:cs="宋体"/>
          <w:color w:val="auto"/>
        </w:rPr>
      </w:pPr>
      <w:r>
        <w:rPr>
          <w:rFonts w:hint="eastAsia" w:ascii="宋体" w:hAnsi="宋体" w:cs="宋体"/>
          <w:color w:val="auto"/>
        </w:rPr>
        <w:t>截止时间：2020年12月</w:t>
      </w:r>
      <w:r>
        <w:rPr>
          <w:rFonts w:hint="eastAsia" w:ascii="宋体" w:hAnsi="宋体" w:cs="宋体"/>
          <w:color w:val="auto"/>
          <w:lang w:val="en-US" w:eastAsia="zh-CN"/>
        </w:rPr>
        <w:t>10</w:t>
      </w:r>
      <w:r>
        <w:rPr>
          <w:rFonts w:hint="eastAsia" w:ascii="宋体" w:hAnsi="宋体" w:cs="宋体"/>
          <w:color w:val="auto"/>
        </w:rPr>
        <w:t>日</w:t>
      </w:r>
      <w:r>
        <w:rPr>
          <w:rFonts w:hint="eastAsia" w:ascii="宋体" w:hAnsi="宋体" w:cs="宋体"/>
          <w:color w:val="auto"/>
          <w:lang w:val="en-US" w:eastAsia="zh-CN"/>
        </w:rPr>
        <w:t>13</w:t>
      </w:r>
      <w:r>
        <w:rPr>
          <w:rFonts w:hint="eastAsia" w:ascii="宋体" w:hAnsi="宋体" w:cs="宋体"/>
          <w:color w:val="auto"/>
        </w:rPr>
        <w:t>点30分整（北京时间）</w:t>
      </w:r>
    </w:p>
    <w:p>
      <w:pPr>
        <w:spacing w:line="440" w:lineRule="exact"/>
        <w:ind w:firstLine="420" w:firstLineChars="200"/>
        <w:rPr>
          <w:rFonts w:ascii="宋体" w:hAnsi="宋体" w:cs="宋体"/>
          <w:color w:val="auto"/>
        </w:rPr>
      </w:pPr>
      <w:r>
        <w:rPr>
          <w:rFonts w:hint="eastAsia" w:ascii="宋体" w:hAnsi="宋体" w:cs="宋体"/>
          <w:color w:val="auto"/>
        </w:rPr>
        <w:t>地点：防城港市公共资源交易中心（防城港市迎宾路红树林大厦东塔）（具体开标室以响应文件提交当天防城港市公共资源交易中心六楼电子显示屏公布的开标室为准）</w:t>
      </w:r>
    </w:p>
    <w:p>
      <w:pPr>
        <w:spacing w:line="440" w:lineRule="exact"/>
        <w:ind w:firstLine="420" w:firstLineChars="200"/>
        <w:rPr>
          <w:rFonts w:ascii="宋体" w:hAnsi="宋体" w:cs="宋体"/>
          <w:color w:val="auto"/>
        </w:rPr>
      </w:pPr>
      <w:r>
        <w:rPr>
          <w:rFonts w:hint="eastAsia" w:ascii="宋体" w:hAnsi="宋体" w:cs="宋体"/>
          <w:color w:val="auto"/>
        </w:rPr>
        <w:t>注：供应商应当在响应文件提交截止时间前，将响应文件密封送达响应文件提交地点。在响应文件提交截止时间后送达的响应文件为无效文件，采购代理机构应当拒收。</w:t>
      </w:r>
    </w:p>
    <w:p>
      <w:pPr>
        <w:spacing w:line="440" w:lineRule="exact"/>
        <w:ind w:firstLine="420" w:firstLineChars="200"/>
        <w:rPr>
          <w:rFonts w:ascii="宋体" w:hAnsi="宋体" w:cs="宋体"/>
          <w:color w:val="auto"/>
        </w:rPr>
      </w:pPr>
      <w:r>
        <w:rPr>
          <w:rFonts w:hint="eastAsia" w:ascii="宋体" w:hAnsi="宋体" w:cs="宋体"/>
          <w:color w:val="auto"/>
        </w:rPr>
        <w:t>五、开启</w:t>
      </w:r>
    </w:p>
    <w:p>
      <w:pPr>
        <w:spacing w:line="440" w:lineRule="exact"/>
        <w:ind w:firstLine="420" w:firstLineChars="200"/>
        <w:rPr>
          <w:rFonts w:ascii="宋体" w:hAnsi="宋体" w:cs="宋体"/>
          <w:color w:val="auto"/>
        </w:rPr>
      </w:pPr>
      <w:r>
        <w:rPr>
          <w:rFonts w:hint="eastAsia" w:ascii="宋体" w:hAnsi="宋体" w:cs="宋体"/>
          <w:color w:val="auto"/>
        </w:rPr>
        <w:t>时间：</w:t>
      </w:r>
      <w:r>
        <w:rPr>
          <w:rFonts w:hint="eastAsia" w:ascii="宋体" w:hAnsi="宋体" w:cs="宋体"/>
          <w:color w:val="auto"/>
          <w:lang w:eastAsia="zh-CN"/>
        </w:rPr>
        <w:t>2020年12月10日13点30分</w:t>
      </w:r>
      <w:r>
        <w:rPr>
          <w:rFonts w:hint="eastAsia" w:ascii="宋体" w:hAnsi="宋体" w:cs="宋体"/>
          <w:color w:val="auto"/>
        </w:rPr>
        <w:t>（北京时间）</w:t>
      </w:r>
    </w:p>
    <w:p>
      <w:pPr>
        <w:spacing w:line="440" w:lineRule="exact"/>
        <w:ind w:firstLine="420" w:firstLineChars="200"/>
        <w:rPr>
          <w:rFonts w:ascii="宋体" w:hAnsi="宋体" w:cs="宋体"/>
          <w:color w:val="auto"/>
        </w:rPr>
      </w:pPr>
      <w:r>
        <w:rPr>
          <w:rFonts w:hint="eastAsia" w:ascii="宋体" w:hAnsi="宋体" w:cs="宋体"/>
          <w:color w:val="auto"/>
        </w:rPr>
        <w:t>地点：防城港市公共资源交易中心（防城港市迎宾路红树林大厦东塔）六楼评标室</w:t>
      </w:r>
    </w:p>
    <w:p>
      <w:pPr>
        <w:spacing w:line="440" w:lineRule="exact"/>
        <w:ind w:firstLine="420" w:firstLineChars="200"/>
        <w:rPr>
          <w:rFonts w:ascii="宋体" w:hAnsi="宋体" w:cs="宋体"/>
          <w:color w:val="auto"/>
        </w:rPr>
      </w:pPr>
      <w:r>
        <w:rPr>
          <w:rFonts w:hint="eastAsia" w:ascii="宋体" w:hAnsi="宋体" w:cs="宋体"/>
          <w:color w:val="auto"/>
        </w:rPr>
        <w:t>六、公告期限</w:t>
      </w:r>
    </w:p>
    <w:p>
      <w:pPr>
        <w:spacing w:line="440" w:lineRule="exact"/>
        <w:ind w:firstLine="420" w:firstLineChars="200"/>
        <w:rPr>
          <w:rFonts w:ascii="宋体" w:hAnsi="宋体" w:cs="宋体"/>
          <w:color w:val="auto"/>
        </w:rPr>
      </w:pPr>
      <w:r>
        <w:rPr>
          <w:rFonts w:hint="eastAsia" w:ascii="宋体" w:hAnsi="宋体" w:cs="宋体"/>
          <w:color w:val="auto"/>
        </w:rPr>
        <w:t>自本公告发布之日起3个工作日。</w:t>
      </w:r>
    </w:p>
    <w:p>
      <w:pPr>
        <w:spacing w:line="440" w:lineRule="exact"/>
        <w:ind w:firstLine="420" w:firstLineChars="200"/>
        <w:rPr>
          <w:rFonts w:ascii="宋体" w:hAnsi="宋体" w:cs="宋体"/>
          <w:color w:val="auto"/>
        </w:rPr>
      </w:pPr>
      <w:r>
        <w:rPr>
          <w:rFonts w:hint="eastAsia" w:ascii="宋体" w:hAnsi="宋体" w:cs="宋体"/>
          <w:color w:val="auto"/>
        </w:rPr>
        <w:t>七、其他补充事宜</w:t>
      </w:r>
    </w:p>
    <w:p>
      <w:pPr>
        <w:spacing w:line="440" w:lineRule="exact"/>
        <w:ind w:firstLine="420" w:firstLineChars="200"/>
        <w:rPr>
          <w:rFonts w:ascii="宋体" w:hAnsi="宋体" w:cs="宋体"/>
          <w:color w:val="auto"/>
        </w:rPr>
      </w:pPr>
      <w:r>
        <w:rPr>
          <w:rFonts w:hint="eastAsia" w:ascii="宋体" w:hAnsi="宋体" w:cs="宋体"/>
          <w:color w:val="auto"/>
        </w:rPr>
        <w:t>1.网上查询地址：中国政府采购网、广西壮族自治区政府采购网、广西防城港政府采购网站、防城港市公共资源交易中心。</w:t>
      </w:r>
    </w:p>
    <w:p>
      <w:pPr>
        <w:spacing w:line="440" w:lineRule="exact"/>
        <w:ind w:firstLine="420" w:firstLineChars="200"/>
        <w:rPr>
          <w:rFonts w:ascii="宋体" w:hAnsi="宋体" w:cs="宋体"/>
          <w:color w:val="auto"/>
        </w:rPr>
      </w:pPr>
      <w:r>
        <w:rPr>
          <w:rFonts w:hint="eastAsia" w:ascii="宋体" w:hAnsi="宋体" w:cs="宋体"/>
          <w:color w:val="auto"/>
        </w:rPr>
        <w:t>2.本项目需要落实的政府采购政策：</w:t>
      </w:r>
    </w:p>
    <w:p>
      <w:pPr>
        <w:spacing w:line="440" w:lineRule="exact"/>
        <w:ind w:firstLine="420" w:firstLineChars="200"/>
        <w:rPr>
          <w:rFonts w:ascii="宋体" w:hAnsi="宋体" w:cs="宋体"/>
          <w:color w:val="auto"/>
        </w:rPr>
      </w:pPr>
      <w:r>
        <w:rPr>
          <w:rFonts w:hint="eastAsia" w:ascii="宋体" w:hAnsi="宋体" w:cs="宋体"/>
          <w:color w:val="auto"/>
        </w:rPr>
        <w:t>（1）政府采购促进中小企业发展。</w:t>
      </w:r>
    </w:p>
    <w:p>
      <w:pPr>
        <w:spacing w:line="440" w:lineRule="exact"/>
        <w:ind w:firstLine="420" w:firstLineChars="200"/>
        <w:rPr>
          <w:rFonts w:ascii="宋体" w:hAnsi="宋体" w:cs="宋体"/>
          <w:color w:val="auto"/>
        </w:rPr>
      </w:pPr>
      <w:r>
        <w:rPr>
          <w:rFonts w:hint="eastAsia" w:ascii="宋体" w:hAnsi="宋体" w:cs="宋体"/>
          <w:color w:val="auto"/>
        </w:rPr>
        <w:t>（2）政府采购支持采用本国产品的政策。</w:t>
      </w:r>
    </w:p>
    <w:p>
      <w:pPr>
        <w:spacing w:line="440" w:lineRule="exact"/>
        <w:ind w:firstLine="420" w:firstLineChars="200"/>
        <w:rPr>
          <w:rFonts w:ascii="宋体" w:hAnsi="宋体" w:cs="宋体"/>
          <w:color w:val="auto"/>
        </w:rPr>
      </w:pPr>
      <w:r>
        <w:rPr>
          <w:rFonts w:hint="eastAsia" w:ascii="宋体" w:hAnsi="宋体" w:cs="宋体"/>
          <w:color w:val="auto"/>
        </w:rPr>
        <w:t>（3）强制采购节能产品；优先采购节能产品、环境标志产品。</w:t>
      </w:r>
    </w:p>
    <w:p>
      <w:pPr>
        <w:spacing w:line="440" w:lineRule="exact"/>
        <w:ind w:firstLine="420" w:firstLineChars="200"/>
        <w:rPr>
          <w:rFonts w:ascii="宋体" w:hAnsi="宋体" w:cs="宋体"/>
          <w:color w:val="auto"/>
        </w:rPr>
      </w:pPr>
      <w:r>
        <w:rPr>
          <w:rFonts w:hint="eastAsia" w:ascii="宋体" w:hAnsi="宋体" w:cs="宋体"/>
          <w:color w:val="auto"/>
        </w:rPr>
        <w:t>（4）政府采购促进残疾人就业政策。</w:t>
      </w:r>
    </w:p>
    <w:p>
      <w:pPr>
        <w:spacing w:line="440" w:lineRule="exact"/>
        <w:ind w:firstLine="420" w:firstLineChars="200"/>
        <w:rPr>
          <w:rFonts w:ascii="宋体" w:hAnsi="宋体" w:cs="宋体"/>
          <w:color w:val="auto"/>
        </w:rPr>
      </w:pPr>
      <w:r>
        <w:rPr>
          <w:rFonts w:hint="eastAsia" w:ascii="宋体" w:hAnsi="宋体" w:cs="宋体"/>
          <w:color w:val="auto"/>
        </w:rPr>
        <w:t>（5）政府采购支持监狱企业发展。</w:t>
      </w:r>
    </w:p>
    <w:p>
      <w:pPr>
        <w:spacing w:line="440" w:lineRule="exact"/>
        <w:ind w:firstLine="420" w:firstLineChars="200"/>
        <w:rPr>
          <w:rFonts w:ascii="宋体" w:hAnsi="宋体" w:cs="宋体"/>
          <w:color w:val="auto"/>
        </w:rPr>
      </w:pPr>
      <w:r>
        <w:rPr>
          <w:rFonts w:hint="eastAsia" w:ascii="宋体" w:hAnsi="宋体" w:cs="宋体"/>
          <w:color w:val="auto"/>
        </w:rPr>
        <w:t>3.竞标保证金：无。</w:t>
      </w:r>
    </w:p>
    <w:p>
      <w:pPr>
        <w:spacing w:line="440" w:lineRule="exact"/>
        <w:ind w:firstLine="420" w:firstLineChars="200"/>
        <w:rPr>
          <w:rFonts w:ascii="宋体" w:hAnsi="宋体" w:cs="宋体"/>
          <w:color w:val="auto"/>
        </w:rPr>
      </w:pPr>
      <w:r>
        <w:rPr>
          <w:rFonts w:hint="eastAsia" w:ascii="宋体" w:hAnsi="宋体" w:cs="宋体"/>
          <w:color w:val="auto"/>
        </w:rPr>
        <w:t>八、凡对本次采购提出询问，请按以下方式联系。</w:t>
      </w:r>
    </w:p>
    <w:p>
      <w:pPr>
        <w:spacing w:line="440" w:lineRule="exact"/>
        <w:ind w:firstLine="420" w:firstLineChars="200"/>
        <w:rPr>
          <w:rFonts w:ascii="宋体" w:hAnsi="宋体" w:cs="宋体"/>
          <w:color w:val="auto"/>
        </w:rPr>
      </w:pPr>
      <w:r>
        <w:rPr>
          <w:rFonts w:hint="eastAsia" w:ascii="宋体" w:hAnsi="宋体" w:cs="宋体"/>
          <w:color w:val="auto"/>
        </w:rPr>
        <w:t>1.采购人信息</w:t>
      </w:r>
    </w:p>
    <w:p>
      <w:pPr>
        <w:spacing w:line="440" w:lineRule="exact"/>
        <w:ind w:firstLine="420" w:firstLineChars="200"/>
        <w:rPr>
          <w:rFonts w:ascii="宋体" w:hAnsi="宋体" w:cs="宋体"/>
          <w:color w:val="auto"/>
        </w:rPr>
      </w:pPr>
      <w:r>
        <w:rPr>
          <w:rFonts w:hint="eastAsia" w:ascii="宋体" w:hAnsi="宋体" w:cs="宋体"/>
          <w:color w:val="auto"/>
        </w:rPr>
        <w:t>名 称：防城港市中医医院</w:t>
      </w:r>
    </w:p>
    <w:p>
      <w:pPr>
        <w:spacing w:line="440" w:lineRule="exact"/>
        <w:ind w:firstLine="420" w:firstLineChars="200"/>
        <w:rPr>
          <w:rFonts w:ascii="宋体" w:hAnsi="宋体" w:cs="宋体"/>
          <w:color w:val="auto"/>
        </w:rPr>
      </w:pPr>
      <w:r>
        <w:rPr>
          <w:rFonts w:hint="eastAsia" w:ascii="宋体" w:hAnsi="宋体" w:cs="宋体"/>
          <w:color w:val="auto"/>
        </w:rPr>
        <w:t>地 址：防城港市防城区二桥东路8号</w:t>
      </w:r>
    </w:p>
    <w:p>
      <w:pPr>
        <w:spacing w:line="440" w:lineRule="exact"/>
        <w:ind w:firstLine="420" w:firstLineChars="200"/>
        <w:rPr>
          <w:rFonts w:ascii="宋体" w:hAnsi="宋体" w:cs="宋体"/>
          <w:color w:val="auto"/>
        </w:rPr>
      </w:pPr>
      <w:r>
        <w:rPr>
          <w:rFonts w:hint="eastAsia" w:ascii="宋体" w:hAnsi="宋体" w:cs="宋体"/>
          <w:color w:val="auto"/>
        </w:rPr>
        <w:t>联系方式：曾宪武、赵小瑜0770-3270106</w:t>
      </w:r>
    </w:p>
    <w:p>
      <w:pPr>
        <w:spacing w:line="440" w:lineRule="exact"/>
        <w:ind w:firstLine="420" w:firstLineChars="200"/>
        <w:rPr>
          <w:rFonts w:ascii="宋体" w:hAnsi="宋体" w:cs="宋体"/>
          <w:color w:val="auto"/>
        </w:rPr>
      </w:pPr>
      <w:r>
        <w:rPr>
          <w:rFonts w:hint="eastAsia" w:ascii="宋体" w:hAnsi="宋体" w:cs="宋体"/>
          <w:color w:val="auto"/>
        </w:rPr>
        <w:t>2.采购代理机构信息</w:t>
      </w:r>
    </w:p>
    <w:p>
      <w:pPr>
        <w:spacing w:line="440" w:lineRule="exact"/>
        <w:ind w:firstLine="420" w:firstLineChars="200"/>
        <w:rPr>
          <w:rFonts w:ascii="宋体" w:hAnsi="宋体" w:cs="宋体"/>
          <w:color w:val="auto"/>
        </w:rPr>
      </w:pPr>
      <w:r>
        <w:rPr>
          <w:rFonts w:hint="eastAsia" w:ascii="宋体" w:hAnsi="宋体" w:cs="宋体"/>
          <w:color w:val="auto"/>
        </w:rPr>
        <w:t>名称：广西科联招标中心有限公司</w:t>
      </w:r>
    </w:p>
    <w:p>
      <w:pPr>
        <w:spacing w:line="440" w:lineRule="exact"/>
        <w:ind w:firstLine="420" w:firstLineChars="200"/>
        <w:rPr>
          <w:rFonts w:ascii="宋体" w:hAnsi="宋体" w:cs="宋体"/>
          <w:color w:val="auto"/>
        </w:rPr>
      </w:pPr>
      <w:r>
        <w:rPr>
          <w:rFonts w:hint="eastAsia" w:ascii="宋体" w:hAnsi="宋体" w:cs="宋体"/>
          <w:color w:val="auto"/>
        </w:rPr>
        <w:t>地址：防城港市港口区桃花湾广场珍珠路6号桂海东盟新城9＃（H栋）605号房</w:t>
      </w:r>
    </w:p>
    <w:p>
      <w:pPr>
        <w:spacing w:line="440" w:lineRule="exact"/>
        <w:ind w:firstLine="420" w:firstLineChars="200"/>
        <w:rPr>
          <w:rFonts w:ascii="宋体" w:hAnsi="宋体" w:cs="宋体"/>
          <w:color w:val="auto"/>
        </w:rPr>
      </w:pPr>
      <w:r>
        <w:rPr>
          <w:rFonts w:hint="eastAsia" w:ascii="宋体" w:hAnsi="宋体" w:cs="宋体"/>
          <w:color w:val="auto"/>
        </w:rPr>
        <w:t>联系方式：0770-2821504</w:t>
      </w:r>
    </w:p>
    <w:p>
      <w:pPr>
        <w:spacing w:line="440" w:lineRule="exact"/>
        <w:ind w:firstLine="420" w:firstLineChars="200"/>
        <w:rPr>
          <w:rFonts w:ascii="宋体" w:hAnsi="宋体" w:cs="宋体"/>
          <w:color w:val="auto"/>
        </w:rPr>
      </w:pPr>
      <w:r>
        <w:rPr>
          <w:rFonts w:hint="eastAsia" w:ascii="宋体" w:hAnsi="宋体" w:cs="宋体"/>
          <w:color w:val="auto"/>
        </w:rPr>
        <w:t>3.项目联系方式</w:t>
      </w:r>
    </w:p>
    <w:p>
      <w:pPr>
        <w:spacing w:line="440" w:lineRule="exact"/>
        <w:ind w:firstLine="420" w:firstLineChars="200"/>
        <w:rPr>
          <w:rFonts w:ascii="宋体" w:hAnsi="宋体" w:cs="宋体"/>
          <w:color w:val="auto"/>
        </w:rPr>
      </w:pPr>
      <w:r>
        <w:rPr>
          <w:rFonts w:hint="eastAsia" w:ascii="宋体" w:hAnsi="宋体" w:cs="宋体"/>
          <w:color w:val="auto"/>
        </w:rPr>
        <w:t>项目联系人：梁莉萍</w:t>
      </w:r>
    </w:p>
    <w:p>
      <w:pPr>
        <w:spacing w:line="440" w:lineRule="exact"/>
        <w:ind w:firstLine="420" w:firstLineChars="200"/>
        <w:rPr>
          <w:rFonts w:ascii="宋体" w:hAnsi="宋体" w:cs="宋体"/>
          <w:color w:val="auto"/>
        </w:rPr>
      </w:pPr>
      <w:r>
        <w:rPr>
          <w:rFonts w:hint="eastAsia" w:ascii="宋体" w:hAnsi="宋体" w:cs="宋体"/>
          <w:color w:val="auto"/>
        </w:rPr>
        <w:t>电 话：0770-2821504</w:t>
      </w:r>
    </w:p>
    <w:p>
      <w:pPr>
        <w:spacing w:line="440" w:lineRule="exact"/>
        <w:ind w:firstLine="420" w:firstLineChars="200"/>
        <w:rPr>
          <w:rFonts w:ascii="宋体" w:hAnsi="宋体" w:cs="宋体"/>
          <w:color w:val="auto"/>
        </w:rPr>
      </w:pPr>
      <w:r>
        <w:rPr>
          <w:rFonts w:hint="eastAsia" w:ascii="宋体" w:hAnsi="宋体" w:cs="宋体"/>
          <w:color w:val="auto"/>
        </w:rPr>
        <w:t>4.监督部门</w:t>
      </w:r>
    </w:p>
    <w:p>
      <w:pPr>
        <w:spacing w:line="440" w:lineRule="exact"/>
        <w:ind w:firstLine="420" w:firstLineChars="200"/>
        <w:rPr>
          <w:rFonts w:ascii="宋体" w:hAnsi="宋体" w:cs="宋体"/>
          <w:color w:val="auto"/>
        </w:rPr>
      </w:pPr>
      <w:r>
        <w:rPr>
          <w:rFonts w:hint="eastAsia" w:ascii="宋体" w:hAnsi="宋体" w:cs="宋体"/>
          <w:color w:val="auto"/>
        </w:rPr>
        <w:t>名 称：防城港市政府采购管理中心</w:t>
      </w:r>
    </w:p>
    <w:p>
      <w:pPr>
        <w:spacing w:line="440" w:lineRule="exact"/>
        <w:ind w:firstLine="420" w:firstLineChars="200"/>
        <w:rPr>
          <w:rFonts w:ascii="宋体" w:hAnsi="宋体" w:cs="宋体"/>
          <w:color w:val="auto"/>
        </w:rPr>
      </w:pPr>
      <w:r>
        <w:rPr>
          <w:rFonts w:hint="eastAsia" w:ascii="宋体" w:hAnsi="宋体" w:cs="宋体"/>
          <w:color w:val="auto"/>
        </w:rPr>
        <w:t>电 话：0770-6102319</w:t>
      </w:r>
    </w:p>
    <w:bookmarkEnd w:id="29"/>
    <w:bookmarkEnd w:id="30"/>
    <w:bookmarkEnd w:id="31"/>
    <w:bookmarkEnd w:id="32"/>
    <w:bookmarkEnd w:id="33"/>
    <w:p>
      <w:pPr>
        <w:spacing w:line="460" w:lineRule="exact"/>
        <w:jc w:val="right"/>
        <w:rPr>
          <w:rFonts w:ascii="宋体" w:hAnsi="宋体" w:cs="宋体"/>
          <w:color w:val="auto"/>
          <w:szCs w:val="32"/>
        </w:rPr>
      </w:pPr>
    </w:p>
    <w:p>
      <w:pPr>
        <w:spacing w:line="460" w:lineRule="exact"/>
        <w:jc w:val="right"/>
        <w:rPr>
          <w:rFonts w:ascii="宋体" w:hAnsi="宋体" w:cs="宋体"/>
          <w:color w:val="auto"/>
          <w:szCs w:val="32"/>
        </w:rPr>
      </w:pPr>
      <w:r>
        <w:rPr>
          <w:rFonts w:hint="eastAsia" w:ascii="宋体" w:hAnsi="宋体" w:cs="宋体"/>
          <w:color w:val="auto"/>
          <w:szCs w:val="32"/>
        </w:rPr>
        <w:t>采购人：防城港市中医医院</w:t>
      </w:r>
    </w:p>
    <w:p>
      <w:pPr>
        <w:spacing w:line="460" w:lineRule="exact"/>
        <w:jc w:val="right"/>
        <w:rPr>
          <w:rFonts w:ascii="宋体" w:hAnsi="宋体" w:cs="宋体"/>
          <w:color w:val="auto"/>
          <w:szCs w:val="32"/>
        </w:rPr>
      </w:pPr>
      <w:r>
        <w:rPr>
          <w:rFonts w:hint="eastAsia" w:ascii="宋体" w:hAnsi="宋体" w:cs="宋体"/>
          <w:color w:val="auto"/>
          <w:szCs w:val="32"/>
        </w:rPr>
        <w:t>采购代理机构：广西科联招标中心有限公司</w:t>
      </w:r>
    </w:p>
    <w:p>
      <w:pPr>
        <w:wordWrap w:val="0"/>
        <w:spacing w:line="460" w:lineRule="exact"/>
        <w:jc w:val="right"/>
        <w:rPr>
          <w:rFonts w:ascii="宋体" w:hAnsi="宋体" w:cs="宋体"/>
          <w:color w:val="auto"/>
        </w:rPr>
      </w:pPr>
      <w:r>
        <w:rPr>
          <w:rFonts w:hint="eastAsia" w:ascii="宋体" w:hAnsi="宋体" w:cs="宋体"/>
          <w:color w:val="auto"/>
          <w:szCs w:val="21"/>
        </w:rPr>
        <w:t>2020年12月</w:t>
      </w:r>
      <w:r>
        <w:rPr>
          <w:rFonts w:hint="eastAsia" w:ascii="宋体" w:hAnsi="宋体" w:cs="宋体"/>
          <w:color w:val="auto"/>
          <w:szCs w:val="21"/>
          <w:lang w:val="en-US" w:eastAsia="zh-CN"/>
        </w:rPr>
        <w:t>4</w:t>
      </w:r>
      <w:r>
        <w:rPr>
          <w:rFonts w:hint="eastAsia" w:ascii="宋体" w:hAnsi="宋体" w:cs="宋体"/>
          <w:color w:val="auto"/>
          <w:szCs w:val="21"/>
        </w:rPr>
        <w:t>日</w:t>
      </w:r>
    </w:p>
    <w:p>
      <w:pPr>
        <w:spacing w:line="350" w:lineRule="exact"/>
        <w:ind w:firstLine="420" w:firstLineChars="200"/>
        <w:rPr>
          <w:rFonts w:ascii="宋体" w:hAnsi="宋体" w:cs="宋体"/>
          <w:color w:val="auto"/>
        </w:rPr>
      </w:pPr>
    </w:p>
    <w:p>
      <w:pPr>
        <w:spacing w:line="350" w:lineRule="exact"/>
        <w:ind w:firstLine="420" w:firstLineChars="200"/>
        <w:rPr>
          <w:rFonts w:ascii="宋体" w:hAnsi="宋体" w:cs="宋体"/>
          <w:color w:val="auto"/>
        </w:rPr>
      </w:pPr>
    </w:p>
    <w:p>
      <w:pPr>
        <w:spacing w:line="360" w:lineRule="exact"/>
        <w:jc w:val="center"/>
        <w:outlineLvl w:val="0"/>
        <w:rPr>
          <w:rFonts w:ascii="宋体" w:hAnsi="宋体" w:cs="宋体"/>
          <w:b/>
          <w:color w:val="auto"/>
          <w:sz w:val="28"/>
          <w:szCs w:val="28"/>
        </w:rPr>
      </w:pPr>
      <w:r>
        <w:rPr>
          <w:rFonts w:hint="eastAsia" w:ascii="宋体" w:hAnsi="宋体" w:cs="宋体"/>
          <w:color w:val="auto"/>
          <w:szCs w:val="21"/>
        </w:rPr>
        <w:br w:type="page"/>
      </w:r>
      <w:bookmarkStart w:id="34" w:name="_Toc488673042"/>
      <w:r>
        <w:rPr>
          <w:rFonts w:hint="eastAsia" w:ascii="宋体" w:hAnsi="宋体" w:cs="宋体"/>
          <w:b/>
          <w:color w:val="auto"/>
          <w:sz w:val="28"/>
          <w:szCs w:val="28"/>
        </w:rPr>
        <w:t>第二章  竞标人须知前附表</w:t>
      </w:r>
      <w:bookmarkEnd w:id="34"/>
    </w:p>
    <w:p>
      <w:pPr>
        <w:spacing w:line="360" w:lineRule="exact"/>
        <w:jc w:val="center"/>
        <w:outlineLvl w:val="0"/>
        <w:rPr>
          <w:rFonts w:ascii="宋体" w:hAnsi="宋体" w:cs="宋体"/>
          <w:b/>
          <w:color w:val="auto"/>
          <w:sz w:val="28"/>
          <w:szCs w:val="28"/>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8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序号</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rPr>
              <w:t>防城港市中医医院康复设备采购</w:t>
            </w:r>
          </w:p>
          <w:p>
            <w:pPr>
              <w:snapToGrid w:val="0"/>
              <w:spacing w:line="430" w:lineRule="exac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18"/>
              </w:rPr>
              <w:t>FCZC2020-J1-10008-KLZB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2</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竞标报价及费用：</w:t>
            </w:r>
          </w:p>
          <w:p>
            <w:pPr>
              <w:snapToGrid w:val="0"/>
              <w:spacing w:line="430" w:lineRule="exact"/>
              <w:rPr>
                <w:rFonts w:ascii="宋体" w:hAnsi="宋体" w:cs="宋体"/>
                <w:color w:val="auto"/>
                <w:szCs w:val="21"/>
              </w:rPr>
            </w:pPr>
            <w:r>
              <w:rPr>
                <w:rFonts w:hint="eastAsia" w:ascii="宋体" w:hAnsi="宋体" w:cs="宋体"/>
                <w:color w:val="auto"/>
                <w:szCs w:val="21"/>
              </w:rPr>
              <w:t>1、本项目竞标应以人民币报价；</w:t>
            </w:r>
          </w:p>
          <w:p>
            <w:pPr>
              <w:snapToGrid w:val="0"/>
              <w:spacing w:line="430" w:lineRule="exact"/>
              <w:rPr>
                <w:rFonts w:ascii="宋体" w:hAnsi="宋体" w:cs="宋体"/>
                <w:color w:val="auto"/>
                <w:szCs w:val="21"/>
              </w:rPr>
            </w:pPr>
            <w:r>
              <w:rPr>
                <w:rFonts w:hint="eastAsia" w:ascii="宋体" w:hAnsi="宋体" w:cs="宋体"/>
                <w:color w:val="auto"/>
                <w:szCs w:val="21"/>
              </w:rPr>
              <w:t>2、不论竞标结果如何，供应商均应自行承担所有与竞标有关的全部费用；</w:t>
            </w:r>
          </w:p>
          <w:p>
            <w:pPr>
              <w:snapToGrid w:val="0"/>
              <w:spacing w:line="430" w:lineRule="exact"/>
              <w:rPr>
                <w:rFonts w:ascii="宋体" w:hAnsi="宋体" w:cs="宋体"/>
                <w:color w:val="auto"/>
                <w:szCs w:val="21"/>
              </w:rPr>
            </w:pPr>
            <w:r>
              <w:rPr>
                <w:rFonts w:hint="eastAsia" w:ascii="宋体" w:hAnsi="宋体" w:cs="宋体"/>
                <w:color w:val="auto"/>
                <w:szCs w:val="21"/>
              </w:rPr>
              <w:t>3、本项目代理服务费按供应商须知前附表第15条</w:t>
            </w:r>
            <w:r>
              <w:rPr>
                <w:rFonts w:hint="eastAsia" w:ascii="宋体" w:hAnsi="宋体" w:cs="宋体"/>
                <w:bCs/>
                <w:color w:val="auto"/>
              </w:rPr>
              <w:t>代理服务费收费标准向成交供应商收取</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3</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竞争性谈判保证金：本项目不收取竞争性谈判保证金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4</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采购预算（人民币）：71.069万元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5</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6</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 xml:space="preserve">现场演示：无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7</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★竞标文件份数：正本</w:t>
            </w:r>
            <w:r>
              <w:rPr>
                <w:rFonts w:hint="eastAsia" w:ascii="宋体" w:hAnsi="宋体" w:cs="宋体"/>
                <w:color w:val="auto"/>
                <w:szCs w:val="21"/>
                <w:u w:val="single"/>
              </w:rPr>
              <w:t xml:space="preserve"> 壹 </w:t>
            </w:r>
            <w:r>
              <w:rPr>
                <w:rFonts w:hint="eastAsia" w:ascii="宋体" w:hAnsi="宋体" w:cs="宋体"/>
                <w:color w:val="auto"/>
                <w:szCs w:val="21"/>
              </w:rPr>
              <w:t>份；副本</w:t>
            </w:r>
            <w:r>
              <w:rPr>
                <w:rFonts w:hint="eastAsia" w:ascii="宋体" w:hAnsi="宋体" w:cs="宋体"/>
                <w:color w:val="auto"/>
                <w:szCs w:val="21"/>
                <w:u w:val="single"/>
              </w:rPr>
              <w:t xml:space="preserve"> 肆 </w:t>
            </w:r>
            <w:r>
              <w:rPr>
                <w:rFonts w:hint="eastAsia" w:ascii="宋体" w:hAnsi="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8</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hint="eastAsia" w:ascii="宋体" w:hAnsi="宋体" w:eastAsia="宋体" w:cs="宋体"/>
                <w:color w:val="auto"/>
                <w:szCs w:val="21"/>
                <w:lang w:eastAsia="zh-CN"/>
              </w:rPr>
            </w:pPr>
            <w:r>
              <w:rPr>
                <w:rFonts w:hint="eastAsia" w:ascii="宋体" w:hAnsi="宋体" w:cs="宋体"/>
                <w:color w:val="auto"/>
                <w:szCs w:val="21"/>
              </w:rPr>
              <w:t>竞争性谈判响应文件递交截止时间：</w:t>
            </w:r>
            <w:r>
              <w:rPr>
                <w:rFonts w:hint="eastAsia" w:ascii="宋体" w:hAnsi="宋体" w:cs="宋体"/>
                <w:color w:val="auto"/>
                <w:szCs w:val="21"/>
                <w:lang w:eastAsia="zh-CN"/>
              </w:rPr>
              <w:t>2020年12月10日13点30分整</w:t>
            </w:r>
          </w:p>
          <w:p>
            <w:pPr>
              <w:snapToGrid w:val="0"/>
              <w:spacing w:line="430" w:lineRule="exact"/>
              <w:rPr>
                <w:rFonts w:ascii="宋体" w:hAnsi="宋体" w:cs="宋体"/>
                <w:color w:val="auto"/>
                <w:szCs w:val="21"/>
              </w:rPr>
            </w:pPr>
            <w:r>
              <w:rPr>
                <w:rFonts w:hint="eastAsia" w:ascii="宋体" w:hAnsi="宋体" w:cs="宋体"/>
                <w:color w:val="auto"/>
                <w:szCs w:val="21"/>
              </w:rPr>
              <w:t>竞争性谈判响应文件递交地点：防城港市公共资源交易中心（防城港市迎宾路红树林大厦东塔）（具体开标室以响应文件提交当天防城港市公共资源交易中心六楼电子显示屏公布的开标室为准）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9</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hint="eastAsia" w:ascii="宋体" w:hAnsi="宋体" w:eastAsia="宋体" w:cs="宋体"/>
                <w:color w:val="auto"/>
                <w:szCs w:val="21"/>
                <w:lang w:eastAsia="zh-CN"/>
              </w:rPr>
            </w:pPr>
            <w:r>
              <w:rPr>
                <w:rFonts w:hint="eastAsia" w:ascii="宋体" w:hAnsi="宋体" w:cs="宋体"/>
                <w:color w:val="auto"/>
                <w:szCs w:val="21"/>
              </w:rPr>
              <w:t>开标时间：</w:t>
            </w:r>
            <w:r>
              <w:rPr>
                <w:rFonts w:hint="eastAsia" w:ascii="宋体" w:hAnsi="宋体" w:cs="宋体"/>
                <w:color w:val="auto"/>
                <w:szCs w:val="21"/>
                <w:lang w:eastAsia="zh-CN"/>
              </w:rPr>
              <w:t>2020年12月10日13点30分整</w:t>
            </w:r>
          </w:p>
          <w:p>
            <w:pPr>
              <w:snapToGrid w:val="0"/>
              <w:spacing w:line="430" w:lineRule="exact"/>
              <w:rPr>
                <w:rFonts w:ascii="宋体" w:hAnsi="宋体" w:cs="宋体"/>
                <w:color w:val="auto"/>
                <w:szCs w:val="21"/>
              </w:rPr>
            </w:pPr>
            <w:r>
              <w:rPr>
                <w:rFonts w:hint="eastAsia" w:ascii="宋体" w:hAnsi="宋体" w:cs="宋体"/>
                <w:color w:val="auto"/>
                <w:szCs w:val="21"/>
              </w:rPr>
              <w:t>开标地点：防城港市公共资源交易中心（防城港市迎宾路红树林大厦东塔）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10</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评分标准：最低评标价法</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评标委员会组成：</w:t>
            </w:r>
            <w:r>
              <w:rPr>
                <w:rFonts w:hint="eastAsia" w:ascii="宋体" w:hAnsi="宋体" w:cs="宋体"/>
                <w:color w:val="auto"/>
              </w:rPr>
              <w:t>本项目评标委员会由政</w:t>
            </w:r>
            <w:r>
              <w:rPr>
                <w:rFonts w:hint="eastAsia" w:ascii="宋体" w:hAnsi="宋体" w:cs="宋体"/>
                <w:color w:val="auto"/>
                <w:szCs w:val="21"/>
              </w:rPr>
              <w:t>府采购评审专家2人和采购人代表1人，共3人组成。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11</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公告发布媒体：中国政府采购网、广西壮族自治区政府采购网、广西防城港政府采购网站、防城港市公共资源交易中心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12</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rPr>
            </w:pPr>
            <w:r>
              <w:rPr>
                <w:rFonts w:hint="eastAsia" w:ascii="宋体" w:hAnsi="宋体" w:cs="宋体"/>
                <w:color w:val="auto"/>
                <w:szCs w:val="21"/>
              </w:rPr>
              <w:t>履约保证金金额：不收取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13</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签订合同时间：应当在成交通知书发出后25日内。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14</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1、竞标人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2、递交质疑函的联系事项：</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广西科联招标中心有限公司防城港分公司</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联系电话：0770-2821504</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地址：广西科联招标中心有限公司防城港分公司（防城港市港口区桃花湾广场珍珠路6号桂海东盟新城9＃（H栋）605号房）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15</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
                <w:bCs/>
                <w:color w:val="auto"/>
              </w:rPr>
            </w:pPr>
            <w:r>
              <w:rPr>
                <w:rFonts w:hint="eastAsia" w:ascii="宋体" w:hAnsi="宋体" w:cs="宋体"/>
                <w:b/>
                <w:bCs/>
                <w:color w:val="auto"/>
              </w:rPr>
              <w:t>★代理服务费由中标供应商在签订合同前以银行转账或现金形式一次性向采购代理机构支付。</w:t>
            </w:r>
          </w:p>
          <w:p>
            <w:pPr>
              <w:autoSpaceDE w:val="0"/>
              <w:autoSpaceDN w:val="0"/>
              <w:snapToGrid w:val="0"/>
              <w:spacing w:line="430" w:lineRule="exact"/>
              <w:textAlignment w:val="bottom"/>
              <w:rPr>
                <w:rFonts w:ascii="宋体" w:hAnsi="宋体" w:cs="宋体"/>
                <w:bCs/>
                <w:color w:val="auto"/>
              </w:rPr>
            </w:pPr>
            <w:r>
              <w:rPr>
                <w:rFonts w:hint="eastAsia" w:ascii="宋体" w:hAnsi="宋体" w:cs="宋体"/>
                <w:b/>
                <w:bCs/>
                <w:color w:val="auto"/>
              </w:rPr>
              <w:t>本项目招标代理服务费收费标准：</w:t>
            </w:r>
            <w:r>
              <w:rPr>
                <w:rFonts w:hint="eastAsia" w:ascii="宋体" w:hAnsi="宋体" w:cs="宋体"/>
                <w:bCs/>
                <w:color w:val="auto"/>
              </w:rPr>
              <w:t>本项目代理服务费服务类型为</w:t>
            </w:r>
            <w:r>
              <w:rPr>
                <w:rFonts w:hint="eastAsia" w:ascii="宋体" w:hAnsi="宋体" w:cs="宋体"/>
                <w:b/>
                <w:bCs/>
                <w:color w:val="auto"/>
              </w:rPr>
              <w:t>货物招标</w:t>
            </w:r>
            <w:r>
              <w:rPr>
                <w:rFonts w:hint="eastAsia" w:ascii="宋体" w:hAnsi="宋体" w:cs="宋体"/>
                <w:bCs/>
                <w:color w:val="auto"/>
              </w:rPr>
              <w:t>，代理服务费按照以下收费标准下浮20%并收取：</w:t>
            </w:r>
          </w:p>
          <w:tbl>
            <w:tblPr>
              <w:tblStyle w:val="4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86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50800</wp:posOffset>
                            </wp:positionV>
                            <wp:extent cx="1666875" cy="891540"/>
                            <wp:effectExtent l="2540" t="4445" r="6985" b="18415"/>
                            <wp:wrapNone/>
                            <wp:docPr id="1" name="Line 3"/>
                            <wp:cNvGraphicFramePr/>
                            <a:graphic xmlns:a="http://schemas.openxmlformats.org/drawingml/2006/main">
                              <a:graphicData uri="http://schemas.microsoft.com/office/word/2010/wordprocessingShape">
                                <wps:wsp>
                                  <wps:cNvCnPr/>
                                  <wps:spPr>
                                    <a:xfrm>
                                      <a:off x="0" y="0"/>
                                      <a:ext cx="1666875" cy="891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75pt;margin-top:4pt;height:70.2pt;width:131.25pt;z-index:251658240;mso-width-relative:page;mso-height-relative:page;" filled="f" stroked="t" coordsize="21600,21600" o:gfxdata="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NzDKDVAAAACAEAAA8AAAAAAAAAAQAg&#10;AAAAIgAAAGRycy9kb3ducmV2LnhtbFBLAQIUABQAAAAIAIdO4kD4GGXv2AEAANI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bCs/>
                      <w:color w:val="auto"/>
                    </w:rPr>
                    <w:t xml:space="preserve">             服务类型</w:t>
                  </w:r>
                </w:p>
                <w:p>
                  <w:pPr>
                    <w:autoSpaceDE w:val="0"/>
                    <w:autoSpaceDN w:val="0"/>
                    <w:snapToGrid w:val="0"/>
                    <w:spacing w:line="430" w:lineRule="exact"/>
                    <w:ind w:firstLine="525" w:firstLineChars="250"/>
                    <w:textAlignment w:val="bottom"/>
                    <w:rPr>
                      <w:rFonts w:ascii="宋体" w:hAnsi="宋体" w:cs="宋体"/>
                      <w:bCs/>
                      <w:color w:val="auto"/>
                    </w:rPr>
                  </w:pPr>
                  <w:r>
                    <w:rPr>
                      <w:rFonts w:hint="eastAsia" w:ascii="宋体" w:hAnsi="宋体" w:cs="宋体"/>
                      <w:bCs/>
                      <w:color w:val="auto"/>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212090</wp:posOffset>
                            </wp:positionV>
                            <wp:extent cx="1800225" cy="495300"/>
                            <wp:effectExtent l="1270" t="4445" r="8255" b="14605"/>
                            <wp:wrapNone/>
                            <wp:docPr id="2" name="Line 2"/>
                            <wp:cNvGraphicFramePr/>
                            <a:graphic xmlns:a="http://schemas.openxmlformats.org/drawingml/2006/main">
                              <a:graphicData uri="http://schemas.microsoft.com/office/word/2010/wordprocessingShape">
                                <wps:wsp>
                                  <wps:cNvCnPr/>
                                  <wps:spPr>
                                    <a:xfrm>
                                      <a:off x="0" y="0"/>
                                      <a:ext cx="180022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3.9pt;margin-top:16.7pt;height:39pt;width:141.75pt;z-index:251659264;mso-width-relative:page;mso-height-relative:page;" filled="f" stroked="t" coordsize="21600,21600" o:gfxdata="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fYuiNgAAAAJAQAADwAAAAAAAAAB&#10;ACAAAAAiAAAAZHJzL2Rvd25yZXYueG1sUEsBAhQAFAAAAAgAh07iQPVfVbrXAQAA0gMAAA4AAAAA&#10;AAAAAQAgAAAAJwEAAGRycy9lMm9Eb2MueG1sUEsFBgAAAAAGAAYAWQEAAHAFAAAAAA==&#10;">
                            <v:fill on="f" focussize="0,0"/>
                            <v:stroke color="#000000" joinstyle="round"/>
                            <v:imagedata o:title=""/>
                            <o:lock v:ext="edit" aspectratio="f"/>
                          </v:line>
                        </w:pict>
                      </mc:Fallback>
                    </mc:AlternateContent>
                  </w:r>
                  <w:r>
                    <w:rPr>
                      <w:rFonts w:hint="eastAsia" w:ascii="宋体" w:hAnsi="宋体" w:cs="宋体"/>
                      <w:bCs/>
                      <w:color w:val="auto"/>
                    </w:rPr>
                    <w:t xml:space="preserve">费率        </w:t>
                  </w:r>
                </w:p>
                <w:p>
                  <w:pPr>
                    <w:autoSpaceDE w:val="0"/>
                    <w:autoSpaceDN w:val="0"/>
                    <w:snapToGrid w:val="0"/>
                    <w:spacing w:line="430" w:lineRule="exact"/>
                    <w:textAlignment w:val="bottom"/>
                    <w:rPr>
                      <w:rFonts w:ascii="宋体" w:hAnsi="宋体" w:cs="宋体"/>
                      <w:bCs/>
                      <w:color w:val="auto"/>
                    </w:rPr>
                  </w:pPr>
                </w:p>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成交金额（万元）</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货物招标</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100以下</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1.50%</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100-</w:t>
                  </w:r>
                  <w:r>
                    <w:rPr>
                      <w:rFonts w:hint="eastAsia" w:ascii="宋体" w:hAnsi="宋体" w:cs="宋体"/>
                      <w:bCs/>
                      <w:color w:val="auto"/>
                    </w:rPr>
                    <w:cr/>
                  </w:r>
                  <w:r>
                    <w:rPr>
                      <w:rFonts w:hint="eastAsia" w:ascii="宋体" w:hAnsi="宋体" w:cs="宋体"/>
                      <w:bCs/>
                      <w:color w:val="auto"/>
                    </w:rPr>
                    <w:t>00</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1.</w:t>
                  </w:r>
                  <w:r>
                    <w:rPr>
                      <w:rFonts w:hint="eastAsia" w:ascii="宋体" w:hAnsi="宋体" w:cs="宋体"/>
                      <w:bCs/>
                      <w:color w:val="auto"/>
                    </w:rPr>
                    <w:cr/>
                  </w:r>
                  <w:r>
                    <w:rPr>
                      <w:rFonts w:hint="eastAsia" w:ascii="宋体" w:hAnsi="宋体" w:cs="宋体"/>
                      <w:bCs/>
                      <w:color w:val="auto"/>
                    </w:rPr>
                    <w:t>%</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500-1000</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0.8%</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w:t>
                  </w:r>
                </w:p>
              </w:tc>
              <w:tc>
                <w:tcPr>
                  <w:tcW w:w="129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w:t>
                  </w:r>
                </w:p>
              </w:tc>
              <w:tc>
                <w:tcPr>
                  <w:tcW w:w="129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w:t>
                  </w:r>
                </w:p>
              </w:tc>
            </w:tr>
          </w:tbl>
          <w:p>
            <w:pPr>
              <w:autoSpaceDE w:val="0"/>
              <w:autoSpaceDN w:val="0"/>
              <w:snapToGrid w:val="0"/>
              <w:spacing w:line="430" w:lineRule="exact"/>
              <w:textAlignment w:val="bottom"/>
              <w:rPr>
                <w:rFonts w:ascii="宋体" w:hAnsi="宋体" w:cs="宋体"/>
                <w:bCs/>
                <w:color w:val="auto"/>
              </w:rPr>
            </w:pPr>
            <w:r>
              <w:rPr>
                <w:rFonts w:hint="eastAsia" w:ascii="宋体" w:hAnsi="宋体" w:cs="宋体"/>
                <w:bCs/>
                <w:color w:val="auto"/>
              </w:rPr>
              <w:t>注：招标代理服务费按差额定率累进法计算。</w:t>
            </w:r>
          </w:p>
          <w:p>
            <w:pPr>
              <w:autoSpaceDE w:val="0"/>
              <w:autoSpaceDN w:val="0"/>
              <w:snapToGrid w:val="0"/>
              <w:spacing w:line="430" w:lineRule="exact"/>
              <w:textAlignment w:val="bottom"/>
              <w:rPr>
                <w:rFonts w:ascii="宋体" w:hAnsi="宋体" w:cs="宋体"/>
                <w:b/>
                <w:bCs/>
                <w:color w:val="auto"/>
              </w:rPr>
            </w:pPr>
            <w:r>
              <w:rPr>
                <w:rFonts w:hint="eastAsia" w:ascii="宋体" w:hAnsi="宋体" w:cs="宋体"/>
                <w:b/>
                <w:bCs/>
                <w:color w:val="auto"/>
              </w:rPr>
              <w:t>缴纳代理服务费的专用账户：</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开户名称：广西科联招标中心有限公司防城港分公司；</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开户银行：建行防城港分行营业部；</w:t>
            </w:r>
          </w:p>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帐号：45001659588059282828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16</w:t>
            </w:r>
          </w:p>
        </w:tc>
        <w:tc>
          <w:tcPr>
            <w:tcW w:w="881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30" w:lineRule="exact"/>
              <w:textAlignment w:val="bottom"/>
              <w:rPr>
                <w:rFonts w:ascii="宋体" w:hAnsi="宋体" w:cs="宋体"/>
                <w:color w:val="auto"/>
                <w:szCs w:val="21"/>
              </w:rPr>
            </w:pPr>
            <w:r>
              <w:rPr>
                <w:rFonts w:hint="eastAsia" w:ascii="宋体" w:hAnsi="宋体" w:cs="宋体"/>
                <w:color w:val="auto"/>
                <w:szCs w:val="21"/>
              </w:rPr>
              <w:t>采购资金来源：</w:t>
            </w:r>
            <w:r>
              <w:rPr>
                <w:rFonts w:hint="eastAsia" w:ascii="宋体" w:hAnsi="宋体" w:cs="宋体"/>
                <w:color w:val="auto"/>
                <w:szCs w:val="21"/>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17</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竞争性谈判采购文件有效期：自竞标截止之日起60天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ascii="宋体" w:hAnsi="宋体" w:cs="宋体"/>
                <w:color w:val="auto"/>
                <w:szCs w:val="21"/>
              </w:rPr>
            </w:pPr>
            <w:r>
              <w:rPr>
                <w:rFonts w:hint="eastAsia" w:ascii="宋体" w:hAnsi="宋体" w:cs="宋体"/>
                <w:color w:val="auto"/>
                <w:szCs w:val="21"/>
              </w:rPr>
              <w:t>18</w:t>
            </w:r>
          </w:p>
        </w:tc>
        <w:tc>
          <w:tcPr>
            <w:tcW w:w="8813"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rPr>
                <w:rFonts w:ascii="宋体" w:hAnsi="宋体" w:cs="宋体"/>
                <w:color w:val="auto"/>
                <w:szCs w:val="21"/>
              </w:rPr>
            </w:pPr>
            <w:r>
              <w:rPr>
                <w:rFonts w:hint="eastAsia" w:ascii="宋体" w:hAnsi="宋体" w:cs="宋体"/>
                <w:color w:val="auto"/>
                <w:szCs w:val="21"/>
              </w:rPr>
              <w:t>解释：本竞争性谈判采购文件的解释权属于招标采购单位</w:t>
            </w:r>
          </w:p>
        </w:tc>
      </w:tr>
    </w:tbl>
    <w:p>
      <w:pPr>
        <w:spacing w:line="400" w:lineRule="exact"/>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竞 标 人 须 知</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一、总则</w:t>
      </w:r>
    </w:p>
    <w:p>
      <w:pPr>
        <w:spacing w:line="430" w:lineRule="exact"/>
        <w:rPr>
          <w:rFonts w:ascii="宋体" w:hAnsi="宋体" w:cs="宋体"/>
          <w:color w:val="auto"/>
          <w:szCs w:val="21"/>
        </w:rPr>
      </w:pPr>
      <w:r>
        <w:rPr>
          <w:rFonts w:hint="eastAsia" w:ascii="宋体" w:hAnsi="宋体" w:cs="宋体"/>
          <w:color w:val="auto"/>
          <w:szCs w:val="21"/>
        </w:rPr>
        <w:t>1. 适用范围</w:t>
      </w:r>
    </w:p>
    <w:p>
      <w:pPr>
        <w:spacing w:line="430" w:lineRule="exact"/>
        <w:rPr>
          <w:rFonts w:ascii="宋体" w:hAnsi="宋体" w:cs="宋体"/>
          <w:color w:val="auto"/>
          <w:szCs w:val="21"/>
        </w:rPr>
      </w:pPr>
      <w:r>
        <w:rPr>
          <w:rFonts w:hint="eastAsia" w:ascii="宋体" w:hAnsi="宋体" w:cs="宋体"/>
          <w:color w:val="auto"/>
          <w:szCs w:val="21"/>
        </w:rPr>
        <w:t>1.1 本文件仅适用于本文件中所叙述的货物、服务类政府采购项目。</w:t>
      </w:r>
    </w:p>
    <w:p>
      <w:pPr>
        <w:spacing w:line="430" w:lineRule="exact"/>
        <w:rPr>
          <w:rFonts w:ascii="宋体" w:hAnsi="宋体" w:cs="宋体"/>
          <w:color w:val="auto"/>
          <w:szCs w:val="21"/>
        </w:rPr>
      </w:pPr>
      <w:r>
        <w:rPr>
          <w:rFonts w:hint="eastAsia" w:ascii="宋体" w:hAnsi="宋体" w:cs="宋体"/>
          <w:color w:val="auto"/>
          <w:szCs w:val="21"/>
        </w:rPr>
        <w:t>2. 定义</w:t>
      </w:r>
    </w:p>
    <w:p>
      <w:pPr>
        <w:spacing w:line="430" w:lineRule="exact"/>
        <w:rPr>
          <w:rFonts w:ascii="宋体" w:hAnsi="宋体" w:cs="宋体"/>
          <w:color w:val="auto"/>
          <w:szCs w:val="21"/>
        </w:rPr>
      </w:pPr>
      <w:r>
        <w:rPr>
          <w:rFonts w:hint="eastAsia" w:ascii="宋体" w:hAnsi="宋体" w:cs="宋体"/>
          <w:color w:val="auto"/>
          <w:szCs w:val="21"/>
        </w:rPr>
        <w:t>2.1“采购人”是指：防城港市中医医院</w:t>
      </w:r>
    </w:p>
    <w:p>
      <w:pPr>
        <w:spacing w:line="430" w:lineRule="exact"/>
        <w:rPr>
          <w:rFonts w:ascii="宋体" w:hAnsi="宋体" w:cs="宋体"/>
          <w:color w:val="auto"/>
          <w:szCs w:val="21"/>
        </w:rPr>
      </w:pPr>
      <w:r>
        <w:rPr>
          <w:rFonts w:hint="eastAsia" w:ascii="宋体" w:hAnsi="宋体" w:cs="宋体"/>
          <w:color w:val="auto"/>
          <w:szCs w:val="21"/>
        </w:rPr>
        <w:t>2.2“采购代理机构”是指：广西科联招标中心有限公司</w:t>
      </w:r>
    </w:p>
    <w:p>
      <w:pPr>
        <w:spacing w:line="430" w:lineRule="exact"/>
        <w:rPr>
          <w:rFonts w:ascii="宋体" w:hAnsi="宋体" w:cs="宋体"/>
          <w:color w:val="auto"/>
          <w:szCs w:val="21"/>
        </w:rPr>
      </w:pPr>
      <w:r>
        <w:rPr>
          <w:rFonts w:hint="eastAsia" w:ascii="宋体" w:hAnsi="宋体" w:cs="宋体"/>
          <w:color w:val="auto"/>
          <w:szCs w:val="21"/>
        </w:rPr>
        <w:t>2.3“谈判供应商”是指响应本文件要求，参加谈判的法人或者其它组织。如果该供应商在本次谈判中成交，即成为“成交供应商”。</w:t>
      </w:r>
    </w:p>
    <w:p>
      <w:pPr>
        <w:spacing w:line="430" w:lineRule="exact"/>
        <w:rPr>
          <w:rFonts w:ascii="宋体" w:hAnsi="宋体" w:cs="宋体"/>
          <w:color w:val="auto"/>
          <w:szCs w:val="21"/>
        </w:rPr>
      </w:pPr>
      <w:r>
        <w:rPr>
          <w:rFonts w:hint="eastAsia" w:ascii="宋体" w:hAnsi="宋体" w:cs="宋体"/>
          <w:color w:val="auto"/>
          <w:szCs w:val="21"/>
        </w:rPr>
        <w:t>2.4“货物”是指各种形态和种类的物品，包括原材料、燃料、设备、产品等。</w:t>
      </w:r>
    </w:p>
    <w:p>
      <w:pPr>
        <w:spacing w:line="430" w:lineRule="exact"/>
        <w:rPr>
          <w:rFonts w:ascii="宋体" w:hAnsi="宋体" w:cs="宋体"/>
          <w:color w:val="auto"/>
          <w:szCs w:val="21"/>
        </w:rPr>
      </w:pPr>
      <w:r>
        <w:rPr>
          <w:rFonts w:hint="eastAsia" w:ascii="宋体" w:hAnsi="宋体" w:cs="宋体"/>
          <w:color w:val="auto"/>
          <w:szCs w:val="21"/>
        </w:rPr>
        <w:t>2.5“服务”是指除货物和工程以外的其它政府采购对象。</w:t>
      </w:r>
    </w:p>
    <w:p>
      <w:pPr>
        <w:spacing w:line="430" w:lineRule="exact"/>
        <w:rPr>
          <w:rFonts w:ascii="宋体" w:hAnsi="宋体" w:cs="宋体"/>
          <w:color w:val="auto"/>
          <w:szCs w:val="21"/>
        </w:rPr>
      </w:pPr>
      <w:r>
        <w:rPr>
          <w:rFonts w:hint="eastAsia" w:ascii="宋体" w:hAnsi="宋体" w:cs="宋体"/>
          <w:color w:val="auto"/>
          <w:szCs w:val="21"/>
        </w:rPr>
        <w:t>2.6“竞争性谈判响应文件”是指：供应商根据本文件要求，编制包含报价、技术和服务等所有内容的文件。</w:t>
      </w:r>
    </w:p>
    <w:p>
      <w:pPr>
        <w:spacing w:line="430" w:lineRule="exact"/>
        <w:rPr>
          <w:rFonts w:ascii="宋体" w:hAnsi="宋体" w:cs="宋体"/>
          <w:color w:val="auto"/>
          <w:szCs w:val="21"/>
        </w:rPr>
      </w:pPr>
      <w:r>
        <w:rPr>
          <w:rFonts w:hint="eastAsia" w:ascii="宋体" w:hAnsi="宋体" w:cs="宋体"/>
          <w:color w:val="auto"/>
          <w:szCs w:val="21"/>
        </w:rPr>
        <w:t>3. 谈判供应商的基本条件：</w:t>
      </w:r>
    </w:p>
    <w:p>
      <w:pPr>
        <w:pStyle w:val="26"/>
        <w:spacing w:line="430" w:lineRule="exact"/>
        <w:rPr>
          <w:rFonts w:hAnsi="宋体" w:cs="宋体"/>
          <w:color w:val="auto"/>
          <w:szCs w:val="21"/>
        </w:rPr>
      </w:pPr>
      <w:r>
        <w:rPr>
          <w:rFonts w:hint="eastAsia" w:hAnsi="宋体" w:cs="宋体"/>
          <w:color w:val="auto"/>
          <w:szCs w:val="21"/>
        </w:rPr>
        <w:t>3.1 竞标人资格：</w:t>
      </w:r>
    </w:p>
    <w:p>
      <w:pPr>
        <w:pStyle w:val="26"/>
        <w:spacing w:line="430" w:lineRule="exact"/>
        <w:rPr>
          <w:rFonts w:hAnsi="宋体" w:cs="宋体"/>
          <w:color w:val="auto"/>
          <w:szCs w:val="21"/>
        </w:rPr>
      </w:pPr>
      <w:r>
        <w:rPr>
          <w:rFonts w:hint="eastAsia" w:hAnsi="宋体" w:cs="宋体"/>
          <w:color w:val="auto"/>
          <w:szCs w:val="21"/>
        </w:rPr>
        <w:t>3.1.1符合《中华人民共和国政府采购法》第二十二条规定，国内注册（指按国家有关规定要求注册的），生产或经营本次采购货物的供应商。</w:t>
      </w:r>
    </w:p>
    <w:p>
      <w:pPr>
        <w:pStyle w:val="26"/>
        <w:spacing w:line="430" w:lineRule="exact"/>
        <w:rPr>
          <w:rFonts w:hAnsi="宋体" w:cs="宋体"/>
          <w:color w:val="auto"/>
          <w:szCs w:val="21"/>
        </w:rPr>
      </w:pPr>
      <w:r>
        <w:rPr>
          <w:rFonts w:hint="eastAsia" w:hAnsi="宋体" w:cs="宋体"/>
          <w:color w:val="auto"/>
          <w:szCs w:val="21"/>
        </w:rPr>
        <w:t>3.1.2本项目不接受联合体谈判。</w:t>
      </w:r>
    </w:p>
    <w:p>
      <w:pPr>
        <w:pStyle w:val="26"/>
        <w:spacing w:line="430" w:lineRule="exact"/>
        <w:rPr>
          <w:rFonts w:hAnsi="宋体" w:cs="宋体"/>
          <w:color w:val="auto"/>
          <w:szCs w:val="21"/>
        </w:rPr>
      </w:pPr>
      <w:r>
        <w:rPr>
          <w:rFonts w:hint="eastAsia" w:hAnsi="宋体" w:cs="宋体"/>
          <w:color w:val="auto"/>
          <w:szCs w:val="21"/>
        </w:rPr>
        <w:t>3.1.3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Style w:val="26"/>
        <w:spacing w:line="430" w:lineRule="exact"/>
        <w:rPr>
          <w:rFonts w:hAnsi="宋体" w:cs="宋体"/>
          <w:color w:val="auto"/>
          <w:szCs w:val="21"/>
        </w:rPr>
      </w:pPr>
      <w:r>
        <w:rPr>
          <w:rFonts w:hint="eastAsia" w:hAnsi="宋体" w:cs="宋体"/>
          <w:color w:val="auto"/>
          <w:szCs w:val="21"/>
        </w:rPr>
        <w:t>3.1.4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6"/>
        <w:spacing w:line="430" w:lineRule="exact"/>
        <w:rPr>
          <w:rFonts w:hAnsi="宋体" w:cs="宋体"/>
          <w:color w:val="auto"/>
          <w:szCs w:val="21"/>
        </w:rPr>
      </w:pPr>
      <w:r>
        <w:rPr>
          <w:rFonts w:hint="eastAsia" w:hAnsi="宋体" w:cs="宋体"/>
          <w:color w:val="auto"/>
          <w:szCs w:val="21"/>
        </w:rPr>
        <w:t>3.1.5 供应商必须具有行业主管部门颁发的有效的《中华人民共和国医疗器械经营企业许可证》或《中华人民共和国医疗器械生产企业许可证》或《二类医疗器械经营备案凭证》。</w:t>
      </w:r>
    </w:p>
    <w:p>
      <w:pPr>
        <w:pStyle w:val="26"/>
        <w:spacing w:line="430" w:lineRule="exact"/>
        <w:rPr>
          <w:rFonts w:hAnsi="宋体" w:cs="宋体"/>
          <w:bCs/>
          <w:color w:val="auto"/>
          <w:spacing w:val="-2"/>
          <w:szCs w:val="21"/>
        </w:rPr>
      </w:pPr>
      <w:r>
        <w:rPr>
          <w:rFonts w:hint="eastAsia" w:hAnsi="宋体" w:cs="宋体"/>
          <w:color w:val="auto"/>
        </w:rPr>
        <w:t>3.2符合竞标人资格的竞标人应承担竞标及履约中应承担的全部责任与义务。</w:t>
      </w:r>
    </w:p>
    <w:p>
      <w:pPr>
        <w:spacing w:line="430" w:lineRule="exact"/>
        <w:rPr>
          <w:rFonts w:ascii="宋体" w:hAnsi="宋体" w:cs="宋体"/>
          <w:color w:val="auto"/>
          <w:szCs w:val="21"/>
        </w:rPr>
      </w:pPr>
      <w:r>
        <w:rPr>
          <w:rFonts w:hint="eastAsia" w:ascii="宋体" w:hAnsi="宋体" w:cs="宋体"/>
          <w:color w:val="auto"/>
          <w:szCs w:val="21"/>
        </w:rPr>
        <w:t>4. 谈判费用、竞争性谈判文件的澄清和修改</w:t>
      </w:r>
    </w:p>
    <w:p>
      <w:pPr>
        <w:spacing w:line="430" w:lineRule="exact"/>
        <w:rPr>
          <w:rFonts w:ascii="宋体" w:hAnsi="宋体" w:cs="宋体"/>
          <w:color w:val="auto"/>
          <w:szCs w:val="21"/>
        </w:rPr>
      </w:pPr>
      <w:r>
        <w:rPr>
          <w:rFonts w:hint="eastAsia" w:ascii="宋体" w:hAnsi="宋体" w:cs="宋体"/>
          <w:color w:val="auto"/>
          <w:szCs w:val="21"/>
        </w:rPr>
        <w:t>4.1谈判供应商应自行承担所有与编写和提交竞争性谈判响应文件有关的费用，不论谈判结果如何，采购人和广西科联招标中心有限公司在任何情况下无义务和责任承担此类费用。</w:t>
      </w:r>
    </w:p>
    <w:p>
      <w:pPr>
        <w:spacing w:line="430" w:lineRule="exact"/>
        <w:rPr>
          <w:rFonts w:ascii="宋体" w:hAnsi="宋体" w:cs="宋体"/>
          <w:color w:val="auto"/>
          <w:szCs w:val="21"/>
        </w:rPr>
      </w:pPr>
      <w:r>
        <w:rPr>
          <w:rFonts w:hint="eastAsia" w:ascii="宋体" w:hAnsi="宋体" w:cs="宋体"/>
          <w:color w:val="auto"/>
          <w:szCs w:val="21"/>
        </w:rPr>
        <w:t>4.2竞争性谈判文件的澄清和修改：</w:t>
      </w:r>
    </w:p>
    <w:p>
      <w:pPr>
        <w:spacing w:line="430" w:lineRule="exact"/>
        <w:rPr>
          <w:rFonts w:ascii="宋体" w:hAnsi="宋体" w:cs="宋体"/>
          <w:color w:val="auto"/>
          <w:szCs w:val="21"/>
        </w:rPr>
      </w:pPr>
      <w:r>
        <w:rPr>
          <w:rFonts w:hint="eastAsia" w:ascii="宋体" w:hAnsi="宋体" w:cs="宋体"/>
          <w:color w:val="auto"/>
          <w:szCs w:val="21"/>
        </w:rPr>
        <w:t>4.2.1谈判供应商应认真审核采购文件，如发现有误或要求不合理的，谈判供应商必须在规定的时间前要求澄清，否则，由此产生的后果由谈判供应商负责。</w:t>
      </w:r>
    </w:p>
    <w:p>
      <w:pPr>
        <w:spacing w:line="430" w:lineRule="exact"/>
        <w:rPr>
          <w:rFonts w:ascii="宋体" w:hAnsi="宋体" w:cs="宋体"/>
          <w:color w:val="auto"/>
          <w:szCs w:val="21"/>
        </w:rPr>
      </w:pPr>
      <w:r>
        <w:rPr>
          <w:rFonts w:hint="eastAsia" w:ascii="宋体" w:hAnsi="宋体" w:cs="宋体"/>
          <w:color w:val="auto"/>
          <w:szCs w:val="21"/>
        </w:rPr>
        <w:t>4.2.2任何要求澄清竞争性谈判文件的谈判供应商，均应在规定的时间内的正常工作时间以传真等书面形式通知本公司，同时认定其他澄清方式为无效。本公司将以书面形式予以答复。</w:t>
      </w:r>
    </w:p>
    <w:p>
      <w:pPr>
        <w:spacing w:line="430" w:lineRule="exact"/>
        <w:rPr>
          <w:rFonts w:ascii="宋体" w:hAnsi="宋体" w:cs="宋体"/>
          <w:color w:val="auto"/>
          <w:szCs w:val="21"/>
        </w:rPr>
      </w:pPr>
      <w:r>
        <w:rPr>
          <w:rFonts w:hint="eastAsia" w:ascii="宋体" w:hAnsi="宋体" w:cs="宋体"/>
          <w:color w:val="auto"/>
          <w:szCs w:val="21"/>
        </w:rPr>
        <w:t>4.2.3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430" w:lineRule="exact"/>
        <w:rPr>
          <w:rFonts w:ascii="宋体" w:hAnsi="宋体" w:cs="宋体"/>
          <w:color w:val="auto"/>
          <w:szCs w:val="21"/>
        </w:rPr>
      </w:pPr>
      <w:r>
        <w:rPr>
          <w:rFonts w:hint="eastAsia" w:ascii="宋体" w:hAnsi="宋体" w:cs="宋体"/>
          <w:color w:val="auto"/>
          <w:szCs w:val="21"/>
        </w:rPr>
        <w:t>4.2.4本公司可视具体情况，延长响应文件递交截止时间和开标时间。本公司至少在竞争性谈判文件要求提交竞争性谈判响应文件的截止时间前，将变更时间书面通知所有竞争性谈判文件收受人，并在中国政府采购网、广西壮族自治区政府采购网、广西防城港政府采购网站、防城港市公共资源交易中心上发布变更公告。</w:t>
      </w:r>
    </w:p>
    <w:p>
      <w:pPr>
        <w:spacing w:line="430" w:lineRule="exact"/>
        <w:rPr>
          <w:rFonts w:ascii="宋体" w:hAnsi="宋体" w:cs="宋体"/>
          <w:color w:val="auto"/>
          <w:szCs w:val="21"/>
        </w:rPr>
      </w:pPr>
      <w:r>
        <w:rPr>
          <w:rFonts w:hint="eastAsia" w:ascii="宋体" w:hAnsi="宋体" w:cs="宋体"/>
          <w:color w:val="auto"/>
          <w:szCs w:val="21"/>
        </w:rPr>
        <w:t>5. 特别说明</w:t>
      </w:r>
    </w:p>
    <w:p>
      <w:pPr>
        <w:spacing w:line="430" w:lineRule="exact"/>
        <w:rPr>
          <w:rFonts w:ascii="宋体" w:hAnsi="宋体" w:cs="宋体"/>
          <w:color w:val="auto"/>
          <w:szCs w:val="21"/>
        </w:rPr>
      </w:pPr>
      <w:r>
        <w:rPr>
          <w:rFonts w:hint="eastAsia" w:ascii="宋体" w:hAnsi="宋体" w:cs="宋体"/>
          <w:color w:val="auto"/>
          <w:szCs w:val="21"/>
        </w:rPr>
        <w:t>★5.1 单位负责人为同一人或者存在直接控股、管理关系的不同供应商，不得参加同一合同项下的政府采购活动。</w:t>
      </w:r>
    </w:p>
    <w:p>
      <w:pPr>
        <w:spacing w:line="430" w:lineRule="exact"/>
        <w:rPr>
          <w:rFonts w:ascii="宋体" w:hAnsi="宋体" w:cs="宋体"/>
          <w:color w:val="auto"/>
          <w:szCs w:val="21"/>
        </w:rPr>
      </w:pPr>
      <w:r>
        <w:rPr>
          <w:rFonts w:hint="eastAsia" w:ascii="宋体" w:hAnsi="宋体" w:cs="宋体"/>
          <w:color w:val="auto"/>
          <w:szCs w:val="21"/>
        </w:rPr>
        <w:t>★5.2供应商竞标所使用的资格、信誉、荣誉、业绩与企业认证必须为本法人所拥有。</w:t>
      </w:r>
    </w:p>
    <w:p>
      <w:pPr>
        <w:spacing w:line="430" w:lineRule="exact"/>
        <w:rPr>
          <w:rFonts w:ascii="宋体" w:hAnsi="宋体" w:cs="宋体"/>
          <w:color w:val="auto"/>
          <w:szCs w:val="21"/>
        </w:rPr>
      </w:pPr>
      <w:r>
        <w:rPr>
          <w:rFonts w:hint="eastAsia" w:ascii="宋体" w:hAnsi="宋体" w:cs="宋体"/>
          <w:color w:val="auto"/>
          <w:szCs w:val="21"/>
        </w:rPr>
        <w:t>★5.3供应商应仔细阅读竞争性谈判文件的所有内容，按照竞争性谈判文件的要求提交竞标文件，并对所提供的全部资料的真实性承担法律责任。</w:t>
      </w:r>
    </w:p>
    <w:p>
      <w:pPr>
        <w:spacing w:line="430" w:lineRule="exact"/>
        <w:rPr>
          <w:rFonts w:ascii="宋体" w:hAnsi="宋体" w:cs="宋体"/>
          <w:color w:val="auto"/>
          <w:szCs w:val="21"/>
        </w:rPr>
      </w:pPr>
      <w:r>
        <w:rPr>
          <w:rFonts w:hint="eastAsia" w:ascii="宋体" w:hAnsi="宋体" w:cs="宋体"/>
          <w:color w:val="auto"/>
          <w:szCs w:val="21"/>
        </w:rPr>
        <w:t>★5.4 供应商在竞标活动中提供任何虚假材料，其竞标无效，并报监管部门查处；成交后发现的，成交供应商须依照《中华人民共和国合同法》之规定赔偿采购人，且民事赔偿并不免除违法供应商的行政与刑事责任。</w:t>
      </w:r>
    </w:p>
    <w:p>
      <w:pPr>
        <w:spacing w:line="430" w:lineRule="exact"/>
        <w:rPr>
          <w:rFonts w:ascii="宋体" w:hAnsi="宋体" w:cs="宋体"/>
          <w:color w:val="auto"/>
          <w:szCs w:val="21"/>
        </w:rPr>
      </w:pPr>
      <w:r>
        <w:rPr>
          <w:rFonts w:hint="eastAsia" w:ascii="宋体" w:hAnsi="宋体" w:cs="宋体"/>
          <w:color w:val="auto"/>
          <w:szCs w:val="21"/>
        </w:rPr>
        <w:t>★5.5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spacing w:line="430" w:lineRule="exact"/>
        <w:rPr>
          <w:rFonts w:ascii="宋体" w:hAnsi="宋体" w:cs="宋体"/>
          <w:color w:val="auto"/>
          <w:szCs w:val="21"/>
        </w:rPr>
      </w:pPr>
      <w:r>
        <w:rPr>
          <w:rFonts w:hint="eastAsia" w:ascii="宋体" w:hAnsi="宋体" w:cs="宋体"/>
          <w:color w:val="auto"/>
          <w:szCs w:val="21"/>
        </w:rPr>
        <w:t>★5.6本文件中描述供应商的“签字”是指供应商的法定代表人或被授权人亲自在文件规定签署处亲笔写上个人的名字的行为，私章、签字章、印鉴、影印等其它形式均不能代替亲笔签字。</w:t>
      </w:r>
    </w:p>
    <w:p>
      <w:pPr>
        <w:spacing w:line="430" w:lineRule="exac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rPr>
        <w:t xml:space="preserve"> </w:t>
      </w:r>
      <w:r>
        <w:rPr>
          <w:rFonts w:hint="eastAsia" w:ascii="宋体" w:hAnsi="宋体" w:cs="宋体"/>
          <w:color w:val="auto"/>
          <w:szCs w:val="21"/>
        </w:rPr>
        <w:t>有下列情形之一的视为竞标人相互串通竞标，竞标文件将被视为无效：</w:t>
      </w:r>
    </w:p>
    <w:p>
      <w:pPr>
        <w:spacing w:line="430" w:lineRule="exact"/>
        <w:rPr>
          <w:rFonts w:ascii="宋体" w:hAnsi="宋体" w:cs="宋体"/>
          <w:color w:val="auto"/>
          <w:szCs w:val="21"/>
        </w:rPr>
      </w:pPr>
      <w:r>
        <w:rPr>
          <w:rFonts w:hint="eastAsia" w:ascii="宋体" w:hAnsi="宋体" w:cs="宋体"/>
          <w:color w:val="auto"/>
          <w:szCs w:val="21"/>
        </w:rPr>
        <w:t>6.1不同竞标人的竞标文件由同一单位或者个人编制；或不同竞标人报名的IP地址一致的；</w:t>
      </w:r>
    </w:p>
    <w:p>
      <w:pPr>
        <w:spacing w:line="430" w:lineRule="exact"/>
        <w:rPr>
          <w:rFonts w:ascii="宋体" w:hAnsi="宋体" w:cs="宋体"/>
          <w:color w:val="auto"/>
          <w:szCs w:val="21"/>
        </w:rPr>
      </w:pPr>
      <w:r>
        <w:rPr>
          <w:rFonts w:hint="eastAsia" w:ascii="宋体" w:hAnsi="宋体" w:cs="宋体"/>
          <w:color w:val="auto"/>
          <w:szCs w:val="21"/>
        </w:rPr>
        <w:t>6.2不同竞标人委托同一单位或者个人办理竞标事宜；</w:t>
      </w:r>
    </w:p>
    <w:p>
      <w:pPr>
        <w:spacing w:line="430" w:lineRule="exact"/>
        <w:rPr>
          <w:rFonts w:ascii="宋体" w:hAnsi="宋体" w:cs="宋体"/>
          <w:color w:val="auto"/>
          <w:szCs w:val="21"/>
        </w:rPr>
      </w:pPr>
      <w:r>
        <w:rPr>
          <w:rFonts w:hint="eastAsia" w:ascii="宋体" w:hAnsi="宋体" w:cs="宋体"/>
          <w:color w:val="auto"/>
          <w:szCs w:val="21"/>
        </w:rPr>
        <w:t>6.3不同的竞标人的竞标文件载明的项目管理员为同一个人；</w:t>
      </w:r>
    </w:p>
    <w:p>
      <w:pPr>
        <w:spacing w:line="430" w:lineRule="exact"/>
        <w:rPr>
          <w:rFonts w:ascii="宋体" w:hAnsi="宋体" w:cs="宋体"/>
          <w:color w:val="auto"/>
          <w:szCs w:val="21"/>
        </w:rPr>
      </w:pPr>
      <w:r>
        <w:rPr>
          <w:rFonts w:hint="eastAsia" w:ascii="宋体" w:hAnsi="宋体" w:cs="宋体"/>
          <w:color w:val="auto"/>
          <w:szCs w:val="21"/>
        </w:rPr>
        <w:t>6.4不同竞标人的竞标文件异常一致或竞标报价呈规律性差异；</w:t>
      </w:r>
    </w:p>
    <w:p>
      <w:pPr>
        <w:spacing w:line="430" w:lineRule="exact"/>
        <w:rPr>
          <w:rFonts w:ascii="宋体" w:hAnsi="宋体" w:cs="宋体"/>
          <w:color w:val="auto"/>
          <w:szCs w:val="21"/>
        </w:rPr>
      </w:pPr>
      <w:r>
        <w:rPr>
          <w:rFonts w:hint="eastAsia" w:ascii="宋体" w:hAnsi="宋体" w:cs="宋体"/>
          <w:color w:val="auto"/>
          <w:szCs w:val="21"/>
        </w:rPr>
        <w:t>6.5不同竞标人的投标文件相互混装；</w:t>
      </w:r>
    </w:p>
    <w:p>
      <w:pPr>
        <w:spacing w:line="430" w:lineRule="exact"/>
        <w:rPr>
          <w:rFonts w:ascii="宋体" w:hAnsi="宋体" w:cs="宋体"/>
          <w:color w:val="auto"/>
          <w:szCs w:val="21"/>
        </w:rPr>
      </w:pPr>
      <w:r>
        <w:rPr>
          <w:rFonts w:hint="eastAsia" w:ascii="宋体" w:hAnsi="宋体" w:cs="宋体"/>
          <w:color w:val="auto"/>
          <w:szCs w:val="21"/>
        </w:rPr>
        <w:t>6.6不同竞标人的竞标保证金从同一单位或者个人账户转出。</w:t>
      </w:r>
    </w:p>
    <w:p>
      <w:pPr>
        <w:spacing w:line="430" w:lineRule="exact"/>
        <w:rPr>
          <w:rFonts w:ascii="宋体" w:hAnsi="宋体" w:cs="宋体"/>
          <w:b/>
          <w:color w:val="auto"/>
          <w:szCs w:val="21"/>
        </w:rPr>
      </w:pPr>
      <w:r>
        <w:rPr>
          <w:rFonts w:hint="eastAsia" w:ascii="宋体" w:hAnsi="宋体" w:cs="宋体"/>
          <w:color w:val="auto"/>
          <w:szCs w:val="21"/>
        </w:rPr>
        <w:t>7. 本项目不接受联合体参与谈判。</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二、竞争性谈判响应文件的编制</w:t>
      </w:r>
    </w:p>
    <w:p>
      <w:pPr>
        <w:spacing w:line="430" w:lineRule="exact"/>
        <w:rPr>
          <w:rFonts w:ascii="宋体" w:hAnsi="宋体" w:cs="宋体"/>
          <w:color w:val="auto"/>
          <w:szCs w:val="21"/>
        </w:rPr>
      </w:pPr>
      <w:r>
        <w:rPr>
          <w:rFonts w:hint="eastAsia" w:ascii="宋体" w:hAnsi="宋体" w:cs="宋体"/>
          <w:color w:val="auto"/>
          <w:szCs w:val="21"/>
        </w:rPr>
        <w:t>8. 竞争性谈判响应文件编制基本要求</w:t>
      </w:r>
    </w:p>
    <w:p>
      <w:pPr>
        <w:spacing w:line="430" w:lineRule="exact"/>
        <w:rPr>
          <w:rFonts w:ascii="宋体" w:hAnsi="宋体" w:cs="宋体"/>
          <w:color w:val="auto"/>
          <w:szCs w:val="21"/>
        </w:rPr>
      </w:pPr>
      <w:r>
        <w:rPr>
          <w:rFonts w:hint="eastAsia" w:ascii="宋体" w:hAnsi="宋体" w:cs="宋体"/>
          <w:color w:val="auto"/>
          <w:szCs w:val="21"/>
        </w:rPr>
        <w:t>8.1 谈判供应商对竞争性谈判响应文件的编制应按要求装订和封装。</w:t>
      </w:r>
    </w:p>
    <w:p>
      <w:pPr>
        <w:spacing w:line="430" w:lineRule="exact"/>
        <w:rPr>
          <w:rFonts w:ascii="宋体" w:hAnsi="宋体" w:cs="宋体"/>
          <w:color w:val="auto"/>
          <w:szCs w:val="21"/>
        </w:rPr>
      </w:pPr>
      <w:r>
        <w:rPr>
          <w:rFonts w:hint="eastAsia" w:ascii="宋体" w:hAnsi="宋体" w:cs="宋体"/>
          <w:color w:val="auto"/>
          <w:szCs w:val="21"/>
        </w:rPr>
        <w:t>8.2 谈判供应商提交的竞争性谈判响应文件以及谈判供应商与广西科联招标中心有限公司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30" w:lineRule="exact"/>
        <w:rPr>
          <w:rFonts w:ascii="宋体" w:hAnsi="宋体" w:cs="宋体"/>
          <w:color w:val="auto"/>
          <w:szCs w:val="21"/>
        </w:rPr>
      </w:pPr>
      <w:r>
        <w:rPr>
          <w:rFonts w:hint="eastAsia" w:ascii="宋体" w:hAnsi="宋体" w:cs="宋体"/>
          <w:color w:val="auto"/>
          <w:szCs w:val="21"/>
        </w:rPr>
        <w:t>8.3 谈判供应商应认真阅读、并充分理解本文件的全部内容（包括所有的补充、修改内容），承诺并履行本文件中各项条款规定及要求。</w:t>
      </w:r>
    </w:p>
    <w:p>
      <w:pPr>
        <w:spacing w:line="430" w:lineRule="exact"/>
        <w:rPr>
          <w:rFonts w:ascii="宋体" w:hAnsi="宋体" w:cs="宋体"/>
          <w:color w:val="auto"/>
          <w:szCs w:val="21"/>
        </w:rPr>
      </w:pPr>
      <w:r>
        <w:rPr>
          <w:rFonts w:hint="eastAsia" w:ascii="宋体" w:hAnsi="宋体" w:cs="宋体"/>
          <w:color w:val="auto"/>
          <w:szCs w:val="21"/>
        </w:rPr>
        <w:t>8.4 竞争性谈判响应文件必须按本文件全部内容，包括所有的补充通知及附件进行编制。</w:t>
      </w:r>
    </w:p>
    <w:p>
      <w:pPr>
        <w:spacing w:line="430" w:lineRule="exact"/>
        <w:rPr>
          <w:rFonts w:ascii="宋体" w:hAnsi="宋体" w:cs="宋体"/>
          <w:color w:val="auto"/>
          <w:szCs w:val="21"/>
        </w:rPr>
      </w:pPr>
      <w:r>
        <w:rPr>
          <w:rFonts w:hint="eastAsia" w:ascii="宋体" w:hAnsi="宋体" w:cs="宋体"/>
          <w:color w:val="auto"/>
          <w:szCs w:val="21"/>
        </w:rPr>
        <w:t>8.5 如因谈判供应商只填写和提供了本文件要求的部分内容和附件，而给评审造成困难，其可能导致的结果和责任由谈判供应商自行承担。</w:t>
      </w:r>
    </w:p>
    <w:p>
      <w:pPr>
        <w:spacing w:line="430" w:lineRule="exact"/>
        <w:rPr>
          <w:rFonts w:ascii="宋体" w:hAnsi="宋体" w:cs="宋体"/>
          <w:color w:val="auto"/>
          <w:szCs w:val="21"/>
        </w:rPr>
      </w:pPr>
      <w:r>
        <w:rPr>
          <w:rFonts w:hint="eastAsia" w:ascii="宋体" w:hAnsi="宋体" w:cs="宋体"/>
          <w:color w:val="auto"/>
          <w:szCs w:val="21"/>
        </w:rPr>
        <w:t>8.6 竞争性谈判响应文件的组成。竞争性谈判响应文件应分为价格文件和商务技术文件（资格证明文件、技术服务文件）两个部分组成。</w:t>
      </w:r>
    </w:p>
    <w:p>
      <w:pPr>
        <w:spacing w:line="430" w:lineRule="exact"/>
        <w:rPr>
          <w:rFonts w:ascii="宋体" w:hAnsi="宋体" w:cs="宋体"/>
          <w:b/>
          <w:bCs/>
          <w:color w:val="auto"/>
          <w:szCs w:val="21"/>
        </w:rPr>
      </w:pPr>
      <w:r>
        <w:rPr>
          <w:rFonts w:hint="eastAsia" w:ascii="宋体" w:hAnsi="宋体" w:cs="宋体"/>
          <w:b/>
          <w:bCs/>
          <w:color w:val="auto"/>
          <w:szCs w:val="21"/>
        </w:rPr>
        <w:t>8.6.1 价格文件</w:t>
      </w:r>
    </w:p>
    <w:p>
      <w:pPr>
        <w:spacing w:line="430" w:lineRule="exact"/>
        <w:rPr>
          <w:rFonts w:ascii="宋体" w:hAnsi="宋体" w:cs="宋体"/>
          <w:color w:val="auto"/>
          <w:szCs w:val="21"/>
        </w:rPr>
      </w:pPr>
      <w:r>
        <w:rPr>
          <w:rFonts w:hint="eastAsia" w:ascii="宋体" w:hAnsi="宋体" w:cs="宋体"/>
          <w:color w:val="auto"/>
          <w:szCs w:val="21"/>
        </w:rPr>
        <w:t>★1） 谈判报价表；（格式见第四章）</w:t>
      </w:r>
    </w:p>
    <w:p>
      <w:pPr>
        <w:spacing w:line="430" w:lineRule="exact"/>
        <w:rPr>
          <w:rFonts w:ascii="宋体" w:hAnsi="宋体" w:cs="宋体"/>
          <w:color w:val="auto"/>
          <w:szCs w:val="21"/>
        </w:rPr>
      </w:pPr>
      <w:r>
        <w:rPr>
          <w:rFonts w:hint="eastAsia" w:ascii="宋体" w:hAnsi="宋体" w:cs="宋体"/>
          <w:color w:val="auto"/>
          <w:szCs w:val="21"/>
        </w:rPr>
        <w:t>★2） 分项报价表；（格式见第四章）</w:t>
      </w:r>
    </w:p>
    <w:p>
      <w:pPr>
        <w:spacing w:line="430" w:lineRule="exact"/>
        <w:rPr>
          <w:rFonts w:ascii="宋体" w:hAnsi="宋体" w:cs="宋体"/>
          <w:color w:val="auto"/>
          <w:szCs w:val="21"/>
        </w:rPr>
      </w:pPr>
      <w:r>
        <w:rPr>
          <w:rFonts w:hint="eastAsia" w:ascii="宋体" w:hAnsi="宋体" w:cs="宋体"/>
          <w:color w:val="auto"/>
          <w:szCs w:val="21"/>
        </w:rPr>
        <w:t>7.6.2 商务技术文件（应该有的必须提供，如未提供，评审小组有权拒绝其竞争性谈判响应文件）。</w:t>
      </w:r>
    </w:p>
    <w:p>
      <w:pPr>
        <w:spacing w:line="430" w:lineRule="exact"/>
        <w:rPr>
          <w:rFonts w:ascii="宋体" w:hAnsi="宋体" w:cs="宋体"/>
          <w:b/>
          <w:color w:val="auto"/>
          <w:szCs w:val="21"/>
        </w:rPr>
      </w:pPr>
      <w:r>
        <w:rPr>
          <w:rFonts w:hint="eastAsia" w:ascii="宋体" w:hAnsi="宋体" w:cs="宋体"/>
          <w:b/>
          <w:color w:val="auto"/>
          <w:szCs w:val="21"/>
        </w:rPr>
        <w:t>资格证明文件：</w:t>
      </w:r>
    </w:p>
    <w:p>
      <w:pPr>
        <w:spacing w:line="430" w:lineRule="exact"/>
        <w:rPr>
          <w:rFonts w:ascii="宋体" w:hAnsi="宋体" w:cs="宋体"/>
          <w:color w:val="auto"/>
          <w:szCs w:val="21"/>
        </w:rPr>
      </w:pPr>
      <w:r>
        <w:rPr>
          <w:rFonts w:hint="eastAsia" w:ascii="宋体" w:hAnsi="宋体" w:cs="宋体"/>
          <w:color w:val="auto"/>
          <w:szCs w:val="21"/>
        </w:rPr>
        <w:t>★1） 谈判书；（格式见第四章）</w:t>
      </w:r>
    </w:p>
    <w:p>
      <w:pPr>
        <w:spacing w:line="430" w:lineRule="exact"/>
        <w:rPr>
          <w:rFonts w:ascii="宋体" w:hAnsi="宋体" w:cs="宋体"/>
          <w:color w:val="auto"/>
          <w:szCs w:val="21"/>
        </w:rPr>
      </w:pPr>
      <w:r>
        <w:rPr>
          <w:rFonts w:hint="eastAsia" w:ascii="宋体" w:hAnsi="宋体" w:cs="宋体"/>
          <w:color w:val="auto"/>
          <w:szCs w:val="21"/>
        </w:rPr>
        <w:t>★2） 有效的营业执照副本（均为复印件并加盖单位公章）；</w:t>
      </w:r>
    </w:p>
    <w:p>
      <w:pPr>
        <w:spacing w:line="430" w:lineRule="exact"/>
        <w:rPr>
          <w:rFonts w:ascii="宋体" w:hAnsi="宋体" w:cs="宋体"/>
          <w:color w:val="auto"/>
          <w:szCs w:val="21"/>
        </w:rPr>
      </w:pPr>
      <w:r>
        <w:rPr>
          <w:rFonts w:hint="eastAsia" w:ascii="宋体" w:hAnsi="宋体" w:cs="宋体"/>
          <w:color w:val="auto"/>
          <w:szCs w:val="21"/>
        </w:rPr>
        <w:t>★3）供应商必须具有行业主管部门颁发的有效的《中华人民共和国医疗器械经营企业许可证》或《中华人民共和国医疗器械生产企业许可证》或《二类医疗器械经营备案凭证》复印件（必须提供，同时要加盖单位公章）</w:t>
      </w:r>
    </w:p>
    <w:p>
      <w:pPr>
        <w:spacing w:line="430" w:lineRule="exact"/>
        <w:rPr>
          <w:rFonts w:ascii="宋体" w:hAnsi="宋体" w:cs="宋体"/>
          <w:color w:val="auto"/>
          <w:szCs w:val="21"/>
        </w:rPr>
      </w:pPr>
      <w:r>
        <w:rPr>
          <w:rFonts w:hint="eastAsia" w:ascii="宋体" w:hAnsi="宋体" w:cs="宋体"/>
          <w:color w:val="auto"/>
          <w:szCs w:val="21"/>
        </w:rPr>
        <w:t>★4） 法定代表人授权书原件；（格式见第四章）</w:t>
      </w:r>
    </w:p>
    <w:p>
      <w:pPr>
        <w:spacing w:line="430" w:lineRule="exact"/>
        <w:rPr>
          <w:rFonts w:ascii="宋体" w:hAnsi="宋体" w:cs="宋体"/>
          <w:color w:val="auto"/>
          <w:szCs w:val="21"/>
        </w:rPr>
      </w:pPr>
      <w:r>
        <w:rPr>
          <w:rFonts w:hint="eastAsia" w:ascii="宋体" w:hAnsi="宋体" w:cs="宋体"/>
          <w:color w:val="auto"/>
          <w:szCs w:val="21"/>
        </w:rPr>
        <w:t>★5） 法定代表人身份证（第二代身份证须提供正反面复印件并加盖单位公章）、被授权人身份证（第二代身份证须提供正反面复印件并加盖单位公章，委托代理时必须提供）；</w:t>
      </w:r>
    </w:p>
    <w:p>
      <w:pPr>
        <w:spacing w:line="430" w:lineRule="exact"/>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6）竞标人近期财务状况报告（可以提供</w:t>
      </w:r>
      <w:r>
        <w:rPr>
          <w:rFonts w:hint="eastAsia" w:ascii="宋体" w:hAnsi="宋体" w:cs="宋体"/>
          <w:b/>
          <w:color w:val="auto"/>
          <w:szCs w:val="21"/>
        </w:rPr>
        <w:t>2019年度经第三方审计</w:t>
      </w:r>
      <w:r>
        <w:rPr>
          <w:rFonts w:hint="eastAsia" w:ascii="宋体" w:hAnsi="宋体" w:cs="宋体"/>
          <w:color w:val="auto"/>
          <w:szCs w:val="21"/>
        </w:rPr>
        <w:t>的审计报告；或提供自2020年1月至今，任意3个月能反映财务状况的报表；或提供供应商自拟的竞标截止时间前半年内的财务情况说明；注：成立不足3个月的供应商按实际情况提供）；</w:t>
      </w:r>
    </w:p>
    <w:p>
      <w:pPr>
        <w:spacing w:line="430" w:lineRule="exact"/>
        <w:rPr>
          <w:rFonts w:ascii="宋体" w:hAnsi="宋体" w:cs="宋体"/>
          <w:color w:val="auto"/>
          <w:szCs w:val="21"/>
        </w:rPr>
      </w:pPr>
      <w:r>
        <w:rPr>
          <w:rFonts w:hint="eastAsia" w:ascii="宋体" w:hAnsi="宋体" w:cs="宋体"/>
          <w:color w:val="auto"/>
          <w:szCs w:val="21"/>
        </w:rPr>
        <w:t>★7）提供自2020年1月至今，任意三个月竞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w:t>
      </w:r>
    </w:p>
    <w:p>
      <w:pPr>
        <w:spacing w:line="430" w:lineRule="exact"/>
        <w:rPr>
          <w:rFonts w:ascii="宋体" w:hAnsi="宋体" w:cs="宋体"/>
          <w:color w:val="auto"/>
          <w:szCs w:val="21"/>
        </w:rPr>
      </w:pPr>
      <w:r>
        <w:rPr>
          <w:rFonts w:hint="eastAsia" w:ascii="宋体" w:hAnsi="宋体" w:cs="宋体"/>
          <w:color w:val="auto"/>
          <w:szCs w:val="21"/>
        </w:rPr>
        <w:t>★8）提供自2020年1月至今，任意三个月竞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竞标人所在地社保部门出具的《依法缴纳或依法免缴社保费证明》复印件；</w:t>
      </w:r>
    </w:p>
    <w:p>
      <w:pPr>
        <w:spacing w:line="430" w:lineRule="exact"/>
        <w:rPr>
          <w:rFonts w:ascii="宋体" w:hAnsi="宋体" w:cs="宋体"/>
          <w:color w:val="auto"/>
          <w:szCs w:val="21"/>
        </w:rPr>
      </w:pPr>
      <w:r>
        <w:rPr>
          <w:rFonts w:hint="eastAsia" w:ascii="宋体" w:hAnsi="宋体" w:cs="宋体"/>
          <w:color w:val="auto"/>
          <w:szCs w:val="21"/>
        </w:rPr>
        <w:t>★9）竞标人参加政府采购活动前3年内在经营活动中没有重大违法记录的书面声明（格式自拟）；</w:t>
      </w:r>
    </w:p>
    <w:p>
      <w:pPr>
        <w:spacing w:line="430" w:lineRule="exact"/>
        <w:rPr>
          <w:rFonts w:ascii="宋体" w:hAnsi="宋体" w:cs="宋体"/>
          <w:color w:val="auto"/>
          <w:szCs w:val="21"/>
        </w:rPr>
      </w:pPr>
      <w:r>
        <w:rPr>
          <w:rFonts w:hint="eastAsia" w:ascii="宋体" w:hAnsi="宋体" w:cs="宋体"/>
          <w:color w:val="auto"/>
          <w:szCs w:val="21"/>
        </w:rPr>
        <w:t>★10）信用记录网站〔“信用中国”网站(www.creditchina.gov.cn)、中国政府采购网(www.ccgp.gov.cn/cr/list)〕查询结果信用声明函；(格式见第四章)</w:t>
      </w:r>
    </w:p>
    <w:p>
      <w:pPr>
        <w:spacing w:line="430" w:lineRule="exact"/>
        <w:rPr>
          <w:rFonts w:ascii="宋体" w:hAnsi="宋体" w:cs="宋体"/>
          <w:color w:val="auto"/>
          <w:szCs w:val="21"/>
        </w:rPr>
      </w:pPr>
      <w:r>
        <w:rPr>
          <w:rFonts w:hint="eastAsia" w:ascii="宋体" w:hAnsi="宋体" w:cs="宋体"/>
          <w:color w:val="auto"/>
          <w:szCs w:val="21"/>
        </w:rPr>
        <w:t>11）竞标人符合中小企业划型标准的，按《政府采购促进中小企业发展暂行办法》（财库〔2011〕181号）要求，提供声明函；(格式见第四章)</w:t>
      </w:r>
    </w:p>
    <w:p>
      <w:pPr>
        <w:spacing w:line="430" w:lineRule="exact"/>
        <w:rPr>
          <w:rFonts w:ascii="宋体" w:hAnsi="宋体" w:cs="宋体"/>
          <w:color w:val="auto"/>
          <w:szCs w:val="21"/>
        </w:rPr>
      </w:pPr>
      <w:r>
        <w:rPr>
          <w:rFonts w:hint="eastAsia" w:ascii="宋体" w:hAnsi="宋体" w:cs="宋体"/>
          <w:color w:val="auto"/>
          <w:szCs w:val="21"/>
        </w:rPr>
        <w:t>12）竞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 (格式见第四章) ；监狱企业参加政府采购活动时，应当提供由省级以上监狱管理局、戒毒管理局（含新疆生产建设兵团）出具的属于监狱企业的证明文件；</w:t>
      </w:r>
    </w:p>
    <w:p>
      <w:pPr>
        <w:spacing w:line="430" w:lineRule="exact"/>
        <w:ind w:firstLine="413" w:firstLineChars="196"/>
        <w:rPr>
          <w:rFonts w:ascii="宋体" w:hAnsi="宋体" w:cs="宋体"/>
          <w:b/>
          <w:color w:val="auto"/>
          <w:szCs w:val="21"/>
        </w:rPr>
      </w:pPr>
      <w:r>
        <w:rPr>
          <w:rFonts w:hint="eastAsia" w:ascii="宋体" w:hAnsi="宋体" w:cs="宋体"/>
          <w:b/>
          <w:color w:val="auto"/>
          <w:szCs w:val="21"/>
        </w:rPr>
        <w:t>竞标人必须按要求在首次递交的竞争性谈判响应文件中提供上述第1）～ 10）项资格证明文件且加盖单位公章，否则评审小组有权拒绝其竞争性谈判响应文件。</w:t>
      </w:r>
    </w:p>
    <w:p>
      <w:pPr>
        <w:spacing w:line="430" w:lineRule="exact"/>
        <w:rPr>
          <w:rFonts w:ascii="宋体" w:hAnsi="宋体" w:cs="宋体"/>
          <w:b/>
          <w:color w:val="auto"/>
          <w:szCs w:val="21"/>
        </w:rPr>
      </w:pPr>
      <w:r>
        <w:rPr>
          <w:rFonts w:hint="eastAsia" w:ascii="宋体" w:hAnsi="宋体" w:cs="宋体"/>
          <w:b/>
          <w:color w:val="auto"/>
          <w:szCs w:val="21"/>
        </w:rPr>
        <w:t>技术服务文件：</w:t>
      </w:r>
    </w:p>
    <w:p>
      <w:pPr>
        <w:spacing w:line="430" w:lineRule="exact"/>
        <w:rPr>
          <w:rFonts w:ascii="宋体" w:hAnsi="宋体" w:cs="宋体"/>
          <w:color w:val="auto"/>
          <w:szCs w:val="21"/>
        </w:rPr>
      </w:pPr>
      <w:r>
        <w:rPr>
          <w:rFonts w:hint="eastAsia" w:ascii="宋体" w:hAnsi="宋体" w:cs="宋体"/>
          <w:color w:val="auto"/>
          <w:szCs w:val="21"/>
        </w:rPr>
        <w:t>★1） 供货清单；（格式见第四章）</w:t>
      </w:r>
    </w:p>
    <w:p>
      <w:pPr>
        <w:spacing w:line="430" w:lineRule="exact"/>
        <w:rPr>
          <w:rFonts w:ascii="宋体" w:hAnsi="宋体" w:cs="宋体"/>
          <w:color w:val="auto"/>
          <w:szCs w:val="21"/>
        </w:rPr>
      </w:pPr>
      <w:r>
        <w:rPr>
          <w:rFonts w:hint="eastAsia" w:ascii="宋体" w:hAnsi="宋体" w:cs="宋体"/>
          <w:color w:val="auto"/>
          <w:szCs w:val="21"/>
        </w:rPr>
        <w:t>★2） 技术响应、偏离情况说明表；（格式见第四章）</w:t>
      </w:r>
    </w:p>
    <w:p>
      <w:pPr>
        <w:spacing w:line="430" w:lineRule="exact"/>
        <w:rPr>
          <w:rFonts w:ascii="宋体" w:hAnsi="宋体" w:cs="宋体"/>
          <w:color w:val="auto"/>
          <w:szCs w:val="21"/>
        </w:rPr>
      </w:pPr>
      <w:r>
        <w:rPr>
          <w:rFonts w:hint="eastAsia" w:ascii="宋体" w:hAnsi="宋体" w:cs="宋体"/>
          <w:color w:val="auto"/>
          <w:szCs w:val="21"/>
        </w:rPr>
        <w:t>★3） 商务响应表；（格式见第四章）</w:t>
      </w:r>
    </w:p>
    <w:p>
      <w:pPr>
        <w:spacing w:line="430" w:lineRule="exact"/>
        <w:rPr>
          <w:rFonts w:ascii="宋体" w:hAnsi="宋体" w:cs="宋体"/>
          <w:color w:val="auto"/>
          <w:szCs w:val="21"/>
        </w:rPr>
      </w:pPr>
      <w:r>
        <w:rPr>
          <w:rFonts w:hint="eastAsia" w:ascii="宋体" w:hAnsi="宋体" w:cs="宋体"/>
          <w:color w:val="auto"/>
          <w:szCs w:val="21"/>
        </w:rPr>
        <w:t>★4） 售后服务方案；</w:t>
      </w:r>
    </w:p>
    <w:p>
      <w:pPr>
        <w:spacing w:line="430" w:lineRule="exact"/>
        <w:rPr>
          <w:rFonts w:ascii="宋体" w:hAnsi="宋体" w:cs="宋体"/>
          <w:color w:val="auto"/>
          <w:szCs w:val="21"/>
        </w:rPr>
      </w:pPr>
      <w:r>
        <w:rPr>
          <w:rFonts w:hint="eastAsia" w:ascii="宋体" w:hAnsi="宋体" w:cs="宋体"/>
          <w:color w:val="auto"/>
          <w:szCs w:val="21"/>
        </w:rPr>
        <w:t>5） 生产、销售许可证（如国家实行强制性要求的必须提供）；</w:t>
      </w:r>
    </w:p>
    <w:p>
      <w:pPr>
        <w:spacing w:line="430" w:lineRule="exact"/>
        <w:rPr>
          <w:rFonts w:ascii="宋体" w:hAnsi="宋体" w:cs="宋体"/>
          <w:color w:val="auto"/>
          <w:szCs w:val="21"/>
        </w:rPr>
      </w:pPr>
      <w:r>
        <w:rPr>
          <w:rFonts w:hint="eastAsia" w:ascii="宋体" w:hAnsi="宋体" w:cs="宋体"/>
          <w:color w:val="auto"/>
          <w:szCs w:val="21"/>
        </w:rPr>
        <w:t>6） 货物制造检测标准；</w:t>
      </w:r>
    </w:p>
    <w:p>
      <w:pPr>
        <w:spacing w:line="430" w:lineRule="exact"/>
        <w:rPr>
          <w:rFonts w:ascii="宋体" w:hAnsi="宋体" w:cs="宋体"/>
          <w:color w:val="auto"/>
          <w:szCs w:val="21"/>
        </w:rPr>
      </w:pPr>
      <w:r>
        <w:rPr>
          <w:rFonts w:hint="eastAsia" w:ascii="宋体" w:hAnsi="宋体" w:cs="宋体"/>
          <w:color w:val="auto"/>
          <w:szCs w:val="21"/>
        </w:rPr>
        <w:t>7） 货物认证、检测报告、鉴定证书等；</w:t>
      </w:r>
    </w:p>
    <w:p>
      <w:pPr>
        <w:spacing w:line="430" w:lineRule="exact"/>
        <w:rPr>
          <w:rFonts w:ascii="宋体" w:hAnsi="宋体" w:cs="宋体"/>
          <w:color w:val="auto"/>
          <w:szCs w:val="21"/>
        </w:rPr>
      </w:pPr>
      <w:r>
        <w:rPr>
          <w:rFonts w:hint="eastAsia" w:ascii="宋体" w:hAnsi="宋体" w:cs="宋体"/>
          <w:color w:val="auto"/>
          <w:szCs w:val="21"/>
        </w:rPr>
        <w:t>8） 产品获奖证书；</w:t>
      </w:r>
    </w:p>
    <w:p>
      <w:pPr>
        <w:spacing w:line="430" w:lineRule="exact"/>
        <w:rPr>
          <w:rFonts w:ascii="宋体" w:hAnsi="宋体" w:cs="宋体"/>
          <w:color w:val="auto"/>
          <w:szCs w:val="21"/>
        </w:rPr>
      </w:pPr>
      <w:r>
        <w:rPr>
          <w:rFonts w:hint="eastAsia" w:ascii="宋体" w:hAnsi="宋体" w:cs="宋体"/>
          <w:color w:val="auto"/>
          <w:szCs w:val="21"/>
        </w:rPr>
        <w:t>9） 货物名称、型号、规格、数量、性能、内部配置、使用原材料、引进新技术、新工艺、新材料等情况；</w:t>
      </w:r>
    </w:p>
    <w:p>
      <w:pPr>
        <w:spacing w:line="430" w:lineRule="exact"/>
        <w:rPr>
          <w:rFonts w:ascii="宋体" w:hAnsi="宋体" w:cs="宋体"/>
          <w:color w:val="auto"/>
          <w:szCs w:val="21"/>
        </w:rPr>
      </w:pPr>
      <w:r>
        <w:rPr>
          <w:rFonts w:hint="eastAsia" w:ascii="宋体" w:hAnsi="宋体" w:cs="宋体"/>
          <w:color w:val="auto"/>
          <w:szCs w:val="21"/>
        </w:rPr>
        <w:t>10） 货物制造、检验、验收执行的标准；</w:t>
      </w:r>
    </w:p>
    <w:p>
      <w:pPr>
        <w:spacing w:line="430" w:lineRule="exact"/>
        <w:rPr>
          <w:rFonts w:ascii="宋体" w:hAnsi="宋体" w:cs="宋体"/>
          <w:color w:val="auto"/>
          <w:szCs w:val="21"/>
        </w:rPr>
      </w:pPr>
      <w:r>
        <w:rPr>
          <w:rFonts w:hint="eastAsia" w:ascii="宋体" w:hAnsi="宋体" w:cs="宋体"/>
          <w:color w:val="auto"/>
          <w:szCs w:val="21"/>
        </w:rPr>
        <w:t>11） 质量保证措施和优惠承诺；</w:t>
      </w:r>
    </w:p>
    <w:p>
      <w:pPr>
        <w:spacing w:line="430" w:lineRule="exact"/>
        <w:rPr>
          <w:rFonts w:ascii="宋体" w:hAnsi="宋体" w:cs="宋体"/>
          <w:color w:val="auto"/>
          <w:szCs w:val="21"/>
        </w:rPr>
      </w:pPr>
      <w:r>
        <w:rPr>
          <w:rFonts w:hint="eastAsia" w:ascii="宋体" w:hAnsi="宋体" w:cs="宋体"/>
          <w:color w:val="auto"/>
          <w:szCs w:val="21"/>
        </w:rPr>
        <w:t>12） 产品样本、使用保养说明书、图纸等技术资料；</w:t>
      </w:r>
    </w:p>
    <w:p>
      <w:pPr>
        <w:spacing w:line="430" w:lineRule="exact"/>
        <w:rPr>
          <w:rFonts w:ascii="宋体" w:hAnsi="宋体" w:cs="宋体"/>
          <w:color w:val="auto"/>
          <w:szCs w:val="21"/>
        </w:rPr>
      </w:pPr>
      <w:r>
        <w:rPr>
          <w:rFonts w:hint="eastAsia" w:ascii="宋体" w:hAnsi="宋体" w:cs="宋体"/>
          <w:color w:val="auto"/>
          <w:szCs w:val="21"/>
        </w:rPr>
        <w:t>13） 谈判供应商认为需要提供的有关资料；</w:t>
      </w:r>
    </w:p>
    <w:p>
      <w:pPr>
        <w:spacing w:line="430" w:lineRule="exact"/>
        <w:ind w:firstLine="413" w:firstLineChars="196"/>
        <w:rPr>
          <w:rFonts w:ascii="宋体" w:hAnsi="宋体" w:cs="宋体"/>
          <w:b/>
          <w:color w:val="auto"/>
          <w:szCs w:val="21"/>
        </w:rPr>
      </w:pPr>
      <w:r>
        <w:rPr>
          <w:rFonts w:hint="eastAsia" w:ascii="宋体" w:hAnsi="宋体" w:cs="宋体"/>
          <w:b/>
          <w:color w:val="auto"/>
          <w:szCs w:val="21"/>
        </w:rPr>
        <w:t>竞标人必须按要求在首次递交的竞争性谈判响应文件中提供上述第1）～ 4）项技术服务文件且加盖单位公章，否则评审小组有权拒绝其竞争性谈判响应文件。</w:t>
      </w:r>
    </w:p>
    <w:p>
      <w:pPr>
        <w:spacing w:line="430" w:lineRule="exact"/>
        <w:rPr>
          <w:rFonts w:ascii="宋体" w:hAnsi="宋体" w:cs="宋体"/>
          <w:color w:val="auto"/>
          <w:szCs w:val="21"/>
        </w:rPr>
      </w:pPr>
      <w:r>
        <w:rPr>
          <w:rFonts w:hint="eastAsia" w:ascii="宋体" w:hAnsi="宋体" w:cs="宋体"/>
          <w:color w:val="auto"/>
          <w:szCs w:val="21"/>
        </w:rPr>
        <w:t>9. 计量单位</w:t>
      </w:r>
    </w:p>
    <w:p>
      <w:pPr>
        <w:spacing w:line="430" w:lineRule="exact"/>
        <w:rPr>
          <w:rFonts w:ascii="宋体" w:hAnsi="宋体" w:cs="宋体"/>
          <w:color w:val="auto"/>
          <w:szCs w:val="21"/>
        </w:rPr>
      </w:pPr>
      <w:r>
        <w:rPr>
          <w:rFonts w:hint="eastAsia" w:ascii="宋体" w:hAnsi="宋体" w:cs="宋体"/>
          <w:color w:val="auto"/>
          <w:szCs w:val="21"/>
        </w:rPr>
        <w:t>9.1 除技术要求中另有规定外，本文件所要求使用的计量单位均应采用国家法定计量单位。</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三、谈判报价要求</w:t>
      </w:r>
    </w:p>
    <w:p>
      <w:pPr>
        <w:spacing w:line="430" w:lineRule="exact"/>
        <w:rPr>
          <w:rFonts w:ascii="宋体" w:hAnsi="宋体" w:cs="宋体"/>
          <w:color w:val="auto"/>
          <w:szCs w:val="21"/>
        </w:rPr>
      </w:pPr>
      <w:r>
        <w:rPr>
          <w:rFonts w:hint="eastAsia" w:ascii="宋体" w:hAnsi="宋体" w:cs="宋体"/>
          <w:color w:val="auto"/>
          <w:szCs w:val="21"/>
        </w:rPr>
        <w:t>10.1 对于本文件中未列明，而谈判供应商认为必需的费用也需列入总报价。在合同实施时，采购人将不予支付成交供应商没有列入的项目费用，并认为此项目的费用已包括在总报价中。竞标报价包含设备、随配附件、备品备件、工具、运抵指定交货地点、保险、现场安装、调试及验收的各种费用和售后服务、税金及其他所有成本费用的总和。</w:t>
      </w:r>
    </w:p>
    <w:p>
      <w:pPr>
        <w:spacing w:line="430" w:lineRule="exact"/>
        <w:rPr>
          <w:rFonts w:ascii="宋体" w:hAnsi="宋体" w:cs="宋体"/>
          <w:color w:val="auto"/>
          <w:szCs w:val="21"/>
        </w:rPr>
      </w:pPr>
      <w:r>
        <w:rPr>
          <w:rFonts w:hint="eastAsia" w:ascii="宋体" w:hAnsi="宋体" w:cs="宋体"/>
          <w:color w:val="auto"/>
          <w:szCs w:val="21"/>
        </w:rPr>
        <w:t>10.2 成交供应商负责本项目所需货物的制造、运输、售后服务等全部工作。</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四、竞争性谈判响应文件的份数、封装和递交</w:t>
      </w:r>
    </w:p>
    <w:p>
      <w:pPr>
        <w:spacing w:line="430" w:lineRule="exact"/>
        <w:rPr>
          <w:rFonts w:ascii="宋体" w:hAnsi="宋体" w:cs="宋体"/>
          <w:color w:val="auto"/>
          <w:szCs w:val="21"/>
        </w:rPr>
      </w:pPr>
      <w:r>
        <w:rPr>
          <w:rFonts w:hint="eastAsia" w:ascii="宋体" w:hAnsi="宋体" w:cs="宋体"/>
          <w:color w:val="auto"/>
          <w:szCs w:val="21"/>
        </w:rPr>
        <w:t>11. 谈判响应文件的份数和封装</w:t>
      </w:r>
    </w:p>
    <w:p>
      <w:pPr>
        <w:spacing w:line="430" w:lineRule="exact"/>
        <w:rPr>
          <w:rFonts w:ascii="宋体" w:hAnsi="宋体" w:cs="宋体"/>
          <w:color w:val="auto"/>
          <w:szCs w:val="21"/>
        </w:rPr>
      </w:pPr>
      <w:r>
        <w:rPr>
          <w:rFonts w:hint="eastAsia" w:ascii="宋体" w:hAnsi="宋体" w:cs="宋体"/>
          <w:color w:val="auto"/>
          <w:szCs w:val="21"/>
        </w:rPr>
        <w:t>11.1竞标人应将竞争性谈判响应文件中“价格文件”和“商务技术文件”合并装订成册，正本一份，副本四份。然后将所有文件封装在一个外层信封中，外信封上标明“竞争性谈判响应文件”。</w:t>
      </w:r>
    </w:p>
    <w:p>
      <w:pPr>
        <w:spacing w:line="430" w:lineRule="exact"/>
        <w:rPr>
          <w:rFonts w:ascii="宋体" w:hAnsi="宋体" w:cs="宋体"/>
          <w:color w:val="auto"/>
          <w:szCs w:val="21"/>
        </w:rPr>
      </w:pPr>
      <w:r>
        <w:rPr>
          <w:rFonts w:hint="eastAsia" w:ascii="宋体" w:hAnsi="宋体" w:cs="宋体"/>
          <w:color w:val="auto"/>
          <w:szCs w:val="21"/>
        </w:rPr>
        <w:t>11.2 竞争性谈判响应文件的信封上应写明：</w:t>
      </w:r>
    </w:p>
    <w:p>
      <w:pPr>
        <w:spacing w:line="430" w:lineRule="exact"/>
        <w:rPr>
          <w:rFonts w:ascii="宋体" w:hAnsi="宋体" w:cs="宋体"/>
          <w:color w:val="auto"/>
          <w:szCs w:val="21"/>
        </w:rPr>
      </w:pPr>
      <w:r>
        <w:rPr>
          <w:rFonts w:hint="eastAsia" w:ascii="宋体" w:hAnsi="宋体" w:cs="宋体"/>
          <w:color w:val="auto"/>
          <w:szCs w:val="21"/>
        </w:rPr>
        <w:t>1） 竞争性谈判项目编号；</w:t>
      </w:r>
    </w:p>
    <w:p>
      <w:pPr>
        <w:spacing w:line="430" w:lineRule="exact"/>
        <w:rPr>
          <w:rFonts w:ascii="宋体" w:hAnsi="宋体" w:cs="宋体"/>
          <w:color w:val="auto"/>
          <w:szCs w:val="21"/>
        </w:rPr>
      </w:pPr>
      <w:r>
        <w:rPr>
          <w:rFonts w:hint="eastAsia" w:ascii="宋体" w:hAnsi="宋体" w:cs="宋体"/>
          <w:color w:val="auto"/>
          <w:szCs w:val="21"/>
        </w:rPr>
        <w:t>2） 竞争性谈判项目名称；</w:t>
      </w:r>
    </w:p>
    <w:p>
      <w:pPr>
        <w:spacing w:line="430" w:lineRule="exact"/>
        <w:rPr>
          <w:rFonts w:ascii="宋体" w:hAnsi="宋体" w:cs="宋体"/>
          <w:color w:val="auto"/>
          <w:szCs w:val="21"/>
        </w:rPr>
      </w:pPr>
      <w:r>
        <w:rPr>
          <w:rFonts w:hint="eastAsia" w:ascii="宋体" w:hAnsi="宋体" w:cs="宋体"/>
          <w:color w:val="auto"/>
          <w:szCs w:val="21"/>
        </w:rPr>
        <w:t>3） 谈判内容（包括谈判货物/服务名称）；</w:t>
      </w:r>
    </w:p>
    <w:p>
      <w:pPr>
        <w:spacing w:line="430" w:lineRule="exact"/>
        <w:rPr>
          <w:rFonts w:ascii="宋体" w:hAnsi="宋体" w:cs="宋体"/>
          <w:color w:val="auto"/>
          <w:szCs w:val="21"/>
        </w:rPr>
      </w:pPr>
      <w:r>
        <w:rPr>
          <w:rFonts w:hint="eastAsia" w:ascii="宋体" w:hAnsi="宋体" w:cs="宋体"/>
          <w:color w:val="auto"/>
          <w:szCs w:val="21"/>
        </w:rPr>
        <w:t>4） 谈判供应商名称。</w:t>
      </w:r>
    </w:p>
    <w:p>
      <w:pPr>
        <w:spacing w:line="430" w:lineRule="exact"/>
        <w:rPr>
          <w:rFonts w:ascii="宋体" w:hAnsi="宋体" w:cs="宋体"/>
          <w:color w:val="auto"/>
          <w:szCs w:val="21"/>
        </w:rPr>
      </w:pPr>
      <w:r>
        <w:rPr>
          <w:rFonts w:hint="eastAsia" w:ascii="宋体" w:hAnsi="宋体" w:cs="宋体"/>
          <w:color w:val="auto"/>
          <w:szCs w:val="21"/>
        </w:rPr>
        <w:t>12. 竞争性谈判响应文件的递交</w:t>
      </w:r>
    </w:p>
    <w:p>
      <w:pPr>
        <w:spacing w:line="430" w:lineRule="exact"/>
        <w:rPr>
          <w:rFonts w:ascii="宋体" w:hAnsi="宋体" w:cs="宋体"/>
          <w:color w:val="auto"/>
          <w:szCs w:val="21"/>
        </w:rPr>
      </w:pPr>
      <w:r>
        <w:rPr>
          <w:rFonts w:hint="eastAsia" w:ascii="宋体" w:hAnsi="宋体" w:cs="宋体"/>
          <w:color w:val="auto"/>
          <w:szCs w:val="21"/>
        </w:rPr>
        <w:t>12.1 所有竞争性谈判竞争性响应文件应于竞争性谈判采购文件中规定的时间前递交到广西科联招标中心有限公司。</w:t>
      </w:r>
    </w:p>
    <w:p>
      <w:pPr>
        <w:spacing w:line="430" w:lineRule="exact"/>
        <w:rPr>
          <w:rFonts w:ascii="宋体" w:hAnsi="宋体" w:cs="宋体"/>
          <w:color w:val="auto"/>
          <w:szCs w:val="21"/>
        </w:rPr>
      </w:pPr>
      <w:r>
        <w:rPr>
          <w:rFonts w:hint="eastAsia" w:ascii="宋体" w:hAnsi="宋体" w:cs="宋体"/>
          <w:color w:val="auto"/>
          <w:szCs w:val="21"/>
        </w:rPr>
        <w:t>13. 迟交的竞争性谈判响应文件</w:t>
      </w:r>
    </w:p>
    <w:p>
      <w:pPr>
        <w:spacing w:line="430" w:lineRule="exact"/>
        <w:ind w:firstLine="420" w:firstLineChars="200"/>
        <w:rPr>
          <w:rFonts w:ascii="宋体" w:hAnsi="宋体" w:cs="宋体"/>
          <w:color w:val="auto"/>
          <w:szCs w:val="21"/>
        </w:rPr>
      </w:pPr>
      <w:r>
        <w:rPr>
          <w:rFonts w:hint="eastAsia" w:ascii="宋体" w:hAnsi="宋体" w:cs="宋体"/>
          <w:color w:val="auto"/>
          <w:szCs w:val="21"/>
        </w:rPr>
        <w:t>按《政府采购法》的规定，广西科联招标中心有限公司将拒绝或原封退回在其规定的递交竞争性谈判响应文件截止时间之后收到的任何竞争性谈判响应文件。</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五、要求澄清、说明或者更正的形式</w:t>
      </w:r>
    </w:p>
    <w:p>
      <w:pPr>
        <w:spacing w:line="430" w:lineRule="exact"/>
        <w:rPr>
          <w:rFonts w:ascii="宋体" w:hAnsi="宋体" w:cs="宋体"/>
          <w:color w:val="auto"/>
          <w:szCs w:val="21"/>
        </w:rPr>
      </w:pPr>
      <w:r>
        <w:rPr>
          <w:rFonts w:hint="eastAsia" w:ascii="宋体" w:hAnsi="宋体" w:cs="宋体"/>
          <w:color w:val="auto"/>
          <w:szCs w:val="21"/>
        </w:rPr>
        <w:t>14.1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30" w:lineRule="exact"/>
        <w:rPr>
          <w:rFonts w:ascii="宋体" w:hAnsi="宋体" w:cs="宋体"/>
          <w:color w:val="auto"/>
          <w:szCs w:val="21"/>
        </w:rPr>
      </w:pPr>
      <w:r>
        <w:rPr>
          <w:rFonts w:hint="eastAsia" w:ascii="宋体" w:hAnsi="宋体" w:cs="宋体"/>
          <w:color w:val="auto"/>
          <w:szCs w:val="21"/>
        </w:rPr>
        <w:t>14.2谈判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Start w:id="35" w:name="_Toc513741409"/>
      <w:bookmarkStart w:id="36" w:name="_Toc495504834"/>
      <w:bookmarkStart w:id="37" w:name="_Toc495504657"/>
      <w:bookmarkStart w:id="38" w:name="_Toc495351940"/>
      <w:bookmarkStart w:id="39" w:name="_Toc495388444"/>
      <w:bookmarkStart w:id="40" w:name="_Toc495388767"/>
    </w:p>
    <w:p>
      <w:pPr>
        <w:spacing w:line="430" w:lineRule="exact"/>
        <w:rPr>
          <w:rFonts w:ascii="宋体" w:hAnsi="宋体" w:cs="宋体"/>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六、竞争性谈判无效的情形</w:t>
      </w:r>
      <w:bookmarkEnd w:id="35"/>
      <w:bookmarkEnd w:id="36"/>
      <w:bookmarkEnd w:id="37"/>
      <w:bookmarkEnd w:id="38"/>
      <w:bookmarkEnd w:id="39"/>
      <w:bookmarkEnd w:id="40"/>
    </w:p>
    <w:p>
      <w:pPr>
        <w:snapToGrid w:val="0"/>
        <w:spacing w:line="400" w:lineRule="exact"/>
        <w:rPr>
          <w:rFonts w:ascii="宋体" w:hAnsi="宋体" w:cs="宋体"/>
          <w:bCs/>
          <w:color w:val="auto"/>
          <w:szCs w:val="21"/>
        </w:rPr>
      </w:pPr>
      <w:r>
        <w:rPr>
          <w:rFonts w:hint="eastAsia" w:ascii="宋体" w:hAnsi="宋体" w:cs="宋体"/>
          <w:bCs/>
          <w:color w:val="auto"/>
          <w:szCs w:val="21"/>
        </w:rPr>
        <w:t>15</w:t>
      </w:r>
      <w:r>
        <w:rPr>
          <w:rFonts w:hint="eastAsia" w:ascii="宋体" w:hAnsi="宋体" w:cs="宋体"/>
          <w:color w:val="auto"/>
          <w:szCs w:val="21"/>
        </w:rPr>
        <w:t>.</w:t>
      </w:r>
      <w:r>
        <w:rPr>
          <w:rFonts w:hint="eastAsia" w:ascii="宋体" w:hAnsi="宋体" w:cs="宋体"/>
          <w:bCs/>
          <w:color w:val="auto"/>
          <w:szCs w:val="21"/>
        </w:rPr>
        <w:t>实质上没有响应竞争性谈判文件要求的响应文件将被视为无效竞标。供应商不得通过修正或撤销不合要求的偏离或保留从而使其响应文件成为实质上响应的响应文件，但经谈判小组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竞争性谈判文件要求的，应认定其竞标无效。供应商修改、补正响应文件后，不影响谈判小组对其响应文件所作的评价和评分结果。</w:t>
      </w:r>
    </w:p>
    <w:p>
      <w:pPr>
        <w:snapToGrid w:val="0"/>
        <w:spacing w:line="400" w:lineRule="exact"/>
        <w:rPr>
          <w:rFonts w:ascii="宋体" w:hAnsi="宋体" w:cs="宋体"/>
          <w:color w:val="auto"/>
          <w:szCs w:val="21"/>
        </w:rPr>
      </w:pPr>
      <w:r>
        <w:rPr>
          <w:rFonts w:hint="eastAsia" w:ascii="宋体" w:hAnsi="宋体" w:cs="宋体"/>
          <w:b/>
          <w:bCs/>
          <w:color w:val="auto"/>
          <w:szCs w:val="21"/>
        </w:rPr>
        <w:t>15.1在资格审查时，如发现下列情形之一的，响应文件将被视为无效：</w:t>
      </w:r>
    </w:p>
    <w:p>
      <w:pPr>
        <w:snapToGrid w:val="0"/>
        <w:spacing w:line="400" w:lineRule="exact"/>
        <w:rPr>
          <w:rFonts w:ascii="宋体" w:hAnsi="宋体" w:cs="宋体"/>
          <w:color w:val="auto"/>
          <w:szCs w:val="21"/>
        </w:rPr>
      </w:pPr>
      <w:r>
        <w:rPr>
          <w:rFonts w:hint="eastAsia" w:ascii="宋体" w:hAnsi="宋体" w:cs="宋体"/>
          <w:color w:val="auto"/>
          <w:szCs w:val="21"/>
        </w:rPr>
        <w:t>（1）不具备竞争性谈判文件中规定的资格要求的；</w:t>
      </w:r>
    </w:p>
    <w:p>
      <w:pPr>
        <w:snapToGrid w:val="0"/>
        <w:spacing w:line="400" w:lineRule="exact"/>
        <w:rPr>
          <w:rFonts w:ascii="宋体" w:hAnsi="宋体" w:cs="宋体"/>
          <w:color w:val="auto"/>
          <w:szCs w:val="21"/>
        </w:rPr>
      </w:pPr>
      <w:r>
        <w:rPr>
          <w:rFonts w:hint="eastAsia" w:ascii="宋体" w:hAnsi="宋体" w:cs="宋体"/>
          <w:color w:val="auto"/>
          <w:szCs w:val="21"/>
        </w:rPr>
        <w:t>（2）竞争性谈判文件要求必须提供的资格部分文件不齐全或者内容虚假的；</w:t>
      </w:r>
    </w:p>
    <w:p>
      <w:pPr>
        <w:snapToGrid w:val="0"/>
        <w:spacing w:line="400" w:lineRule="exact"/>
        <w:rPr>
          <w:rFonts w:ascii="宋体" w:hAnsi="宋体" w:cs="宋体"/>
          <w:color w:val="auto"/>
          <w:szCs w:val="21"/>
        </w:rPr>
      </w:pPr>
      <w:r>
        <w:rPr>
          <w:rFonts w:hint="eastAsia" w:ascii="宋体" w:hAnsi="宋体" w:cs="宋体"/>
          <w:color w:val="auto"/>
          <w:szCs w:val="21"/>
        </w:rPr>
        <w:t>（3）法律、法规和竞争性谈判文件规定的其他无效情形。</w:t>
      </w:r>
    </w:p>
    <w:p>
      <w:pPr>
        <w:pStyle w:val="20"/>
        <w:snapToGrid w:val="0"/>
        <w:spacing w:line="400" w:lineRule="exact"/>
        <w:ind w:firstLine="0"/>
        <w:rPr>
          <w:rFonts w:hAnsi="宋体" w:cs="宋体"/>
          <w:b/>
          <w:bCs/>
          <w:color w:val="auto"/>
          <w:sz w:val="21"/>
          <w:szCs w:val="21"/>
        </w:rPr>
      </w:pPr>
      <w:r>
        <w:rPr>
          <w:rFonts w:hint="eastAsia" w:hAnsi="宋体" w:cs="宋体"/>
          <w:b/>
          <w:bCs/>
          <w:color w:val="auto"/>
          <w:sz w:val="21"/>
          <w:szCs w:val="21"/>
        </w:rPr>
        <w:t>15.2在技术商务评审时，如发现下列情形之一的，响应文件将被视为无效：</w:t>
      </w:r>
    </w:p>
    <w:p>
      <w:pPr>
        <w:snapToGrid w:val="0"/>
        <w:spacing w:line="400" w:lineRule="exact"/>
        <w:rPr>
          <w:rFonts w:ascii="宋体" w:hAnsi="宋体" w:cs="宋体"/>
          <w:bCs/>
          <w:color w:val="auto"/>
          <w:szCs w:val="21"/>
        </w:rPr>
      </w:pPr>
      <w:r>
        <w:rPr>
          <w:rFonts w:hint="eastAsia" w:ascii="宋体" w:hAnsi="宋体" w:cs="宋体"/>
          <w:bCs/>
          <w:color w:val="auto"/>
          <w:szCs w:val="21"/>
        </w:rPr>
        <w:t>（1）响应文件未按竞争性谈判文件要求签署、盖章的；</w:t>
      </w:r>
    </w:p>
    <w:p>
      <w:pPr>
        <w:snapToGrid w:val="0"/>
        <w:spacing w:line="400" w:lineRule="exact"/>
        <w:rPr>
          <w:rFonts w:ascii="宋体" w:hAnsi="宋体" w:cs="宋体"/>
          <w:bCs/>
          <w:color w:val="auto"/>
          <w:szCs w:val="21"/>
        </w:rPr>
      </w:pPr>
      <w:r>
        <w:rPr>
          <w:rFonts w:hint="eastAsia" w:ascii="宋体" w:hAnsi="宋体" w:cs="宋体"/>
          <w:bCs/>
          <w:color w:val="auto"/>
          <w:szCs w:val="21"/>
        </w:rPr>
        <w:t>（2）竞争性谈判文件要求必须提供的商务及技术部分的文件不齐全或者内容虚假的；</w:t>
      </w:r>
    </w:p>
    <w:p>
      <w:pPr>
        <w:pStyle w:val="20"/>
        <w:snapToGrid w:val="0"/>
        <w:spacing w:line="400" w:lineRule="exact"/>
        <w:ind w:firstLine="0"/>
        <w:rPr>
          <w:rFonts w:hAnsi="宋体" w:cs="宋体"/>
          <w:color w:val="auto"/>
          <w:sz w:val="21"/>
          <w:szCs w:val="21"/>
        </w:rPr>
      </w:pPr>
      <w:r>
        <w:rPr>
          <w:rFonts w:hint="eastAsia" w:hAnsi="宋体" w:cs="宋体"/>
          <w:bCs/>
          <w:color w:val="auto"/>
          <w:szCs w:val="21"/>
        </w:rPr>
        <w:t>（3）</w:t>
      </w:r>
      <w:r>
        <w:rPr>
          <w:rFonts w:hint="eastAsia" w:hAnsi="宋体" w:cs="宋体"/>
          <w:bCs/>
          <w:color w:val="auto"/>
          <w:spacing w:val="0"/>
          <w:sz w:val="21"/>
          <w:szCs w:val="21"/>
        </w:rPr>
        <w:t>响应文件</w:t>
      </w:r>
      <w:r>
        <w:rPr>
          <w:rFonts w:hint="eastAsia" w:hAnsi="宋体" w:cs="宋体"/>
          <w:color w:val="auto"/>
          <w:sz w:val="21"/>
          <w:szCs w:val="21"/>
        </w:rPr>
        <w:t>的实质性内容未使用中文表述或者使用计量单位不符合响应文件要求的（经谈判小组认定并允许其当场更正的笔误除外）</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（4）竞争性谈判有效期、交货时间、质保期等商务条款不能满足竞争性谈判文件要求的；</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（5）响应文件有采购人不能接受的附加条件的；</w:t>
      </w:r>
    </w:p>
    <w:p>
      <w:pPr>
        <w:pStyle w:val="20"/>
        <w:snapToGrid w:val="0"/>
        <w:spacing w:line="400" w:lineRule="exact"/>
        <w:ind w:firstLine="0"/>
        <w:rPr>
          <w:rFonts w:hAnsi="宋体" w:cs="宋体"/>
          <w:bCs/>
          <w:color w:val="auto"/>
          <w:szCs w:val="21"/>
        </w:rPr>
      </w:pPr>
      <w:r>
        <w:rPr>
          <w:rFonts w:hint="eastAsia" w:hAnsi="宋体" w:cs="宋体"/>
          <w:color w:val="auto"/>
          <w:sz w:val="21"/>
          <w:szCs w:val="21"/>
        </w:rPr>
        <w:t>（6）未提供或未如实提供竞标货物的技术参数，或者响应文件标明的响应或偏离与事实不</w:t>
      </w:r>
      <w:r>
        <w:rPr>
          <w:rFonts w:hint="eastAsia" w:hAnsi="宋体" w:cs="宋体"/>
          <w:bCs/>
          <w:color w:val="auto"/>
          <w:szCs w:val="21"/>
        </w:rPr>
        <w:t>符或虚假响应的；</w:t>
      </w:r>
    </w:p>
    <w:p>
      <w:pPr>
        <w:snapToGrid w:val="0"/>
        <w:spacing w:line="400" w:lineRule="exact"/>
        <w:rPr>
          <w:rFonts w:ascii="宋体" w:hAnsi="宋体" w:cs="宋体"/>
          <w:bCs/>
          <w:color w:val="auto"/>
          <w:szCs w:val="21"/>
        </w:rPr>
      </w:pPr>
      <w:r>
        <w:rPr>
          <w:rFonts w:hint="eastAsia" w:ascii="宋体" w:hAnsi="宋体" w:cs="宋体"/>
          <w:bCs/>
          <w:color w:val="auto"/>
          <w:szCs w:val="21"/>
        </w:rPr>
        <w:t>（7）明显不符合竞争性谈判文件要求或者未满足竞争性谈判文件中标“★”的技术指标、主要功能项目、商务条款要求的；</w:t>
      </w:r>
    </w:p>
    <w:p>
      <w:pPr>
        <w:snapToGrid w:val="0"/>
        <w:spacing w:line="400" w:lineRule="exact"/>
        <w:rPr>
          <w:rFonts w:ascii="宋体" w:hAnsi="宋体" w:cs="宋体"/>
          <w:bCs/>
          <w:color w:val="auto"/>
          <w:szCs w:val="21"/>
        </w:rPr>
      </w:pPr>
      <w:r>
        <w:rPr>
          <w:rFonts w:hint="eastAsia" w:ascii="宋体" w:hAnsi="宋体" w:cs="宋体"/>
          <w:bCs/>
          <w:color w:val="auto"/>
          <w:szCs w:val="21"/>
        </w:rPr>
        <w:t>（8）响应文件中技术方案不明确，存在一个或一个以上备选（替代）技术方案的；</w:t>
      </w:r>
    </w:p>
    <w:p>
      <w:pPr>
        <w:snapToGrid w:val="0"/>
        <w:spacing w:line="400" w:lineRule="exact"/>
        <w:rPr>
          <w:rFonts w:ascii="宋体" w:hAnsi="宋体" w:cs="宋体"/>
          <w:bCs/>
          <w:color w:val="auto"/>
          <w:szCs w:val="21"/>
        </w:rPr>
      </w:pPr>
      <w:r>
        <w:rPr>
          <w:rFonts w:hint="eastAsia" w:ascii="宋体" w:hAnsi="宋体" w:cs="宋体"/>
          <w:b/>
          <w:bCs/>
          <w:color w:val="auto"/>
          <w:szCs w:val="21"/>
        </w:rPr>
        <w:t>15.3在报价评审时，如发现下列情形之一的，响应文件将被视为无效：</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（1）未采用人民币报价或者未按照竞争性谈判文件标明的币种报价的；</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（2）报价超出最高限价，或者超出采购预算金额，采购人不能支付的；</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（3）竞标报价不是唯一报价，具有选择性。</w:t>
      </w:r>
    </w:p>
    <w:p>
      <w:pPr>
        <w:spacing w:line="400" w:lineRule="exact"/>
        <w:rPr>
          <w:rFonts w:ascii="宋体" w:hAnsi="宋体" w:cs="宋体"/>
          <w:b/>
          <w:color w:val="auto"/>
          <w:sz w:val="24"/>
        </w:rPr>
      </w:pPr>
      <w:r>
        <w:rPr>
          <w:rFonts w:hint="eastAsia" w:ascii="宋体" w:hAnsi="宋体" w:cs="宋体"/>
          <w:b/>
          <w:color w:val="auto"/>
          <w:szCs w:val="21"/>
        </w:rPr>
        <w:t>15.4</w:t>
      </w:r>
      <w:r>
        <w:rPr>
          <w:rFonts w:hint="eastAsia" w:ascii="宋体" w:hAnsi="宋体" w:cs="宋体"/>
          <w:b/>
          <w:bCs/>
          <w:color w:val="auto"/>
          <w:kern w:val="0"/>
          <w:szCs w:val="21"/>
        </w:rPr>
        <w:t>有下列情形之一的视为供应商相互串通竞标，响应文件将被视为无效</w:t>
      </w:r>
      <w:r>
        <w:rPr>
          <w:rFonts w:hint="eastAsia" w:ascii="宋体" w:hAnsi="宋体" w:cs="宋体"/>
          <w:b/>
          <w:bCs/>
          <w:color w:val="auto"/>
          <w:szCs w:val="21"/>
        </w:rPr>
        <w:t>：</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（1）不同供应商的响应文件由同一单位或者个人编制；</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（2）不同供应商委托同一单位或者个人办理谈判事宜；</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（3）不同的供应商的响应文件载明的项目管理员为同一个人；</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（4）不同供应商的响应文件异常一致或谈判报价呈规律性差异；</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（5）不同供应商的响应文件相互混装；</w:t>
      </w:r>
    </w:p>
    <w:p>
      <w:pPr>
        <w:pStyle w:val="20"/>
        <w:snapToGrid w:val="0"/>
        <w:spacing w:line="400" w:lineRule="exact"/>
        <w:ind w:firstLine="0"/>
        <w:rPr>
          <w:rFonts w:hAnsi="宋体" w:cs="宋体"/>
          <w:color w:val="auto"/>
          <w:sz w:val="21"/>
          <w:szCs w:val="21"/>
        </w:rPr>
      </w:pPr>
      <w:r>
        <w:rPr>
          <w:rFonts w:hint="eastAsia" w:hAnsi="宋体" w:cs="宋体"/>
          <w:color w:val="auto"/>
          <w:sz w:val="21"/>
          <w:szCs w:val="21"/>
        </w:rPr>
        <w:t>（6）不同供应商的竞争性谈判保证金从同一单位或者个人账户转出。</w:t>
      </w:r>
    </w:p>
    <w:p>
      <w:pPr>
        <w:spacing w:line="400" w:lineRule="exact"/>
        <w:rPr>
          <w:rFonts w:ascii="宋体" w:hAnsi="宋体" w:cs="宋体"/>
          <w:b/>
          <w:bCs/>
          <w:color w:val="auto"/>
          <w:kern w:val="0"/>
          <w:szCs w:val="21"/>
        </w:rPr>
      </w:pPr>
      <w:r>
        <w:rPr>
          <w:rFonts w:hint="eastAsia" w:ascii="宋体" w:hAnsi="宋体" w:cs="宋体"/>
          <w:b/>
          <w:bCs/>
          <w:color w:val="auto"/>
          <w:kern w:val="0"/>
          <w:szCs w:val="21"/>
        </w:rPr>
        <w:t>15.5关联供应商不得参加同一合同项下政府采购活动，否则响应文件将被视为无效</w:t>
      </w:r>
    </w:p>
    <w:p>
      <w:pPr>
        <w:pStyle w:val="20"/>
        <w:snapToGrid w:val="0"/>
        <w:spacing w:line="400" w:lineRule="exact"/>
        <w:ind w:firstLine="395" w:firstLineChars="196"/>
        <w:rPr>
          <w:rFonts w:hAnsi="宋体" w:cs="宋体"/>
          <w:color w:val="auto"/>
          <w:sz w:val="21"/>
          <w:szCs w:val="21"/>
        </w:rPr>
      </w:pPr>
      <w:r>
        <w:rPr>
          <w:rFonts w:hint="eastAsia" w:hAnsi="宋体" w:cs="宋体"/>
          <w:color w:val="auto"/>
          <w:sz w:val="21"/>
          <w:szCs w:val="21"/>
        </w:rPr>
        <w:t>单位负责人为同一人或者存在直接控股、管理关系的不同的供应商，不得参加同一合同项下的政府采购活动。</w:t>
      </w:r>
    </w:p>
    <w:p>
      <w:pPr>
        <w:pStyle w:val="20"/>
        <w:snapToGrid w:val="0"/>
        <w:spacing w:line="400" w:lineRule="exact"/>
        <w:ind w:firstLine="0"/>
        <w:rPr>
          <w:rFonts w:hAnsi="宋体" w:cs="宋体"/>
          <w:b/>
          <w:color w:val="auto"/>
          <w:sz w:val="21"/>
          <w:szCs w:val="21"/>
        </w:rPr>
      </w:pPr>
      <w:r>
        <w:rPr>
          <w:rFonts w:hint="eastAsia" w:hAnsi="宋体" w:cs="宋体"/>
          <w:b/>
          <w:color w:val="auto"/>
          <w:sz w:val="21"/>
          <w:szCs w:val="21"/>
        </w:rPr>
        <w:t>15.6被拒绝的响应文件为无效。</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七、谈判的步骤</w:t>
      </w:r>
    </w:p>
    <w:p>
      <w:pPr>
        <w:spacing w:line="430" w:lineRule="exact"/>
        <w:rPr>
          <w:rFonts w:ascii="宋体" w:hAnsi="宋体" w:cs="宋体"/>
          <w:color w:val="auto"/>
          <w:szCs w:val="21"/>
        </w:rPr>
      </w:pPr>
      <w:r>
        <w:rPr>
          <w:rFonts w:hint="eastAsia" w:ascii="宋体" w:hAnsi="宋体" w:cs="宋体"/>
          <w:color w:val="auto"/>
          <w:szCs w:val="21"/>
        </w:rPr>
        <w:t>16.1谈判步骤</w:t>
      </w:r>
    </w:p>
    <w:p>
      <w:pPr>
        <w:spacing w:line="430" w:lineRule="exact"/>
        <w:ind w:firstLine="420" w:firstLineChars="200"/>
        <w:rPr>
          <w:rFonts w:ascii="宋体" w:hAnsi="宋体" w:cs="宋体"/>
          <w:color w:val="auto"/>
          <w:szCs w:val="21"/>
        </w:rPr>
      </w:pPr>
      <w:r>
        <w:rPr>
          <w:rFonts w:hint="eastAsia" w:ascii="宋体" w:hAnsi="宋体" w:cs="宋体"/>
          <w:color w:val="auto"/>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pacing w:line="430" w:lineRule="exact"/>
        <w:ind w:firstLine="420" w:firstLineChars="200"/>
        <w:rPr>
          <w:rFonts w:ascii="宋体" w:hAnsi="宋体" w:cs="宋体"/>
          <w:color w:val="auto"/>
          <w:szCs w:val="21"/>
        </w:rPr>
      </w:pPr>
      <w:r>
        <w:rPr>
          <w:rFonts w:hint="eastAsia" w:ascii="宋体" w:hAnsi="宋体" w:cs="宋体"/>
          <w:color w:val="auto"/>
          <w:szCs w:val="21"/>
        </w:rPr>
        <w:t>谈判小组所有成员应当集中与单一供应商分别进行谈判，并给予所有参加谈判的供应商平等的谈判机会。</w:t>
      </w:r>
    </w:p>
    <w:p>
      <w:pPr>
        <w:spacing w:line="430" w:lineRule="exact"/>
        <w:ind w:firstLine="420" w:firstLineChars="200"/>
        <w:rPr>
          <w:rFonts w:ascii="宋体" w:hAnsi="宋体" w:cs="宋体"/>
          <w:color w:val="auto"/>
          <w:szCs w:val="21"/>
        </w:rPr>
      </w:pPr>
      <w:r>
        <w:rPr>
          <w:rFonts w:hint="eastAsia" w:ascii="宋体" w:hAnsi="宋体" w:cs="宋体"/>
          <w:color w:val="auto"/>
          <w:szCs w:val="21"/>
        </w:rPr>
        <w:t>谈判小组按已确定的谈判顺序，</w:t>
      </w:r>
      <w:r>
        <w:rPr>
          <w:rFonts w:hint="eastAsia" w:ascii="宋体" w:hAnsi="宋体" w:cs="宋体"/>
          <w:color w:val="auto"/>
        </w:rPr>
        <w:t>根据谈判文件和谈判情况实质性变动采购需求中的技术、服务要求以及合同草案条款，</w:t>
      </w:r>
      <w:r>
        <w:rPr>
          <w:rFonts w:hint="eastAsia" w:ascii="宋体" w:hAnsi="宋体" w:cs="宋体"/>
          <w:color w:val="auto"/>
          <w:szCs w:val="21"/>
        </w:rPr>
        <w:t>与单一供应商分别进行谈判。</w:t>
      </w:r>
    </w:p>
    <w:p>
      <w:pPr>
        <w:spacing w:line="430" w:lineRule="exact"/>
        <w:rPr>
          <w:rFonts w:ascii="宋体" w:hAnsi="宋体" w:cs="宋体"/>
          <w:color w:val="auto"/>
          <w:szCs w:val="21"/>
        </w:rPr>
      </w:pPr>
      <w:r>
        <w:rPr>
          <w:rFonts w:hint="eastAsia" w:ascii="宋体" w:hAnsi="宋体" w:cs="宋体"/>
          <w:color w:val="auto"/>
          <w:szCs w:val="21"/>
        </w:rPr>
        <w:t xml:space="preserve">    谈判中，谈判的任何一方不得透露与谈判有关的其它供应商的技术资料、价格和其它信息。</w:t>
      </w:r>
    </w:p>
    <w:p>
      <w:pPr>
        <w:spacing w:line="430" w:lineRule="exact"/>
        <w:ind w:firstLine="420" w:firstLineChars="200"/>
        <w:rPr>
          <w:rFonts w:ascii="宋体" w:hAnsi="宋体" w:cs="宋体"/>
          <w:color w:val="auto"/>
          <w:szCs w:val="21"/>
        </w:rPr>
      </w:pPr>
      <w:r>
        <w:rPr>
          <w:rFonts w:hint="eastAsia" w:ascii="宋体" w:hAnsi="宋体" w:cs="宋体"/>
          <w:color w:val="auto"/>
          <w:szCs w:val="21"/>
        </w:rPr>
        <w:t>采购代理机构对谈判过程和重要谈判内容进行记录，谈判双方在记录上签字确认。</w:t>
      </w:r>
    </w:p>
    <w:p>
      <w:pPr>
        <w:spacing w:line="430" w:lineRule="exact"/>
        <w:ind w:firstLine="420" w:firstLineChars="200"/>
        <w:rPr>
          <w:rFonts w:ascii="宋体" w:hAnsi="宋体" w:cs="宋体"/>
          <w:color w:val="auto"/>
          <w:szCs w:val="21"/>
        </w:rPr>
      </w:pPr>
      <w:r>
        <w:rPr>
          <w:rFonts w:hint="eastAsia" w:ascii="宋体" w:hAnsi="宋体" w:cs="宋体"/>
          <w:color w:val="auto"/>
          <w:szCs w:val="21"/>
        </w:rPr>
        <w:t>谈判小组确定响应供应商</w:t>
      </w:r>
      <w:r>
        <w:rPr>
          <w:rFonts w:hint="eastAsia" w:ascii="宋体" w:hAnsi="宋体" w:cs="宋体"/>
          <w:color w:val="auto"/>
        </w:rPr>
        <w:t>满足采购文件实质性响应要求</w:t>
      </w:r>
      <w:r>
        <w:rPr>
          <w:rFonts w:hint="eastAsia" w:ascii="宋体" w:hAnsi="宋体" w:cs="宋体"/>
          <w:color w:val="auto"/>
          <w:szCs w:val="21"/>
        </w:rPr>
        <w:t>的，按谈判文件设定的方法和标准确定成交候选人。</w:t>
      </w:r>
    </w:p>
    <w:p>
      <w:pPr>
        <w:spacing w:line="430" w:lineRule="exact"/>
        <w:rPr>
          <w:rFonts w:ascii="宋体" w:hAnsi="宋体" w:cs="宋体"/>
          <w:color w:val="auto"/>
          <w:szCs w:val="21"/>
        </w:rPr>
      </w:pPr>
      <w:r>
        <w:rPr>
          <w:rFonts w:hint="eastAsia" w:ascii="宋体" w:hAnsi="宋体" w:cs="宋体"/>
          <w:color w:val="auto"/>
          <w:szCs w:val="21"/>
        </w:rPr>
        <w:t>16.2 最后报价</w:t>
      </w:r>
    </w:p>
    <w:p>
      <w:pPr>
        <w:spacing w:line="430" w:lineRule="exact"/>
        <w:ind w:firstLine="420"/>
        <w:rPr>
          <w:rFonts w:ascii="宋体" w:hAnsi="宋体" w:cs="宋体"/>
          <w:color w:val="auto"/>
          <w:szCs w:val="21"/>
        </w:rPr>
      </w:pPr>
      <w:r>
        <w:rPr>
          <w:rFonts w:hint="eastAsia" w:ascii="宋体" w:hAnsi="宋体" w:cs="宋体"/>
          <w:color w:val="auto"/>
          <w:szCs w:val="21"/>
        </w:rPr>
        <w:t>谈判小组按最终评标价从低到高排序。推荐成交候选人顺序，形成谈判报告。</w:t>
      </w:r>
    </w:p>
    <w:p>
      <w:pPr>
        <w:spacing w:line="430" w:lineRule="exact"/>
        <w:rPr>
          <w:rFonts w:ascii="宋体" w:hAnsi="宋体" w:cs="宋体"/>
          <w:color w:val="auto"/>
          <w:szCs w:val="21"/>
        </w:rPr>
      </w:pPr>
      <w:r>
        <w:rPr>
          <w:rFonts w:hint="eastAsia" w:ascii="宋体" w:hAnsi="宋体" w:cs="宋体"/>
          <w:color w:val="auto"/>
          <w:szCs w:val="21"/>
        </w:rPr>
        <w:t>16.3 响应供应商的报价均超过了政府采购预算，采购人不能支付的，谈判活动终止；终止后，采购人需要采取调整采购预算或项目配置标准等，或采取其它采购方式的，应当在采购活动开始前获得财政部门批准。</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八、确定成交供应商办法</w:t>
      </w:r>
    </w:p>
    <w:p>
      <w:pPr>
        <w:spacing w:line="430" w:lineRule="exact"/>
        <w:rPr>
          <w:rFonts w:ascii="宋体" w:hAnsi="宋体" w:cs="宋体"/>
          <w:color w:val="auto"/>
          <w:szCs w:val="21"/>
        </w:rPr>
      </w:pPr>
      <w:r>
        <w:rPr>
          <w:rFonts w:hint="eastAsia" w:ascii="宋体" w:hAnsi="宋体" w:cs="宋体"/>
          <w:color w:val="auto"/>
          <w:szCs w:val="21"/>
        </w:rPr>
        <w:t>17.1谈判小组只要求商务技术文件中的资格证明文件评审合格的谈判供应商在规定的时间内进行报价。</w:t>
      </w:r>
    </w:p>
    <w:p>
      <w:pPr>
        <w:spacing w:line="430" w:lineRule="exact"/>
        <w:rPr>
          <w:rFonts w:ascii="宋体" w:hAnsi="宋体" w:cs="宋体"/>
          <w:color w:val="auto"/>
          <w:szCs w:val="21"/>
        </w:rPr>
      </w:pPr>
      <w:r>
        <w:rPr>
          <w:rFonts w:hint="eastAsia" w:ascii="宋体" w:hAnsi="宋体" w:cs="宋体"/>
          <w:color w:val="auto"/>
          <w:szCs w:val="21"/>
        </w:rPr>
        <w:t>17.2 谈判小组将根据需要决定是否要求所有合格的谈判供应商在规定时间内进行第二次或最后报价，最后报价将作为谈判小组评比的最终依据。</w:t>
      </w:r>
    </w:p>
    <w:p>
      <w:pPr>
        <w:spacing w:line="430" w:lineRule="exact"/>
        <w:rPr>
          <w:rFonts w:ascii="宋体" w:hAnsi="宋体" w:cs="宋体"/>
          <w:color w:val="auto"/>
          <w:szCs w:val="21"/>
        </w:rPr>
      </w:pPr>
      <w:r>
        <w:rPr>
          <w:rFonts w:hint="eastAsia" w:ascii="宋体" w:hAnsi="宋体" w:cs="宋体"/>
          <w:color w:val="auto"/>
          <w:szCs w:val="21"/>
        </w:rPr>
        <w:t>17.3 根据以下原则确定成交供应商：</w:t>
      </w:r>
    </w:p>
    <w:p>
      <w:pPr>
        <w:spacing w:line="430" w:lineRule="exact"/>
        <w:ind w:firstLine="420" w:firstLineChars="200"/>
        <w:rPr>
          <w:rFonts w:ascii="宋体" w:hAnsi="宋体" w:cs="宋体"/>
          <w:color w:val="auto"/>
        </w:rPr>
      </w:pPr>
      <w:r>
        <w:rPr>
          <w:rFonts w:hint="eastAsia" w:ascii="宋体" w:hAnsi="宋体" w:cs="宋体"/>
          <w:color w:val="auto"/>
        </w:rPr>
        <w:t>谈判小组应当从质量和服务均能满足采购文件实质性响应要求的供应商中，按照最终评标价由低到高的顺序提出3名成交候选人，并编写评审报告。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spacing w:line="430" w:lineRule="exact"/>
        <w:rPr>
          <w:rFonts w:ascii="宋体" w:hAnsi="宋体" w:cs="宋体"/>
          <w:b/>
          <w:color w:val="auto"/>
          <w:szCs w:val="21"/>
        </w:rPr>
      </w:pPr>
    </w:p>
    <w:p>
      <w:pPr>
        <w:spacing w:line="430" w:lineRule="exact"/>
        <w:rPr>
          <w:rFonts w:ascii="宋体" w:hAnsi="宋体" w:cs="宋体"/>
          <w:b/>
          <w:color w:val="auto"/>
          <w:szCs w:val="21"/>
        </w:rPr>
      </w:pPr>
      <w:r>
        <w:rPr>
          <w:rFonts w:hint="eastAsia" w:ascii="宋体" w:hAnsi="宋体" w:cs="宋体"/>
          <w:b/>
          <w:color w:val="auto"/>
          <w:szCs w:val="21"/>
        </w:rPr>
        <w:t>九、签订合同</w:t>
      </w:r>
    </w:p>
    <w:p>
      <w:pPr>
        <w:spacing w:line="430" w:lineRule="exact"/>
        <w:rPr>
          <w:rFonts w:ascii="宋体" w:hAnsi="宋体" w:cs="宋体"/>
          <w:color w:val="auto"/>
          <w:szCs w:val="21"/>
        </w:rPr>
      </w:pPr>
      <w:r>
        <w:rPr>
          <w:rFonts w:hint="eastAsia" w:ascii="宋体" w:hAnsi="宋体" w:cs="宋体"/>
          <w:color w:val="auto"/>
          <w:szCs w:val="21"/>
        </w:rPr>
        <w:t>18.1成交结果公告</w:t>
      </w:r>
    </w:p>
    <w:p>
      <w:pPr>
        <w:spacing w:line="430" w:lineRule="exact"/>
        <w:ind w:firstLine="420" w:firstLineChars="200"/>
        <w:rPr>
          <w:rFonts w:ascii="宋体" w:hAnsi="宋体" w:cs="宋体"/>
          <w:color w:val="auto"/>
          <w:szCs w:val="21"/>
        </w:rPr>
      </w:pPr>
      <w:r>
        <w:rPr>
          <w:rFonts w:hint="eastAsia" w:ascii="宋体" w:hAnsi="宋体" w:cs="宋体"/>
          <w:color w:val="auto"/>
          <w:szCs w:val="21"/>
        </w:rPr>
        <w:t>成交结果应当自交供应商确定之日起2个工作日内在中国政府采购网、广西壮族自治区政府采购网、广西防城港政府采购网站、防城港市公共资源交易中心上公告，公告期限为1个工作日，同时向成交供应商发出成交通知书。</w:t>
      </w:r>
    </w:p>
    <w:p>
      <w:pPr>
        <w:spacing w:line="430" w:lineRule="exact"/>
        <w:rPr>
          <w:rFonts w:ascii="宋体" w:hAnsi="宋体" w:cs="宋体"/>
          <w:color w:val="auto"/>
          <w:szCs w:val="21"/>
        </w:rPr>
      </w:pPr>
      <w:r>
        <w:rPr>
          <w:rFonts w:hint="eastAsia" w:ascii="宋体" w:hAnsi="宋体" w:cs="宋体"/>
          <w:color w:val="auto"/>
          <w:szCs w:val="21"/>
        </w:rPr>
        <w:t>18.2竞标供应商认为成交结果使自己的合法权益受到损害的，应当在成交结果公告期限（公告期限为1个工作日）届满之日起7个工作日内，以书面形式向采购人、采购代理机构提出质疑，并及时索要书面回执。</w:t>
      </w:r>
    </w:p>
    <w:p>
      <w:pPr>
        <w:spacing w:line="430" w:lineRule="exact"/>
        <w:rPr>
          <w:rFonts w:ascii="宋体" w:hAnsi="宋体" w:cs="宋体"/>
          <w:color w:val="auto"/>
          <w:szCs w:val="21"/>
        </w:rPr>
      </w:pPr>
      <w:r>
        <w:rPr>
          <w:rFonts w:hint="eastAsia" w:ascii="宋体" w:hAnsi="宋体" w:cs="宋体"/>
          <w:color w:val="auto"/>
          <w:szCs w:val="21"/>
        </w:rPr>
        <w:t>18.3采购代理机构应当按照有关规定就采购人委托授权范围内的事项在收到成交人的书面质疑后七个工作日内做出答复，但答复的内容不得涉及商业秘密。</w:t>
      </w:r>
    </w:p>
    <w:p>
      <w:pPr>
        <w:spacing w:line="430" w:lineRule="exact"/>
        <w:rPr>
          <w:rFonts w:ascii="宋体" w:hAnsi="宋体" w:cs="宋体"/>
          <w:color w:val="auto"/>
          <w:szCs w:val="21"/>
        </w:rPr>
      </w:pPr>
      <w:r>
        <w:rPr>
          <w:rFonts w:hint="eastAsia" w:ascii="宋体" w:hAnsi="宋体" w:cs="宋体"/>
          <w:color w:val="auto"/>
          <w:szCs w:val="21"/>
        </w:rPr>
        <w:t>18.4质疑谈判供应商必须首先经过质疑程序，在对本公司的答复不满意或者本公司未在规定的时间内做出答复的，可以在答复期满后十五个工作日内书面向本级政府采购监督管理部门投诉。</w:t>
      </w:r>
      <w:r>
        <w:rPr>
          <w:rFonts w:hint="eastAsia" w:ascii="宋体" w:hAnsi="宋体" w:cs="宋体"/>
          <w:color w:val="auto"/>
          <w:szCs w:val="21"/>
        </w:rPr>
        <w:tab/>
      </w:r>
    </w:p>
    <w:p>
      <w:pPr>
        <w:spacing w:line="430" w:lineRule="exact"/>
        <w:rPr>
          <w:rFonts w:ascii="宋体" w:hAnsi="宋体" w:cs="宋体"/>
          <w:color w:val="auto"/>
          <w:szCs w:val="21"/>
        </w:rPr>
      </w:pPr>
      <w:r>
        <w:rPr>
          <w:rFonts w:hint="eastAsia" w:ascii="宋体" w:hAnsi="宋体" w:cs="宋体"/>
          <w:color w:val="auto"/>
          <w:szCs w:val="21"/>
        </w:rPr>
        <w:t>18.5成交供应商在收到成交通知书后，按规定与采购人签订合同。</w:t>
      </w:r>
    </w:p>
    <w:p>
      <w:pPr>
        <w:spacing w:line="430" w:lineRule="exact"/>
        <w:rPr>
          <w:rFonts w:ascii="宋体" w:hAnsi="宋体" w:cs="宋体"/>
          <w:color w:val="auto"/>
          <w:szCs w:val="21"/>
        </w:rPr>
      </w:pPr>
      <w:r>
        <w:rPr>
          <w:rFonts w:hint="eastAsia" w:ascii="宋体" w:hAnsi="宋体" w:cs="宋体"/>
          <w:color w:val="auto"/>
          <w:szCs w:val="21"/>
        </w:rPr>
        <w:t>18.6履约保证金：本项目不收取履约保证金。</w:t>
      </w:r>
    </w:p>
    <w:p>
      <w:pPr>
        <w:spacing w:line="430" w:lineRule="exact"/>
        <w:rPr>
          <w:rFonts w:ascii="宋体" w:hAnsi="宋体" w:cs="宋体"/>
          <w:color w:val="auto"/>
          <w:szCs w:val="21"/>
        </w:rPr>
      </w:pPr>
      <w:r>
        <w:rPr>
          <w:rFonts w:hint="eastAsia" w:ascii="宋体" w:hAnsi="宋体" w:cs="宋体"/>
          <w:color w:val="auto"/>
          <w:szCs w:val="21"/>
        </w:rPr>
        <w:t>18.7成交供应商拒绝签订政府采购合同的，采购人可以根据谈判评审报告确定成交供应商之后排名第一的成交候选人作为成交供应商并签订政府采购合同，也可以重新开展采购活动。拒绝签订政府采购合同的成交供应商不得参加对该项目重新开展的采购活动。</w:t>
      </w:r>
    </w:p>
    <w:p>
      <w:pPr>
        <w:spacing w:line="430" w:lineRule="exact"/>
        <w:rPr>
          <w:rFonts w:ascii="宋体" w:hAnsi="宋体" w:cs="宋体"/>
          <w:color w:val="auto"/>
          <w:szCs w:val="21"/>
        </w:rPr>
      </w:pPr>
      <w:r>
        <w:rPr>
          <w:rFonts w:hint="eastAsia" w:ascii="宋体" w:hAnsi="宋体" w:cs="宋体"/>
          <w:color w:val="auto"/>
          <w:szCs w:val="21"/>
        </w:rPr>
        <w:t>18.8成交供应商拒绝签订政府采购合同的，采购人有权追究其法律责任，给采购人造成其损失的，还应当赔偿损失，并作为不良行为记录在案。</w:t>
      </w:r>
    </w:p>
    <w:p>
      <w:pPr>
        <w:spacing w:line="430" w:lineRule="exact"/>
        <w:rPr>
          <w:rFonts w:ascii="宋体" w:hAnsi="宋体" w:cs="宋体"/>
          <w:b/>
          <w:color w:val="auto"/>
          <w:szCs w:val="21"/>
        </w:rPr>
      </w:pPr>
      <w:r>
        <w:rPr>
          <w:rFonts w:hint="eastAsia" w:ascii="宋体" w:hAnsi="宋体" w:cs="宋体"/>
          <w:b/>
          <w:color w:val="auto"/>
          <w:szCs w:val="21"/>
        </w:rPr>
        <w:t>十、适用法律</w:t>
      </w:r>
    </w:p>
    <w:p>
      <w:pPr>
        <w:spacing w:line="430" w:lineRule="exact"/>
        <w:rPr>
          <w:rFonts w:ascii="宋体" w:hAnsi="宋体" w:cs="宋体"/>
          <w:color w:val="auto"/>
          <w:szCs w:val="21"/>
        </w:rPr>
      </w:pPr>
      <w:r>
        <w:rPr>
          <w:rFonts w:hint="eastAsia" w:ascii="宋体" w:hAnsi="宋体" w:cs="宋体"/>
          <w:color w:val="auto"/>
          <w:szCs w:val="21"/>
        </w:rPr>
        <w:t>19. 采购当事人的一切活动均适用于《中华人民共和国政府采购法》及相关规定。</w:t>
      </w:r>
    </w:p>
    <w:p>
      <w:pPr>
        <w:spacing w:line="430" w:lineRule="exact"/>
        <w:ind w:firstLine="420" w:firstLineChars="200"/>
        <w:rPr>
          <w:rFonts w:ascii="宋体" w:hAnsi="宋体" w:cs="宋体"/>
          <w:color w:val="auto"/>
          <w:szCs w:val="21"/>
        </w:rPr>
      </w:pPr>
      <w:r>
        <w:rPr>
          <w:rFonts w:hint="eastAsia" w:ascii="宋体" w:hAnsi="宋体" w:cs="宋体"/>
          <w:color w:val="auto"/>
          <w:szCs w:val="21"/>
        </w:rPr>
        <w:t>最终谈判结束后，谈判小组不得再与竞标人进行任何形式的商谈。</w:t>
      </w:r>
    </w:p>
    <w:p>
      <w:pPr>
        <w:spacing w:line="360" w:lineRule="exact"/>
        <w:jc w:val="center"/>
        <w:outlineLvl w:val="0"/>
        <w:rPr>
          <w:rFonts w:ascii="宋体" w:hAnsi="宋体" w:cs="宋体"/>
          <w:b/>
          <w:color w:val="auto"/>
          <w:sz w:val="28"/>
          <w:szCs w:val="28"/>
        </w:rPr>
      </w:pPr>
      <w:r>
        <w:rPr>
          <w:rFonts w:hint="eastAsia" w:ascii="宋体" w:hAnsi="宋体" w:cs="宋体"/>
          <w:color w:val="auto"/>
        </w:rPr>
        <w:br w:type="page"/>
      </w:r>
      <w:bookmarkStart w:id="41" w:name="_Toc488673045"/>
      <w:r>
        <w:rPr>
          <w:rFonts w:hint="eastAsia" w:ascii="宋体" w:hAnsi="宋体" w:cs="宋体"/>
          <w:b/>
          <w:color w:val="auto"/>
          <w:sz w:val="28"/>
          <w:szCs w:val="28"/>
        </w:rPr>
        <w:t>第三章   项 目 需 求</w:t>
      </w:r>
      <w:bookmarkEnd w:id="41"/>
    </w:p>
    <w:p>
      <w:pPr>
        <w:spacing w:line="400" w:lineRule="exact"/>
        <w:rPr>
          <w:rFonts w:ascii="宋体" w:hAnsi="宋体" w:cs="宋体"/>
          <w:b/>
          <w:color w:val="auto"/>
          <w:sz w:val="28"/>
          <w:szCs w:val="28"/>
        </w:rPr>
      </w:pPr>
    </w:p>
    <w:p>
      <w:pPr>
        <w:spacing w:line="400" w:lineRule="exact"/>
        <w:jc w:val="center"/>
        <w:rPr>
          <w:rFonts w:ascii="宋体" w:hAnsi="宋体" w:cs="宋体"/>
          <w:b/>
          <w:color w:val="auto"/>
          <w:sz w:val="28"/>
          <w:szCs w:val="28"/>
        </w:rPr>
      </w:pPr>
      <w:r>
        <w:rPr>
          <w:rFonts w:hint="eastAsia" w:ascii="宋体" w:hAnsi="宋体" w:cs="宋体"/>
          <w:b/>
          <w:color w:val="auto"/>
          <w:sz w:val="28"/>
          <w:szCs w:val="28"/>
        </w:rPr>
        <w:t>采购项目技术规格、参数及要求</w:t>
      </w:r>
    </w:p>
    <w:p>
      <w:pPr>
        <w:spacing w:line="460" w:lineRule="atLeast"/>
        <w:rPr>
          <w:rFonts w:ascii="宋体" w:hAnsi="宋体" w:cs="宋体"/>
          <w:b/>
          <w:bCs/>
          <w:color w:val="auto"/>
          <w:szCs w:val="21"/>
        </w:rPr>
      </w:pPr>
    </w:p>
    <w:p>
      <w:pPr>
        <w:spacing w:line="460" w:lineRule="atLeast"/>
        <w:rPr>
          <w:rFonts w:ascii="宋体" w:hAnsi="宋体" w:cs="宋体"/>
          <w:b/>
          <w:bCs/>
          <w:color w:val="auto"/>
          <w:szCs w:val="21"/>
        </w:rPr>
      </w:pPr>
      <w:r>
        <w:rPr>
          <w:rFonts w:hint="eastAsia" w:ascii="宋体" w:hAnsi="宋体" w:cs="宋体"/>
          <w:b/>
          <w:bCs/>
          <w:color w:val="auto"/>
          <w:szCs w:val="21"/>
        </w:rPr>
        <w:t>说明：</w:t>
      </w:r>
    </w:p>
    <w:p>
      <w:pPr>
        <w:spacing w:line="460" w:lineRule="atLeast"/>
        <w:ind w:firstLine="413" w:firstLineChars="196"/>
        <w:rPr>
          <w:rFonts w:ascii="宋体" w:hAnsi="宋体" w:cs="宋体"/>
          <w:b/>
          <w:bCs/>
          <w:color w:val="auto"/>
          <w:szCs w:val="21"/>
        </w:rPr>
      </w:pPr>
      <w:r>
        <w:rPr>
          <w:rFonts w:hint="eastAsia" w:ascii="宋体" w:hAnsi="宋体" w:cs="宋体"/>
          <w:b/>
          <w:color w:val="auto"/>
          <w:szCs w:val="21"/>
        </w:rPr>
        <w:t>1、</w:t>
      </w:r>
      <w:r>
        <w:rPr>
          <w:rFonts w:hint="eastAsia" w:ascii="宋体" w:hAnsi="宋体" w:cs="宋体"/>
          <w:b/>
          <w:bCs/>
          <w:color w:val="auto"/>
          <w:szCs w:val="21"/>
        </w:rPr>
        <w:t>根据财库〔2019〕9号及财库〔2019〕19号文件规定，政府采购节能产品实施品目清单管理，依据品目清单和认证证书实施政府优先采购和强制采购。政府采购品目清单内标注“★”的品目，属于政府强制采购节能产品，若采购货物属于以上品目清单的产品时，供应商的竞标货物必须使用政府强制采购的节能产品，供应商必须在响应文件中提供由国家确定的有效认证机构出具的处于有效期之内的节能产品认证证书复印件（加盖供应商公章），否则响应无效。</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2、竞标</w:t>
      </w:r>
      <w:r>
        <w:rPr>
          <w:rFonts w:hint="eastAsia" w:ascii="宋体" w:hAnsi="宋体" w:cs="宋体"/>
          <w:b/>
          <w:color w:val="auto"/>
          <w:szCs w:val="21"/>
        </w:rPr>
        <w:t>人应对</w:t>
      </w:r>
      <w:r>
        <w:rPr>
          <w:rFonts w:hint="eastAsia" w:ascii="宋体" w:hAnsi="宋体" w:cs="宋体"/>
          <w:b/>
          <w:bCs/>
          <w:color w:val="auto"/>
          <w:szCs w:val="21"/>
        </w:rPr>
        <w:t>竞标</w:t>
      </w:r>
      <w:r>
        <w:rPr>
          <w:rFonts w:hint="eastAsia" w:ascii="宋体" w:hAnsi="宋体" w:cs="宋体"/>
          <w:b/>
          <w:color w:val="auto"/>
          <w:szCs w:val="21"/>
        </w:rPr>
        <w:t>内容所涉及的专利承担法律责任，并负责保护业主的利益不受任何损害。一切由于文字、商标、技术和软件专利授权引起的法律裁决、诉讼和赔偿费用均由成交人负责。同时，具有产品专利的</w:t>
      </w:r>
      <w:r>
        <w:rPr>
          <w:rFonts w:hint="eastAsia" w:ascii="宋体" w:hAnsi="宋体" w:cs="宋体"/>
          <w:b/>
          <w:bCs/>
          <w:color w:val="auto"/>
          <w:szCs w:val="21"/>
        </w:rPr>
        <w:t>竞标</w:t>
      </w:r>
      <w:r>
        <w:rPr>
          <w:rFonts w:hint="eastAsia" w:ascii="宋体" w:hAnsi="宋体" w:cs="宋体"/>
          <w:b/>
          <w:color w:val="auto"/>
          <w:szCs w:val="21"/>
        </w:rPr>
        <w:t>人应在其</w:t>
      </w:r>
      <w:r>
        <w:rPr>
          <w:rFonts w:hint="eastAsia" w:ascii="宋体" w:hAnsi="宋体" w:cs="宋体"/>
          <w:b/>
          <w:bCs/>
          <w:color w:val="auto"/>
          <w:szCs w:val="21"/>
        </w:rPr>
        <w:t>竞标</w:t>
      </w:r>
      <w:r>
        <w:rPr>
          <w:rFonts w:hint="eastAsia" w:ascii="宋体" w:hAnsi="宋体" w:cs="宋体"/>
          <w:b/>
          <w:color w:val="auto"/>
          <w:szCs w:val="21"/>
        </w:rPr>
        <w:t>文件中提供与其自有产品专利相关的有效证明材料，否则，</w:t>
      </w:r>
      <w:r>
        <w:rPr>
          <w:rFonts w:hint="eastAsia" w:ascii="宋体" w:hAnsi="宋体" w:cs="宋体"/>
          <w:b/>
          <w:bCs/>
          <w:color w:val="auto"/>
          <w:szCs w:val="21"/>
        </w:rPr>
        <w:t>不能就其产品的专利在本项目竞标过程中被侵权问题而提出异议。</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3、根据《关于信息安全产品实施政府采购的通知》（财库[2010]48号）的规定，如各分标中有涉及信息安全产品的设备，必须提供由中国信息安全认证中心按国家标准认证颁发的有效认证证书复印件。</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4、竞标人应注意下列内容：</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1）需求一览表中所列的品牌、型号仅起参考作用，供应商可选用其他品牌、型号替代，但替代的品牌、型号在实质性要求和条件上要相当于或优于参考品牌、型号。</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2）本章项目要求及技术需求中标注“★”的条款为本次采购的实质性的商务、技术或服务要求，竞标人须满足或响应，若无法完全满足，将会被认定为无效竞标。</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3）竞标人须在竞标文件中填写/应答技术规格参数，当竞标文件中技术参数与竞争性谈判文件中技术参数有偏离时，须在“偏离”栏内如实注明是“正偏离”或“负偏离”，“正偏离”指投标设备的技术参数优于竞争性谈判文件中要求，“负偏离”指竞标设备的技术参数低于竞争性谈判文件中要求。竞标文件中的技术参数、功能或其它内容有“正偏离”的，竞标人须对“正偏离”的情况单独作出说明。</w:t>
      </w:r>
    </w:p>
    <w:p>
      <w:pPr>
        <w:spacing w:line="460" w:lineRule="atLeast"/>
        <w:ind w:firstLine="413" w:firstLineChars="196"/>
        <w:rPr>
          <w:rFonts w:ascii="宋体" w:hAnsi="宋体" w:cs="宋体"/>
          <w:b/>
          <w:bCs/>
          <w:color w:val="auto"/>
          <w:szCs w:val="21"/>
        </w:rPr>
      </w:pPr>
      <w:r>
        <w:rPr>
          <w:rFonts w:hint="eastAsia" w:ascii="宋体" w:hAnsi="宋体" w:cs="宋体"/>
          <w:b/>
          <w:bCs/>
          <w:color w:val="auto"/>
          <w:szCs w:val="21"/>
        </w:rPr>
        <w:t>5、竞标人竞标产品中的主要设备若有请提供有关产品说明书或产品彩页，这些证明文件可以以附件形式在竞标文件中列出。若提供的产品说明书与投标文件中响应的同一指标不一致时，应由生产厂商出具相关证明，否则以产品说明书为准。</w:t>
      </w:r>
    </w:p>
    <w:p>
      <w:pPr>
        <w:spacing w:line="460" w:lineRule="atLeast"/>
        <w:ind w:firstLine="413" w:firstLineChars="196"/>
        <w:rPr>
          <w:rFonts w:ascii="宋体" w:hAnsi="宋体" w:cs="宋体"/>
          <w:b/>
          <w:bCs/>
          <w:color w:val="auto"/>
          <w:szCs w:val="21"/>
        </w:rPr>
      </w:pPr>
    </w:p>
    <w:p>
      <w:pPr>
        <w:spacing w:line="460" w:lineRule="atLeast"/>
        <w:ind w:firstLine="413" w:firstLineChars="196"/>
        <w:rPr>
          <w:rFonts w:ascii="宋体" w:hAnsi="宋体" w:cs="宋体"/>
          <w:b/>
          <w:bCs/>
          <w:color w:val="auto"/>
          <w:szCs w:val="21"/>
        </w:rPr>
      </w:pPr>
    </w:p>
    <w:p>
      <w:pPr>
        <w:spacing w:line="460" w:lineRule="atLeast"/>
        <w:ind w:firstLine="413" w:firstLineChars="196"/>
        <w:rPr>
          <w:rFonts w:ascii="宋体" w:hAnsi="宋体" w:cs="宋体"/>
          <w:b/>
          <w:bCs/>
          <w:color w:val="auto"/>
          <w:szCs w:val="21"/>
        </w:rPr>
      </w:pPr>
    </w:p>
    <w:p>
      <w:pPr>
        <w:spacing w:line="460" w:lineRule="atLeast"/>
        <w:ind w:firstLine="413" w:firstLineChars="196"/>
        <w:rPr>
          <w:rFonts w:ascii="宋体" w:hAnsi="宋体" w:cs="宋体"/>
          <w:b/>
          <w:bCs/>
          <w:color w:val="auto"/>
          <w:szCs w:val="21"/>
        </w:rPr>
      </w:pPr>
    </w:p>
    <w:tbl>
      <w:tblPr>
        <w:tblStyle w:val="48"/>
        <w:tblW w:w="9719" w:type="dxa"/>
        <w:jc w:val="center"/>
        <w:tblLayout w:type="fixed"/>
        <w:tblCellMar>
          <w:top w:w="0" w:type="dxa"/>
          <w:left w:w="108" w:type="dxa"/>
          <w:bottom w:w="0" w:type="dxa"/>
          <w:right w:w="108" w:type="dxa"/>
        </w:tblCellMar>
      </w:tblPr>
      <w:tblGrid>
        <w:gridCol w:w="692"/>
        <w:gridCol w:w="1260"/>
        <w:gridCol w:w="818"/>
        <w:gridCol w:w="6949"/>
      </w:tblGrid>
      <w:tr>
        <w:tblPrEx>
          <w:tblCellMar>
            <w:top w:w="0" w:type="dxa"/>
            <w:left w:w="108" w:type="dxa"/>
            <w:bottom w:w="0" w:type="dxa"/>
            <w:right w:w="108" w:type="dxa"/>
          </w:tblCellMar>
        </w:tblPrEx>
        <w:trPr>
          <w:trHeight w:val="55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tabs>
                <w:tab w:val="left" w:pos="-40"/>
                <w:tab w:val="left" w:pos="1620"/>
              </w:tabs>
              <w:spacing w:line="360" w:lineRule="exact"/>
              <w:jc w:val="center"/>
              <w:rPr>
                <w:rFonts w:ascii="宋体" w:hAnsi="宋体" w:cs="宋体"/>
                <w:b/>
                <w:color w:val="auto"/>
                <w:kern w:val="0"/>
                <w:szCs w:val="21"/>
              </w:rPr>
            </w:pPr>
            <w:r>
              <w:rPr>
                <w:rFonts w:hint="eastAsia" w:ascii="宋体" w:hAnsi="宋体" w:cs="宋体"/>
                <w:b/>
                <w:color w:val="auto"/>
                <w:kern w:val="0"/>
                <w:szCs w:val="21"/>
              </w:rPr>
              <w:t>项号</w:t>
            </w:r>
          </w:p>
        </w:tc>
        <w:tc>
          <w:tcPr>
            <w:tcW w:w="126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货物名称</w:t>
            </w:r>
          </w:p>
        </w:tc>
        <w:tc>
          <w:tcPr>
            <w:tcW w:w="81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数量</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color w:val="auto"/>
                <w:kern w:val="0"/>
                <w:szCs w:val="21"/>
              </w:rPr>
            </w:pPr>
            <w:r>
              <w:rPr>
                <w:rFonts w:hint="eastAsia" w:ascii="宋体" w:hAnsi="宋体" w:cs="宋体"/>
                <w:b/>
                <w:bCs/>
                <w:color w:val="auto"/>
                <w:szCs w:val="21"/>
              </w:rPr>
              <w:t>技术参数及性能（配置）要求</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动态干扰电治疗仪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★1、柜式一体机，双通道，独立可控，双彩色触摸屏幕操控。</w:t>
            </w:r>
          </w:p>
          <w:p>
            <w:pPr>
              <w:widowControl/>
              <w:spacing w:line="360" w:lineRule="exact"/>
              <w:rPr>
                <w:rFonts w:ascii="宋体" w:hAnsi="宋体" w:cs="宋体"/>
                <w:color w:val="auto"/>
                <w:szCs w:val="21"/>
              </w:rPr>
            </w:pPr>
            <w:r>
              <w:rPr>
                <w:rFonts w:hint="eastAsia" w:ascii="宋体" w:hAnsi="宋体" w:cs="宋体"/>
                <w:color w:val="auto"/>
                <w:szCs w:val="21"/>
              </w:rPr>
              <w:t>2、具有六组负压电极输出，六组针插式电极输出。</w:t>
            </w:r>
          </w:p>
          <w:p>
            <w:pPr>
              <w:widowControl/>
              <w:spacing w:line="360" w:lineRule="exact"/>
              <w:rPr>
                <w:rFonts w:ascii="宋体" w:hAnsi="宋体" w:cs="宋体"/>
                <w:color w:val="auto"/>
                <w:szCs w:val="21"/>
              </w:rPr>
            </w:pPr>
            <w:r>
              <w:rPr>
                <w:rFonts w:hint="eastAsia" w:ascii="宋体" w:hAnsi="宋体" w:cs="宋体"/>
                <w:color w:val="auto"/>
                <w:szCs w:val="21"/>
              </w:rPr>
              <w:t>★3、工作频率：2000Hz、3000Hz、4000Hz、5000Hz、6000Hz。</w:t>
            </w:r>
          </w:p>
          <w:p>
            <w:pPr>
              <w:widowControl/>
              <w:spacing w:line="360" w:lineRule="exact"/>
              <w:rPr>
                <w:rFonts w:ascii="宋体" w:hAnsi="宋体" w:cs="宋体"/>
                <w:color w:val="auto"/>
                <w:szCs w:val="21"/>
              </w:rPr>
            </w:pPr>
            <w:r>
              <w:rPr>
                <w:rFonts w:hint="eastAsia" w:ascii="宋体" w:hAnsi="宋体" w:cs="宋体"/>
                <w:color w:val="auto"/>
                <w:szCs w:val="21"/>
              </w:rPr>
              <w:t>4、输出电流：≤50mA。</w:t>
            </w:r>
          </w:p>
          <w:p>
            <w:pPr>
              <w:widowControl/>
              <w:spacing w:line="360" w:lineRule="exact"/>
              <w:rPr>
                <w:rFonts w:ascii="宋体" w:hAnsi="宋体" w:cs="宋体"/>
                <w:color w:val="auto"/>
                <w:szCs w:val="21"/>
              </w:rPr>
            </w:pPr>
            <w:r>
              <w:rPr>
                <w:rFonts w:hint="eastAsia" w:ascii="宋体" w:hAnsi="宋体" w:cs="宋体"/>
                <w:color w:val="auto"/>
                <w:szCs w:val="21"/>
              </w:rPr>
              <w:t>5、调制频率：0～150Hz。</w:t>
            </w:r>
          </w:p>
          <w:p>
            <w:pPr>
              <w:widowControl/>
              <w:spacing w:line="360" w:lineRule="exact"/>
              <w:rPr>
                <w:rFonts w:ascii="宋体" w:hAnsi="宋体" w:cs="宋体"/>
                <w:color w:val="auto"/>
                <w:szCs w:val="21"/>
              </w:rPr>
            </w:pPr>
            <w:r>
              <w:rPr>
                <w:rFonts w:hint="eastAsia" w:ascii="宋体" w:hAnsi="宋体" w:cs="宋体"/>
                <w:color w:val="auto"/>
                <w:szCs w:val="21"/>
              </w:rPr>
              <w:t>6、调制方式：a)间歇调制:方波，占空比为50%。</w:t>
            </w:r>
          </w:p>
          <w:p>
            <w:pPr>
              <w:widowControl/>
              <w:spacing w:line="360" w:lineRule="exact"/>
              <w:rPr>
                <w:rFonts w:ascii="宋体" w:hAnsi="宋体" w:cs="宋体"/>
                <w:color w:val="auto"/>
                <w:szCs w:val="21"/>
              </w:rPr>
            </w:pPr>
            <w:r>
              <w:rPr>
                <w:rFonts w:hint="eastAsia" w:ascii="宋体" w:hAnsi="宋体" w:cs="宋体"/>
                <w:color w:val="auto"/>
                <w:szCs w:val="21"/>
              </w:rPr>
              <w:t>b)连续调制：中频正弦波，0、25%、50%、75%、100%五种。</w:t>
            </w:r>
          </w:p>
          <w:p>
            <w:pPr>
              <w:widowControl/>
              <w:spacing w:line="360" w:lineRule="exact"/>
              <w:rPr>
                <w:rFonts w:ascii="宋体" w:hAnsi="宋体" w:cs="宋体"/>
                <w:color w:val="auto"/>
                <w:szCs w:val="21"/>
              </w:rPr>
            </w:pPr>
            <w:r>
              <w:rPr>
                <w:rFonts w:hint="eastAsia" w:ascii="宋体" w:hAnsi="宋体" w:cs="宋体"/>
                <w:color w:val="auto"/>
                <w:szCs w:val="21"/>
              </w:rPr>
              <w:t>7、差频频率：0～199Hz。</w:t>
            </w:r>
          </w:p>
          <w:p>
            <w:pPr>
              <w:widowControl/>
              <w:spacing w:line="360" w:lineRule="exact"/>
              <w:rPr>
                <w:rFonts w:ascii="宋体" w:hAnsi="宋体" w:cs="宋体"/>
                <w:color w:val="auto"/>
                <w:szCs w:val="21"/>
              </w:rPr>
            </w:pPr>
            <w:r>
              <w:rPr>
                <w:rFonts w:hint="eastAsia" w:ascii="宋体" w:hAnsi="宋体" w:cs="宋体"/>
                <w:color w:val="auto"/>
                <w:szCs w:val="21"/>
              </w:rPr>
              <w:t>★8、多种差频治疗模式：低差频模式、中差频模式、高差频模式、广差频模式。</w:t>
            </w:r>
          </w:p>
          <w:p>
            <w:pPr>
              <w:widowControl/>
              <w:spacing w:line="360" w:lineRule="exact"/>
              <w:rPr>
                <w:rFonts w:ascii="宋体" w:hAnsi="宋体" w:cs="宋体"/>
                <w:color w:val="auto"/>
                <w:szCs w:val="21"/>
              </w:rPr>
            </w:pPr>
            <w:r>
              <w:rPr>
                <w:rFonts w:hint="eastAsia" w:ascii="宋体" w:hAnsi="宋体" w:cs="宋体"/>
                <w:color w:val="auto"/>
                <w:szCs w:val="21"/>
              </w:rPr>
              <w:t>9、差频变化周期：自然节律、周期性变化节律。（15s、20s、25s、30s四种）</w:t>
            </w:r>
          </w:p>
          <w:p>
            <w:pPr>
              <w:widowControl/>
              <w:spacing w:line="360" w:lineRule="exact"/>
              <w:rPr>
                <w:rFonts w:ascii="宋体" w:hAnsi="宋体" w:cs="宋体"/>
                <w:color w:val="auto"/>
                <w:szCs w:val="21"/>
              </w:rPr>
            </w:pPr>
            <w:r>
              <w:rPr>
                <w:rFonts w:hint="eastAsia" w:ascii="宋体" w:hAnsi="宋体" w:cs="宋体"/>
                <w:color w:val="auto"/>
                <w:szCs w:val="21"/>
              </w:rPr>
              <w:t>10、七种动态节律：4秒、5秒、6秒、7秒、8秒、9秒、10秒。</w:t>
            </w:r>
          </w:p>
          <w:p>
            <w:pPr>
              <w:widowControl/>
              <w:spacing w:line="360" w:lineRule="exact"/>
              <w:rPr>
                <w:rFonts w:ascii="宋体" w:hAnsi="宋体" w:cs="宋体"/>
                <w:color w:val="auto"/>
                <w:szCs w:val="21"/>
              </w:rPr>
            </w:pPr>
            <w:r>
              <w:rPr>
                <w:rFonts w:hint="eastAsia" w:ascii="宋体" w:hAnsi="宋体" w:cs="宋体"/>
                <w:color w:val="auto"/>
                <w:szCs w:val="21"/>
              </w:rPr>
              <w:t>★11、九种干扰输出模式：普通干扰模式、三维立体模式、动态节律模式、立体动态节律、调制干扰模式、立体调制模式、对极调制模式、立体对极调制模式、双路干扰模式。</w:t>
            </w:r>
          </w:p>
          <w:p>
            <w:pPr>
              <w:widowControl/>
              <w:spacing w:line="360" w:lineRule="exact"/>
              <w:rPr>
                <w:rFonts w:ascii="宋体" w:hAnsi="宋体" w:cs="宋体"/>
                <w:color w:val="auto"/>
                <w:szCs w:val="21"/>
              </w:rPr>
            </w:pPr>
            <w:r>
              <w:rPr>
                <w:rFonts w:hint="eastAsia" w:ascii="宋体" w:hAnsi="宋体" w:cs="宋体"/>
                <w:color w:val="auto"/>
                <w:szCs w:val="21"/>
              </w:rPr>
              <w:t>★12、加热功能：可单独开启及关闭，最高温度为40℃±3℃。</w:t>
            </w:r>
          </w:p>
          <w:p>
            <w:pPr>
              <w:widowControl/>
              <w:spacing w:line="360" w:lineRule="exact"/>
              <w:rPr>
                <w:rFonts w:ascii="宋体" w:hAnsi="宋体" w:cs="宋体"/>
                <w:color w:val="auto"/>
                <w:szCs w:val="21"/>
              </w:rPr>
            </w:pPr>
            <w:r>
              <w:rPr>
                <w:rFonts w:hint="eastAsia" w:ascii="宋体" w:hAnsi="宋体" w:cs="宋体"/>
                <w:color w:val="auto"/>
                <w:szCs w:val="21"/>
              </w:rPr>
              <w:t>13、负压吸引功能：输出负压0kPa～30kPa连续可调。</w:t>
            </w:r>
          </w:p>
          <w:p>
            <w:pPr>
              <w:widowControl/>
              <w:spacing w:line="360" w:lineRule="exact"/>
              <w:rPr>
                <w:rFonts w:ascii="宋体" w:hAnsi="宋体" w:cs="宋体"/>
                <w:color w:val="auto"/>
                <w:szCs w:val="21"/>
              </w:rPr>
            </w:pPr>
            <w:r>
              <w:rPr>
                <w:rFonts w:hint="eastAsia" w:ascii="宋体" w:hAnsi="宋体" w:cs="宋体"/>
                <w:color w:val="auto"/>
                <w:szCs w:val="21"/>
              </w:rPr>
              <w:t>14、治疗定时：1～99分钟连续可调，步长为1分钟 。</w:t>
            </w:r>
          </w:p>
          <w:p>
            <w:pPr>
              <w:widowControl/>
              <w:spacing w:line="360" w:lineRule="exact"/>
              <w:rPr>
                <w:rFonts w:ascii="宋体" w:hAnsi="宋体" w:cs="宋体"/>
                <w:color w:val="auto"/>
                <w:szCs w:val="21"/>
              </w:rPr>
            </w:pPr>
            <w:r>
              <w:rPr>
                <w:rFonts w:hint="eastAsia" w:ascii="宋体" w:hAnsi="宋体" w:cs="宋体"/>
                <w:color w:val="auto"/>
                <w:szCs w:val="21"/>
              </w:rPr>
              <w:t>★15、系统自置17种常见疾病的处方。</w:t>
            </w:r>
          </w:p>
          <w:p>
            <w:pPr>
              <w:widowControl/>
              <w:spacing w:line="360" w:lineRule="exact"/>
              <w:rPr>
                <w:rFonts w:ascii="宋体" w:hAnsi="宋体" w:cs="宋体"/>
                <w:color w:val="auto"/>
                <w:szCs w:val="21"/>
              </w:rPr>
            </w:pPr>
            <w:r>
              <w:rPr>
                <w:rFonts w:hint="eastAsia" w:ascii="宋体" w:hAnsi="宋体" w:cs="宋体"/>
                <w:color w:val="auto"/>
                <w:szCs w:val="21"/>
              </w:rPr>
              <w:t>★16、两种模式：自定义模式，处方模式。</w:t>
            </w:r>
          </w:p>
          <w:p>
            <w:pPr>
              <w:widowControl/>
              <w:numPr>
                <w:ilvl w:val="0"/>
                <w:numId w:val="0"/>
              </w:numPr>
              <w:spacing w:line="360" w:lineRule="exact"/>
              <w:rPr>
                <w:rFonts w:ascii="宋体" w:hAnsi="宋体" w:cs="宋体"/>
                <w:color w:val="auto"/>
                <w:szCs w:val="21"/>
              </w:rPr>
            </w:pPr>
            <w:r>
              <w:rPr>
                <w:rFonts w:hint="eastAsia" w:ascii="宋体" w:hAnsi="宋体" w:cs="宋体"/>
                <w:color w:val="auto"/>
                <w:szCs w:val="21"/>
                <w:lang w:val="en-US" w:eastAsia="zh-CN"/>
              </w:rPr>
              <w:t>17、</w:t>
            </w:r>
            <w:r>
              <w:rPr>
                <w:rFonts w:hint="eastAsia" w:ascii="宋体" w:hAnsi="宋体" w:cs="宋体"/>
                <w:color w:val="auto"/>
                <w:szCs w:val="21"/>
              </w:rPr>
              <w:t>净重：约39.2kg ，尺寸：约500mm*430mm*1305mm</w:t>
            </w:r>
          </w:p>
          <w:p>
            <w:pPr>
              <w:jc w:val="center"/>
              <w:rPr>
                <w:rFonts w:ascii="宋体" w:hAnsi="宋体" w:cs="宋体"/>
                <w:color w:val="auto"/>
                <w:szCs w:val="21"/>
              </w:rPr>
            </w:pPr>
            <w:r>
              <w:rPr>
                <w:rFonts w:hint="eastAsia" w:ascii="宋体" w:hAnsi="宋体" w:cs="宋体"/>
                <w:color w:val="auto"/>
                <w:szCs w:val="21"/>
              </w:rPr>
              <w:t>配置清单</w:t>
            </w:r>
          </w:p>
          <w:tbl>
            <w:tblPr>
              <w:tblStyle w:val="48"/>
              <w:tblW w:w="5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792"/>
              <w:gridCol w:w="850"/>
              <w:gridCol w:w="838"/>
              <w:gridCol w:w="1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序号</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名称</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单位</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数量</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规格型号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主机</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台</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2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2</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电源线</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根</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10A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3</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电疗输出线</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条</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2</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六芯六导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吸附电疗输出线</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条</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2路并2根+4路并2根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5</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吸附碗</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 xml:space="preserve">Φ62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6</w:t>
                  </w:r>
                </w:p>
              </w:tc>
              <w:tc>
                <w:tcPr>
                  <w:tcW w:w="1792" w:type="dxa"/>
                </w:tcPr>
                <w:p>
                  <w:pPr>
                    <w:spacing w:line="520" w:lineRule="exact"/>
                    <w:jc w:val="center"/>
                    <w:rPr>
                      <w:rFonts w:ascii="宋体" w:hAnsi="宋体" w:cs="宋体"/>
                      <w:color w:val="auto"/>
                      <w:szCs w:val="21"/>
                    </w:rPr>
                  </w:pPr>
                  <w:r>
                    <w:rPr>
                      <w:rFonts w:hint="eastAsia" w:ascii="宋体" w:hAnsi="宋体" w:cs="宋体"/>
                      <w:color w:val="auto"/>
                      <w:szCs w:val="21"/>
                    </w:rPr>
                    <w:t>吸附碗</w:t>
                  </w:r>
                </w:p>
              </w:tc>
              <w:tc>
                <w:tcPr>
                  <w:tcW w:w="850" w:type="dxa"/>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Φ62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7</w:t>
                  </w:r>
                </w:p>
              </w:tc>
              <w:tc>
                <w:tcPr>
                  <w:tcW w:w="1792" w:type="dxa"/>
                </w:tcPr>
                <w:p>
                  <w:pPr>
                    <w:spacing w:line="520" w:lineRule="exact"/>
                    <w:jc w:val="center"/>
                    <w:rPr>
                      <w:rFonts w:ascii="宋体" w:hAnsi="宋体" w:cs="宋体"/>
                      <w:color w:val="auto"/>
                      <w:szCs w:val="21"/>
                    </w:rPr>
                  </w:pPr>
                  <w:r>
                    <w:rPr>
                      <w:rFonts w:hint="eastAsia" w:ascii="宋体" w:hAnsi="宋体" w:cs="宋体"/>
                      <w:color w:val="auto"/>
                      <w:szCs w:val="21"/>
                    </w:rPr>
                    <w:t>吸附碗</w:t>
                  </w:r>
                </w:p>
              </w:tc>
              <w:tc>
                <w:tcPr>
                  <w:tcW w:w="850" w:type="dxa"/>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 xml:space="preserve">Φ62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8</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吸水海绵</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36</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Φ60*10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9</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理疗用电极</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片</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20</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40mm*40mm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10</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熔断器（保险丝）</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4</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 xml:space="preserve">F2AL250V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11</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熔断器（保险丝）</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个</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6</w:t>
                  </w:r>
                </w:p>
              </w:tc>
              <w:tc>
                <w:tcPr>
                  <w:tcW w:w="1550" w:type="dxa"/>
                </w:tcPr>
                <w:p>
                  <w:pPr>
                    <w:spacing w:line="520" w:lineRule="exact"/>
                    <w:jc w:val="center"/>
                    <w:rPr>
                      <w:rFonts w:ascii="宋体" w:hAnsi="宋体" w:cs="宋体"/>
                      <w:color w:val="auto"/>
                      <w:szCs w:val="21"/>
                    </w:rPr>
                  </w:pPr>
                  <w:r>
                    <w:rPr>
                      <w:rFonts w:hint="eastAsia" w:ascii="宋体" w:hAnsi="宋体" w:cs="宋体"/>
                      <w:color w:val="auto"/>
                      <w:szCs w:val="21"/>
                    </w:rPr>
                    <w:t xml:space="preserve">T100mAL250V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12</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技术使用说明书</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2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13</w:t>
                  </w:r>
                </w:p>
              </w:tc>
              <w:tc>
                <w:tcPr>
                  <w:tcW w:w="1792"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注册证</w:t>
                  </w:r>
                </w:p>
              </w:tc>
              <w:tc>
                <w:tcPr>
                  <w:tcW w:w="850"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6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14</w:t>
                  </w:r>
                </w:p>
              </w:tc>
              <w:tc>
                <w:tcPr>
                  <w:tcW w:w="1792"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生产许可证</w:t>
                  </w:r>
                </w:p>
              </w:tc>
              <w:tc>
                <w:tcPr>
                  <w:tcW w:w="850"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6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15</w:t>
                  </w:r>
                </w:p>
              </w:tc>
              <w:tc>
                <w:tcPr>
                  <w:tcW w:w="1792"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营业执照</w:t>
                  </w:r>
                </w:p>
              </w:tc>
              <w:tc>
                <w:tcPr>
                  <w:tcW w:w="850"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6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6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16</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合格证</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2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17</w:t>
                  </w:r>
                </w:p>
              </w:tc>
              <w:tc>
                <w:tcPr>
                  <w:tcW w:w="1792"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保修卡</w:t>
                  </w:r>
                </w:p>
              </w:tc>
              <w:tc>
                <w:tcPr>
                  <w:tcW w:w="850"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份</w:t>
                  </w:r>
                </w:p>
              </w:tc>
              <w:tc>
                <w:tcPr>
                  <w:tcW w:w="838" w:type="dxa"/>
                  <w:vAlign w:val="center"/>
                </w:tcPr>
                <w:p>
                  <w:pPr>
                    <w:spacing w:line="520" w:lineRule="exact"/>
                    <w:jc w:val="center"/>
                    <w:rPr>
                      <w:rFonts w:ascii="宋体" w:hAnsi="宋体" w:cs="宋体"/>
                      <w:color w:val="auto"/>
                      <w:szCs w:val="21"/>
                    </w:rPr>
                  </w:pPr>
                  <w:r>
                    <w:rPr>
                      <w:rFonts w:hint="eastAsia" w:ascii="宋体" w:hAnsi="宋体" w:cs="宋体"/>
                      <w:color w:val="auto"/>
                      <w:szCs w:val="21"/>
                    </w:rPr>
                    <w:t>1</w:t>
                  </w:r>
                </w:p>
              </w:tc>
              <w:tc>
                <w:tcPr>
                  <w:tcW w:w="1550" w:type="dxa"/>
                </w:tcPr>
                <w:p>
                  <w:pPr>
                    <w:spacing w:line="520" w:lineRule="exact"/>
                    <w:jc w:val="center"/>
                    <w:rPr>
                      <w:rFonts w:ascii="宋体" w:hAnsi="宋体" w:cs="宋体"/>
                      <w:color w:val="auto"/>
                      <w:szCs w:val="21"/>
                    </w:rPr>
                  </w:pPr>
                </w:p>
              </w:tc>
            </w:tr>
          </w:tbl>
          <w:p>
            <w:pPr>
              <w:pStyle w:val="2"/>
              <w:rPr>
                <w:rFonts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肢体康复训练器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适用范围：适用于对患者肢体进行主动和被动康复训练，保持和增加关节活动范围；当配合多通路功能性电刺激进行康复训练时，产生功能性运动，加速运动功能恢复，对于中枢神经损伤患者具有降低痉挛肌肉张力、改善肌力，预防和延缓废用性肌萎缩的作用。</w:t>
            </w:r>
          </w:p>
          <w:p>
            <w:pPr>
              <w:widowControl/>
              <w:spacing w:line="360" w:lineRule="exact"/>
              <w:rPr>
                <w:rFonts w:ascii="宋体" w:hAnsi="宋体" w:cs="宋体"/>
                <w:color w:val="auto"/>
                <w:szCs w:val="21"/>
              </w:rPr>
            </w:pPr>
            <w:r>
              <w:rPr>
                <w:rFonts w:hint="eastAsia" w:ascii="宋体" w:hAnsi="宋体" w:cs="宋体"/>
                <w:color w:val="auto"/>
                <w:szCs w:val="21"/>
              </w:rPr>
              <w:t>2、产品组成：由中央控制系统平板电脑、上肢驱动结构，下肢驱动结构，脉搏血氧数据接口组成。</w:t>
            </w:r>
          </w:p>
          <w:p>
            <w:pPr>
              <w:widowControl/>
              <w:spacing w:line="360" w:lineRule="exact"/>
              <w:rPr>
                <w:rFonts w:ascii="宋体" w:hAnsi="宋体" w:cs="宋体"/>
                <w:color w:val="auto"/>
                <w:szCs w:val="21"/>
              </w:rPr>
            </w:pPr>
            <w:r>
              <w:rPr>
                <w:rFonts w:hint="eastAsia" w:ascii="宋体" w:hAnsi="宋体" w:cs="宋体"/>
                <w:color w:val="auto"/>
                <w:szCs w:val="21"/>
              </w:rPr>
              <w:t>3、主要功能：设备传动机构作为动力驱动系统的载体以圆周运动模式对患者上肢或下肢进行功能训练。</w:t>
            </w:r>
          </w:p>
          <w:p>
            <w:pPr>
              <w:widowControl/>
              <w:spacing w:line="360" w:lineRule="exact"/>
              <w:rPr>
                <w:rFonts w:ascii="宋体" w:hAnsi="宋体" w:cs="宋体"/>
                <w:color w:val="auto"/>
                <w:szCs w:val="21"/>
              </w:rPr>
            </w:pPr>
            <w:r>
              <w:rPr>
                <w:rFonts w:hint="eastAsia" w:ascii="宋体" w:hAnsi="宋体" w:cs="宋体"/>
                <w:color w:val="auto"/>
                <w:szCs w:val="21"/>
              </w:rPr>
              <w:t xml:space="preserve">  4、治疗模式：主被动模式，训练在主动、助动及被动三种方式下运行，依患者肌力自动调整，无缝切换。</w:t>
            </w:r>
          </w:p>
          <w:p>
            <w:pPr>
              <w:widowControl/>
              <w:spacing w:line="360" w:lineRule="exact"/>
              <w:rPr>
                <w:rFonts w:ascii="宋体" w:hAnsi="宋体" w:cs="宋体"/>
                <w:color w:val="auto"/>
                <w:szCs w:val="21"/>
              </w:rPr>
            </w:pPr>
            <w:r>
              <w:rPr>
                <w:rFonts w:hint="eastAsia" w:ascii="宋体" w:hAnsi="宋体" w:cs="宋体"/>
                <w:color w:val="auto"/>
                <w:szCs w:val="21"/>
              </w:rPr>
              <w:t xml:space="preserve"> 5、肢体运动康复器参数：</w:t>
            </w:r>
          </w:p>
          <w:p>
            <w:pPr>
              <w:widowControl/>
              <w:spacing w:line="360" w:lineRule="exact"/>
              <w:rPr>
                <w:rFonts w:ascii="宋体" w:hAnsi="宋体" w:cs="宋体"/>
                <w:color w:val="auto"/>
                <w:szCs w:val="21"/>
              </w:rPr>
            </w:pPr>
            <w:r>
              <w:rPr>
                <w:rFonts w:hint="eastAsia" w:ascii="宋体" w:hAnsi="宋体" w:cs="宋体"/>
                <w:color w:val="auto"/>
                <w:szCs w:val="21"/>
              </w:rPr>
              <w:t>★ 5.1、电机转速：5~55r/min可调；</w:t>
            </w:r>
          </w:p>
          <w:p>
            <w:pPr>
              <w:widowControl/>
              <w:spacing w:line="360" w:lineRule="exact"/>
              <w:rPr>
                <w:rFonts w:ascii="宋体" w:hAnsi="宋体" w:cs="宋体"/>
                <w:color w:val="auto"/>
                <w:szCs w:val="21"/>
              </w:rPr>
            </w:pPr>
            <w:r>
              <w:rPr>
                <w:rFonts w:hint="eastAsia" w:ascii="宋体" w:hAnsi="宋体" w:cs="宋体"/>
                <w:color w:val="auto"/>
                <w:szCs w:val="21"/>
              </w:rPr>
              <w:t>5.2、助力扭矩：上肢1~10Nm可调；下肢1~20Nm可调。</w:t>
            </w:r>
          </w:p>
          <w:p>
            <w:pPr>
              <w:widowControl/>
              <w:spacing w:line="360" w:lineRule="exact"/>
              <w:rPr>
                <w:rFonts w:ascii="宋体" w:hAnsi="宋体" w:cs="宋体"/>
                <w:color w:val="auto"/>
                <w:szCs w:val="21"/>
              </w:rPr>
            </w:pPr>
            <w:r>
              <w:rPr>
                <w:rFonts w:hint="eastAsia" w:ascii="宋体" w:hAnsi="宋体" w:cs="宋体"/>
                <w:color w:val="auto"/>
                <w:szCs w:val="21"/>
              </w:rPr>
              <w:t xml:space="preserve"> 5.3、阻力扭矩：0~20Nm可调。</w:t>
            </w:r>
          </w:p>
          <w:p>
            <w:pPr>
              <w:widowControl/>
              <w:spacing w:line="360" w:lineRule="exact"/>
              <w:rPr>
                <w:rFonts w:ascii="宋体" w:hAnsi="宋体" w:cs="宋体"/>
                <w:color w:val="auto"/>
                <w:szCs w:val="21"/>
              </w:rPr>
            </w:pPr>
            <w:r>
              <w:rPr>
                <w:rFonts w:hint="eastAsia" w:ascii="宋体" w:hAnsi="宋体" w:cs="宋体"/>
                <w:color w:val="auto"/>
                <w:szCs w:val="21"/>
              </w:rPr>
              <w:t>★ 6、设备具有脉搏血氧监测及保护功能（“脉搏血氧仪”为选配件）：肢体康复器具有可接收脉搏血氧仪设备数据的接口，当康复器接收到的血氧或脉搏数据超出当前预置血氧或脉搏限值20s内康复器停止工作。</w:t>
            </w:r>
          </w:p>
          <w:p>
            <w:pPr>
              <w:widowControl/>
              <w:spacing w:line="360" w:lineRule="exact"/>
              <w:rPr>
                <w:rFonts w:ascii="宋体" w:hAnsi="宋体" w:cs="宋体"/>
                <w:color w:val="auto"/>
                <w:szCs w:val="21"/>
              </w:rPr>
            </w:pPr>
            <w:r>
              <w:rPr>
                <w:rFonts w:hint="eastAsia" w:ascii="宋体" w:hAnsi="宋体" w:cs="宋体"/>
                <w:color w:val="auto"/>
                <w:szCs w:val="21"/>
              </w:rPr>
              <w:t xml:space="preserve"> 7、升级方式：可以增配FES升级包（升级为同款型的FES产品）。升级产品让患者更好的进行主动积极的治疗。</w:t>
            </w:r>
          </w:p>
          <w:p>
            <w:pPr>
              <w:widowControl/>
              <w:spacing w:line="360" w:lineRule="exact"/>
              <w:rPr>
                <w:rFonts w:ascii="宋体" w:hAnsi="宋体" w:cs="宋体"/>
                <w:color w:val="auto"/>
                <w:szCs w:val="21"/>
              </w:rPr>
            </w:pPr>
            <w:r>
              <w:rPr>
                <w:rFonts w:hint="eastAsia" w:ascii="宋体" w:hAnsi="宋体" w:cs="宋体"/>
                <w:color w:val="auto"/>
                <w:szCs w:val="21"/>
              </w:rPr>
              <w:t xml:space="preserve">   8、提供具有自主知识产权的软件著作权。</w:t>
            </w:r>
          </w:p>
          <w:p>
            <w:pPr>
              <w:widowControl/>
              <w:spacing w:line="360" w:lineRule="exact"/>
              <w:rPr>
                <w:rFonts w:ascii="宋体" w:hAnsi="宋体" w:cs="宋体"/>
                <w:color w:val="auto"/>
                <w:szCs w:val="21"/>
              </w:rPr>
            </w:pPr>
            <w:r>
              <w:rPr>
                <w:rFonts w:hint="eastAsia" w:ascii="宋体" w:hAnsi="宋体" w:cs="宋体"/>
                <w:color w:val="auto"/>
                <w:szCs w:val="21"/>
              </w:rPr>
              <w:t xml:space="preserve">   9、三种阻力控制模式：自动，手动，自动+手动。</w:t>
            </w:r>
          </w:p>
          <w:p>
            <w:pPr>
              <w:widowControl/>
              <w:spacing w:line="360" w:lineRule="exact"/>
              <w:rPr>
                <w:rFonts w:ascii="宋体" w:hAnsi="宋体" w:cs="宋体"/>
                <w:color w:val="auto"/>
                <w:szCs w:val="21"/>
              </w:rPr>
            </w:pPr>
            <w:r>
              <w:rPr>
                <w:rFonts w:hint="eastAsia" w:ascii="宋体" w:hAnsi="宋体" w:cs="宋体"/>
                <w:color w:val="auto"/>
                <w:szCs w:val="21"/>
              </w:rPr>
              <w:t>★ 10、＞9寸的平板电脑显示控制。</w:t>
            </w:r>
          </w:p>
          <w:p>
            <w:pPr>
              <w:widowControl/>
              <w:spacing w:line="360" w:lineRule="exact"/>
              <w:rPr>
                <w:rFonts w:ascii="宋体" w:hAnsi="宋体" w:cs="宋体"/>
                <w:color w:val="auto"/>
                <w:szCs w:val="21"/>
              </w:rPr>
            </w:pPr>
            <w:r>
              <w:rPr>
                <w:rFonts w:hint="eastAsia" w:ascii="宋体" w:hAnsi="宋体" w:cs="宋体"/>
                <w:color w:val="auto"/>
                <w:szCs w:val="21"/>
              </w:rPr>
              <w:t>11、情景互动：配合机车游戏动画，实时显示左右平衡状态。</w:t>
            </w:r>
          </w:p>
          <w:p>
            <w:pPr>
              <w:widowControl/>
              <w:spacing w:line="360" w:lineRule="exact"/>
              <w:rPr>
                <w:rFonts w:ascii="宋体" w:hAnsi="宋体" w:cs="宋体"/>
                <w:color w:val="auto"/>
                <w:szCs w:val="21"/>
              </w:rPr>
            </w:pPr>
            <w:r>
              <w:rPr>
                <w:rFonts w:hint="eastAsia" w:ascii="宋体" w:hAnsi="宋体" w:cs="宋体"/>
                <w:color w:val="auto"/>
                <w:szCs w:val="21"/>
              </w:rPr>
              <w:t>★ 12、对称性监测：康复器提供肌力对称性信息，对称性信息以图示的方式显示，并含有相对比例数据。</w:t>
            </w:r>
          </w:p>
          <w:p>
            <w:pPr>
              <w:widowControl/>
              <w:spacing w:line="360" w:lineRule="exact"/>
              <w:rPr>
                <w:rFonts w:ascii="宋体" w:hAnsi="宋体" w:cs="宋体"/>
                <w:color w:val="auto"/>
                <w:szCs w:val="21"/>
              </w:rPr>
            </w:pPr>
            <w:r>
              <w:rPr>
                <w:rFonts w:hint="eastAsia" w:ascii="宋体" w:hAnsi="宋体" w:cs="宋体"/>
                <w:color w:val="auto"/>
                <w:szCs w:val="21"/>
              </w:rPr>
              <w:t>★ 13、两种痉挛保护动作：患者发生痉挛时，可选择停止和反向运转两种保护动作。</w:t>
            </w:r>
          </w:p>
          <w:p>
            <w:pPr>
              <w:widowControl/>
              <w:spacing w:line="360" w:lineRule="exact"/>
              <w:rPr>
                <w:rFonts w:ascii="宋体" w:hAnsi="宋体" w:cs="宋体"/>
                <w:color w:val="auto"/>
                <w:szCs w:val="21"/>
              </w:rPr>
            </w:pPr>
            <w:r>
              <w:rPr>
                <w:rFonts w:hint="eastAsia" w:ascii="宋体" w:hAnsi="宋体" w:cs="宋体"/>
                <w:color w:val="auto"/>
                <w:szCs w:val="21"/>
              </w:rPr>
              <w:t>★ 14、四大安全功能：手动急停，痉挛保护，脉搏监测停机，血氧检测停机</w:t>
            </w:r>
          </w:p>
          <w:p>
            <w:pPr>
              <w:widowControl/>
              <w:spacing w:line="360" w:lineRule="exact"/>
              <w:rPr>
                <w:rFonts w:ascii="宋体" w:hAnsi="宋体" w:cs="宋体"/>
                <w:color w:val="auto"/>
                <w:szCs w:val="21"/>
              </w:rPr>
            </w:pPr>
            <w:r>
              <w:rPr>
                <w:rFonts w:hint="eastAsia" w:ascii="宋体" w:hAnsi="宋体" w:cs="宋体"/>
                <w:color w:val="auto"/>
                <w:szCs w:val="21"/>
              </w:rPr>
              <w:t>★ 15、患者病例信息，治疗参数，治疗记录存储并支持导出。</w:t>
            </w:r>
          </w:p>
          <w:p>
            <w:pPr>
              <w:widowControl/>
              <w:spacing w:line="360" w:lineRule="exact"/>
              <w:rPr>
                <w:rFonts w:ascii="宋体" w:hAnsi="宋体" w:cs="宋体"/>
                <w:color w:val="auto"/>
                <w:szCs w:val="21"/>
              </w:rPr>
            </w:pPr>
            <w:r>
              <w:rPr>
                <w:rFonts w:hint="eastAsia" w:ascii="宋体" w:hAnsi="宋体" w:cs="宋体"/>
                <w:color w:val="auto"/>
                <w:szCs w:val="21"/>
              </w:rPr>
              <w:t>★ 16、具有轮椅固定装置：可固定患者座椅或轮椅的位置，保证患者治疗过程中，座椅或轮椅不会后退，移位。</w:t>
            </w:r>
          </w:p>
          <w:p>
            <w:pPr>
              <w:widowControl/>
              <w:spacing w:line="360" w:lineRule="exact"/>
              <w:rPr>
                <w:rFonts w:ascii="宋体" w:hAnsi="宋体" w:cs="宋体"/>
                <w:color w:val="auto"/>
                <w:szCs w:val="21"/>
              </w:rPr>
            </w:pPr>
            <w:r>
              <w:rPr>
                <w:rFonts w:hint="eastAsia" w:ascii="宋体" w:hAnsi="宋体" w:cs="宋体"/>
                <w:color w:val="auto"/>
                <w:szCs w:val="21"/>
              </w:rPr>
              <w:t>17、多折段可调式屏幕支架：屏幕和患者的距离，屏幕的旋转角度，倾斜角度均可调，能根据不同的使用人群，调节出最舒适的观看角度。</w:t>
            </w:r>
          </w:p>
          <w:p>
            <w:pPr>
              <w:widowControl/>
              <w:spacing w:line="360" w:lineRule="exact"/>
              <w:rPr>
                <w:rFonts w:ascii="宋体" w:hAnsi="宋体" w:cs="宋体"/>
                <w:color w:val="auto"/>
                <w:szCs w:val="21"/>
              </w:rPr>
            </w:pPr>
            <w:r>
              <w:rPr>
                <w:rFonts w:hint="eastAsia" w:ascii="宋体" w:hAnsi="宋体" w:cs="宋体"/>
                <w:color w:val="auto"/>
                <w:szCs w:val="21"/>
              </w:rPr>
              <w:t>18、痉挛保护等级可调：可根据患者自身功能情况，调整痉挛保护等级。</w:t>
            </w:r>
          </w:p>
          <w:p>
            <w:pPr>
              <w:widowControl/>
              <w:spacing w:line="360" w:lineRule="exact"/>
              <w:rPr>
                <w:rFonts w:ascii="宋体" w:hAnsi="宋体" w:cs="宋体"/>
                <w:color w:val="auto"/>
                <w:szCs w:val="21"/>
              </w:rPr>
            </w:pPr>
            <w:r>
              <w:rPr>
                <w:rFonts w:hint="eastAsia" w:ascii="宋体" w:hAnsi="宋体" w:cs="宋体"/>
                <w:color w:val="auto"/>
                <w:szCs w:val="21"/>
              </w:rPr>
              <w:t>19、三阶段四期：治疗分为预热阶段，积极治疗阶段，消极治疗阶段三大阶段，预热期，积极治疗期，消极治疗期，冷却期四个治疗时期，实现训练过程的循序渐进，保证训练安全有效。</w:t>
            </w:r>
          </w:p>
          <w:p>
            <w:pPr>
              <w:widowControl/>
              <w:spacing w:line="360" w:lineRule="exact"/>
              <w:rPr>
                <w:rFonts w:ascii="宋体" w:hAnsi="宋体" w:cs="宋体"/>
                <w:color w:val="auto"/>
                <w:szCs w:val="21"/>
              </w:rPr>
            </w:pPr>
            <w:r>
              <w:rPr>
                <w:rFonts w:hint="eastAsia" w:ascii="宋体" w:hAnsi="宋体" w:cs="宋体"/>
                <w:color w:val="auto"/>
                <w:szCs w:val="21"/>
              </w:rPr>
              <w:t>★20、智能语音提醒与互动：通过语音督促并鼓励患者主动参与。</w:t>
            </w:r>
          </w:p>
          <w:p>
            <w:pPr>
              <w:widowControl/>
              <w:spacing w:line="360" w:lineRule="exact"/>
              <w:rPr>
                <w:rFonts w:ascii="宋体" w:hAnsi="宋体" w:cs="宋体"/>
                <w:color w:val="auto"/>
                <w:szCs w:val="21"/>
              </w:rPr>
            </w:pPr>
            <w:r>
              <w:rPr>
                <w:rFonts w:hint="eastAsia" w:ascii="宋体" w:hAnsi="宋体" w:cs="宋体"/>
                <w:color w:val="auto"/>
                <w:szCs w:val="21"/>
              </w:rPr>
              <w:t>21、治疗小结：每次训练结束，会小结本次训练的里程数，做功，主动运动时间，被动运动时间，痉挛次数等。</w:t>
            </w:r>
          </w:p>
          <w:p>
            <w:pPr>
              <w:widowControl/>
              <w:spacing w:line="360" w:lineRule="exact"/>
              <w:rPr>
                <w:rFonts w:ascii="宋体" w:hAnsi="宋体" w:cs="宋体"/>
                <w:color w:val="auto"/>
                <w:szCs w:val="21"/>
              </w:rPr>
            </w:pPr>
            <w:r>
              <w:rPr>
                <w:rFonts w:hint="eastAsia" w:ascii="宋体" w:hAnsi="宋体" w:cs="宋体"/>
                <w:color w:val="auto"/>
                <w:szCs w:val="21"/>
                <w:lang w:val="en-US" w:eastAsia="zh-CN"/>
              </w:rPr>
              <w:t>22、</w:t>
            </w:r>
            <w:r>
              <w:rPr>
                <w:rFonts w:hint="eastAsia" w:ascii="宋体" w:hAnsi="宋体" w:cs="宋体"/>
                <w:color w:val="auto"/>
                <w:szCs w:val="21"/>
              </w:rPr>
              <w:t>其他：</w:t>
            </w:r>
          </w:p>
          <w:p>
            <w:pPr>
              <w:widowControl/>
              <w:spacing w:line="360" w:lineRule="exact"/>
              <w:rPr>
                <w:rFonts w:ascii="宋体" w:hAnsi="宋体" w:cs="宋体"/>
                <w:color w:val="auto"/>
                <w:szCs w:val="21"/>
              </w:rPr>
            </w:pPr>
            <w:r>
              <w:rPr>
                <w:rFonts w:hint="eastAsia" w:ascii="宋体" w:hAnsi="宋体" w:cs="宋体"/>
                <w:color w:val="auto"/>
                <w:szCs w:val="21"/>
              </w:rPr>
              <w:t>1.屏幕：10.2英寸 分辨率/1920*1080</w:t>
            </w:r>
          </w:p>
          <w:p>
            <w:pPr>
              <w:widowControl/>
              <w:spacing w:line="360" w:lineRule="exact"/>
              <w:rPr>
                <w:rFonts w:ascii="宋体" w:hAnsi="宋体" w:cs="宋体"/>
                <w:color w:val="auto"/>
                <w:szCs w:val="21"/>
              </w:rPr>
            </w:pPr>
            <w:r>
              <w:rPr>
                <w:rFonts w:hint="eastAsia" w:ascii="宋体" w:hAnsi="宋体" w:cs="宋体"/>
                <w:color w:val="auto"/>
                <w:szCs w:val="21"/>
              </w:rPr>
              <w:t xml:space="preserve"> 旋钮/按键：触摸屏幕</w:t>
            </w:r>
          </w:p>
          <w:p>
            <w:pPr>
              <w:widowControl/>
              <w:spacing w:line="360" w:lineRule="exact"/>
              <w:rPr>
                <w:rFonts w:ascii="宋体" w:hAnsi="宋体" w:cs="宋体"/>
                <w:color w:val="auto"/>
                <w:szCs w:val="21"/>
              </w:rPr>
            </w:pPr>
            <w:r>
              <w:rPr>
                <w:rFonts w:hint="eastAsia" w:ascii="宋体" w:hAnsi="宋体" w:cs="宋体"/>
                <w:color w:val="auto"/>
                <w:szCs w:val="21"/>
              </w:rPr>
              <w:t>2.净重：</w:t>
            </w:r>
            <w:r>
              <w:rPr>
                <w:rFonts w:hint="eastAsia" w:ascii="宋体" w:hAnsi="宋体" w:cs="宋体"/>
                <w:color w:val="auto"/>
                <w:szCs w:val="21"/>
              </w:rPr>
              <w:t>约</w:t>
            </w:r>
            <w:r>
              <w:rPr>
                <w:rFonts w:hint="eastAsia" w:ascii="宋体" w:hAnsi="宋体" w:cs="宋体"/>
                <w:color w:val="auto"/>
                <w:szCs w:val="21"/>
              </w:rPr>
              <w:t xml:space="preserve">58kg；    产品尺寸: </w:t>
            </w:r>
            <w:r>
              <w:rPr>
                <w:rFonts w:hint="eastAsia" w:ascii="宋体" w:hAnsi="宋体" w:cs="宋体"/>
                <w:color w:val="auto"/>
                <w:szCs w:val="21"/>
              </w:rPr>
              <w:t>约</w:t>
            </w:r>
            <w:r>
              <w:rPr>
                <w:rFonts w:hint="eastAsia" w:ascii="宋体" w:hAnsi="宋体" w:cs="宋体"/>
                <w:color w:val="auto"/>
                <w:szCs w:val="21"/>
              </w:rPr>
              <w:t>711mm*685mm*1206mm</w:t>
            </w:r>
          </w:p>
          <w:p>
            <w:pPr>
              <w:autoSpaceDN w:val="0"/>
              <w:spacing w:before="100" w:beforeAutospacing="1" w:after="100" w:afterAutospacing="1"/>
              <w:jc w:val="center"/>
              <w:rPr>
                <w:rFonts w:ascii="宋体" w:hAnsi="宋体" w:cs="宋体"/>
                <w:color w:val="auto"/>
                <w:szCs w:val="21"/>
              </w:rPr>
            </w:pPr>
            <w:r>
              <w:rPr>
                <w:rFonts w:hint="eastAsia" w:ascii="宋体" w:hAnsi="宋体" w:cs="宋体"/>
                <w:color w:val="auto"/>
                <w:szCs w:val="21"/>
              </w:rPr>
              <w:t>配置清单</w:t>
            </w:r>
          </w:p>
          <w:tbl>
            <w:tblPr>
              <w:tblStyle w:val="48"/>
              <w:tblW w:w="6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
              <w:gridCol w:w="2088"/>
              <w:gridCol w:w="950"/>
              <w:gridCol w:w="1200"/>
              <w:gridCol w:w="1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470" w:type="dxa"/>
                  <w:vMerge w:val="restart"/>
                  <w:vAlign w:val="center"/>
                </w:tcPr>
                <w:p>
                  <w:pPr>
                    <w:jc w:val="center"/>
                    <w:rPr>
                      <w:rFonts w:ascii="宋体" w:hAnsi="宋体" w:cs="宋体"/>
                      <w:color w:val="auto"/>
                      <w:szCs w:val="21"/>
                    </w:rPr>
                  </w:pPr>
                  <w:r>
                    <w:rPr>
                      <w:rFonts w:hint="eastAsia" w:ascii="宋体" w:hAnsi="宋体" w:cs="宋体"/>
                      <w:color w:val="auto"/>
                      <w:szCs w:val="21"/>
                    </w:rPr>
                    <w:t>序号</w:t>
                  </w:r>
                </w:p>
              </w:tc>
              <w:tc>
                <w:tcPr>
                  <w:tcW w:w="2088" w:type="dxa"/>
                  <w:vMerge w:val="restart"/>
                  <w:vAlign w:val="center"/>
                </w:tcPr>
                <w:p>
                  <w:pPr>
                    <w:jc w:val="center"/>
                    <w:rPr>
                      <w:rFonts w:ascii="宋体" w:hAnsi="宋体" w:cs="宋体"/>
                      <w:color w:val="auto"/>
                      <w:szCs w:val="21"/>
                    </w:rPr>
                  </w:pPr>
                  <w:r>
                    <w:rPr>
                      <w:rFonts w:hint="eastAsia" w:ascii="宋体" w:hAnsi="宋体" w:cs="宋体"/>
                      <w:color w:val="auto"/>
                      <w:szCs w:val="21"/>
                    </w:rPr>
                    <w:t>名称</w:t>
                  </w:r>
                </w:p>
              </w:tc>
              <w:tc>
                <w:tcPr>
                  <w:tcW w:w="950" w:type="dxa"/>
                  <w:vMerge w:val="restart"/>
                  <w:vAlign w:val="center"/>
                </w:tcPr>
                <w:p>
                  <w:pPr>
                    <w:jc w:val="center"/>
                    <w:rPr>
                      <w:rFonts w:ascii="宋体" w:hAnsi="宋体" w:cs="宋体"/>
                      <w:color w:val="auto"/>
                      <w:szCs w:val="21"/>
                    </w:rPr>
                  </w:pPr>
                  <w:r>
                    <w:rPr>
                      <w:rFonts w:hint="eastAsia" w:ascii="宋体" w:hAnsi="宋体" w:cs="宋体"/>
                      <w:color w:val="auto"/>
                      <w:szCs w:val="21"/>
                    </w:rPr>
                    <w:t>单位</w:t>
                  </w:r>
                </w:p>
              </w:tc>
              <w:tc>
                <w:tcPr>
                  <w:tcW w:w="1200" w:type="dxa"/>
                  <w:vMerge w:val="restart"/>
                  <w:vAlign w:val="center"/>
                </w:tcPr>
                <w:p>
                  <w:pPr>
                    <w:jc w:val="center"/>
                    <w:rPr>
                      <w:rFonts w:ascii="宋体" w:hAnsi="宋体" w:cs="宋体"/>
                      <w:color w:val="auto"/>
                      <w:szCs w:val="21"/>
                    </w:rPr>
                  </w:pPr>
                  <w:r>
                    <w:rPr>
                      <w:rFonts w:hint="eastAsia" w:ascii="宋体" w:hAnsi="宋体" w:cs="宋体"/>
                      <w:color w:val="auto"/>
                      <w:szCs w:val="21"/>
                    </w:rPr>
                    <w:t>数量</w:t>
                  </w:r>
                </w:p>
              </w:tc>
              <w:tc>
                <w:tcPr>
                  <w:tcW w:w="1352" w:type="dxa"/>
                  <w:vMerge w:val="restart"/>
                  <w:vAlign w:val="center"/>
                </w:tcPr>
                <w:p>
                  <w:pPr>
                    <w:jc w:val="center"/>
                    <w:rPr>
                      <w:rFonts w:ascii="宋体" w:hAnsi="宋体" w:cs="宋体"/>
                      <w:color w:val="auto"/>
                      <w:szCs w:val="21"/>
                    </w:rPr>
                  </w:pPr>
                  <w:r>
                    <w:rPr>
                      <w:rFonts w:hint="eastAsia" w:ascii="宋体" w:hAnsi="宋体" w:cs="宋体"/>
                      <w:color w:val="auto"/>
                      <w:szCs w:val="21"/>
                    </w:rPr>
                    <w:t>规格型号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470" w:type="dxa"/>
                  <w:vMerge w:val="continue"/>
                  <w:vAlign w:val="center"/>
                </w:tcPr>
                <w:p>
                  <w:pPr>
                    <w:jc w:val="center"/>
                    <w:rPr>
                      <w:rFonts w:ascii="宋体" w:hAnsi="宋体" w:cs="宋体"/>
                      <w:color w:val="auto"/>
                      <w:szCs w:val="21"/>
                    </w:rPr>
                  </w:pPr>
                </w:p>
              </w:tc>
              <w:tc>
                <w:tcPr>
                  <w:tcW w:w="2088" w:type="dxa"/>
                  <w:vMerge w:val="continue"/>
                  <w:vAlign w:val="center"/>
                </w:tcPr>
                <w:p>
                  <w:pPr>
                    <w:jc w:val="center"/>
                    <w:rPr>
                      <w:rFonts w:ascii="宋体" w:hAnsi="宋体" w:cs="宋体"/>
                      <w:color w:val="auto"/>
                      <w:szCs w:val="21"/>
                    </w:rPr>
                  </w:pPr>
                </w:p>
              </w:tc>
              <w:tc>
                <w:tcPr>
                  <w:tcW w:w="950" w:type="dxa"/>
                  <w:vMerge w:val="continue"/>
                  <w:vAlign w:val="center"/>
                </w:tcPr>
                <w:p>
                  <w:pPr>
                    <w:jc w:val="center"/>
                    <w:rPr>
                      <w:rFonts w:ascii="宋体" w:hAnsi="宋体" w:cs="宋体"/>
                      <w:color w:val="auto"/>
                      <w:szCs w:val="21"/>
                    </w:rPr>
                  </w:pPr>
                </w:p>
              </w:tc>
              <w:tc>
                <w:tcPr>
                  <w:tcW w:w="1200" w:type="dxa"/>
                  <w:vMerge w:val="continue"/>
                  <w:vAlign w:val="center"/>
                </w:tcPr>
                <w:p>
                  <w:pPr>
                    <w:jc w:val="center"/>
                    <w:rPr>
                      <w:rFonts w:ascii="宋体" w:hAnsi="宋体" w:cs="宋体"/>
                      <w:color w:val="auto"/>
                      <w:szCs w:val="21"/>
                    </w:rPr>
                  </w:pPr>
                </w:p>
              </w:tc>
              <w:tc>
                <w:tcPr>
                  <w:tcW w:w="1352" w:type="dxa"/>
                  <w:vMerge w:val="continue"/>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470" w:type="dxa"/>
                  <w:vMerge w:val="restart"/>
                  <w:vAlign w:val="center"/>
                </w:tcPr>
                <w:p>
                  <w:pPr>
                    <w:jc w:val="center"/>
                    <w:rPr>
                      <w:rFonts w:ascii="宋体" w:hAnsi="宋体" w:cs="宋体"/>
                      <w:color w:val="auto"/>
                      <w:szCs w:val="21"/>
                    </w:rPr>
                  </w:pPr>
                  <w:r>
                    <w:rPr>
                      <w:rFonts w:hint="eastAsia" w:ascii="宋体" w:hAnsi="宋体" w:cs="宋体"/>
                      <w:color w:val="auto"/>
                      <w:szCs w:val="21"/>
                    </w:rPr>
                    <w:t>1</w:t>
                  </w:r>
                </w:p>
                <w:p>
                  <w:pPr>
                    <w:jc w:val="center"/>
                    <w:rPr>
                      <w:rFonts w:ascii="宋体" w:hAnsi="宋体" w:cs="宋体"/>
                      <w:color w:val="auto"/>
                      <w:szCs w:val="21"/>
                    </w:rPr>
                  </w:pPr>
                </w:p>
              </w:tc>
              <w:tc>
                <w:tcPr>
                  <w:tcW w:w="2088" w:type="dxa"/>
                  <w:vAlign w:val="center"/>
                </w:tcPr>
                <w:p>
                  <w:pPr>
                    <w:jc w:val="center"/>
                    <w:rPr>
                      <w:rFonts w:ascii="宋体" w:hAnsi="宋体" w:cs="宋体"/>
                      <w:color w:val="auto"/>
                      <w:szCs w:val="21"/>
                    </w:rPr>
                  </w:pPr>
                  <w:r>
                    <w:rPr>
                      <w:rFonts w:hint="eastAsia" w:ascii="宋体" w:hAnsi="宋体" w:cs="宋体"/>
                      <w:color w:val="auto"/>
                      <w:szCs w:val="21"/>
                    </w:rPr>
                    <w:t>主机(无护腿)</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470" w:type="dxa"/>
                  <w:vMerge w:val="continue"/>
                  <w:vAlign w:val="center"/>
                </w:tcPr>
                <w:p>
                  <w:pPr>
                    <w:jc w:val="center"/>
                    <w:rPr>
                      <w:rFonts w:ascii="宋体" w:hAnsi="宋体" w:cs="宋体"/>
                      <w:color w:val="auto"/>
                      <w:szCs w:val="21"/>
                    </w:rPr>
                  </w:pPr>
                </w:p>
              </w:tc>
              <w:tc>
                <w:tcPr>
                  <w:tcW w:w="2088" w:type="dxa"/>
                  <w:vAlign w:val="center"/>
                </w:tcPr>
                <w:p>
                  <w:pPr>
                    <w:jc w:val="center"/>
                    <w:rPr>
                      <w:rFonts w:ascii="宋体" w:hAnsi="宋体" w:cs="宋体"/>
                      <w:color w:val="auto"/>
                      <w:szCs w:val="21"/>
                    </w:rPr>
                  </w:pPr>
                  <w:r>
                    <w:rPr>
                      <w:rFonts w:hint="eastAsia" w:ascii="宋体" w:hAnsi="宋体" w:cs="宋体"/>
                      <w:color w:val="auto"/>
                      <w:szCs w:val="21"/>
                    </w:rPr>
                    <w:t>主机(有护腿)</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470" w:type="dxa"/>
                  <w:vMerge w:val="restart"/>
                  <w:vAlign w:val="center"/>
                </w:tcPr>
                <w:p>
                  <w:pPr>
                    <w:jc w:val="center"/>
                    <w:rPr>
                      <w:rFonts w:ascii="宋体" w:hAnsi="宋体" w:cs="宋体"/>
                      <w:color w:val="auto"/>
                      <w:szCs w:val="21"/>
                    </w:rPr>
                  </w:pPr>
                  <w:r>
                    <w:rPr>
                      <w:rFonts w:hint="eastAsia" w:ascii="宋体" w:hAnsi="宋体" w:cs="宋体"/>
                      <w:color w:val="auto"/>
                      <w:szCs w:val="21"/>
                    </w:rPr>
                    <w:t>2</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刺激盒</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r>
                    <w:rPr>
                      <w:rFonts w:hint="eastAsia" w:ascii="宋体" w:hAnsi="宋体" w:cs="宋体"/>
                      <w:color w:val="auto"/>
                      <w:szCs w:val="21"/>
                    </w:rPr>
                    <w:t>8路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470" w:type="dxa"/>
                  <w:vMerge w:val="continue"/>
                  <w:vAlign w:val="center"/>
                </w:tcPr>
                <w:p>
                  <w:pPr>
                    <w:jc w:val="center"/>
                    <w:rPr>
                      <w:rFonts w:ascii="宋体" w:hAnsi="宋体" w:cs="宋体"/>
                      <w:color w:val="auto"/>
                      <w:szCs w:val="21"/>
                    </w:rPr>
                  </w:pPr>
                </w:p>
              </w:tc>
              <w:tc>
                <w:tcPr>
                  <w:tcW w:w="2088" w:type="dxa"/>
                  <w:vAlign w:val="center"/>
                </w:tcPr>
                <w:p>
                  <w:pPr>
                    <w:jc w:val="center"/>
                    <w:rPr>
                      <w:rFonts w:ascii="宋体" w:hAnsi="宋体" w:cs="宋体"/>
                      <w:color w:val="auto"/>
                      <w:szCs w:val="21"/>
                    </w:rPr>
                  </w:pPr>
                  <w:r>
                    <w:rPr>
                      <w:rFonts w:hint="eastAsia" w:ascii="宋体" w:hAnsi="宋体" w:cs="宋体"/>
                      <w:color w:val="auto"/>
                      <w:szCs w:val="21"/>
                    </w:rPr>
                    <w:t>刺激盒</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2" w:type="dxa"/>
                </w:tcPr>
                <w:p>
                  <w:pPr>
                    <w:jc w:val="center"/>
                    <w:rPr>
                      <w:rFonts w:ascii="宋体" w:hAnsi="宋体" w:cs="宋体"/>
                      <w:color w:val="auto"/>
                      <w:szCs w:val="21"/>
                    </w:rPr>
                  </w:pPr>
                  <w:r>
                    <w:rPr>
                      <w:rFonts w:hint="eastAsia" w:ascii="宋体" w:hAnsi="宋体" w:cs="宋体"/>
                      <w:color w:val="auto"/>
                      <w:szCs w:val="21"/>
                    </w:rPr>
                    <w:t>16路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470" w:type="dxa"/>
                  <w:vMerge w:val="restart"/>
                  <w:vAlign w:val="center"/>
                </w:tcPr>
                <w:p>
                  <w:pPr>
                    <w:jc w:val="center"/>
                    <w:rPr>
                      <w:rFonts w:ascii="宋体" w:hAnsi="宋体" w:cs="宋体"/>
                      <w:color w:val="auto"/>
                      <w:szCs w:val="21"/>
                    </w:rPr>
                  </w:pPr>
                  <w:r>
                    <w:rPr>
                      <w:rFonts w:hint="eastAsia" w:ascii="宋体" w:hAnsi="宋体" w:cs="宋体"/>
                      <w:color w:val="auto"/>
                      <w:szCs w:val="21"/>
                    </w:rPr>
                    <w:t>3</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电刺激线</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根</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r>
                    <w:rPr>
                      <w:rFonts w:hint="eastAsia" w:ascii="宋体" w:hAnsi="宋体" w:cs="宋体"/>
                      <w:color w:val="auto"/>
                      <w:szCs w:val="21"/>
                    </w:rPr>
                    <w:t>8路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470" w:type="dxa"/>
                  <w:vMerge w:val="continue"/>
                  <w:vAlign w:val="center"/>
                </w:tcPr>
                <w:p>
                  <w:pPr>
                    <w:jc w:val="center"/>
                    <w:rPr>
                      <w:rFonts w:ascii="宋体" w:hAnsi="宋体" w:cs="宋体"/>
                      <w:color w:val="auto"/>
                      <w:szCs w:val="21"/>
                    </w:rPr>
                  </w:pPr>
                </w:p>
              </w:tc>
              <w:tc>
                <w:tcPr>
                  <w:tcW w:w="2088" w:type="dxa"/>
                  <w:vAlign w:val="center"/>
                </w:tcPr>
                <w:p>
                  <w:pPr>
                    <w:jc w:val="center"/>
                    <w:rPr>
                      <w:rFonts w:ascii="宋体" w:hAnsi="宋体" w:cs="宋体"/>
                      <w:color w:val="auto"/>
                      <w:szCs w:val="21"/>
                    </w:rPr>
                  </w:pPr>
                  <w:r>
                    <w:rPr>
                      <w:rFonts w:hint="eastAsia" w:ascii="宋体" w:hAnsi="宋体" w:cs="宋体"/>
                      <w:color w:val="auto"/>
                      <w:szCs w:val="21"/>
                    </w:rPr>
                    <w:t>电刺激线</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根</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2" w:type="dxa"/>
                </w:tcPr>
                <w:p>
                  <w:pPr>
                    <w:jc w:val="center"/>
                    <w:rPr>
                      <w:rFonts w:ascii="宋体" w:hAnsi="宋体" w:cs="宋体"/>
                      <w:color w:val="auto"/>
                      <w:szCs w:val="21"/>
                    </w:rPr>
                  </w:pPr>
                  <w:r>
                    <w:rPr>
                      <w:rFonts w:hint="eastAsia" w:ascii="宋体" w:hAnsi="宋体" w:cs="宋体"/>
                      <w:color w:val="auto"/>
                      <w:szCs w:val="21"/>
                    </w:rPr>
                    <w:t>16路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左手绑带</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条</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右手绑带</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条</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理疗电极片</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片</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40</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7</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熔断器</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2" w:type="dxa"/>
                </w:tcPr>
                <w:p>
                  <w:pPr>
                    <w:jc w:val="center"/>
                    <w:rPr>
                      <w:rFonts w:ascii="宋体" w:hAnsi="宋体" w:cs="宋体"/>
                      <w:color w:val="auto"/>
                      <w:szCs w:val="21"/>
                    </w:rPr>
                  </w:pPr>
                  <w:r>
                    <w:rPr>
                      <w:rFonts w:hint="eastAsia" w:ascii="宋体" w:hAnsi="宋体" w:cs="宋体"/>
                      <w:color w:val="auto"/>
                      <w:szCs w:val="21"/>
                    </w:rPr>
                    <w:t>F5AL250V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8</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内六角扳手</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r>
                    <w:rPr>
                      <w:rFonts w:hint="eastAsia" w:ascii="宋体" w:hAnsi="宋体" w:cs="宋体"/>
                      <w:color w:val="auto"/>
                      <w:szCs w:val="21"/>
                    </w:rPr>
                    <w:t>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9</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内六角扳手</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r>
                    <w:rPr>
                      <w:rFonts w:hint="eastAsia" w:ascii="宋体" w:hAnsi="宋体" w:cs="宋体"/>
                      <w:color w:val="auto"/>
                      <w:szCs w:val="21"/>
                    </w:rPr>
                    <w:t>6mm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三芯电源线</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根</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11</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营业执照</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生产许可证</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注册证及注册登记表</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14</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合格证</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张</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15</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保修卡</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张</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16</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综合彩页</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17</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现场安装验收单</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18</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配置清单</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19</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产品简易操作规范</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技术使用说明书</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21</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平板电脑</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22</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左手臂托组件</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23</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右手臂托组件</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2" w:type="dxa"/>
                </w:tcPr>
                <w:p>
                  <w:pPr>
                    <w:jc w:val="center"/>
                    <w:rPr>
                      <w:rFonts w:ascii="宋体" w:hAnsi="宋体" w:cs="宋体"/>
                      <w:color w:val="auto"/>
                      <w:szCs w:val="21"/>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24</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握把组件</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2" w:type="dxa"/>
                </w:tcPr>
                <w:p>
                  <w:pPr>
                    <w:jc w:val="center"/>
                    <w:rPr>
                      <w:rFonts w:ascii="宋体" w:hAnsi="宋体" w:cs="宋体"/>
                      <w:color w:val="auto"/>
                      <w:szCs w:val="21"/>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70" w:type="dxa"/>
                  <w:vAlign w:val="center"/>
                </w:tcPr>
                <w:p>
                  <w:pPr>
                    <w:jc w:val="center"/>
                    <w:rPr>
                      <w:rFonts w:ascii="宋体" w:hAnsi="宋体" w:cs="宋体"/>
                      <w:color w:val="auto"/>
                      <w:szCs w:val="21"/>
                    </w:rPr>
                  </w:pPr>
                  <w:r>
                    <w:rPr>
                      <w:rFonts w:hint="eastAsia" w:ascii="宋体" w:hAnsi="宋体" w:cs="宋体"/>
                      <w:color w:val="auto"/>
                      <w:szCs w:val="21"/>
                    </w:rPr>
                    <w:t>25</w:t>
                  </w:r>
                </w:p>
              </w:tc>
              <w:tc>
                <w:tcPr>
                  <w:tcW w:w="2088" w:type="dxa"/>
                  <w:vAlign w:val="center"/>
                </w:tcPr>
                <w:p>
                  <w:pPr>
                    <w:jc w:val="center"/>
                    <w:rPr>
                      <w:rFonts w:ascii="宋体" w:hAnsi="宋体" w:cs="宋体"/>
                      <w:color w:val="auto"/>
                      <w:szCs w:val="21"/>
                    </w:rPr>
                  </w:pPr>
                  <w:r>
                    <w:rPr>
                      <w:rFonts w:hint="eastAsia" w:ascii="宋体" w:hAnsi="宋体" w:cs="宋体"/>
                      <w:color w:val="auto"/>
                      <w:szCs w:val="21"/>
                    </w:rPr>
                    <w:t>手握器组件</w:t>
                  </w:r>
                </w:p>
              </w:tc>
              <w:tc>
                <w:tcPr>
                  <w:tcW w:w="95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120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2" w:type="dxa"/>
                </w:tcPr>
                <w:p>
                  <w:pPr>
                    <w:jc w:val="center"/>
                    <w:rPr>
                      <w:rFonts w:ascii="宋体" w:hAnsi="宋体" w:cs="宋体"/>
                      <w:color w:val="auto"/>
                      <w:szCs w:val="21"/>
                      <w:highlight w:val="green"/>
                    </w:rPr>
                  </w:pP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床边型下肢康复器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1、性能要求：具有患者从完全被动训练阶段到主动和被动训练相交叉的助力训练阶段到完全的主动训练阶段到初期主动力量训练阶段的患者康复过程。</w:t>
            </w:r>
          </w:p>
          <w:p>
            <w:pPr>
              <w:widowControl/>
              <w:spacing w:line="360" w:lineRule="exact"/>
              <w:rPr>
                <w:rFonts w:hint="eastAsia" w:ascii="宋体" w:hAnsi="宋体" w:eastAsia="宋体" w:cs="宋体"/>
                <w:color w:val="auto"/>
                <w:szCs w:val="21"/>
                <w:lang w:eastAsia="zh-CN"/>
              </w:rPr>
            </w:pPr>
            <w:r>
              <w:rPr>
                <w:rFonts w:hint="eastAsia" w:ascii="宋体" w:hAnsi="宋体" w:cs="宋体"/>
                <w:color w:val="auto"/>
                <w:szCs w:val="21"/>
              </w:rPr>
              <w:t>2、采用10.4寸彩色液晶触摸屏</w:t>
            </w:r>
            <w:r>
              <w:rPr>
                <w:rFonts w:hint="eastAsia" w:ascii="宋体" w:hAnsi="宋体" w:cs="宋体"/>
                <w:color w:val="auto"/>
                <w:szCs w:val="21"/>
                <w:lang w:eastAsia="zh-CN"/>
              </w:rPr>
              <w:t>。</w:t>
            </w:r>
          </w:p>
          <w:p>
            <w:pPr>
              <w:widowControl/>
              <w:spacing w:line="360" w:lineRule="exact"/>
              <w:rPr>
                <w:rFonts w:ascii="宋体" w:hAnsi="宋体" w:cs="宋体"/>
                <w:color w:val="auto"/>
                <w:szCs w:val="21"/>
              </w:rPr>
            </w:pPr>
            <w:r>
              <w:rPr>
                <w:rFonts w:hint="eastAsia" w:ascii="宋体" w:hAnsi="宋体" w:cs="宋体"/>
                <w:color w:val="auto"/>
                <w:szCs w:val="21"/>
              </w:rPr>
              <w:t>★3、床边型智能康复训练系统具有具有六种针对性的训练模式</w:t>
            </w:r>
          </w:p>
          <w:p>
            <w:pPr>
              <w:widowControl/>
              <w:spacing w:line="360" w:lineRule="exact"/>
              <w:rPr>
                <w:rFonts w:ascii="宋体" w:hAnsi="宋体" w:cs="宋体"/>
                <w:color w:val="auto"/>
                <w:szCs w:val="21"/>
              </w:rPr>
            </w:pPr>
            <w:r>
              <w:rPr>
                <w:rFonts w:hint="eastAsia" w:ascii="宋体" w:hAnsi="宋体" w:cs="宋体"/>
                <w:color w:val="auto"/>
                <w:szCs w:val="21"/>
              </w:rPr>
              <w:t>3.1神经模式：连续旋转运动的训练模式；</w:t>
            </w:r>
          </w:p>
          <w:p>
            <w:pPr>
              <w:widowControl/>
              <w:spacing w:line="360" w:lineRule="exact"/>
              <w:rPr>
                <w:rFonts w:ascii="宋体" w:hAnsi="宋体" w:cs="宋体"/>
                <w:color w:val="auto"/>
                <w:szCs w:val="21"/>
              </w:rPr>
            </w:pPr>
            <w:r>
              <w:rPr>
                <w:rFonts w:hint="eastAsia" w:ascii="宋体" w:hAnsi="宋体" w:cs="宋体"/>
                <w:color w:val="auto"/>
                <w:szCs w:val="21"/>
              </w:rPr>
              <w:t>3.2骨科模式：定位的角度往复训练模式；</w:t>
            </w:r>
          </w:p>
          <w:p>
            <w:pPr>
              <w:widowControl/>
              <w:spacing w:line="360" w:lineRule="exact"/>
              <w:rPr>
                <w:rFonts w:ascii="宋体" w:hAnsi="宋体" w:cs="宋体"/>
                <w:color w:val="auto"/>
                <w:szCs w:val="21"/>
              </w:rPr>
            </w:pPr>
            <w:r>
              <w:rPr>
                <w:rFonts w:hint="eastAsia" w:ascii="宋体" w:hAnsi="宋体" w:cs="宋体"/>
                <w:color w:val="auto"/>
                <w:szCs w:val="21"/>
              </w:rPr>
              <w:t>3.3心肺模式：完全的主动运动训练模式；</w:t>
            </w:r>
          </w:p>
          <w:p>
            <w:pPr>
              <w:widowControl/>
              <w:spacing w:line="360" w:lineRule="exact"/>
              <w:rPr>
                <w:rFonts w:ascii="宋体" w:hAnsi="宋体" w:cs="宋体"/>
                <w:color w:val="auto"/>
                <w:szCs w:val="21"/>
              </w:rPr>
            </w:pPr>
            <w:r>
              <w:rPr>
                <w:rFonts w:hint="eastAsia" w:ascii="宋体" w:hAnsi="宋体" w:cs="宋体"/>
                <w:color w:val="auto"/>
                <w:szCs w:val="21"/>
              </w:rPr>
              <w:t>3.4反馈模式：建立协调性的训练模式；</w:t>
            </w:r>
          </w:p>
          <w:p>
            <w:pPr>
              <w:widowControl/>
              <w:spacing w:line="360" w:lineRule="exact"/>
              <w:rPr>
                <w:rFonts w:ascii="宋体" w:hAnsi="宋体" w:cs="宋体"/>
                <w:color w:val="auto"/>
                <w:szCs w:val="21"/>
              </w:rPr>
            </w:pPr>
            <w:r>
              <w:rPr>
                <w:rFonts w:hint="eastAsia" w:ascii="宋体" w:hAnsi="宋体" w:cs="宋体"/>
                <w:color w:val="auto"/>
                <w:szCs w:val="21"/>
              </w:rPr>
              <w:t>3.5被动模式：强化训练力度的训练模式；</w:t>
            </w:r>
          </w:p>
          <w:p>
            <w:pPr>
              <w:widowControl/>
              <w:spacing w:line="360" w:lineRule="exact"/>
              <w:rPr>
                <w:rFonts w:ascii="宋体" w:hAnsi="宋体" w:cs="宋体"/>
                <w:color w:val="auto"/>
                <w:szCs w:val="21"/>
              </w:rPr>
            </w:pPr>
            <w:r>
              <w:rPr>
                <w:rFonts w:hint="eastAsia" w:ascii="宋体" w:hAnsi="宋体" w:cs="宋体"/>
                <w:color w:val="auto"/>
                <w:szCs w:val="21"/>
              </w:rPr>
              <w:t>3.6游戏模式：提高训练者的兴趣，使其在游戏中训练热情和耐力的模式。</w:t>
            </w:r>
          </w:p>
          <w:p>
            <w:pPr>
              <w:widowControl/>
              <w:spacing w:line="360" w:lineRule="exact"/>
              <w:rPr>
                <w:rFonts w:ascii="宋体" w:hAnsi="宋体" w:cs="宋体"/>
                <w:color w:val="auto"/>
                <w:szCs w:val="21"/>
              </w:rPr>
            </w:pPr>
            <w:r>
              <w:rPr>
                <w:rFonts w:hint="eastAsia" w:ascii="宋体" w:hAnsi="宋体" w:cs="宋体"/>
                <w:color w:val="auto"/>
                <w:szCs w:val="21"/>
              </w:rPr>
              <w:t>★4、具有四种患者训练安全保护功能：</w:t>
            </w:r>
          </w:p>
          <w:p>
            <w:pPr>
              <w:widowControl/>
              <w:spacing w:line="360" w:lineRule="exact"/>
              <w:rPr>
                <w:rFonts w:ascii="宋体" w:hAnsi="宋体" w:cs="宋体"/>
                <w:color w:val="auto"/>
                <w:szCs w:val="21"/>
              </w:rPr>
            </w:pPr>
            <w:r>
              <w:rPr>
                <w:rFonts w:hint="eastAsia" w:ascii="宋体" w:hAnsi="宋体" w:cs="宋体"/>
                <w:color w:val="auto"/>
                <w:szCs w:val="21"/>
              </w:rPr>
              <w:t>4.1 声控保护：声控等级0-50级，患者锻炼发生不适时，可以通过声音控制使机器停止运转，避免意外发生，保证了患者的安全。</w:t>
            </w:r>
          </w:p>
          <w:p>
            <w:pPr>
              <w:widowControl/>
              <w:spacing w:line="360" w:lineRule="exact"/>
              <w:rPr>
                <w:rFonts w:ascii="宋体" w:hAnsi="宋体" w:cs="宋体"/>
                <w:color w:val="auto"/>
                <w:szCs w:val="21"/>
              </w:rPr>
            </w:pPr>
            <w:r>
              <w:rPr>
                <w:rFonts w:hint="eastAsia" w:ascii="宋体" w:hAnsi="宋体" w:cs="宋体"/>
                <w:color w:val="auto"/>
                <w:szCs w:val="21"/>
              </w:rPr>
              <w:t>4.2磁控保护：设置了磁控开关，磁控开关脱落机器即停止运转，保证了患者的安全。</w:t>
            </w:r>
          </w:p>
          <w:p>
            <w:pPr>
              <w:widowControl/>
              <w:spacing w:line="360" w:lineRule="exact"/>
              <w:rPr>
                <w:rFonts w:ascii="宋体" w:hAnsi="宋体" w:cs="宋体"/>
                <w:color w:val="auto"/>
                <w:szCs w:val="21"/>
              </w:rPr>
            </w:pPr>
            <w:r>
              <w:rPr>
                <w:rFonts w:hint="eastAsia" w:ascii="宋体" w:hAnsi="宋体" w:cs="宋体"/>
                <w:color w:val="auto"/>
                <w:szCs w:val="21"/>
              </w:rPr>
              <w:t>4.3靶心率保护：全程靶心率保护，实时监测患者训练时的心率情况</w:t>
            </w:r>
          </w:p>
          <w:p>
            <w:pPr>
              <w:widowControl/>
              <w:spacing w:line="360" w:lineRule="exact"/>
              <w:rPr>
                <w:rFonts w:ascii="宋体" w:hAnsi="宋体" w:cs="宋体"/>
                <w:color w:val="auto"/>
                <w:szCs w:val="21"/>
              </w:rPr>
            </w:pPr>
            <w:r>
              <w:rPr>
                <w:rFonts w:hint="eastAsia" w:ascii="宋体" w:hAnsi="宋体" w:cs="宋体"/>
                <w:color w:val="auto"/>
                <w:szCs w:val="21"/>
              </w:rPr>
              <w:t>4.4痉挛保护：患者发生痉挛时机器停止运转并反转，防止意外的发生。且痉挛敏感等级、声控敏感等级和靶心率目标数值均可调。</w:t>
            </w:r>
          </w:p>
          <w:p>
            <w:pPr>
              <w:widowControl/>
              <w:spacing w:line="360" w:lineRule="exact"/>
              <w:rPr>
                <w:rFonts w:ascii="宋体" w:hAnsi="宋体" w:cs="宋体"/>
                <w:color w:val="auto"/>
                <w:szCs w:val="21"/>
              </w:rPr>
            </w:pPr>
            <w:r>
              <w:rPr>
                <w:rFonts w:hint="eastAsia" w:ascii="宋体" w:hAnsi="宋体" w:cs="宋体"/>
                <w:color w:val="auto"/>
                <w:szCs w:val="21"/>
              </w:rPr>
              <w:t>5、AC220V±10%   50Hz；</w:t>
            </w:r>
          </w:p>
          <w:p>
            <w:pPr>
              <w:widowControl/>
              <w:spacing w:line="360" w:lineRule="exact"/>
              <w:rPr>
                <w:rFonts w:ascii="宋体" w:hAnsi="宋体" w:cs="宋体"/>
                <w:color w:val="auto"/>
                <w:szCs w:val="21"/>
              </w:rPr>
            </w:pPr>
            <w:r>
              <w:rPr>
                <w:rFonts w:hint="eastAsia" w:ascii="宋体" w:hAnsi="宋体" w:cs="宋体"/>
                <w:color w:val="auto"/>
                <w:szCs w:val="21"/>
              </w:rPr>
              <w:t>6、输入功率：床边型&lt;300VA；</w:t>
            </w:r>
          </w:p>
          <w:p>
            <w:pPr>
              <w:widowControl/>
              <w:spacing w:line="360" w:lineRule="exact"/>
              <w:rPr>
                <w:rFonts w:ascii="宋体" w:hAnsi="宋体" w:cs="宋体"/>
                <w:color w:val="auto"/>
                <w:szCs w:val="21"/>
              </w:rPr>
            </w:pPr>
            <w:r>
              <w:rPr>
                <w:rFonts w:hint="eastAsia" w:ascii="宋体" w:hAnsi="宋体" w:cs="宋体"/>
                <w:color w:val="auto"/>
                <w:szCs w:val="21"/>
              </w:rPr>
              <w:t>7、熔断器：F1AL250V,F3AL250V；</w:t>
            </w:r>
          </w:p>
          <w:p>
            <w:pPr>
              <w:widowControl/>
              <w:spacing w:line="360" w:lineRule="exact"/>
              <w:rPr>
                <w:rFonts w:ascii="宋体" w:hAnsi="宋体" w:cs="宋体"/>
                <w:color w:val="auto"/>
                <w:szCs w:val="21"/>
              </w:rPr>
            </w:pPr>
            <w:r>
              <w:rPr>
                <w:rFonts w:hint="eastAsia" w:ascii="宋体" w:hAnsi="宋体" w:cs="宋体"/>
                <w:color w:val="auto"/>
                <w:szCs w:val="21"/>
              </w:rPr>
              <w:t>8、定时范围：2～120min±1min；</w:t>
            </w:r>
          </w:p>
          <w:p>
            <w:pPr>
              <w:widowControl/>
              <w:spacing w:line="360" w:lineRule="exact"/>
              <w:rPr>
                <w:rFonts w:ascii="宋体" w:hAnsi="宋体" w:cs="宋体"/>
                <w:color w:val="auto"/>
                <w:szCs w:val="21"/>
              </w:rPr>
            </w:pPr>
            <w:r>
              <w:rPr>
                <w:rFonts w:hint="eastAsia" w:ascii="宋体" w:hAnsi="宋体" w:cs="宋体"/>
                <w:color w:val="auto"/>
                <w:szCs w:val="21"/>
              </w:rPr>
              <w:t>9、速度显示范围：0-99r/min±10%；</w:t>
            </w:r>
          </w:p>
          <w:p>
            <w:pPr>
              <w:widowControl/>
              <w:spacing w:line="360" w:lineRule="exact"/>
              <w:rPr>
                <w:rFonts w:ascii="宋体" w:hAnsi="宋体" w:cs="宋体"/>
                <w:color w:val="auto"/>
                <w:szCs w:val="21"/>
              </w:rPr>
            </w:pPr>
            <w:r>
              <w:rPr>
                <w:rFonts w:hint="eastAsia" w:ascii="宋体" w:hAnsi="宋体" w:cs="宋体"/>
                <w:color w:val="auto"/>
                <w:szCs w:val="21"/>
              </w:rPr>
              <w:t>10、速度设定范围：0-60r/min±10%；</w:t>
            </w:r>
          </w:p>
          <w:p>
            <w:pPr>
              <w:widowControl/>
              <w:spacing w:line="360" w:lineRule="exact"/>
              <w:rPr>
                <w:rFonts w:ascii="宋体" w:hAnsi="宋体" w:cs="宋体"/>
                <w:color w:val="auto"/>
                <w:szCs w:val="21"/>
              </w:rPr>
            </w:pPr>
            <w:r>
              <w:rPr>
                <w:rFonts w:hint="eastAsia" w:ascii="宋体" w:hAnsi="宋体" w:cs="宋体"/>
                <w:color w:val="auto"/>
                <w:szCs w:val="21"/>
              </w:rPr>
              <w:t>11、角度设定范围：0-330度±5；</w:t>
            </w:r>
          </w:p>
          <w:p>
            <w:pPr>
              <w:widowControl/>
              <w:spacing w:line="360" w:lineRule="exact"/>
              <w:rPr>
                <w:rFonts w:ascii="宋体" w:hAnsi="宋体" w:cs="宋体"/>
                <w:color w:val="auto"/>
                <w:szCs w:val="21"/>
              </w:rPr>
            </w:pPr>
            <w:r>
              <w:rPr>
                <w:rFonts w:hint="eastAsia" w:ascii="宋体" w:hAnsi="宋体" w:cs="宋体"/>
                <w:color w:val="auto"/>
                <w:szCs w:val="21"/>
              </w:rPr>
              <w:t>12、阻力设定等级：1-20；</w:t>
            </w:r>
          </w:p>
          <w:p>
            <w:pPr>
              <w:widowControl/>
              <w:spacing w:line="360" w:lineRule="exact"/>
              <w:rPr>
                <w:rFonts w:ascii="宋体" w:hAnsi="宋体" w:cs="宋体"/>
                <w:color w:val="auto"/>
                <w:szCs w:val="21"/>
              </w:rPr>
            </w:pPr>
            <w:r>
              <w:rPr>
                <w:rFonts w:hint="eastAsia" w:ascii="宋体" w:hAnsi="宋体" w:cs="宋体"/>
                <w:color w:val="auto"/>
                <w:szCs w:val="21"/>
              </w:rPr>
              <w:t>13、阻力力矩：0-20Nm；</w:t>
            </w:r>
          </w:p>
          <w:p>
            <w:pPr>
              <w:widowControl/>
              <w:spacing w:line="360" w:lineRule="exact"/>
              <w:rPr>
                <w:rFonts w:ascii="宋体" w:hAnsi="宋体" w:cs="宋体"/>
                <w:color w:val="auto"/>
                <w:szCs w:val="21"/>
              </w:rPr>
            </w:pPr>
            <w:r>
              <w:rPr>
                <w:rFonts w:hint="eastAsia" w:ascii="宋体" w:hAnsi="宋体" w:cs="宋体"/>
                <w:color w:val="auto"/>
                <w:szCs w:val="21"/>
              </w:rPr>
              <w:t>14、心率设定范围：0-150（设定级数每次5），精度±5次/min</w:t>
            </w:r>
          </w:p>
          <w:p>
            <w:pPr>
              <w:widowControl/>
              <w:spacing w:line="360" w:lineRule="exact"/>
              <w:rPr>
                <w:rFonts w:ascii="宋体" w:hAnsi="宋体" w:cs="宋体"/>
                <w:color w:val="auto"/>
                <w:szCs w:val="21"/>
              </w:rPr>
            </w:pPr>
            <w:r>
              <w:rPr>
                <w:rFonts w:hint="eastAsia" w:ascii="宋体" w:hAnsi="宋体" w:cs="宋体"/>
                <w:color w:val="auto"/>
                <w:szCs w:val="21"/>
              </w:rPr>
              <w:t>15、能够实时显示患者主动做功情况。</w:t>
            </w:r>
          </w:p>
          <w:p>
            <w:pPr>
              <w:widowControl/>
              <w:spacing w:line="360" w:lineRule="exact"/>
              <w:rPr>
                <w:rFonts w:ascii="宋体" w:hAnsi="宋体" w:cs="宋体"/>
                <w:color w:val="auto"/>
                <w:szCs w:val="21"/>
              </w:rPr>
            </w:pPr>
            <w:r>
              <w:rPr>
                <w:rFonts w:hint="eastAsia" w:ascii="宋体" w:hAnsi="宋体" w:cs="宋体"/>
                <w:color w:val="auto"/>
                <w:szCs w:val="21"/>
              </w:rPr>
              <w:t>16、可以根据患者情况训练单元可高低调节，显示屏幕0-90度可调，充分考虑了患者训练体位。</w:t>
            </w:r>
          </w:p>
          <w:p>
            <w:pPr>
              <w:widowControl/>
              <w:spacing w:line="360" w:lineRule="exact"/>
              <w:jc w:val="center"/>
              <w:rPr>
                <w:rFonts w:ascii="宋体" w:hAnsi="宋体" w:cs="宋体"/>
                <w:color w:val="auto"/>
                <w:szCs w:val="21"/>
              </w:rPr>
            </w:pPr>
            <w:r>
              <w:rPr>
                <w:rFonts w:hint="eastAsia" w:ascii="宋体" w:hAnsi="宋体" w:cs="宋体"/>
                <w:color w:val="auto"/>
                <w:szCs w:val="21"/>
              </w:rPr>
              <w:t>配置清单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序号</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名称</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主机</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磁控开关</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3</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耳麦</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4</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小腿支撑</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5</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绑带</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6</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电源线</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7</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脚蹬袋</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8</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说明书</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9</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保修卡</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widowControl/>
                    <w:spacing w:line="360" w:lineRule="exact"/>
                    <w:rPr>
                      <w:rFonts w:ascii="宋体" w:hAnsi="宋体" w:cs="宋体"/>
                      <w:color w:val="auto"/>
                      <w:szCs w:val="21"/>
                    </w:rPr>
                  </w:pPr>
                  <w:r>
                    <w:rPr>
                      <w:rFonts w:hint="eastAsia" w:ascii="宋体" w:hAnsi="宋体" w:cs="宋体"/>
                      <w:color w:val="auto"/>
                      <w:szCs w:val="21"/>
                    </w:rPr>
                    <w:t>10</w:t>
                  </w:r>
                </w:p>
              </w:tc>
              <w:tc>
                <w:tcPr>
                  <w:tcW w:w="1752" w:type="dxa"/>
                </w:tcPr>
                <w:p>
                  <w:pPr>
                    <w:widowControl/>
                    <w:spacing w:line="360" w:lineRule="exact"/>
                    <w:rPr>
                      <w:rFonts w:ascii="宋体" w:hAnsi="宋体" w:cs="宋体"/>
                      <w:color w:val="auto"/>
                      <w:szCs w:val="21"/>
                    </w:rPr>
                  </w:pPr>
                  <w:r>
                    <w:rPr>
                      <w:rFonts w:hint="eastAsia" w:ascii="宋体" w:hAnsi="宋体" w:cs="宋体"/>
                      <w:color w:val="auto"/>
                      <w:szCs w:val="21"/>
                    </w:rPr>
                    <w:t>合格证</w:t>
                  </w:r>
                </w:p>
              </w:tc>
              <w:tc>
                <w:tcPr>
                  <w:tcW w:w="2112" w:type="dxa"/>
                </w:tcPr>
                <w:p>
                  <w:pPr>
                    <w:widowControl/>
                    <w:spacing w:line="360" w:lineRule="exact"/>
                    <w:rPr>
                      <w:rFonts w:ascii="宋体" w:hAnsi="宋体" w:cs="宋体"/>
                      <w:color w:val="auto"/>
                      <w:szCs w:val="21"/>
                    </w:rPr>
                  </w:pPr>
                  <w:r>
                    <w:rPr>
                      <w:rFonts w:hint="eastAsia" w:ascii="宋体" w:hAnsi="宋体" w:cs="宋体"/>
                      <w:color w:val="auto"/>
                      <w:szCs w:val="21"/>
                    </w:rPr>
                    <w:t>1张</w:t>
                  </w: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4</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超声波治疗仪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1、柜式一体机，8寸彩色液晶显示加一键飞梭操作。</w:t>
            </w:r>
          </w:p>
          <w:p>
            <w:pPr>
              <w:widowControl/>
              <w:spacing w:line="360" w:lineRule="exact"/>
              <w:rPr>
                <w:rFonts w:ascii="宋体" w:hAnsi="宋体" w:cs="宋体"/>
                <w:color w:val="auto"/>
                <w:szCs w:val="21"/>
              </w:rPr>
            </w:pPr>
            <w:r>
              <w:rPr>
                <w:rFonts w:hint="eastAsia" w:ascii="宋体" w:hAnsi="宋体" w:cs="宋体"/>
                <w:color w:val="auto"/>
                <w:szCs w:val="21"/>
              </w:rPr>
              <w:t>★2、仪器具有两种治疗频率：1MHz和3MHz。</w:t>
            </w:r>
          </w:p>
          <w:p>
            <w:pPr>
              <w:widowControl/>
              <w:spacing w:line="360" w:lineRule="exact"/>
              <w:rPr>
                <w:rFonts w:ascii="宋体" w:hAnsi="宋体" w:cs="宋体"/>
                <w:color w:val="auto"/>
                <w:szCs w:val="21"/>
              </w:rPr>
            </w:pPr>
            <w:r>
              <w:rPr>
                <w:rFonts w:hint="eastAsia" w:ascii="宋体" w:hAnsi="宋体" w:cs="宋体"/>
                <w:color w:val="auto"/>
                <w:szCs w:val="21"/>
              </w:rPr>
              <w:t>3、输入功率：100VA。</w:t>
            </w:r>
          </w:p>
          <w:p>
            <w:pPr>
              <w:widowControl/>
              <w:spacing w:line="360" w:lineRule="exact"/>
              <w:rPr>
                <w:rFonts w:ascii="宋体" w:hAnsi="宋体" w:cs="宋体"/>
                <w:color w:val="auto"/>
                <w:szCs w:val="21"/>
              </w:rPr>
            </w:pPr>
            <w:r>
              <w:rPr>
                <w:rFonts w:hint="eastAsia" w:ascii="宋体" w:hAnsi="宋体" w:cs="宋体"/>
                <w:color w:val="auto"/>
                <w:szCs w:val="21"/>
              </w:rPr>
              <w:t>4、额定输出功率：5W±20%。</w:t>
            </w:r>
          </w:p>
          <w:p>
            <w:pPr>
              <w:widowControl/>
              <w:spacing w:line="360" w:lineRule="exact"/>
              <w:rPr>
                <w:rFonts w:ascii="宋体" w:hAnsi="宋体" w:cs="宋体"/>
                <w:color w:val="auto"/>
                <w:szCs w:val="21"/>
              </w:rPr>
            </w:pPr>
            <w:r>
              <w:rPr>
                <w:rFonts w:hint="eastAsia" w:ascii="宋体" w:hAnsi="宋体" w:cs="宋体"/>
                <w:color w:val="auto"/>
                <w:szCs w:val="21"/>
              </w:rPr>
              <w:t>5、绝对最大有效声强：≤3.0W/cm2。</w:t>
            </w:r>
          </w:p>
          <w:p>
            <w:pPr>
              <w:widowControl/>
              <w:spacing w:line="360" w:lineRule="exact"/>
              <w:rPr>
                <w:rFonts w:ascii="宋体" w:hAnsi="宋体" w:cs="宋体"/>
                <w:color w:val="auto"/>
                <w:szCs w:val="21"/>
              </w:rPr>
            </w:pPr>
            <w:r>
              <w:rPr>
                <w:rFonts w:hint="eastAsia" w:ascii="宋体" w:hAnsi="宋体" w:cs="宋体"/>
                <w:color w:val="auto"/>
                <w:szCs w:val="21"/>
              </w:rPr>
              <w:t>6、波束类型：准直型。</w:t>
            </w:r>
          </w:p>
          <w:p>
            <w:pPr>
              <w:widowControl/>
              <w:spacing w:line="360" w:lineRule="exact"/>
              <w:rPr>
                <w:rFonts w:ascii="宋体" w:hAnsi="宋体" w:cs="宋体"/>
                <w:color w:val="auto"/>
                <w:szCs w:val="21"/>
              </w:rPr>
            </w:pPr>
            <w:r>
              <w:rPr>
                <w:rFonts w:hint="eastAsia" w:ascii="宋体" w:hAnsi="宋体" w:cs="宋体"/>
                <w:color w:val="auto"/>
                <w:szCs w:val="21"/>
              </w:rPr>
              <w:t>7、波束不均匀系数：≤8.0。</w:t>
            </w:r>
          </w:p>
          <w:p>
            <w:pPr>
              <w:widowControl/>
              <w:spacing w:line="360" w:lineRule="exact"/>
              <w:rPr>
                <w:rFonts w:ascii="宋体" w:hAnsi="宋体" w:cs="宋体"/>
                <w:color w:val="auto"/>
                <w:szCs w:val="21"/>
              </w:rPr>
            </w:pPr>
            <w:r>
              <w:rPr>
                <w:rFonts w:hint="eastAsia" w:ascii="宋体" w:hAnsi="宋体" w:cs="宋体"/>
                <w:color w:val="auto"/>
                <w:szCs w:val="21"/>
              </w:rPr>
              <w:t>★8、九种占空比：10%～100%可调，步进为10%。</w:t>
            </w:r>
          </w:p>
          <w:p>
            <w:pPr>
              <w:widowControl/>
              <w:spacing w:line="360" w:lineRule="exact"/>
              <w:rPr>
                <w:rFonts w:ascii="宋体" w:hAnsi="宋体" w:cs="宋体"/>
                <w:color w:val="auto"/>
                <w:szCs w:val="21"/>
              </w:rPr>
            </w:pPr>
            <w:r>
              <w:rPr>
                <w:rFonts w:hint="eastAsia" w:ascii="宋体" w:hAnsi="宋体" w:cs="宋体"/>
                <w:color w:val="auto"/>
                <w:szCs w:val="21"/>
              </w:rPr>
              <w:t xml:space="preserve">  9、治疗时间：≤30分钟。</w:t>
            </w:r>
          </w:p>
          <w:p>
            <w:pPr>
              <w:widowControl/>
              <w:spacing w:line="360" w:lineRule="exact"/>
              <w:rPr>
                <w:rFonts w:ascii="宋体" w:hAnsi="宋体" w:cs="宋体"/>
                <w:color w:val="auto"/>
                <w:szCs w:val="21"/>
              </w:rPr>
            </w:pPr>
            <w:r>
              <w:rPr>
                <w:rFonts w:hint="eastAsia" w:ascii="宋体" w:hAnsi="宋体" w:cs="宋体"/>
                <w:color w:val="auto"/>
                <w:szCs w:val="21"/>
              </w:rPr>
              <w:t>10、输出模式：9档脉冲模式和1档连续模式。</w:t>
            </w:r>
          </w:p>
          <w:p>
            <w:pPr>
              <w:widowControl/>
              <w:spacing w:line="360" w:lineRule="exact"/>
              <w:rPr>
                <w:rFonts w:ascii="宋体" w:hAnsi="宋体" w:cs="宋体"/>
                <w:color w:val="auto"/>
                <w:szCs w:val="21"/>
              </w:rPr>
            </w:pPr>
            <w:r>
              <w:rPr>
                <w:rFonts w:hint="eastAsia" w:ascii="宋体" w:hAnsi="宋体" w:cs="宋体"/>
                <w:color w:val="auto"/>
                <w:szCs w:val="21"/>
              </w:rPr>
              <w:t xml:space="preserve">★11、仪器配有4个治疗探头，一个手持移动式1MHz治疗探头、一个手持移动式3MHz治疗探头和两个固定式1MHz治疗探头， </w:t>
            </w:r>
          </w:p>
          <w:p>
            <w:pPr>
              <w:widowControl/>
              <w:spacing w:line="360" w:lineRule="exact"/>
              <w:rPr>
                <w:rFonts w:ascii="宋体" w:hAnsi="宋体" w:cs="宋体"/>
                <w:color w:val="auto"/>
                <w:szCs w:val="21"/>
              </w:rPr>
            </w:pPr>
            <w:r>
              <w:rPr>
                <w:rFonts w:hint="eastAsia" w:ascii="宋体" w:hAnsi="宋体" w:cs="宋体"/>
                <w:color w:val="auto"/>
                <w:szCs w:val="21"/>
              </w:rPr>
              <w:t>★12、1MHz和3MHz治疗探头独立控制，可同时使用，互不干扰。</w:t>
            </w:r>
          </w:p>
          <w:p>
            <w:pPr>
              <w:widowControl/>
              <w:spacing w:line="360" w:lineRule="exact"/>
              <w:jc w:val="center"/>
              <w:rPr>
                <w:rFonts w:ascii="宋体" w:hAnsi="宋体" w:cs="宋体"/>
                <w:b/>
                <w:bCs/>
                <w:color w:val="auto"/>
                <w:szCs w:val="21"/>
              </w:rPr>
            </w:pPr>
            <w:r>
              <w:rPr>
                <w:rFonts w:hint="eastAsia" w:ascii="宋体" w:hAnsi="宋体" w:cs="宋体"/>
                <w:b/>
                <w:bCs/>
                <w:color w:val="auto"/>
                <w:szCs w:val="21"/>
              </w:rPr>
              <w:t>超声波治疗仪配置清单</w:t>
            </w:r>
          </w:p>
          <w:tbl>
            <w:tblPr>
              <w:tblStyle w:val="48"/>
              <w:tblpPr w:leftFromText="180" w:rightFromText="180" w:vertAnchor="text" w:horzAnchor="page" w:tblpX="1695" w:tblpY="182"/>
              <w:tblOverlap w:val="never"/>
              <w:tblW w:w="67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662"/>
              <w:gridCol w:w="763"/>
              <w:gridCol w:w="712"/>
              <w:gridCol w:w="1675"/>
              <w:gridCol w:w="12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序号</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名称</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单位</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数量</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规格型号</w:t>
                  </w:r>
                </w:p>
              </w:tc>
              <w:tc>
                <w:tcPr>
                  <w:tcW w:w="1225"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主机</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台</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3MHz移动治疗头</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连接主机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3</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1MHz移动治疗头</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连接主机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4</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1MHz固定治疗头</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连接主机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5</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固定绑带</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根</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0.65M</w:t>
                  </w: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6</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固定绑带</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根</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0.35M</w:t>
                  </w: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7</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电源线</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根</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10A</w:t>
                  </w: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8</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熔断器（保险丝）</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F4AL250V</w:t>
                  </w: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9</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医用超声耦合剂</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支</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r>
                    <w:rPr>
                      <w:rFonts w:hint="eastAsia" w:ascii="宋体" w:hAnsi="宋体" w:cs="宋体"/>
                      <w:color w:val="auto"/>
                      <w:szCs w:val="21"/>
                    </w:rPr>
                    <w:t>200mL</w:t>
                  </w: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10</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合格证</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11</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注册证及注册登记表</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12</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生产许可证</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13</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营业执照</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86"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14</w:t>
                  </w:r>
                </w:p>
              </w:tc>
              <w:tc>
                <w:tcPr>
                  <w:tcW w:w="166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保修卡</w:t>
                  </w:r>
                </w:p>
              </w:tc>
              <w:tc>
                <w:tcPr>
                  <w:tcW w:w="763"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712" w:type="dxa"/>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675" w:type="dxa"/>
                </w:tcPr>
                <w:p>
                  <w:pPr>
                    <w:widowControl/>
                    <w:spacing w:line="360" w:lineRule="exact"/>
                    <w:rPr>
                      <w:rFonts w:ascii="宋体" w:hAnsi="宋体" w:cs="宋体"/>
                      <w:color w:val="auto"/>
                      <w:szCs w:val="21"/>
                    </w:rPr>
                  </w:pPr>
                </w:p>
              </w:tc>
              <w:tc>
                <w:tcPr>
                  <w:tcW w:w="1225" w:type="dxa"/>
                  <w:vAlign w:val="center"/>
                </w:tcPr>
                <w:p>
                  <w:pPr>
                    <w:widowControl/>
                    <w:spacing w:line="360" w:lineRule="exact"/>
                    <w:rPr>
                      <w:rFonts w:ascii="宋体" w:hAnsi="宋体" w:cs="宋体"/>
                      <w:color w:val="auto"/>
                      <w:szCs w:val="21"/>
                    </w:rPr>
                  </w:pP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5</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电动起立床</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1、手持控制器调节床体升降及角度；</w:t>
            </w:r>
          </w:p>
          <w:p>
            <w:pPr>
              <w:widowControl/>
              <w:spacing w:line="360" w:lineRule="exact"/>
              <w:rPr>
                <w:rFonts w:ascii="宋体" w:hAnsi="宋体" w:cs="宋体"/>
                <w:color w:val="auto"/>
                <w:szCs w:val="21"/>
              </w:rPr>
            </w:pPr>
            <w:r>
              <w:rPr>
                <w:rFonts w:hint="eastAsia" w:ascii="宋体" w:hAnsi="宋体" w:cs="宋体"/>
                <w:color w:val="auto"/>
                <w:szCs w:val="21"/>
              </w:rPr>
              <w:t>2、两个电机分别调节床板的倾斜度和高度；</w:t>
            </w:r>
          </w:p>
          <w:p>
            <w:pPr>
              <w:widowControl/>
              <w:spacing w:line="360" w:lineRule="exact"/>
              <w:rPr>
                <w:rFonts w:ascii="宋体" w:hAnsi="宋体" w:cs="宋体"/>
                <w:color w:val="auto"/>
                <w:szCs w:val="21"/>
              </w:rPr>
            </w:pPr>
            <w:r>
              <w:rPr>
                <w:rFonts w:hint="eastAsia" w:ascii="宋体" w:hAnsi="宋体" w:cs="宋体"/>
                <w:color w:val="auto"/>
                <w:szCs w:val="21"/>
              </w:rPr>
              <w:t>3、优质直线推杆，质量稳定，噪音低；</w:t>
            </w:r>
          </w:p>
          <w:p>
            <w:pPr>
              <w:widowControl/>
              <w:spacing w:line="360" w:lineRule="exact"/>
              <w:rPr>
                <w:rFonts w:ascii="宋体" w:hAnsi="宋体" w:cs="宋体"/>
                <w:color w:val="auto"/>
                <w:szCs w:val="21"/>
              </w:rPr>
            </w:pPr>
            <w:r>
              <w:rPr>
                <w:rFonts w:hint="eastAsia" w:ascii="宋体" w:hAnsi="宋体" w:cs="宋体"/>
                <w:color w:val="auto"/>
                <w:szCs w:val="21"/>
              </w:rPr>
              <w:t>4、电源电压AC220V±10% 、电源频率50Hz±2％；</w:t>
            </w:r>
          </w:p>
          <w:p>
            <w:pPr>
              <w:widowControl/>
              <w:spacing w:line="360" w:lineRule="exact"/>
              <w:rPr>
                <w:rFonts w:ascii="宋体" w:hAnsi="宋体" w:cs="宋体"/>
                <w:color w:val="auto"/>
                <w:szCs w:val="21"/>
              </w:rPr>
            </w:pPr>
            <w:r>
              <w:rPr>
                <w:rFonts w:hint="eastAsia" w:ascii="宋体" w:hAnsi="宋体" w:cs="宋体"/>
                <w:color w:val="auto"/>
                <w:szCs w:val="21"/>
              </w:rPr>
              <w:t>5、输入功率240VA；</w:t>
            </w:r>
          </w:p>
          <w:p>
            <w:pPr>
              <w:widowControl/>
              <w:spacing w:line="360" w:lineRule="exact"/>
              <w:rPr>
                <w:rFonts w:ascii="宋体" w:hAnsi="宋体" w:cs="宋体"/>
                <w:color w:val="auto"/>
                <w:szCs w:val="21"/>
              </w:rPr>
            </w:pPr>
            <w:r>
              <w:rPr>
                <w:rFonts w:hint="eastAsia" w:ascii="宋体" w:hAnsi="宋体" w:cs="宋体"/>
                <w:color w:val="auto"/>
                <w:szCs w:val="21"/>
              </w:rPr>
              <w:t>★6、电机最大升降推力9000N，床体水平升降高度：450～750mm，允差±50mm；</w:t>
            </w:r>
          </w:p>
          <w:p>
            <w:pPr>
              <w:widowControl/>
              <w:spacing w:line="360" w:lineRule="exact"/>
              <w:rPr>
                <w:rFonts w:ascii="宋体" w:hAnsi="宋体" w:cs="宋体"/>
                <w:color w:val="auto"/>
                <w:szCs w:val="21"/>
              </w:rPr>
            </w:pPr>
            <w:r>
              <w:rPr>
                <w:rFonts w:hint="eastAsia" w:ascii="宋体" w:hAnsi="宋体" w:cs="宋体"/>
                <w:color w:val="auto"/>
                <w:szCs w:val="21"/>
              </w:rPr>
              <w:t>7、电机最大翻转推力10000N，起立倾角：0～85°，允差-5°；</w:t>
            </w:r>
          </w:p>
          <w:p>
            <w:pPr>
              <w:widowControl/>
              <w:spacing w:line="360" w:lineRule="exact"/>
              <w:rPr>
                <w:rFonts w:ascii="宋体" w:hAnsi="宋体" w:cs="宋体"/>
                <w:color w:val="auto"/>
                <w:szCs w:val="21"/>
              </w:rPr>
            </w:pPr>
            <w:r>
              <w:rPr>
                <w:rFonts w:hint="eastAsia" w:ascii="宋体" w:hAnsi="宋体" w:cs="宋体"/>
                <w:color w:val="auto"/>
                <w:szCs w:val="21"/>
              </w:rPr>
              <w:t>8、直立位扶手板高度调节范围：800</w:t>
            </w:r>
            <w:bookmarkStart w:id="42" w:name="_Hlk18079172"/>
            <w:r>
              <w:rPr>
                <w:rFonts w:hint="eastAsia" w:ascii="宋体" w:hAnsi="宋体" w:cs="宋体"/>
                <w:color w:val="auto"/>
                <w:szCs w:val="21"/>
              </w:rPr>
              <w:t>～</w:t>
            </w:r>
            <w:bookmarkEnd w:id="42"/>
            <w:r>
              <w:rPr>
                <w:rFonts w:hint="eastAsia" w:ascii="宋体" w:hAnsi="宋体" w:cs="宋体"/>
                <w:color w:val="auto"/>
                <w:szCs w:val="21"/>
              </w:rPr>
              <w:t>1500mm，允差±50mm;</w:t>
            </w:r>
          </w:p>
          <w:p>
            <w:pPr>
              <w:widowControl/>
              <w:spacing w:line="360" w:lineRule="exact"/>
              <w:rPr>
                <w:rFonts w:ascii="宋体" w:hAnsi="宋体" w:cs="宋体"/>
                <w:color w:val="auto"/>
                <w:szCs w:val="21"/>
              </w:rPr>
            </w:pPr>
            <w:r>
              <w:rPr>
                <w:rFonts w:hint="eastAsia" w:ascii="宋体" w:hAnsi="宋体" w:cs="宋体"/>
                <w:color w:val="auto"/>
                <w:szCs w:val="21"/>
              </w:rPr>
              <w:t>9、扶手板到床板的垂直距离：0～200mm；最大距离是允差±40mm；</w:t>
            </w:r>
          </w:p>
          <w:p>
            <w:pPr>
              <w:widowControl/>
              <w:spacing w:line="360" w:lineRule="exact"/>
              <w:rPr>
                <w:rFonts w:ascii="宋体" w:hAnsi="宋体" w:cs="宋体"/>
                <w:color w:val="auto"/>
                <w:szCs w:val="21"/>
              </w:rPr>
            </w:pPr>
            <w:r>
              <w:rPr>
                <w:rFonts w:hint="eastAsia" w:ascii="宋体" w:hAnsi="宋体" w:cs="宋体"/>
                <w:color w:val="auto"/>
                <w:szCs w:val="21"/>
              </w:rPr>
              <w:t>★10、脚踏板背屈：0°～24°、跖屈0°～30°，允差±5°；</w:t>
            </w:r>
          </w:p>
          <w:p>
            <w:pPr>
              <w:widowControl/>
              <w:spacing w:line="360" w:lineRule="exact"/>
              <w:rPr>
                <w:rFonts w:ascii="宋体" w:hAnsi="宋体" w:cs="宋体"/>
                <w:color w:val="auto"/>
                <w:szCs w:val="21"/>
              </w:rPr>
            </w:pPr>
            <w:r>
              <w:rPr>
                <w:rFonts w:hint="eastAsia" w:ascii="宋体" w:hAnsi="宋体" w:cs="宋体"/>
                <w:color w:val="auto"/>
                <w:szCs w:val="21"/>
              </w:rPr>
              <w:t>★11、脚踏板内翻：0°～38°、外翻0°～30°，允差±5°；</w:t>
            </w:r>
          </w:p>
          <w:p>
            <w:pPr>
              <w:widowControl/>
              <w:spacing w:line="360" w:lineRule="exact"/>
              <w:rPr>
                <w:rFonts w:ascii="宋体" w:hAnsi="宋体" w:cs="宋体"/>
                <w:color w:val="auto"/>
                <w:szCs w:val="21"/>
              </w:rPr>
            </w:pPr>
            <w:r>
              <w:rPr>
                <w:rFonts w:hint="eastAsia" w:ascii="宋体" w:hAnsi="宋体" w:cs="宋体"/>
                <w:color w:val="auto"/>
                <w:szCs w:val="21"/>
              </w:rPr>
              <w:t>12、床面尺寸：1900*630mm，允差±50mm；</w:t>
            </w:r>
          </w:p>
          <w:p>
            <w:pPr>
              <w:widowControl/>
              <w:spacing w:line="360" w:lineRule="exact"/>
              <w:rPr>
                <w:rFonts w:ascii="宋体" w:hAnsi="宋体" w:cs="宋体"/>
                <w:color w:val="auto"/>
                <w:szCs w:val="21"/>
              </w:rPr>
            </w:pPr>
            <w:r>
              <w:rPr>
                <w:rFonts w:hint="eastAsia" w:ascii="宋体" w:hAnsi="宋体" w:cs="宋体"/>
                <w:color w:val="auto"/>
                <w:szCs w:val="21"/>
              </w:rPr>
              <w:t>13、床体尺寸：2100mm*770mm*450mm，允差±50mm；</w:t>
            </w:r>
          </w:p>
          <w:p>
            <w:pPr>
              <w:widowControl/>
              <w:spacing w:line="360" w:lineRule="exact"/>
              <w:rPr>
                <w:rFonts w:ascii="宋体" w:hAnsi="宋体" w:cs="宋体"/>
                <w:color w:val="auto"/>
                <w:szCs w:val="21"/>
              </w:rPr>
            </w:pPr>
            <w:r>
              <w:rPr>
                <w:rFonts w:hint="eastAsia" w:ascii="宋体" w:hAnsi="宋体" w:cs="宋体"/>
                <w:color w:val="auto"/>
                <w:szCs w:val="21"/>
              </w:rPr>
              <w:t>14、净重：</w:t>
            </w:r>
            <w:r>
              <w:rPr>
                <w:rFonts w:hint="eastAsia" w:ascii="宋体" w:hAnsi="宋体" w:cs="宋体"/>
                <w:color w:val="auto"/>
                <w:szCs w:val="21"/>
              </w:rPr>
              <w:t>约</w:t>
            </w:r>
            <w:r>
              <w:rPr>
                <w:rFonts w:hint="eastAsia" w:ascii="宋体" w:hAnsi="宋体" w:cs="宋体"/>
                <w:color w:val="auto"/>
                <w:szCs w:val="21"/>
              </w:rPr>
              <w:t>100KG；</w:t>
            </w:r>
          </w:p>
          <w:p>
            <w:pPr>
              <w:widowControl/>
              <w:spacing w:line="360" w:lineRule="exact"/>
              <w:rPr>
                <w:rFonts w:ascii="宋体" w:hAnsi="宋体" w:cs="宋体"/>
                <w:color w:val="auto"/>
                <w:szCs w:val="21"/>
              </w:rPr>
            </w:pPr>
            <w:r>
              <w:rPr>
                <w:rFonts w:hint="eastAsia" w:ascii="宋体" w:hAnsi="宋体" w:cs="宋体"/>
                <w:color w:val="auto"/>
                <w:szCs w:val="21"/>
              </w:rPr>
              <w:t>15、床板安全工作载荷：</w:t>
            </w:r>
            <w:r>
              <w:rPr>
                <w:rFonts w:hint="eastAsia" w:ascii="宋体" w:hAnsi="宋体" w:cs="宋体"/>
                <w:color w:val="auto"/>
                <w:szCs w:val="21"/>
              </w:rPr>
              <w:t>≥</w:t>
            </w:r>
            <w:r>
              <w:rPr>
                <w:rFonts w:hint="eastAsia" w:ascii="宋体" w:hAnsi="宋体" w:cs="宋体"/>
                <w:color w:val="auto"/>
                <w:szCs w:val="21"/>
              </w:rPr>
              <w:t>1700N；</w:t>
            </w:r>
          </w:p>
          <w:p>
            <w:pPr>
              <w:widowControl/>
              <w:spacing w:line="360" w:lineRule="exact"/>
              <w:rPr>
                <w:rFonts w:ascii="宋体" w:hAnsi="宋体" w:cs="宋体"/>
                <w:color w:val="auto"/>
                <w:szCs w:val="21"/>
              </w:rPr>
            </w:pPr>
            <w:r>
              <w:rPr>
                <w:rFonts w:hint="eastAsia" w:ascii="宋体" w:hAnsi="宋体" w:cs="宋体"/>
                <w:color w:val="auto"/>
                <w:szCs w:val="21"/>
              </w:rPr>
              <w:t>16、升降架安全工作载荷：</w:t>
            </w:r>
            <w:r>
              <w:rPr>
                <w:rFonts w:hint="eastAsia" w:ascii="宋体" w:hAnsi="宋体" w:cs="宋体"/>
                <w:color w:val="auto"/>
                <w:szCs w:val="21"/>
              </w:rPr>
              <w:t>≥</w:t>
            </w:r>
            <w:r>
              <w:rPr>
                <w:rFonts w:hint="eastAsia" w:ascii="宋体" w:hAnsi="宋体" w:cs="宋体"/>
                <w:color w:val="auto"/>
                <w:szCs w:val="21"/>
              </w:rPr>
              <w:t>2200N；</w:t>
            </w:r>
          </w:p>
          <w:p>
            <w:pPr>
              <w:widowControl/>
              <w:spacing w:line="360" w:lineRule="exact"/>
              <w:jc w:val="center"/>
              <w:rPr>
                <w:rFonts w:ascii="宋体" w:hAnsi="宋体" w:cs="宋体"/>
                <w:b/>
                <w:bCs/>
                <w:color w:val="auto"/>
                <w:szCs w:val="21"/>
              </w:rPr>
            </w:pPr>
            <w:r>
              <w:rPr>
                <w:rFonts w:hint="eastAsia" w:ascii="宋体" w:hAnsi="宋体" w:cs="宋体"/>
                <w:b/>
                <w:bCs/>
                <w:color w:val="auto"/>
                <w:szCs w:val="21"/>
              </w:rPr>
              <w:t>配置清单</w:t>
            </w:r>
          </w:p>
          <w:tbl>
            <w:tblPr>
              <w:tblStyle w:val="48"/>
              <w:tblW w:w="53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50"/>
              <w:gridCol w:w="1027"/>
              <w:gridCol w:w="812"/>
              <w:gridCol w:w="13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序号</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名称</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单位</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数量</w:t>
                  </w:r>
                </w:p>
              </w:tc>
              <w:tc>
                <w:tcPr>
                  <w:tcW w:w="1388" w:type="dxa"/>
                  <w:tcBorders>
                    <w:tl2br w:val="nil"/>
                    <w:tr2bl w:val="nil"/>
                  </w:tcBorders>
                </w:tcPr>
                <w:p>
                  <w:pPr>
                    <w:widowControl/>
                    <w:spacing w:line="360" w:lineRule="exact"/>
                    <w:rPr>
                      <w:rFonts w:ascii="宋体" w:hAnsi="宋体" w:cs="宋体"/>
                      <w:color w:val="auto"/>
                      <w:szCs w:val="21"/>
                    </w:rPr>
                  </w:pPr>
                  <w:r>
                    <w:rPr>
                      <w:rFonts w:hint="eastAsia" w:ascii="宋体" w:hAnsi="宋体" w:cs="宋体"/>
                      <w:color w:val="auto"/>
                      <w:szCs w:val="21"/>
                    </w:rPr>
                    <w:t>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9" w:hRule="atLeast"/>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主机</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台</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电源线</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根</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3</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内六角盘头螺钉</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8</w:t>
                  </w:r>
                </w:p>
              </w:tc>
              <w:tc>
                <w:tcPr>
                  <w:tcW w:w="1388" w:type="dxa"/>
                  <w:tcBorders>
                    <w:tl2br w:val="nil"/>
                    <w:tr2bl w:val="nil"/>
                  </w:tcBorders>
                </w:tcPr>
                <w:p>
                  <w:pPr>
                    <w:widowControl/>
                    <w:spacing w:line="360" w:lineRule="exact"/>
                    <w:rPr>
                      <w:rFonts w:ascii="宋体" w:hAnsi="宋体" w:cs="宋体"/>
                      <w:color w:val="auto"/>
                      <w:szCs w:val="21"/>
                    </w:rPr>
                  </w:pPr>
                  <w:r>
                    <w:rPr>
                      <w:rFonts w:hint="eastAsia" w:ascii="宋体" w:hAnsi="宋体" w:cs="宋体"/>
                      <w:color w:val="auto"/>
                      <w:szCs w:val="21"/>
                    </w:rPr>
                    <w:t>M8*50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4</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手扶板</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5</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手扶杆</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6</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脚踏板</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套</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7</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内六角扳手</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把</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r>
                    <w:rPr>
                      <w:rFonts w:hint="eastAsia" w:ascii="宋体" w:hAnsi="宋体" w:cs="宋体"/>
                      <w:color w:val="auto"/>
                      <w:szCs w:val="21"/>
                    </w:rPr>
                    <w:t>5号(5mm)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8</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技术使用说明书</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9</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营业执照</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10</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生产许可证</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11</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保修卡</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张</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12</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合格证</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张</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13</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现场安装验收单</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14</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配置清单</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15</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熔断器</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个</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2</w:t>
                  </w:r>
                </w:p>
              </w:tc>
              <w:tc>
                <w:tcPr>
                  <w:tcW w:w="1388" w:type="dxa"/>
                  <w:tcBorders>
                    <w:tl2br w:val="nil"/>
                    <w:tr2bl w:val="nil"/>
                  </w:tcBorders>
                </w:tcPr>
                <w:p>
                  <w:pPr>
                    <w:widowControl/>
                    <w:spacing w:line="360" w:lineRule="exact"/>
                    <w:rPr>
                      <w:rFonts w:ascii="宋体" w:hAnsi="宋体" w:cs="宋体"/>
                      <w:color w:val="auto"/>
                      <w:szCs w:val="21"/>
                    </w:rPr>
                  </w:pPr>
                  <w:r>
                    <w:rPr>
                      <w:rFonts w:hint="eastAsia" w:ascii="宋体" w:hAnsi="宋体" w:cs="宋体"/>
                      <w:color w:val="auto"/>
                      <w:szCs w:val="21"/>
                    </w:rPr>
                    <w:t>F10AL250V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16</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注册证</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17</w:t>
                  </w:r>
                </w:p>
              </w:tc>
              <w:tc>
                <w:tcPr>
                  <w:tcW w:w="1350"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简易操作规范</w:t>
                  </w:r>
                </w:p>
              </w:tc>
              <w:tc>
                <w:tcPr>
                  <w:tcW w:w="1027"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份</w:t>
                  </w:r>
                </w:p>
              </w:tc>
              <w:tc>
                <w:tcPr>
                  <w:tcW w:w="812" w:type="dxa"/>
                  <w:tcBorders>
                    <w:tl2br w:val="nil"/>
                    <w:tr2bl w:val="nil"/>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w:t>
                  </w:r>
                </w:p>
              </w:tc>
              <w:tc>
                <w:tcPr>
                  <w:tcW w:w="1388" w:type="dxa"/>
                  <w:tcBorders>
                    <w:tl2br w:val="nil"/>
                    <w:tr2bl w:val="nil"/>
                  </w:tcBorders>
                </w:tcPr>
                <w:p>
                  <w:pPr>
                    <w:widowControl/>
                    <w:spacing w:line="360" w:lineRule="exact"/>
                    <w:rPr>
                      <w:rFonts w:ascii="宋体" w:hAnsi="宋体" w:cs="宋体"/>
                      <w:color w:val="auto"/>
                      <w:szCs w:val="21"/>
                    </w:rPr>
                  </w:pP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6</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电脑中频治疗仪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4台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1、具备≥4个输出通道，可分别独立运行，满足临床更多需求</w:t>
            </w:r>
          </w:p>
          <w:p>
            <w:pPr>
              <w:widowControl/>
              <w:spacing w:line="360" w:lineRule="exact"/>
              <w:rPr>
                <w:rFonts w:ascii="宋体" w:hAnsi="宋体" w:cs="宋体"/>
                <w:color w:val="auto"/>
                <w:szCs w:val="21"/>
              </w:rPr>
            </w:pPr>
            <w:r>
              <w:rPr>
                <w:rFonts w:hint="eastAsia" w:ascii="宋体" w:hAnsi="宋体" w:cs="宋体"/>
                <w:color w:val="auto"/>
                <w:szCs w:val="21"/>
              </w:rPr>
              <w:t>2、具备全中文界面的电脑控制系统，实时监控、调整每个通道的运行情况</w:t>
            </w:r>
          </w:p>
          <w:p>
            <w:pPr>
              <w:widowControl/>
              <w:spacing w:line="360" w:lineRule="exact"/>
              <w:rPr>
                <w:rFonts w:ascii="宋体" w:hAnsi="宋体" w:cs="宋体"/>
                <w:color w:val="auto"/>
                <w:szCs w:val="21"/>
              </w:rPr>
            </w:pPr>
            <w:r>
              <w:rPr>
                <w:rFonts w:hint="eastAsia" w:ascii="宋体" w:hAnsi="宋体" w:cs="宋体"/>
                <w:color w:val="auto"/>
                <w:szCs w:val="21"/>
              </w:rPr>
              <w:t>3、具备≥4个热输出通道，可实现中频透热疗法</w:t>
            </w:r>
          </w:p>
          <w:p>
            <w:pPr>
              <w:widowControl/>
              <w:spacing w:line="360" w:lineRule="exact"/>
              <w:rPr>
                <w:rFonts w:ascii="宋体" w:hAnsi="宋体" w:cs="宋体"/>
                <w:color w:val="auto"/>
                <w:szCs w:val="21"/>
              </w:rPr>
            </w:pPr>
            <w:r>
              <w:rPr>
                <w:rFonts w:hint="eastAsia" w:ascii="宋体" w:hAnsi="宋体" w:cs="宋体"/>
                <w:color w:val="auto"/>
                <w:szCs w:val="21"/>
              </w:rPr>
              <w:t>4、具备≥99种处方，便于临床使用</w:t>
            </w:r>
          </w:p>
          <w:p>
            <w:pPr>
              <w:widowControl/>
              <w:spacing w:line="360" w:lineRule="exact"/>
              <w:rPr>
                <w:rFonts w:ascii="宋体" w:hAnsi="宋体" w:cs="宋体"/>
                <w:color w:val="auto"/>
                <w:szCs w:val="21"/>
              </w:rPr>
            </w:pPr>
            <w:r>
              <w:rPr>
                <w:rFonts w:hint="eastAsia" w:ascii="宋体" w:hAnsi="宋体" w:cs="宋体"/>
                <w:color w:val="auto"/>
                <w:szCs w:val="21"/>
              </w:rPr>
              <w:t>5、具备温度控制功能，温度可调，并可根据需要开启或关闭</w:t>
            </w:r>
          </w:p>
          <w:p>
            <w:pPr>
              <w:widowControl/>
              <w:spacing w:line="360" w:lineRule="exact"/>
              <w:rPr>
                <w:rFonts w:ascii="宋体" w:hAnsi="宋体" w:cs="宋体"/>
                <w:color w:val="auto"/>
                <w:szCs w:val="21"/>
              </w:rPr>
            </w:pPr>
            <w:r>
              <w:rPr>
                <w:rFonts w:hint="eastAsia" w:ascii="宋体" w:hAnsi="宋体" w:cs="宋体"/>
                <w:color w:val="auto"/>
                <w:szCs w:val="21"/>
              </w:rPr>
              <w:t>6、工作频率：中频频率：最小频率≤2kHz，最大频率≥8kHz</w:t>
            </w:r>
          </w:p>
          <w:p>
            <w:pPr>
              <w:widowControl/>
              <w:spacing w:line="360" w:lineRule="exact"/>
              <w:rPr>
                <w:rFonts w:ascii="宋体" w:hAnsi="宋体" w:cs="宋体"/>
                <w:color w:val="auto"/>
                <w:szCs w:val="21"/>
              </w:rPr>
            </w:pPr>
            <w:r>
              <w:rPr>
                <w:rFonts w:hint="eastAsia" w:ascii="宋体" w:hAnsi="宋体" w:cs="宋体"/>
                <w:color w:val="auto"/>
                <w:szCs w:val="21"/>
              </w:rPr>
              <w:t>低频调制频率：最大频率≥150Hz</w:t>
            </w:r>
          </w:p>
          <w:p>
            <w:pPr>
              <w:widowControl/>
              <w:spacing w:line="360" w:lineRule="exact"/>
              <w:rPr>
                <w:rFonts w:ascii="宋体" w:hAnsi="宋体" w:cs="宋体"/>
                <w:color w:val="auto"/>
                <w:szCs w:val="21"/>
              </w:rPr>
            </w:pPr>
            <w:r>
              <w:rPr>
                <w:rFonts w:hint="eastAsia" w:ascii="宋体" w:hAnsi="宋体" w:cs="宋体"/>
                <w:color w:val="auto"/>
                <w:szCs w:val="21"/>
              </w:rPr>
              <w:t>干扰电流频率：≥4kHz</w:t>
            </w:r>
          </w:p>
          <w:p>
            <w:pPr>
              <w:widowControl/>
              <w:spacing w:line="360" w:lineRule="exact"/>
              <w:rPr>
                <w:rFonts w:ascii="宋体" w:hAnsi="宋体" w:cs="宋体"/>
                <w:color w:val="auto"/>
                <w:szCs w:val="21"/>
              </w:rPr>
            </w:pPr>
            <w:r>
              <w:rPr>
                <w:rFonts w:hint="eastAsia" w:ascii="宋体" w:hAnsi="宋体" w:cs="宋体"/>
                <w:color w:val="auto"/>
                <w:szCs w:val="21"/>
              </w:rPr>
              <w:t>7、输出电流：最大电流强度≥100mA</w:t>
            </w:r>
          </w:p>
          <w:p>
            <w:pPr>
              <w:widowControl/>
              <w:spacing w:line="360" w:lineRule="exact"/>
              <w:rPr>
                <w:rFonts w:ascii="宋体" w:hAnsi="宋体" w:cs="宋体"/>
                <w:color w:val="auto"/>
                <w:szCs w:val="21"/>
              </w:rPr>
            </w:pPr>
            <w:r>
              <w:rPr>
                <w:rFonts w:hint="eastAsia" w:ascii="宋体" w:hAnsi="宋体" w:cs="宋体"/>
                <w:color w:val="auto"/>
                <w:szCs w:val="21"/>
              </w:rPr>
              <w:t>8、输出电流稳定度：输出电流稳定度≤5%</w:t>
            </w:r>
          </w:p>
          <w:p>
            <w:pPr>
              <w:widowControl/>
              <w:spacing w:line="360" w:lineRule="exact"/>
              <w:rPr>
                <w:rFonts w:ascii="宋体" w:hAnsi="宋体" w:cs="宋体"/>
                <w:color w:val="auto"/>
                <w:szCs w:val="21"/>
              </w:rPr>
            </w:pPr>
            <w:r>
              <w:rPr>
                <w:rFonts w:hint="eastAsia" w:ascii="宋体" w:hAnsi="宋体" w:cs="宋体"/>
                <w:color w:val="auto"/>
                <w:szCs w:val="21"/>
              </w:rPr>
              <w:t>9、调制波形：正弦波，方波，尖波，三角波，锯齿波，指数波，等幅波</w:t>
            </w:r>
          </w:p>
          <w:p>
            <w:pPr>
              <w:widowControl/>
              <w:spacing w:line="360" w:lineRule="exact"/>
              <w:rPr>
                <w:rFonts w:ascii="宋体" w:hAnsi="宋体" w:cs="宋体"/>
                <w:color w:val="auto"/>
                <w:szCs w:val="21"/>
              </w:rPr>
            </w:pPr>
            <w:r>
              <w:rPr>
                <w:rFonts w:hint="eastAsia" w:ascii="宋体" w:hAnsi="宋体" w:cs="宋体"/>
                <w:color w:val="auto"/>
                <w:szCs w:val="21"/>
              </w:rPr>
              <w:t>10、调制方式：连续调制、交替调制（一元交替及二元交替）</w:t>
            </w:r>
          </w:p>
          <w:p>
            <w:pPr>
              <w:widowControl/>
              <w:spacing w:line="360" w:lineRule="exact"/>
              <w:rPr>
                <w:rFonts w:ascii="宋体" w:hAnsi="宋体" w:cs="宋体"/>
                <w:color w:val="auto"/>
                <w:szCs w:val="21"/>
              </w:rPr>
            </w:pPr>
            <w:r>
              <w:rPr>
                <w:rFonts w:hint="eastAsia" w:ascii="宋体" w:hAnsi="宋体" w:cs="宋体"/>
                <w:color w:val="auto"/>
                <w:szCs w:val="21"/>
              </w:rPr>
              <w:t>11、调幅度：0-100%</w:t>
            </w:r>
          </w:p>
          <w:p>
            <w:pPr>
              <w:widowControl/>
              <w:spacing w:line="360" w:lineRule="exact"/>
              <w:rPr>
                <w:rFonts w:ascii="宋体" w:hAnsi="宋体" w:cs="宋体"/>
                <w:color w:val="auto"/>
                <w:szCs w:val="21"/>
              </w:rPr>
            </w:pPr>
            <w:r>
              <w:rPr>
                <w:rFonts w:hint="eastAsia" w:ascii="宋体" w:hAnsi="宋体" w:cs="宋体"/>
                <w:color w:val="auto"/>
                <w:szCs w:val="21"/>
              </w:rPr>
              <w:t>12、差频频率：最大差频频率≥100Hz</w:t>
            </w:r>
          </w:p>
          <w:p>
            <w:pPr>
              <w:widowControl/>
              <w:spacing w:line="360" w:lineRule="exact"/>
              <w:rPr>
                <w:rFonts w:ascii="宋体" w:hAnsi="宋体" w:cs="宋体"/>
                <w:color w:val="auto"/>
                <w:szCs w:val="21"/>
              </w:rPr>
            </w:pPr>
            <w:r>
              <w:rPr>
                <w:rFonts w:hint="eastAsia" w:ascii="宋体" w:hAnsi="宋体" w:cs="宋体"/>
                <w:color w:val="auto"/>
                <w:szCs w:val="21"/>
              </w:rPr>
              <w:t>13、动态节律：干扰电的动态节律8s±1s</w:t>
            </w:r>
          </w:p>
          <w:p>
            <w:pPr>
              <w:widowControl/>
              <w:spacing w:line="360" w:lineRule="exact"/>
              <w:rPr>
                <w:rFonts w:ascii="宋体" w:hAnsi="宋体" w:cs="宋体"/>
                <w:color w:val="auto"/>
                <w:szCs w:val="21"/>
              </w:rPr>
            </w:pPr>
            <w:r>
              <w:rPr>
                <w:rFonts w:hint="eastAsia" w:ascii="宋体" w:hAnsi="宋体" w:cs="宋体"/>
                <w:color w:val="auto"/>
                <w:szCs w:val="21"/>
              </w:rPr>
              <w:t>14、差频变化周期：干扰电的差频变化周期10-30s</w:t>
            </w:r>
          </w:p>
          <w:p>
            <w:pPr>
              <w:widowControl/>
              <w:spacing w:line="360" w:lineRule="exact"/>
              <w:rPr>
                <w:rFonts w:ascii="宋体" w:hAnsi="宋体" w:cs="宋体"/>
                <w:color w:val="auto"/>
                <w:szCs w:val="21"/>
              </w:rPr>
            </w:pPr>
            <w:r>
              <w:rPr>
                <w:rFonts w:hint="eastAsia" w:ascii="宋体" w:hAnsi="宋体" w:cs="宋体"/>
                <w:color w:val="auto"/>
                <w:szCs w:val="21"/>
              </w:rPr>
              <w:t>15、输出电压：最大输出电压≤40V</w:t>
            </w:r>
          </w:p>
          <w:p>
            <w:pPr>
              <w:widowControl/>
              <w:spacing w:line="360" w:lineRule="exact"/>
              <w:rPr>
                <w:rFonts w:ascii="宋体" w:hAnsi="宋体" w:cs="宋体"/>
                <w:color w:val="auto"/>
                <w:szCs w:val="21"/>
              </w:rPr>
            </w:pPr>
            <w:r>
              <w:rPr>
                <w:rFonts w:hint="eastAsia" w:ascii="宋体" w:hAnsi="宋体" w:cs="宋体"/>
                <w:color w:val="auto"/>
                <w:szCs w:val="21"/>
              </w:rPr>
              <w:t>16、输出通道：数量≥4个</w:t>
            </w:r>
          </w:p>
          <w:p>
            <w:pPr>
              <w:widowControl/>
              <w:spacing w:line="360" w:lineRule="exact"/>
              <w:rPr>
                <w:rFonts w:ascii="宋体" w:hAnsi="宋体" w:cs="宋体"/>
                <w:color w:val="auto"/>
                <w:szCs w:val="21"/>
              </w:rPr>
            </w:pPr>
            <w:r>
              <w:rPr>
                <w:rFonts w:hint="eastAsia" w:ascii="宋体" w:hAnsi="宋体" w:cs="宋体"/>
                <w:color w:val="auto"/>
                <w:szCs w:val="21"/>
              </w:rPr>
              <w:t>17、热输出：具备，≥4通道的热输出通道</w:t>
            </w:r>
          </w:p>
          <w:p>
            <w:pPr>
              <w:widowControl/>
              <w:spacing w:line="360" w:lineRule="exact"/>
              <w:rPr>
                <w:rFonts w:ascii="宋体" w:hAnsi="宋体" w:cs="宋体"/>
                <w:color w:val="auto"/>
                <w:szCs w:val="21"/>
              </w:rPr>
            </w:pPr>
            <w:r>
              <w:rPr>
                <w:rFonts w:hint="eastAsia" w:ascii="宋体" w:hAnsi="宋体" w:cs="宋体"/>
                <w:color w:val="auto"/>
                <w:szCs w:val="21"/>
              </w:rPr>
              <w:t>18、热输出温度：最高温度≥50℃</w:t>
            </w:r>
          </w:p>
          <w:p>
            <w:pPr>
              <w:widowControl/>
              <w:spacing w:line="360" w:lineRule="exact"/>
              <w:rPr>
                <w:rFonts w:ascii="宋体" w:hAnsi="宋体" w:cs="宋体"/>
                <w:color w:val="auto"/>
                <w:szCs w:val="21"/>
              </w:rPr>
            </w:pPr>
            <w:r>
              <w:rPr>
                <w:rFonts w:hint="eastAsia" w:ascii="宋体" w:hAnsi="宋体" w:cs="宋体"/>
                <w:color w:val="auto"/>
                <w:szCs w:val="21"/>
              </w:rPr>
              <w:t>19、显示：具备全中文汉字显示</w:t>
            </w:r>
          </w:p>
          <w:p>
            <w:pPr>
              <w:pStyle w:val="46"/>
              <w:rPr>
                <w:rFonts w:ascii="宋体" w:hAnsi="宋体" w:cs="宋体"/>
                <w:color w:val="auto"/>
                <w:sz w:val="21"/>
                <w:szCs w:val="21"/>
              </w:rPr>
            </w:pPr>
            <w:r>
              <w:rPr>
                <w:rFonts w:hint="eastAsia" w:ascii="宋体" w:hAnsi="宋体" w:cs="宋体"/>
                <w:color w:val="auto"/>
                <w:sz w:val="21"/>
                <w:szCs w:val="21"/>
              </w:rPr>
              <w:t>配置清单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24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名称</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包装箱</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主机</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3</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电源线</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4</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电极导线</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离子输出线</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6</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电极板</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8片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7</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布垫</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8</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绑   带</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9</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说明书</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合格证</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jc w:val="center"/>
                    <w:rPr>
                      <w:rFonts w:ascii="宋体" w:hAnsi="宋体" w:cs="宋体"/>
                      <w:color w:val="auto"/>
                      <w:szCs w:val="21"/>
                    </w:rPr>
                  </w:pPr>
                  <w:r>
                    <w:rPr>
                      <w:rFonts w:hint="eastAsia" w:ascii="宋体" w:hAnsi="宋体" w:cs="宋体"/>
                      <w:color w:val="auto"/>
                      <w:szCs w:val="21"/>
                    </w:rPr>
                    <w:t>11</w:t>
                  </w:r>
                </w:p>
              </w:tc>
              <w:tc>
                <w:tcPr>
                  <w:tcW w:w="2244" w:type="dxa"/>
                  <w:vAlign w:val="center"/>
                </w:tcPr>
                <w:p>
                  <w:pPr>
                    <w:jc w:val="center"/>
                    <w:rPr>
                      <w:rFonts w:ascii="宋体" w:hAnsi="宋体" w:cs="宋体"/>
                      <w:color w:val="auto"/>
                      <w:szCs w:val="21"/>
                    </w:rPr>
                  </w:pPr>
                  <w:r>
                    <w:rPr>
                      <w:rFonts w:hint="eastAsia" w:ascii="宋体" w:hAnsi="宋体" w:cs="宋体"/>
                      <w:color w:val="auto"/>
                      <w:szCs w:val="21"/>
                    </w:rPr>
                    <w:t>保修卡</w:t>
                  </w:r>
                </w:p>
              </w:tc>
              <w:tc>
                <w:tcPr>
                  <w:tcW w:w="2245" w:type="dxa"/>
                  <w:vAlign w:val="center"/>
                </w:tcPr>
                <w:p>
                  <w:pPr>
                    <w:jc w:val="center"/>
                    <w:rPr>
                      <w:rFonts w:ascii="宋体" w:hAnsi="宋体" w:cs="宋体"/>
                      <w:color w:val="auto"/>
                      <w:szCs w:val="21"/>
                    </w:rPr>
                  </w:pPr>
                  <w:r>
                    <w:rPr>
                      <w:rFonts w:hint="eastAsia" w:ascii="宋体" w:hAnsi="宋体" w:cs="宋体"/>
                      <w:color w:val="auto"/>
                      <w:szCs w:val="21"/>
                    </w:rPr>
                    <w:t>1张</w:t>
                  </w:r>
                </w:p>
              </w:tc>
            </w:tr>
          </w:tbl>
          <w:p>
            <w:pPr>
              <w:pStyle w:val="2"/>
              <w:rPr>
                <w:rFonts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7</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脑循环治疗仪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lang w:val="zh-CN"/>
              </w:rPr>
            </w:pPr>
            <w:r>
              <w:rPr>
                <w:rFonts w:hint="eastAsia" w:ascii="宋体" w:hAnsi="宋体" w:cs="宋体"/>
                <w:color w:val="auto"/>
                <w:szCs w:val="21"/>
                <w:lang w:val="zh-CN"/>
              </w:rPr>
              <w:t>★1、液晶显示屏显示加一键飞梭操作。</w:t>
            </w:r>
          </w:p>
          <w:p>
            <w:pPr>
              <w:widowControl/>
              <w:spacing w:line="360" w:lineRule="exact"/>
              <w:rPr>
                <w:rFonts w:ascii="宋体" w:hAnsi="宋体" w:cs="宋体"/>
                <w:color w:val="auto"/>
                <w:szCs w:val="21"/>
                <w:lang w:val="zh-CN"/>
              </w:rPr>
            </w:pPr>
            <w:r>
              <w:rPr>
                <w:rFonts w:hint="eastAsia" w:ascii="宋体" w:hAnsi="宋体" w:cs="宋体"/>
                <w:color w:val="auto"/>
                <w:szCs w:val="21"/>
                <w:lang w:val="zh-CN"/>
              </w:rPr>
              <w:t>★2、仪器单个通道具有三组电疗输出，一组磁疗输出。电疗和磁疗可独立操作。</w:t>
            </w:r>
          </w:p>
          <w:p>
            <w:pPr>
              <w:widowControl/>
              <w:spacing w:line="360" w:lineRule="exact"/>
              <w:rPr>
                <w:rFonts w:ascii="宋体" w:hAnsi="宋体" w:cs="宋体"/>
                <w:color w:val="auto"/>
                <w:szCs w:val="21"/>
                <w:lang w:val="zh-CN"/>
              </w:rPr>
            </w:pPr>
            <w:r>
              <w:rPr>
                <w:rFonts w:hint="eastAsia" w:ascii="宋体" w:hAnsi="宋体" w:cs="宋体"/>
                <w:color w:val="auto"/>
                <w:szCs w:val="21"/>
                <w:lang w:val="zh-CN"/>
              </w:rPr>
              <w:t xml:space="preserve">  3、主极采用脑电仿生低频电输出，辅极采用低频调制中频电输出，主、辅极独立控制。</w:t>
            </w:r>
          </w:p>
          <w:p>
            <w:pPr>
              <w:widowControl/>
              <w:spacing w:line="360" w:lineRule="exact"/>
              <w:rPr>
                <w:rFonts w:ascii="宋体" w:hAnsi="宋体" w:cs="宋体"/>
                <w:color w:val="auto"/>
                <w:szCs w:val="21"/>
                <w:lang w:val="zh-CN"/>
              </w:rPr>
            </w:pPr>
            <w:r>
              <w:rPr>
                <w:rFonts w:hint="eastAsia" w:ascii="宋体" w:hAnsi="宋体" w:cs="宋体"/>
                <w:color w:val="auto"/>
                <w:szCs w:val="21"/>
              </w:rPr>
              <w:t>★</w:t>
            </w:r>
            <w:r>
              <w:rPr>
                <w:rFonts w:hint="eastAsia" w:ascii="宋体" w:hAnsi="宋体" w:cs="宋体"/>
                <w:color w:val="auto"/>
                <w:szCs w:val="21"/>
                <w:lang w:val="zh-CN"/>
              </w:rPr>
              <w:t>4、主极基本频率: 23.81Hz 、15.87Hz 、15.87Hz、11.90Hz。</w:t>
            </w:r>
          </w:p>
          <w:p>
            <w:pPr>
              <w:widowControl/>
              <w:spacing w:line="360" w:lineRule="exact"/>
              <w:rPr>
                <w:rFonts w:ascii="宋体" w:hAnsi="宋体" w:cs="宋体"/>
                <w:color w:val="auto"/>
                <w:szCs w:val="21"/>
                <w:lang w:val="zh-CN"/>
              </w:rPr>
            </w:pPr>
            <w:r>
              <w:rPr>
                <w:rFonts w:hint="eastAsia" w:ascii="宋体" w:hAnsi="宋体" w:cs="宋体"/>
                <w:color w:val="auto"/>
                <w:szCs w:val="21"/>
                <w:lang w:val="zh-CN"/>
              </w:rPr>
              <w:t>辅极基本频率：4000Hz。</w:t>
            </w:r>
          </w:p>
          <w:p>
            <w:pPr>
              <w:widowControl/>
              <w:spacing w:line="360" w:lineRule="exact"/>
              <w:rPr>
                <w:rFonts w:ascii="宋体" w:hAnsi="宋体" w:cs="宋体"/>
                <w:color w:val="auto"/>
                <w:szCs w:val="21"/>
              </w:rPr>
            </w:pPr>
            <w:r>
              <w:rPr>
                <w:rFonts w:hint="eastAsia" w:ascii="宋体" w:hAnsi="宋体" w:cs="宋体"/>
                <w:color w:val="auto"/>
                <w:szCs w:val="21"/>
                <w:lang w:val="zh-CN"/>
              </w:rPr>
              <w:t>5、</w:t>
            </w:r>
            <w:r>
              <w:rPr>
                <w:rFonts w:hint="eastAsia" w:ascii="宋体" w:hAnsi="宋体" w:cs="宋体"/>
                <w:color w:val="auto"/>
                <w:szCs w:val="21"/>
              </w:rPr>
              <w:t>输出电流：主极最大电流峰值≤80mAp-p。辅极最大电流峰值≤72mAp-p，</w:t>
            </w:r>
          </w:p>
          <w:p>
            <w:pPr>
              <w:widowControl/>
              <w:spacing w:line="360" w:lineRule="exact"/>
              <w:rPr>
                <w:rFonts w:ascii="宋体" w:hAnsi="宋体" w:cs="宋体"/>
                <w:color w:val="auto"/>
                <w:szCs w:val="21"/>
              </w:rPr>
            </w:pPr>
            <w:r>
              <w:rPr>
                <w:rFonts w:hint="eastAsia" w:ascii="宋体" w:hAnsi="宋体" w:cs="宋体"/>
                <w:color w:val="auto"/>
                <w:szCs w:val="21"/>
              </w:rPr>
              <w:t>开路主极和辅极的电压≤200Vp-p。</w:t>
            </w:r>
          </w:p>
          <w:p>
            <w:pPr>
              <w:widowControl/>
              <w:spacing w:line="360" w:lineRule="exact"/>
              <w:rPr>
                <w:rFonts w:ascii="宋体" w:hAnsi="宋体" w:cs="宋体"/>
                <w:color w:val="auto"/>
                <w:szCs w:val="21"/>
              </w:rPr>
            </w:pPr>
            <w:r>
              <w:rPr>
                <w:rFonts w:hint="eastAsia" w:ascii="宋体" w:hAnsi="宋体" w:cs="宋体"/>
                <w:color w:val="auto"/>
                <w:szCs w:val="21"/>
              </w:rPr>
              <w:t>★6、输出模式：常规模式、连续模式、脉冲模式、夜间模式。</w:t>
            </w:r>
          </w:p>
          <w:p>
            <w:pPr>
              <w:widowControl/>
              <w:spacing w:line="360" w:lineRule="exact"/>
              <w:rPr>
                <w:rFonts w:ascii="宋体" w:hAnsi="宋体" w:cs="宋体"/>
                <w:color w:val="auto"/>
                <w:szCs w:val="21"/>
              </w:rPr>
            </w:pPr>
            <w:r>
              <w:rPr>
                <w:rFonts w:hint="eastAsia" w:ascii="宋体" w:hAnsi="宋体" w:cs="宋体"/>
                <w:color w:val="auto"/>
                <w:szCs w:val="21"/>
              </w:rPr>
              <w:t>7、输出处方：10种治疗，分别对应10种不同电流模式，无需对频率、脉宽、电压进行调节。</w:t>
            </w:r>
          </w:p>
          <w:p>
            <w:pPr>
              <w:widowControl/>
              <w:spacing w:line="360" w:lineRule="exact"/>
              <w:rPr>
                <w:rFonts w:ascii="宋体" w:hAnsi="宋体" w:cs="宋体"/>
                <w:color w:val="auto"/>
                <w:szCs w:val="21"/>
              </w:rPr>
            </w:pPr>
            <w:r>
              <w:rPr>
                <w:rFonts w:hint="eastAsia" w:ascii="宋体" w:hAnsi="宋体" w:cs="宋体"/>
                <w:color w:val="auto"/>
                <w:szCs w:val="21"/>
              </w:rPr>
              <w:t>8、治疗强度显示及设定范围为0～80，辅级0～90可调，调节步长为1。</w:t>
            </w:r>
          </w:p>
          <w:p>
            <w:pPr>
              <w:widowControl/>
              <w:spacing w:line="360" w:lineRule="exact"/>
              <w:rPr>
                <w:rFonts w:ascii="宋体" w:hAnsi="宋体" w:cs="宋体"/>
                <w:color w:val="auto"/>
                <w:szCs w:val="21"/>
              </w:rPr>
            </w:pPr>
            <w:r>
              <w:rPr>
                <w:rFonts w:hint="eastAsia" w:ascii="宋体" w:hAnsi="宋体" w:cs="宋体"/>
                <w:color w:val="auto"/>
                <w:szCs w:val="21"/>
              </w:rPr>
              <w:t>9、频谱范围：0～4.6KHz，频率主谱线范围1～4KHz。</w:t>
            </w:r>
          </w:p>
          <w:p>
            <w:pPr>
              <w:widowControl/>
              <w:spacing w:line="360" w:lineRule="exact"/>
              <w:rPr>
                <w:rFonts w:ascii="宋体" w:hAnsi="宋体" w:cs="宋体"/>
                <w:color w:val="auto"/>
                <w:szCs w:val="21"/>
              </w:rPr>
            </w:pPr>
            <w:r>
              <w:rPr>
                <w:rFonts w:hint="eastAsia" w:ascii="宋体" w:hAnsi="宋体" w:cs="宋体"/>
                <w:color w:val="auto"/>
                <w:szCs w:val="21"/>
              </w:rPr>
              <w:t>10、定时精度：连续模式是0-99min，常规、夜间、脉冲模式下是0-30min，工作时间大于8H。</w:t>
            </w:r>
          </w:p>
          <w:p>
            <w:pPr>
              <w:widowControl/>
              <w:spacing w:line="360" w:lineRule="exact"/>
              <w:rPr>
                <w:rFonts w:ascii="宋体" w:hAnsi="宋体" w:cs="宋体"/>
                <w:color w:val="auto"/>
                <w:szCs w:val="21"/>
              </w:rPr>
            </w:pPr>
            <w:r>
              <w:rPr>
                <w:rFonts w:hint="eastAsia" w:ascii="宋体" w:hAnsi="宋体" w:cs="宋体"/>
                <w:color w:val="auto"/>
                <w:szCs w:val="21"/>
              </w:rPr>
              <w:t>11、磁场强度：治疗强度分为2档,强度范围3mT～9mT,10mT～17mT。</w:t>
            </w:r>
          </w:p>
          <w:p>
            <w:pPr>
              <w:widowControl/>
              <w:spacing w:line="360" w:lineRule="exact"/>
              <w:rPr>
                <w:rFonts w:ascii="宋体" w:hAnsi="宋体" w:cs="宋体"/>
                <w:color w:val="auto"/>
                <w:szCs w:val="21"/>
              </w:rPr>
            </w:pPr>
            <w:r>
              <w:rPr>
                <w:rFonts w:hint="eastAsia" w:ascii="宋体" w:hAnsi="宋体" w:cs="宋体"/>
                <w:color w:val="auto"/>
                <w:szCs w:val="21"/>
              </w:rPr>
              <w:t>12、磁场频率为50Hz±2%。</w:t>
            </w:r>
          </w:p>
          <w:p>
            <w:pPr>
              <w:widowControl/>
              <w:spacing w:line="360" w:lineRule="exact"/>
              <w:rPr>
                <w:rFonts w:ascii="宋体" w:hAnsi="宋体" w:cs="宋体"/>
                <w:color w:val="auto"/>
                <w:szCs w:val="21"/>
              </w:rPr>
            </w:pPr>
            <w:r>
              <w:rPr>
                <w:rFonts w:hint="eastAsia" w:ascii="宋体" w:hAnsi="宋体" w:cs="宋体"/>
                <w:color w:val="auto"/>
                <w:szCs w:val="21"/>
              </w:rPr>
              <w:t xml:space="preserve">  13、振动按摩强度四档可调:0V,10V,16V,27V。</w:t>
            </w:r>
          </w:p>
          <w:p>
            <w:pPr>
              <w:widowControl/>
              <w:spacing w:line="360" w:lineRule="exact"/>
              <w:rPr>
                <w:rFonts w:ascii="宋体" w:hAnsi="宋体" w:cs="宋体"/>
                <w:color w:val="auto"/>
                <w:szCs w:val="21"/>
              </w:rPr>
            </w:pPr>
            <w:r>
              <w:rPr>
                <w:rFonts w:hint="eastAsia" w:ascii="宋体" w:hAnsi="宋体" w:cs="宋体"/>
                <w:color w:val="auto"/>
                <w:szCs w:val="21"/>
              </w:rPr>
              <w:t>14、振动按摩频率四档可调:0Hz,2Hz,5Hz,10Hz。</w:t>
            </w:r>
          </w:p>
          <w:p>
            <w:pPr>
              <w:widowControl/>
              <w:spacing w:line="360" w:lineRule="exact"/>
              <w:rPr>
                <w:rFonts w:ascii="宋体" w:hAnsi="宋体" w:cs="宋体"/>
                <w:color w:val="auto"/>
                <w:szCs w:val="21"/>
              </w:rPr>
            </w:pPr>
            <w:r>
              <w:rPr>
                <w:rFonts w:hint="eastAsia" w:ascii="宋体" w:hAnsi="宋体" w:cs="宋体"/>
                <w:color w:val="auto"/>
                <w:szCs w:val="21"/>
              </w:rPr>
              <w:t>15、磁疗帽有成人款和儿童款供选择。</w:t>
            </w:r>
          </w:p>
          <w:p>
            <w:pPr>
              <w:widowControl/>
              <w:spacing w:line="360" w:lineRule="exact"/>
              <w:rPr>
                <w:rFonts w:ascii="宋体" w:hAnsi="宋体" w:cs="宋体"/>
                <w:color w:val="auto"/>
                <w:szCs w:val="21"/>
              </w:rPr>
            </w:pPr>
            <w:r>
              <w:rPr>
                <w:rFonts w:hint="eastAsia" w:ascii="宋体" w:hAnsi="宋体" w:cs="宋体"/>
                <w:color w:val="auto"/>
                <w:szCs w:val="21"/>
              </w:rPr>
              <w:t>16、磁疗发生器数：成人款磁疗帽有7个磁疗器；儿童款磁疗帽有5个磁疗器。</w:t>
            </w:r>
          </w:p>
          <w:p>
            <w:pPr>
              <w:jc w:val="center"/>
              <w:rPr>
                <w:rFonts w:ascii="宋体" w:hAnsi="宋体" w:cs="宋体"/>
                <w:color w:val="auto"/>
                <w:szCs w:val="21"/>
              </w:rPr>
            </w:pPr>
            <w:r>
              <w:rPr>
                <w:rFonts w:hint="eastAsia" w:ascii="宋体" w:hAnsi="宋体" w:cs="宋体"/>
                <w:color w:val="auto"/>
                <w:szCs w:val="21"/>
              </w:rPr>
              <w:t>配置清单</w:t>
            </w:r>
          </w:p>
          <w:tbl>
            <w:tblPr>
              <w:tblStyle w:val="48"/>
              <w:tblW w:w="59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1563"/>
              <w:gridCol w:w="837"/>
              <w:gridCol w:w="1250"/>
              <w:gridCol w:w="1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序号</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名称</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单位</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数量</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规格型号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主机</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台</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电源线</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根</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10A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3</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电疗输出线</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副</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四芯四导/2黑头/2灰头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4</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电疗输出线</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副</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三芯两导/红色按扣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5</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治疗帽</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套</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6</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一次性使用心电电极</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片</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50</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月牙形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7</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圆形吸水电极</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个</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Ф46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8</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理疗用电极</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片</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40mm*40mm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9</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绑带</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根</w:t>
                  </w:r>
                </w:p>
              </w:tc>
              <w:tc>
                <w:tcPr>
                  <w:tcW w:w="125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0.66M*0.04M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10</w:t>
                  </w:r>
                </w:p>
              </w:tc>
              <w:tc>
                <w:tcPr>
                  <w:tcW w:w="1563" w:type="dxa"/>
                </w:tcPr>
                <w:p>
                  <w:pPr>
                    <w:spacing w:line="500" w:lineRule="exact"/>
                    <w:jc w:val="center"/>
                    <w:rPr>
                      <w:rFonts w:ascii="宋体" w:hAnsi="宋体" w:cs="宋体"/>
                      <w:color w:val="auto"/>
                      <w:szCs w:val="21"/>
                    </w:rPr>
                  </w:pPr>
                  <w:r>
                    <w:rPr>
                      <w:rFonts w:hint="eastAsia" w:ascii="宋体" w:hAnsi="宋体" w:cs="宋体"/>
                      <w:color w:val="auto"/>
                      <w:szCs w:val="21"/>
                    </w:rPr>
                    <w:t>线夹</w:t>
                  </w:r>
                </w:p>
              </w:tc>
              <w:tc>
                <w:tcPr>
                  <w:tcW w:w="837" w:type="dxa"/>
                </w:tcPr>
                <w:p>
                  <w:pPr>
                    <w:spacing w:line="500" w:lineRule="exact"/>
                    <w:jc w:val="center"/>
                    <w:rPr>
                      <w:rFonts w:ascii="宋体" w:hAnsi="宋体" w:cs="宋体"/>
                      <w:color w:val="auto"/>
                      <w:szCs w:val="21"/>
                    </w:rPr>
                  </w:pPr>
                  <w:r>
                    <w:rPr>
                      <w:rFonts w:hint="eastAsia" w:ascii="宋体" w:hAnsi="宋体" w:cs="宋体"/>
                      <w:color w:val="auto"/>
                      <w:szCs w:val="21"/>
                    </w:rPr>
                    <w:t>个</w:t>
                  </w:r>
                </w:p>
              </w:tc>
              <w:tc>
                <w:tcPr>
                  <w:tcW w:w="1250" w:type="dxa"/>
                </w:tcPr>
                <w:p>
                  <w:pPr>
                    <w:jc w:val="center"/>
                    <w:rPr>
                      <w:rFonts w:ascii="宋体" w:hAnsi="宋体" w:cs="宋体"/>
                      <w:color w:val="auto"/>
                      <w:szCs w:val="21"/>
                    </w:rPr>
                  </w:pPr>
                  <w:r>
                    <w:rPr>
                      <w:rFonts w:hint="eastAsia" w:ascii="宋体" w:hAnsi="宋体" w:cs="宋体"/>
                      <w:color w:val="auto"/>
                      <w:szCs w:val="21"/>
                    </w:rPr>
                    <w:t>2</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11</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熔断器（保险丝）</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个</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1638" w:type="dxa"/>
                </w:tcPr>
                <w:p>
                  <w:pPr>
                    <w:spacing w:line="500" w:lineRule="exact"/>
                    <w:jc w:val="center"/>
                    <w:rPr>
                      <w:rFonts w:ascii="宋体" w:hAnsi="宋体" w:cs="宋体"/>
                      <w:color w:val="auto"/>
                      <w:szCs w:val="21"/>
                    </w:rPr>
                  </w:pPr>
                  <w:r>
                    <w:rPr>
                      <w:rFonts w:hint="eastAsia" w:ascii="宋体" w:hAnsi="宋体" w:cs="宋体"/>
                      <w:color w:val="auto"/>
                      <w:szCs w:val="21"/>
                    </w:rPr>
                    <w:t>T160mAL250V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tcBorders>
                    <w:bottom w:val="single" w:color="auto" w:sz="6"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12</w:t>
                  </w:r>
                </w:p>
              </w:tc>
              <w:tc>
                <w:tcPr>
                  <w:tcW w:w="1563" w:type="dxa"/>
                  <w:tcBorders>
                    <w:bottom w:val="single" w:color="auto" w:sz="6"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技术使用说明书</w:t>
                  </w:r>
                </w:p>
              </w:tc>
              <w:tc>
                <w:tcPr>
                  <w:tcW w:w="837" w:type="dxa"/>
                  <w:tcBorders>
                    <w:bottom w:val="single" w:color="auto" w:sz="6"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1250" w:type="dxa"/>
                  <w:tcBorders>
                    <w:bottom w:val="single" w:color="auto" w:sz="6"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Borders>
                    <w:bottom w:val="single" w:color="auto" w:sz="6" w:space="0"/>
                  </w:tcBorders>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13</w:t>
                  </w:r>
                </w:p>
              </w:tc>
              <w:tc>
                <w:tcPr>
                  <w:tcW w:w="1563"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注册证及注册登记表</w:t>
                  </w:r>
                </w:p>
              </w:tc>
              <w:tc>
                <w:tcPr>
                  <w:tcW w:w="837"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1250"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1638" w:type="dxa"/>
                  <w:tcBorders>
                    <w:top w:val="single" w:color="auto" w:sz="6" w:space="0"/>
                    <w:bottom w:val="single" w:color="auto" w:sz="6" w:space="0"/>
                  </w:tcBorders>
                </w:tcPr>
                <w:p>
                  <w:pPr>
                    <w:spacing w:line="44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14</w:t>
                  </w:r>
                </w:p>
              </w:tc>
              <w:tc>
                <w:tcPr>
                  <w:tcW w:w="1563"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生产许可证</w:t>
                  </w:r>
                </w:p>
              </w:tc>
              <w:tc>
                <w:tcPr>
                  <w:tcW w:w="837"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1250" w:type="dxa"/>
                  <w:tcBorders>
                    <w:top w:val="single" w:color="auto" w:sz="6" w:space="0"/>
                    <w:bottom w:val="single" w:color="auto" w:sz="6"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1638" w:type="dxa"/>
                  <w:tcBorders>
                    <w:top w:val="single" w:color="auto" w:sz="6" w:space="0"/>
                    <w:bottom w:val="single" w:color="auto" w:sz="6" w:space="0"/>
                  </w:tcBorders>
                </w:tcPr>
                <w:p>
                  <w:pPr>
                    <w:spacing w:line="44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tcBorders>
                    <w:top w:val="single" w:color="auto" w:sz="6" w:space="0"/>
                    <w:bottom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15</w:t>
                  </w:r>
                </w:p>
              </w:tc>
              <w:tc>
                <w:tcPr>
                  <w:tcW w:w="1563" w:type="dxa"/>
                  <w:tcBorders>
                    <w:top w:val="single" w:color="auto" w:sz="6" w:space="0"/>
                    <w:bottom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营业执照</w:t>
                  </w:r>
                </w:p>
              </w:tc>
              <w:tc>
                <w:tcPr>
                  <w:tcW w:w="837" w:type="dxa"/>
                  <w:tcBorders>
                    <w:top w:val="single" w:color="auto" w:sz="6" w:space="0"/>
                    <w:bottom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1250" w:type="dxa"/>
                  <w:tcBorders>
                    <w:top w:val="single" w:color="auto" w:sz="6" w:space="0"/>
                    <w:bottom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1638" w:type="dxa"/>
                  <w:tcBorders>
                    <w:top w:val="single" w:color="auto" w:sz="6" w:space="0"/>
                    <w:bottom w:val="single" w:color="auto" w:sz="4" w:space="0"/>
                  </w:tcBorders>
                </w:tcPr>
                <w:p>
                  <w:pPr>
                    <w:spacing w:line="44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tcBorders>
                    <w:top w:val="single" w:color="auto" w:sz="4"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16</w:t>
                  </w:r>
                </w:p>
              </w:tc>
              <w:tc>
                <w:tcPr>
                  <w:tcW w:w="1563" w:type="dxa"/>
                  <w:tcBorders>
                    <w:top w:val="single" w:color="auto" w:sz="4"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合格证</w:t>
                  </w:r>
                </w:p>
              </w:tc>
              <w:tc>
                <w:tcPr>
                  <w:tcW w:w="837" w:type="dxa"/>
                  <w:tcBorders>
                    <w:top w:val="single" w:color="auto" w:sz="4"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1250" w:type="dxa"/>
                  <w:tcBorders>
                    <w:top w:val="single" w:color="auto" w:sz="4" w:space="0"/>
                  </w:tcBorders>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Borders>
                    <w:top w:val="single" w:color="auto" w:sz="4" w:space="0"/>
                  </w:tcBorders>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17</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保修卡</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18</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产品简易操作规范</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19</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综合彩页</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20</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现场安装验收单</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5"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21</w:t>
                  </w:r>
                </w:p>
              </w:tc>
              <w:tc>
                <w:tcPr>
                  <w:tcW w:w="1563"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配置清单</w:t>
                  </w:r>
                </w:p>
              </w:tc>
              <w:tc>
                <w:tcPr>
                  <w:tcW w:w="837"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125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638" w:type="dxa"/>
                </w:tcPr>
                <w:p>
                  <w:pPr>
                    <w:spacing w:line="500" w:lineRule="exact"/>
                    <w:jc w:val="center"/>
                    <w:rPr>
                      <w:rFonts w:ascii="宋体" w:hAnsi="宋体" w:cs="宋体"/>
                      <w:color w:val="auto"/>
                      <w:szCs w:val="21"/>
                    </w:rPr>
                  </w:pP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8</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吞咽障碍治疗仪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1、便携式机型，配有1个触发器，1根四芯电极线，1根两导电极分别对应不</w:t>
            </w:r>
          </w:p>
          <w:p>
            <w:pPr>
              <w:widowControl/>
              <w:spacing w:line="360" w:lineRule="exact"/>
              <w:rPr>
                <w:rFonts w:ascii="宋体" w:hAnsi="宋体" w:cs="宋体"/>
                <w:color w:val="auto"/>
                <w:szCs w:val="21"/>
              </w:rPr>
            </w:pPr>
            <w:r>
              <w:rPr>
                <w:rFonts w:hint="eastAsia" w:ascii="宋体" w:hAnsi="宋体" w:cs="宋体"/>
                <w:color w:val="auto"/>
                <w:szCs w:val="21"/>
              </w:rPr>
              <w:t>同的治疗模式</w:t>
            </w:r>
          </w:p>
          <w:p>
            <w:pPr>
              <w:widowControl/>
              <w:spacing w:line="360" w:lineRule="exact"/>
              <w:rPr>
                <w:rFonts w:ascii="宋体" w:hAnsi="宋体" w:cs="宋体"/>
                <w:color w:val="auto"/>
                <w:szCs w:val="21"/>
              </w:rPr>
            </w:pPr>
            <w:r>
              <w:rPr>
                <w:rFonts w:hint="eastAsia" w:ascii="宋体" w:hAnsi="宋体" w:cs="宋体"/>
                <w:color w:val="auto"/>
                <w:szCs w:val="21"/>
              </w:rPr>
              <w:t xml:space="preserve"> ★2、仪器配有蝶形电极片和矩形电极片，蝶形电极片用于治疗，矩形电极片用于训练</w:t>
            </w:r>
          </w:p>
          <w:p>
            <w:pPr>
              <w:widowControl/>
              <w:spacing w:line="360" w:lineRule="exact"/>
              <w:rPr>
                <w:rFonts w:ascii="宋体" w:hAnsi="宋体" w:cs="宋体"/>
                <w:color w:val="auto"/>
                <w:szCs w:val="21"/>
              </w:rPr>
            </w:pPr>
            <w:r>
              <w:rPr>
                <w:rFonts w:hint="eastAsia" w:ascii="宋体" w:hAnsi="宋体" w:cs="宋体"/>
                <w:color w:val="auto"/>
                <w:szCs w:val="21"/>
              </w:rPr>
              <w:t>3、液晶屏显示，屏幕尺寸：</w:t>
            </w:r>
            <w:r>
              <w:rPr>
                <w:rFonts w:hint="eastAsia" w:ascii="宋体" w:hAnsi="宋体" w:cs="宋体"/>
                <w:color w:val="auto"/>
                <w:szCs w:val="21"/>
              </w:rPr>
              <w:t>约</w:t>
            </w:r>
            <w:r>
              <w:rPr>
                <w:rFonts w:hint="eastAsia" w:ascii="宋体" w:hAnsi="宋体" w:cs="宋体"/>
                <w:color w:val="auto"/>
                <w:szCs w:val="21"/>
              </w:rPr>
              <w:t>115mm*65mm</w:t>
            </w:r>
          </w:p>
          <w:p>
            <w:pPr>
              <w:widowControl/>
              <w:spacing w:line="360" w:lineRule="exact"/>
              <w:rPr>
                <w:rFonts w:ascii="宋体" w:hAnsi="宋体" w:cs="宋体"/>
                <w:color w:val="auto"/>
                <w:szCs w:val="21"/>
              </w:rPr>
            </w:pPr>
            <w:r>
              <w:rPr>
                <w:rFonts w:hint="eastAsia" w:ascii="宋体" w:hAnsi="宋体" w:cs="宋体"/>
                <w:color w:val="auto"/>
                <w:szCs w:val="21"/>
              </w:rPr>
              <w:t>4、电极脱落及插错报警功能</w:t>
            </w:r>
          </w:p>
          <w:p>
            <w:pPr>
              <w:widowControl/>
              <w:spacing w:line="360" w:lineRule="exact"/>
              <w:rPr>
                <w:rFonts w:ascii="宋体" w:hAnsi="宋体" w:cs="宋体"/>
                <w:color w:val="auto"/>
                <w:szCs w:val="21"/>
              </w:rPr>
            </w:pPr>
            <w:r>
              <w:rPr>
                <w:rFonts w:hint="eastAsia" w:ascii="宋体" w:hAnsi="宋体" w:cs="宋体"/>
                <w:color w:val="auto"/>
                <w:szCs w:val="21"/>
              </w:rPr>
              <w:t>5、输出电参数：</w:t>
            </w:r>
          </w:p>
          <w:p>
            <w:pPr>
              <w:widowControl/>
              <w:spacing w:line="360" w:lineRule="exact"/>
              <w:rPr>
                <w:rFonts w:ascii="宋体" w:hAnsi="宋体" w:cs="宋体"/>
                <w:color w:val="auto"/>
                <w:szCs w:val="21"/>
              </w:rPr>
            </w:pPr>
            <w:r>
              <w:rPr>
                <w:rFonts w:hint="eastAsia" w:ascii="宋体" w:hAnsi="宋体" w:cs="宋体"/>
                <w:color w:val="auto"/>
                <w:szCs w:val="21"/>
              </w:rPr>
              <w:t>5.1输出电流：0～25mA，分50档连续可调，精度±20%</w:t>
            </w:r>
          </w:p>
          <w:p>
            <w:pPr>
              <w:widowControl/>
              <w:spacing w:line="360" w:lineRule="exact"/>
              <w:rPr>
                <w:rFonts w:ascii="宋体" w:hAnsi="宋体" w:cs="宋体"/>
                <w:color w:val="auto"/>
                <w:szCs w:val="21"/>
              </w:rPr>
            </w:pPr>
            <w:r>
              <w:rPr>
                <w:rFonts w:hint="eastAsia" w:ascii="宋体" w:hAnsi="宋体" w:cs="宋体"/>
                <w:color w:val="auto"/>
                <w:szCs w:val="21"/>
              </w:rPr>
              <w:t>5.2主电极开路输出电压：≤150V</w:t>
            </w:r>
          </w:p>
          <w:p>
            <w:pPr>
              <w:widowControl/>
              <w:spacing w:line="360" w:lineRule="exact"/>
              <w:rPr>
                <w:rFonts w:ascii="宋体" w:hAnsi="宋体" w:cs="宋体"/>
                <w:color w:val="auto"/>
                <w:szCs w:val="21"/>
              </w:rPr>
            </w:pPr>
            <w:r>
              <w:rPr>
                <w:rFonts w:hint="eastAsia" w:ascii="宋体" w:hAnsi="宋体" w:cs="宋体"/>
                <w:color w:val="auto"/>
                <w:szCs w:val="21"/>
              </w:rPr>
              <w:t>★6、具有四种输出模式：成人连续、儿童交替、手控触发、自动触发</w:t>
            </w:r>
          </w:p>
          <w:p>
            <w:pPr>
              <w:widowControl/>
              <w:spacing w:line="360" w:lineRule="exact"/>
              <w:rPr>
                <w:rFonts w:ascii="宋体" w:hAnsi="宋体" w:cs="宋体"/>
                <w:color w:val="auto"/>
                <w:szCs w:val="21"/>
              </w:rPr>
            </w:pPr>
            <w:r>
              <w:rPr>
                <w:rFonts w:hint="eastAsia" w:ascii="宋体" w:hAnsi="宋体" w:cs="宋体"/>
                <w:color w:val="auto"/>
                <w:szCs w:val="21"/>
              </w:rPr>
              <w:t>6.1、成人连续模式</w:t>
            </w:r>
          </w:p>
          <w:p>
            <w:pPr>
              <w:widowControl/>
              <w:spacing w:line="360" w:lineRule="exact"/>
              <w:rPr>
                <w:rFonts w:ascii="宋体" w:hAnsi="宋体" w:cs="宋体"/>
                <w:color w:val="auto"/>
                <w:szCs w:val="21"/>
              </w:rPr>
            </w:pPr>
            <w:r>
              <w:rPr>
                <w:rFonts w:hint="eastAsia" w:ascii="宋体" w:hAnsi="宋体" w:cs="宋体"/>
                <w:color w:val="auto"/>
                <w:szCs w:val="21"/>
              </w:rPr>
              <w:t xml:space="preserve">     脉冲宽度：1-11档可调，100μs～300μs可调，脉冲间隔：100μs</w:t>
            </w:r>
          </w:p>
          <w:p>
            <w:pPr>
              <w:widowControl/>
              <w:spacing w:line="360" w:lineRule="exact"/>
              <w:rPr>
                <w:rFonts w:ascii="宋体" w:hAnsi="宋体" w:cs="宋体"/>
                <w:color w:val="auto"/>
                <w:szCs w:val="21"/>
              </w:rPr>
            </w:pPr>
            <w:r>
              <w:rPr>
                <w:rFonts w:hint="eastAsia" w:ascii="宋体" w:hAnsi="宋体" w:cs="宋体"/>
                <w:color w:val="auto"/>
                <w:szCs w:val="21"/>
              </w:rPr>
              <w:t xml:space="preserve">    脉冲频率：50Hz～100Hz可调，步距增量1Hz</w:t>
            </w:r>
          </w:p>
          <w:p>
            <w:pPr>
              <w:widowControl/>
              <w:spacing w:line="360" w:lineRule="exact"/>
              <w:rPr>
                <w:rFonts w:ascii="宋体" w:hAnsi="宋体" w:cs="宋体"/>
                <w:color w:val="auto"/>
                <w:szCs w:val="21"/>
              </w:rPr>
            </w:pPr>
            <w:r>
              <w:rPr>
                <w:rFonts w:hint="eastAsia" w:ascii="宋体" w:hAnsi="宋体" w:cs="宋体"/>
                <w:color w:val="auto"/>
                <w:szCs w:val="21"/>
              </w:rPr>
              <w:t>6.2、儿童交替模式</w:t>
            </w:r>
          </w:p>
          <w:p>
            <w:pPr>
              <w:widowControl/>
              <w:spacing w:line="360" w:lineRule="exact"/>
              <w:rPr>
                <w:rFonts w:ascii="宋体" w:hAnsi="宋体" w:cs="宋体"/>
                <w:color w:val="auto"/>
                <w:szCs w:val="21"/>
              </w:rPr>
            </w:pPr>
            <w:r>
              <w:rPr>
                <w:rFonts w:hint="eastAsia" w:ascii="宋体" w:hAnsi="宋体" w:cs="宋体"/>
                <w:color w:val="auto"/>
                <w:szCs w:val="21"/>
              </w:rPr>
              <w:t xml:space="preserve">      脉冲宽度：1-11档可调，100μs～300μs可调，脉冲间隔：100μs</w:t>
            </w:r>
          </w:p>
          <w:p>
            <w:pPr>
              <w:widowControl/>
              <w:spacing w:line="360" w:lineRule="exact"/>
              <w:rPr>
                <w:rFonts w:ascii="宋体" w:hAnsi="宋体" w:cs="宋体"/>
                <w:color w:val="auto"/>
                <w:szCs w:val="21"/>
              </w:rPr>
            </w:pPr>
            <w:r>
              <w:rPr>
                <w:rFonts w:hint="eastAsia" w:ascii="宋体" w:hAnsi="宋体" w:cs="宋体"/>
                <w:color w:val="auto"/>
                <w:szCs w:val="21"/>
              </w:rPr>
              <w:t xml:space="preserve">      脉冲频率：50Hz～100Hz可调，步距增量1Hz</w:t>
            </w:r>
          </w:p>
          <w:p>
            <w:pPr>
              <w:widowControl/>
              <w:spacing w:line="360" w:lineRule="exact"/>
              <w:rPr>
                <w:rFonts w:ascii="宋体" w:hAnsi="宋体" w:cs="宋体"/>
                <w:color w:val="auto"/>
                <w:szCs w:val="21"/>
              </w:rPr>
            </w:pPr>
            <w:r>
              <w:rPr>
                <w:rFonts w:hint="eastAsia" w:ascii="宋体" w:hAnsi="宋体" w:cs="宋体"/>
                <w:color w:val="auto"/>
                <w:szCs w:val="21"/>
              </w:rPr>
              <w:t xml:space="preserve">      持续时间：≥1s</w:t>
            </w:r>
          </w:p>
          <w:p>
            <w:pPr>
              <w:widowControl/>
              <w:spacing w:line="360" w:lineRule="exact"/>
              <w:rPr>
                <w:rFonts w:ascii="宋体" w:hAnsi="宋体" w:cs="宋体"/>
                <w:color w:val="auto"/>
                <w:szCs w:val="21"/>
              </w:rPr>
            </w:pPr>
            <w:r>
              <w:rPr>
                <w:rFonts w:hint="eastAsia" w:ascii="宋体" w:hAnsi="宋体" w:cs="宋体"/>
                <w:color w:val="auto"/>
                <w:szCs w:val="21"/>
              </w:rPr>
              <w:t>6.3、手持触发模式脉冲宽度：10ms～1000ms，分15档可调</w:t>
            </w:r>
          </w:p>
          <w:p>
            <w:pPr>
              <w:widowControl/>
              <w:spacing w:line="360" w:lineRule="exact"/>
              <w:rPr>
                <w:rFonts w:ascii="宋体" w:hAnsi="宋体" w:cs="宋体"/>
                <w:color w:val="auto"/>
                <w:szCs w:val="21"/>
              </w:rPr>
            </w:pPr>
            <w:r>
              <w:rPr>
                <w:rFonts w:hint="eastAsia" w:ascii="宋体" w:hAnsi="宋体" w:cs="宋体"/>
                <w:color w:val="auto"/>
                <w:szCs w:val="21"/>
              </w:rPr>
              <w:t>6.4、自动触发模式脉冲宽度：10ms～1000ms，分15档可调；脉冲间隔1-5</w:t>
            </w:r>
          </w:p>
          <w:p>
            <w:pPr>
              <w:widowControl/>
              <w:spacing w:line="360" w:lineRule="exact"/>
              <w:rPr>
                <w:rFonts w:ascii="宋体" w:hAnsi="宋体" w:cs="宋体"/>
                <w:color w:val="auto"/>
                <w:szCs w:val="21"/>
              </w:rPr>
            </w:pPr>
            <w:r>
              <w:rPr>
                <w:rFonts w:hint="eastAsia" w:ascii="宋体" w:hAnsi="宋体" w:cs="宋体"/>
                <w:color w:val="auto"/>
                <w:szCs w:val="21"/>
              </w:rPr>
              <w:t xml:space="preserve">     档可调，即1-5s可调，步距增量1s</w:t>
            </w:r>
          </w:p>
          <w:p>
            <w:pPr>
              <w:widowControl/>
              <w:spacing w:line="360" w:lineRule="exact"/>
              <w:rPr>
                <w:rFonts w:ascii="宋体" w:hAnsi="宋体" w:cs="宋体"/>
                <w:color w:val="auto"/>
                <w:szCs w:val="21"/>
              </w:rPr>
            </w:pPr>
            <w:r>
              <w:rPr>
                <w:rFonts w:hint="eastAsia" w:ascii="宋体" w:hAnsi="宋体" w:cs="宋体"/>
                <w:color w:val="auto"/>
                <w:szCs w:val="21"/>
              </w:rPr>
              <w:t xml:space="preserve">  7、时间选择：1～99分钟可调，步距增量为1分，误差为±5%</w:t>
            </w:r>
          </w:p>
          <w:p>
            <w:pPr>
              <w:widowControl/>
              <w:spacing w:line="360" w:lineRule="exact"/>
              <w:rPr>
                <w:rFonts w:ascii="宋体" w:hAnsi="宋体" w:cs="宋体"/>
                <w:color w:val="auto"/>
                <w:szCs w:val="21"/>
              </w:rPr>
            </w:pPr>
            <w:r>
              <w:rPr>
                <w:rFonts w:hint="eastAsia" w:ascii="宋体" w:hAnsi="宋体" w:cs="宋体"/>
                <w:color w:val="auto"/>
                <w:szCs w:val="21"/>
              </w:rPr>
              <w:t xml:space="preserve">  8、设备连续工作时间大于8h</w:t>
            </w:r>
          </w:p>
          <w:p>
            <w:pPr>
              <w:pStyle w:val="2"/>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配置清单</w:t>
            </w:r>
          </w:p>
          <w:tbl>
            <w:tblPr>
              <w:tblStyle w:val="49"/>
              <w:tblW w:w="6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88"/>
              <w:gridCol w:w="1100"/>
              <w:gridCol w:w="80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序号</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名称</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单位</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数量</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主机</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台</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电源线</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根</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3</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电疗输出线</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副</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四芯四导/2黑头/2灰头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4</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电疗输出线</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副</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四芯二导/1黑头/1灰头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5</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理疗用电极</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片</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20</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蝶形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6</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电极</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片</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32mm*38mm/黑色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7</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吸水泡棉</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片</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4</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48mm*48mm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8</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手持控制器</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只</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9</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绑带</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根</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0.66M*0.04M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10</w:t>
                  </w:r>
                </w:p>
              </w:tc>
              <w:tc>
                <w:tcPr>
                  <w:tcW w:w="128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线夹</w:t>
                  </w:r>
                </w:p>
              </w:tc>
              <w:tc>
                <w:tcPr>
                  <w:tcW w:w="11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个</w:t>
                  </w:r>
                </w:p>
              </w:tc>
              <w:tc>
                <w:tcPr>
                  <w:tcW w:w="800"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3</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11</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熔断器（保险丝）</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个</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2560" w:type="dxa"/>
                </w:tcPr>
                <w:p>
                  <w:pPr>
                    <w:spacing w:line="500" w:lineRule="exact"/>
                    <w:jc w:val="center"/>
                    <w:rPr>
                      <w:rFonts w:ascii="宋体" w:hAnsi="宋体" w:cs="宋体"/>
                      <w:color w:val="auto"/>
                      <w:szCs w:val="21"/>
                    </w:rPr>
                  </w:pPr>
                  <w:r>
                    <w:rPr>
                      <w:rFonts w:hint="eastAsia" w:ascii="宋体" w:hAnsi="宋体" w:cs="宋体"/>
                      <w:color w:val="auto"/>
                      <w:szCs w:val="21"/>
                    </w:rPr>
                    <w:t>T160mAL250V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12</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技术使用说明书</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13</w:t>
                  </w:r>
                </w:p>
              </w:tc>
              <w:tc>
                <w:tcPr>
                  <w:tcW w:w="1288"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注册证及注册登记表</w:t>
                  </w:r>
                </w:p>
              </w:tc>
              <w:tc>
                <w:tcPr>
                  <w:tcW w:w="11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8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4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14</w:t>
                  </w:r>
                </w:p>
              </w:tc>
              <w:tc>
                <w:tcPr>
                  <w:tcW w:w="1288"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生产许可证</w:t>
                  </w:r>
                </w:p>
              </w:tc>
              <w:tc>
                <w:tcPr>
                  <w:tcW w:w="11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8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4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15</w:t>
                  </w:r>
                </w:p>
              </w:tc>
              <w:tc>
                <w:tcPr>
                  <w:tcW w:w="1288"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营业执照</w:t>
                  </w:r>
                </w:p>
              </w:tc>
              <w:tc>
                <w:tcPr>
                  <w:tcW w:w="11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份</w:t>
                  </w:r>
                </w:p>
              </w:tc>
              <w:tc>
                <w:tcPr>
                  <w:tcW w:w="80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4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16</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合格证</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17</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保修卡</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18</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产品简易操作规范</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张</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19</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综合彩页</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00" w:lineRule="exact"/>
                    <w:jc w:val="center"/>
                    <w:rPr>
                      <w:rFonts w:ascii="宋体" w:hAnsi="宋体" w:cs="宋体"/>
                      <w:color w:val="auto"/>
                      <w:szCs w:val="21"/>
                    </w:rPr>
                  </w:pPr>
                  <w:r>
                    <w:rPr>
                      <w:rFonts w:hint="eastAsia" w:ascii="宋体" w:hAnsi="宋体" w:cs="宋体"/>
                      <w:color w:val="auto"/>
                      <w:szCs w:val="21"/>
                    </w:rPr>
                    <w:t>20</w:t>
                  </w:r>
                </w:p>
              </w:tc>
              <w:tc>
                <w:tcPr>
                  <w:tcW w:w="1288" w:type="dxa"/>
                </w:tcPr>
                <w:p>
                  <w:pPr>
                    <w:spacing w:line="500" w:lineRule="exact"/>
                    <w:jc w:val="center"/>
                    <w:rPr>
                      <w:rFonts w:ascii="宋体" w:hAnsi="宋体" w:cs="宋体"/>
                      <w:color w:val="auto"/>
                      <w:szCs w:val="21"/>
                    </w:rPr>
                  </w:pPr>
                  <w:r>
                    <w:rPr>
                      <w:rFonts w:hint="eastAsia" w:ascii="宋体" w:hAnsi="宋体" w:cs="宋体"/>
                      <w:color w:val="auto"/>
                      <w:szCs w:val="21"/>
                    </w:rPr>
                    <w:t>现场安装验收单</w:t>
                  </w:r>
                </w:p>
              </w:tc>
              <w:tc>
                <w:tcPr>
                  <w:tcW w:w="1100" w:type="dxa"/>
                </w:tcPr>
                <w:p>
                  <w:pPr>
                    <w:spacing w:line="500" w:lineRule="exact"/>
                    <w:jc w:val="center"/>
                    <w:rPr>
                      <w:rFonts w:ascii="宋体" w:hAnsi="宋体" w:cs="宋体"/>
                      <w:color w:val="auto"/>
                      <w:szCs w:val="21"/>
                    </w:rPr>
                  </w:pPr>
                  <w:r>
                    <w:rPr>
                      <w:rFonts w:hint="eastAsia" w:ascii="宋体" w:hAnsi="宋体" w:cs="宋体"/>
                      <w:color w:val="auto"/>
                      <w:szCs w:val="21"/>
                    </w:rPr>
                    <w:t>份</w:t>
                  </w:r>
                </w:p>
              </w:tc>
              <w:tc>
                <w:tcPr>
                  <w:tcW w:w="800" w:type="dxa"/>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560" w:type="dxa"/>
                </w:tcPr>
                <w:p>
                  <w:pPr>
                    <w:spacing w:line="500" w:lineRule="exact"/>
                    <w:jc w:val="center"/>
                    <w:rPr>
                      <w:rFonts w:ascii="宋体" w:hAnsi="宋体" w:cs="宋体"/>
                      <w:color w:val="auto"/>
                      <w:szCs w:val="21"/>
                    </w:rPr>
                  </w:pPr>
                </w:p>
              </w:tc>
            </w:tr>
          </w:tbl>
          <w:p>
            <w:pPr>
              <w:pStyle w:val="2"/>
              <w:rPr>
                <w:rFonts w:ascii="宋体" w:hAnsi="宋体" w:eastAsia="宋体" w:cs="宋体"/>
                <w:color w:val="auto"/>
                <w:sz w:val="21"/>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9</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空气波压力治疗仪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1、台式机型,可同时使用两个四腔气囊。</w:t>
            </w:r>
          </w:p>
          <w:p>
            <w:pPr>
              <w:widowControl/>
              <w:spacing w:line="360" w:lineRule="exact"/>
              <w:rPr>
                <w:rFonts w:ascii="宋体" w:hAnsi="宋体" w:cs="宋体"/>
                <w:color w:val="auto"/>
                <w:szCs w:val="21"/>
              </w:rPr>
            </w:pPr>
            <w:r>
              <w:rPr>
                <w:rFonts w:hint="eastAsia" w:ascii="宋体" w:hAnsi="宋体" w:cs="宋体"/>
                <w:color w:val="auto"/>
                <w:szCs w:val="21"/>
              </w:rPr>
              <w:t>★2、4寸彩色触摸屏加旋转编码器操作，操作简便。</w:t>
            </w:r>
          </w:p>
          <w:p>
            <w:pPr>
              <w:widowControl/>
              <w:spacing w:line="360" w:lineRule="exact"/>
              <w:rPr>
                <w:rFonts w:ascii="宋体" w:hAnsi="宋体" w:cs="宋体"/>
                <w:color w:val="auto"/>
                <w:szCs w:val="21"/>
              </w:rPr>
            </w:pPr>
            <w:r>
              <w:rPr>
                <w:rFonts w:hint="eastAsia" w:ascii="宋体" w:hAnsi="宋体" w:cs="宋体"/>
                <w:color w:val="auto"/>
                <w:szCs w:val="21"/>
              </w:rPr>
              <w:t xml:space="preserve">3、时间设定功能时间范围为0～60分钟，步长1min。 </w:t>
            </w:r>
          </w:p>
          <w:p>
            <w:pPr>
              <w:widowControl/>
              <w:spacing w:line="360" w:lineRule="exact"/>
              <w:rPr>
                <w:rFonts w:ascii="宋体" w:hAnsi="宋体" w:cs="宋体"/>
                <w:color w:val="auto"/>
                <w:szCs w:val="21"/>
              </w:rPr>
            </w:pPr>
            <w:r>
              <w:rPr>
                <w:rFonts w:hint="eastAsia" w:ascii="宋体" w:hAnsi="宋体" w:cs="宋体"/>
                <w:color w:val="auto"/>
                <w:szCs w:val="21"/>
              </w:rPr>
              <w:t>4、充气模式：七种基础充气模式，可任意组合治疗。</w:t>
            </w:r>
          </w:p>
          <w:p>
            <w:pPr>
              <w:widowControl/>
              <w:spacing w:line="360" w:lineRule="exact"/>
              <w:rPr>
                <w:rFonts w:ascii="宋体" w:hAnsi="宋体" w:cs="宋体"/>
                <w:color w:val="auto"/>
                <w:szCs w:val="21"/>
              </w:rPr>
            </w:pPr>
            <w:r>
              <w:rPr>
                <w:rFonts w:hint="eastAsia" w:ascii="宋体" w:hAnsi="宋体" w:cs="宋体"/>
                <w:color w:val="auto"/>
                <w:szCs w:val="21"/>
              </w:rPr>
              <w:t>5、治疗仪压力范围：5～25kPa可调。</w:t>
            </w:r>
          </w:p>
          <w:p>
            <w:pPr>
              <w:widowControl/>
              <w:spacing w:line="360" w:lineRule="exact"/>
              <w:rPr>
                <w:rFonts w:ascii="宋体" w:hAnsi="宋体" w:cs="宋体"/>
                <w:color w:val="auto"/>
                <w:szCs w:val="21"/>
              </w:rPr>
            </w:pPr>
            <w:r>
              <w:rPr>
                <w:rFonts w:hint="eastAsia" w:ascii="宋体" w:hAnsi="宋体" w:cs="宋体"/>
                <w:color w:val="auto"/>
                <w:szCs w:val="21"/>
              </w:rPr>
              <w:t>6、极限压强≤40kPa，且超过2kPa的持续时间应不大于3min。</w:t>
            </w:r>
          </w:p>
          <w:p>
            <w:pPr>
              <w:widowControl/>
              <w:spacing w:line="360" w:lineRule="exact"/>
              <w:rPr>
                <w:rFonts w:ascii="宋体" w:hAnsi="宋体" w:cs="宋体"/>
                <w:color w:val="auto"/>
                <w:szCs w:val="21"/>
              </w:rPr>
            </w:pPr>
            <w:r>
              <w:rPr>
                <w:rFonts w:hint="eastAsia" w:ascii="宋体" w:hAnsi="宋体" w:cs="宋体"/>
                <w:color w:val="auto"/>
                <w:szCs w:val="21"/>
              </w:rPr>
              <w:t xml:space="preserve">7、过压保护：治疗仪应具有过压保护措施。 </w:t>
            </w:r>
          </w:p>
          <w:p>
            <w:pPr>
              <w:widowControl/>
              <w:spacing w:line="360" w:lineRule="exact"/>
              <w:rPr>
                <w:rFonts w:ascii="宋体" w:hAnsi="宋体" w:cs="宋体"/>
                <w:color w:val="auto"/>
                <w:szCs w:val="21"/>
              </w:rPr>
            </w:pPr>
            <w:r>
              <w:rPr>
                <w:rFonts w:hint="eastAsia" w:ascii="宋体" w:hAnsi="宋体" w:cs="宋体"/>
                <w:color w:val="auto"/>
                <w:szCs w:val="21"/>
              </w:rPr>
              <w:t>★8、手动释压器：治疗仪应提供在各种状态下手动解除患者压强的措施。</w:t>
            </w:r>
          </w:p>
          <w:p>
            <w:pPr>
              <w:widowControl/>
              <w:spacing w:line="360" w:lineRule="exact"/>
              <w:rPr>
                <w:rFonts w:ascii="宋体" w:hAnsi="宋体" w:cs="宋体"/>
                <w:color w:val="auto"/>
                <w:szCs w:val="21"/>
              </w:rPr>
            </w:pPr>
            <w:r>
              <w:rPr>
                <w:rFonts w:hint="eastAsia" w:ascii="宋体" w:hAnsi="宋体" w:cs="宋体"/>
                <w:color w:val="auto"/>
                <w:szCs w:val="21"/>
              </w:rPr>
              <w:t>9、连接：连接管路应有防止接错的装置或标识。</w:t>
            </w:r>
          </w:p>
          <w:p>
            <w:pPr>
              <w:widowControl/>
              <w:spacing w:line="360" w:lineRule="exact"/>
              <w:rPr>
                <w:rFonts w:hint="eastAsia" w:ascii="宋体" w:hAnsi="宋体" w:cs="宋体"/>
                <w:color w:val="auto"/>
                <w:szCs w:val="21"/>
              </w:rPr>
            </w:pPr>
            <w:r>
              <w:rPr>
                <w:rFonts w:hint="eastAsia" w:ascii="宋体" w:hAnsi="宋体" w:cs="宋体"/>
                <w:color w:val="auto"/>
                <w:szCs w:val="21"/>
              </w:rPr>
              <w:t>10、工作噪声：治疗仪正常工作时的噪声应不大于70dB。</w:t>
            </w:r>
          </w:p>
          <w:p>
            <w:pPr>
              <w:pStyle w:val="2"/>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配置清单</w:t>
            </w:r>
          </w:p>
          <w:tbl>
            <w:tblPr>
              <w:tblStyle w:val="49"/>
              <w:tblW w:w="6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8"/>
              <w:gridCol w:w="900"/>
              <w:gridCol w:w="78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名称</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单位</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1904" w:type="dxa"/>
                </w:tcPr>
                <w:p>
                  <w:pPr>
                    <w:jc w:val="center"/>
                    <w:rPr>
                      <w:rFonts w:ascii="宋体" w:hAnsi="宋体" w:cs="宋体"/>
                      <w:color w:val="auto"/>
                      <w:szCs w:val="21"/>
                    </w:rPr>
                  </w:pPr>
                  <w:r>
                    <w:rPr>
                      <w:rFonts w:hint="eastAsia" w:ascii="宋体" w:hAnsi="宋体" w:cs="宋体"/>
                      <w:color w:val="auto"/>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主机</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台</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电源线</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根</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r>
                    <w:rPr>
                      <w:rFonts w:hint="eastAsia" w:ascii="宋体" w:hAnsi="宋体" w:cs="宋体"/>
                      <w:color w:val="auto"/>
                      <w:szCs w:val="21"/>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3</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四腔上肢气囊</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4</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四腔下肢气囊（左/右）</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套</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5</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四腔单排充气导管</w:t>
                  </w:r>
                </w:p>
              </w:tc>
              <w:tc>
                <w:tcPr>
                  <w:tcW w:w="900" w:type="dxa"/>
                </w:tcPr>
                <w:p>
                  <w:pPr>
                    <w:jc w:val="center"/>
                    <w:rPr>
                      <w:rFonts w:ascii="宋体" w:hAnsi="宋体" w:cs="宋体"/>
                      <w:color w:val="auto"/>
                      <w:szCs w:val="21"/>
                    </w:rPr>
                  </w:pPr>
                  <w:r>
                    <w:rPr>
                      <w:rFonts w:hint="eastAsia" w:ascii="宋体" w:hAnsi="宋体" w:cs="宋体"/>
                      <w:color w:val="auto"/>
                      <w:szCs w:val="21"/>
                    </w:rPr>
                    <w:t>套</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6</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四腔双排充气导管</w:t>
                  </w:r>
                </w:p>
              </w:tc>
              <w:tc>
                <w:tcPr>
                  <w:tcW w:w="900" w:type="dxa"/>
                </w:tcPr>
                <w:p>
                  <w:pPr>
                    <w:jc w:val="center"/>
                    <w:rPr>
                      <w:rFonts w:ascii="宋体" w:hAnsi="宋体" w:cs="宋体"/>
                      <w:color w:val="auto"/>
                      <w:szCs w:val="21"/>
                    </w:rPr>
                  </w:pPr>
                  <w:r>
                    <w:rPr>
                      <w:rFonts w:hint="eastAsia" w:ascii="宋体" w:hAnsi="宋体" w:cs="宋体"/>
                      <w:color w:val="auto"/>
                      <w:szCs w:val="21"/>
                    </w:rPr>
                    <w:t>套</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7</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按摩脚垫</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8</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手持控制器</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9</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熔断器（保险丝）</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个</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04" w:type="dxa"/>
                </w:tcPr>
                <w:p>
                  <w:pPr>
                    <w:jc w:val="center"/>
                    <w:rPr>
                      <w:rFonts w:ascii="宋体" w:hAnsi="宋体" w:cs="宋体"/>
                      <w:color w:val="auto"/>
                      <w:szCs w:val="21"/>
                    </w:rPr>
                  </w:pPr>
                  <w:r>
                    <w:rPr>
                      <w:rFonts w:hint="eastAsia" w:ascii="宋体" w:hAnsi="宋体" w:cs="宋体"/>
                      <w:color w:val="auto"/>
                      <w:szCs w:val="21"/>
                    </w:rPr>
                    <w:t>F2AL250V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技术使用说明书</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本</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11</w:t>
                  </w:r>
                </w:p>
              </w:tc>
              <w:tc>
                <w:tcPr>
                  <w:tcW w:w="243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注册证及注册登记表</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生产许可证</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营业执照</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14</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合格证</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张</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15</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保修卡</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张</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16</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配置清单</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17</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综合彩页</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18</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现场安装验收单</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cs="宋体"/>
                      <w:color w:val="auto"/>
                      <w:szCs w:val="21"/>
                    </w:rPr>
                  </w:pPr>
                  <w:r>
                    <w:rPr>
                      <w:rFonts w:hint="eastAsia" w:ascii="宋体" w:hAnsi="宋体" w:cs="宋体"/>
                      <w:color w:val="auto"/>
                      <w:szCs w:val="21"/>
                    </w:rPr>
                    <w:t>19</w:t>
                  </w:r>
                </w:p>
              </w:tc>
              <w:tc>
                <w:tcPr>
                  <w:tcW w:w="2438" w:type="dxa"/>
                  <w:vAlign w:val="center"/>
                </w:tcPr>
                <w:p>
                  <w:pPr>
                    <w:jc w:val="center"/>
                    <w:rPr>
                      <w:rFonts w:ascii="宋体" w:hAnsi="宋体" w:cs="宋体"/>
                      <w:color w:val="auto"/>
                      <w:szCs w:val="21"/>
                    </w:rPr>
                  </w:pPr>
                  <w:r>
                    <w:rPr>
                      <w:rFonts w:hint="eastAsia" w:ascii="宋体" w:hAnsi="宋体" w:cs="宋体"/>
                      <w:color w:val="auto"/>
                      <w:szCs w:val="21"/>
                    </w:rPr>
                    <w:t>产品简易操作规范</w:t>
                  </w:r>
                </w:p>
              </w:tc>
              <w:tc>
                <w:tcPr>
                  <w:tcW w:w="900" w:type="dxa"/>
                  <w:vAlign w:val="center"/>
                </w:tcPr>
                <w:p>
                  <w:pPr>
                    <w:jc w:val="center"/>
                    <w:rPr>
                      <w:rFonts w:ascii="宋体" w:hAnsi="宋体" w:cs="宋体"/>
                      <w:color w:val="auto"/>
                      <w:szCs w:val="21"/>
                    </w:rPr>
                  </w:pPr>
                  <w:r>
                    <w:rPr>
                      <w:rFonts w:hint="eastAsia" w:ascii="宋体" w:hAnsi="宋体" w:cs="宋体"/>
                      <w:color w:val="auto"/>
                      <w:szCs w:val="21"/>
                    </w:rPr>
                    <w:t>份</w:t>
                  </w:r>
                </w:p>
              </w:tc>
              <w:tc>
                <w:tcPr>
                  <w:tcW w:w="78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04" w:type="dxa"/>
                </w:tcPr>
                <w:p>
                  <w:pPr>
                    <w:jc w:val="center"/>
                    <w:rPr>
                      <w:rFonts w:ascii="宋体" w:hAnsi="宋体" w:cs="宋体"/>
                      <w:color w:val="auto"/>
                      <w:szCs w:val="21"/>
                    </w:rPr>
                  </w:pPr>
                </w:p>
              </w:tc>
            </w:tr>
          </w:tbl>
          <w:p>
            <w:pPr>
              <w:widowControl/>
              <w:spacing w:line="360" w:lineRule="exact"/>
              <w:rPr>
                <w:rFonts w:ascii="宋体" w:hAnsi="宋体" w:cs="宋体"/>
                <w:color w:val="auto"/>
                <w:szCs w:val="21"/>
              </w:rPr>
            </w:pP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10</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OT组合训练车</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1辆</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195×105×97cm</w:t>
            </w:r>
          </w:p>
          <w:p>
            <w:pPr>
              <w:widowControl/>
              <w:spacing w:line="360" w:lineRule="exact"/>
              <w:rPr>
                <w:rFonts w:ascii="宋体" w:hAnsi="宋体" w:cs="宋体"/>
                <w:color w:val="auto"/>
                <w:szCs w:val="21"/>
              </w:rPr>
            </w:pPr>
            <w:r>
              <w:rPr>
                <w:rFonts w:hint="eastAsia" w:ascii="宋体" w:hAnsi="宋体" w:cs="宋体"/>
                <w:color w:val="auto"/>
                <w:szCs w:val="21"/>
              </w:rPr>
              <w:t>2、材质：可移动框架，主体为木架，型钢</w:t>
            </w:r>
          </w:p>
          <w:p>
            <w:pPr>
              <w:widowControl/>
              <w:spacing w:line="360" w:lineRule="exact"/>
              <w:rPr>
                <w:rFonts w:ascii="宋体" w:hAnsi="宋体" w:cs="宋体"/>
                <w:color w:val="auto"/>
                <w:szCs w:val="21"/>
              </w:rPr>
            </w:pPr>
            <w:r>
              <w:rPr>
                <w:rFonts w:hint="eastAsia" w:ascii="宋体" w:hAnsi="宋体" w:cs="宋体"/>
                <w:color w:val="auto"/>
                <w:szCs w:val="21"/>
              </w:rPr>
              <w:t>3、钢件表面喷塑</w:t>
            </w:r>
          </w:p>
          <w:p>
            <w:pPr>
              <w:widowControl/>
              <w:spacing w:line="360" w:lineRule="exact"/>
              <w:rPr>
                <w:rFonts w:ascii="宋体" w:hAnsi="宋体" w:cs="宋体"/>
                <w:color w:val="auto"/>
                <w:szCs w:val="21"/>
              </w:rPr>
            </w:pPr>
            <w:r>
              <w:rPr>
                <w:rFonts w:hint="eastAsia" w:ascii="宋体" w:hAnsi="宋体" w:cs="宋体"/>
                <w:color w:val="auto"/>
                <w:szCs w:val="21"/>
              </w:rPr>
              <w:t>4、三侧板高度可调，调节范围：0-36cm</w:t>
            </w:r>
          </w:p>
          <w:p>
            <w:pPr>
              <w:widowControl/>
              <w:spacing w:line="360" w:lineRule="exact"/>
              <w:rPr>
                <w:rFonts w:ascii="宋体" w:hAnsi="宋体" w:cs="宋体"/>
                <w:color w:val="auto"/>
                <w:szCs w:val="21"/>
              </w:rPr>
            </w:pPr>
            <w:r>
              <w:rPr>
                <w:rFonts w:hint="eastAsia" w:ascii="宋体" w:hAnsi="宋体" w:cs="宋体"/>
                <w:color w:val="auto"/>
                <w:szCs w:val="21"/>
              </w:rPr>
              <w:t>5、OT组合训练车附件:</w:t>
            </w:r>
          </w:p>
          <w:p>
            <w:pPr>
              <w:widowControl/>
              <w:spacing w:line="360" w:lineRule="exact"/>
              <w:rPr>
                <w:rFonts w:ascii="宋体" w:hAnsi="宋体" w:cs="宋体"/>
                <w:color w:val="auto"/>
                <w:szCs w:val="21"/>
              </w:rPr>
            </w:pPr>
            <w:r>
              <w:rPr>
                <w:rFonts w:hint="eastAsia" w:ascii="宋体" w:hAnsi="宋体" w:cs="宋体"/>
                <w:color w:val="auto"/>
                <w:szCs w:val="21"/>
              </w:rPr>
              <w:t>上肢协调功能训练器、分指板、分指板弧形、铁棍插板、木钉板、套圈板、几何插板、动物插板、模拟作业工具、上螺丝、上螺母、手指阶梯、捶球训练器、堆杯、腕部功能训练器、串彩链、旋转套板、手指插球器</w:t>
            </w:r>
          </w:p>
          <w:p>
            <w:pPr>
              <w:widowControl/>
              <w:spacing w:line="360" w:lineRule="exact"/>
              <w:rPr>
                <w:rFonts w:ascii="宋体" w:hAnsi="宋体" w:cs="宋体"/>
                <w:color w:val="auto"/>
                <w:szCs w:val="21"/>
              </w:rPr>
            </w:pPr>
            <w:r>
              <w:rPr>
                <w:rFonts w:hint="eastAsia" w:ascii="宋体" w:hAnsi="宋体" w:cs="宋体"/>
                <w:color w:val="auto"/>
                <w:szCs w:val="21"/>
              </w:rPr>
              <w:t>6、重量：</w:t>
            </w:r>
            <w:r>
              <w:rPr>
                <w:rFonts w:hint="eastAsia" w:ascii="宋体" w:hAnsi="宋体" w:cs="宋体"/>
                <w:color w:val="auto"/>
                <w:szCs w:val="21"/>
              </w:rPr>
              <w:t>约80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牵引网架</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206×120×211CM</w:t>
            </w:r>
          </w:p>
          <w:p>
            <w:pPr>
              <w:widowControl/>
              <w:spacing w:line="360" w:lineRule="exact"/>
              <w:rPr>
                <w:rFonts w:ascii="宋体" w:hAnsi="宋体" w:cs="宋体"/>
                <w:color w:val="auto"/>
                <w:szCs w:val="21"/>
              </w:rPr>
            </w:pPr>
            <w:r>
              <w:rPr>
                <w:rFonts w:hint="eastAsia" w:ascii="宋体" w:hAnsi="宋体" w:cs="宋体"/>
                <w:color w:val="auto"/>
                <w:szCs w:val="21"/>
              </w:rPr>
              <w:t>2、材质：主体为型钢,钢件表面喷塑，床面采用皮革软垫</w:t>
            </w:r>
          </w:p>
          <w:p>
            <w:pPr>
              <w:widowControl/>
              <w:spacing w:line="360" w:lineRule="exact"/>
              <w:rPr>
                <w:rFonts w:ascii="宋体" w:hAnsi="宋体" w:cs="宋体"/>
                <w:color w:val="auto"/>
                <w:szCs w:val="21"/>
              </w:rPr>
            </w:pPr>
            <w:r>
              <w:rPr>
                <w:rFonts w:hint="eastAsia" w:ascii="宋体" w:hAnsi="宋体" w:cs="宋体"/>
                <w:color w:val="auto"/>
                <w:szCs w:val="21"/>
              </w:rPr>
              <w:t>3、床面尺寸：</w:t>
            </w:r>
            <w:r>
              <w:rPr>
                <w:rFonts w:hint="eastAsia" w:ascii="宋体" w:hAnsi="宋体" w:cs="宋体"/>
                <w:color w:val="auto"/>
                <w:szCs w:val="21"/>
              </w:rPr>
              <w:t>约</w:t>
            </w:r>
            <w:r>
              <w:rPr>
                <w:rFonts w:hint="eastAsia" w:ascii="宋体" w:hAnsi="宋体" w:cs="宋体"/>
                <w:color w:val="auto"/>
                <w:szCs w:val="21"/>
              </w:rPr>
              <w:t>206×112CM</w:t>
            </w:r>
          </w:p>
          <w:p>
            <w:pPr>
              <w:widowControl/>
              <w:spacing w:line="360" w:lineRule="exact"/>
              <w:rPr>
                <w:rFonts w:ascii="宋体" w:hAnsi="宋体" w:cs="宋体"/>
                <w:color w:val="auto"/>
                <w:szCs w:val="21"/>
              </w:rPr>
            </w:pPr>
            <w:r>
              <w:rPr>
                <w:rFonts w:hint="eastAsia" w:ascii="宋体" w:hAnsi="宋体" w:cs="宋体"/>
                <w:color w:val="auto"/>
                <w:szCs w:val="21"/>
              </w:rPr>
              <w:t>4、平面挂式网架规格：</w:t>
            </w:r>
            <w:r>
              <w:rPr>
                <w:rFonts w:hint="eastAsia" w:ascii="宋体" w:hAnsi="宋体" w:cs="宋体"/>
                <w:color w:val="auto"/>
                <w:szCs w:val="21"/>
              </w:rPr>
              <w:t>约</w:t>
            </w:r>
            <w:r>
              <w:rPr>
                <w:rFonts w:hint="eastAsia" w:ascii="宋体" w:hAnsi="宋体" w:cs="宋体"/>
                <w:color w:val="auto"/>
                <w:szCs w:val="21"/>
              </w:rPr>
              <w:t>116×190CM</w:t>
            </w:r>
          </w:p>
          <w:p>
            <w:pPr>
              <w:widowControl/>
              <w:spacing w:line="360" w:lineRule="exact"/>
              <w:rPr>
                <w:rFonts w:ascii="宋体" w:hAnsi="宋体" w:cs="宋体"/>
                <w:color w:val="auto"/>
                <w:szCs w:val="21"/>
              </w:rPr>
            </w:pPr>
            <w:r>
              <w:rPr>
                <w:rFonts w:hint="eastAsia" w:ascii="宋体" w:hAnsi="宋体" w:cs="宋体"/>
                <w:color w:val="auto"/>
                <w:szCs w:val="21"/>
              </w:rPr>
              <w:t>5、复壁网架规格：</w:t>
            </w:r>
            <w:r>
              <w:rPr>
                <w:rFonts w:hint="eastAsia" w:ascii="宋体" w:hAnsi="宋体" w:cs="宋体"/>
                <w:color w:val="auto"/>
                <w:szCs w:val="21"/>
              </w:rPr>
              <w:t>约</w:t>
            </w:r>
            <w:r>
              <w:rPr>
                <w:rFonts w:hint="eastAsia" w:ascii="宋体" w:hAnsi="宋体" w:cs="宋体"/>
                <w:color w:val="auto"/>
                <w:szCs w:val="21"/>
              </w:rPr>
              <w:t>110×110CM</w:t>
            </w:r>
          </w:p>
          <w:p>
            <w:pPr>
              <w:widowControl/>
              <w:spacing w:line="360" w:lineRule="exact"/>
              <w:rPr>
                <w:rFonts w:ascii="宋体" w:hAnsi="宋体" w:cs="宋体"/>
                <w:color w:val="auto"/>
                <w:szCs w:val="21"/>
              </w:rPr>
            </w:pPr>
            <w:r>
              <w:rPr>
                <w:rFonts w:hint="eastAsia" w:ascii="宋体" w:hAnsi="宋体" w:cs="宋体"/>
                <w:color w:val="auto"/>
                <w:szCs w:val="21"/>
              </w:rPr>
              <w:t>6、配2kg砂袋2个，绑带1副</w:t>
            </w:r>
          </w:p>
          <w:p>
            <w:pPr>
              <w:widowControl/>
              <w:spacing w:line="360" w:lineRule="exact"/>
              <w:rPr>
                <w:rFonts w:ascii="宋体" w:hAnsi="宋体" w:cs="宋体"/>
                <w:color w:val="auto"/>
                <w:szCs w:val="21"/>
              </w:rPr>
            </w:pPr>
            <w:r>
              <w:rPr>
                <w:rFonts w:hint="eastAsia" w:ascii="宋体" w:hAnsi="宋体" w:cs="宋体"/>
                <w:color w:val="auto"/>
                <w:szCs w:val="21"/>
              </w:rPr>
              <w:t>7、额定负载</w:t>
            </w:r>
            <w:r>
              <w:rPr>
                <w:rFonts w:hint="eastAsia" w:ascii="宋体" w:hAnsi="宋体" w:cs="宋体"/>
                <w:color w:val="auto"/>
                <w:szCs w:val="21"/>
              </w:rPr>
              <w:t>约</w:t>
            </w:r>
            <w:r>
              <w:rPr>
                <w:rFonts w:hint="eastAsia" w:ascii="宋体" w:hAnsi="宋体" w:cs="宋体"/>
                <w:color w:val="auto"/>
                <w:szCs w:val="21"/>
              </w:rPr>
              <w:t>135kg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PT凳</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10张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45×37×80cm</w:t>
            </w:r>
          </w:p>
          <w:p>
            <w:pPr>
              <w:widowControl/>
              <w:spacing w:line="360" w:lineRule="exact"/>
              <w:rPr>
                <w:rFonts w:ascii="宋体" w:hAnsi="宋体" w:cs="宋体"/>
                <w:color w:val="auto"/>
                <w:szCs w:val="21"/>
              </w:rPr>
            </w:pPr>
            <w:r>
              <w:rPr>
                <w:rFonts w:hint="eastAsia" w:ascii="宋体" w:hAnsi="宋体" w:cs="宋体"/>
                <w:color w:val="auto"/>
                <w:szCs w:val="21"/>
              </w:rPr>
              <w:t>2、凳面可作360度旋转，液压式，高低可调</w:t>
            </w:r>
          </w:p>
          <w:p>
            <w:pPr>
              <w:widowControl/>
              <w:spacing w:line="360" w:lineRule="exact"/>
              <w:rPr>
                <w:rFonts w:ascii="宋体" w:hAnsi="宋体" w:cs="宋体"/>
                <w:color w:val="auto"/>
                <w:szCs w:val="21"/>
              </w:rPr>
            </w:pPr>
            <w:r>
              <w:rPr>
                <w:rFonts w:hint="eastAsia" w:ascii="宋体" w:hAnsi="宋体" w:cs="宋体"/>
                <w:color w:val="auto"/>
                <w:szCs w:val="21"/>
              </w:rPr>
              <w:t>3、配背部靠板1张、坐垫1张、油缸1个、喷塑架1套、脚轮5个</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13</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PT训练床</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190×120×46cm</w:t>
            </w:r>
          </w:p>
          <w:p>
            <w:pPr>
              <w:widowControl/>
              <w:spacing w:line="360" w:lineRule="exact"/>
              <w:rPr>
                <w:rFonts w:ascii="宋体" w:hAnsi="宋体" w:cs="宋体"/>
                <w:color w:val="auto"/>
                <w:szCs w:val="21"/>
              </w:rPr>
            </w:pPr>
            <w:r>
              <w:rPr>
                <w:rFonts w:hint="eastAsia" w:ascii="宋体" w:hAnsi="宋体" w:cs="宋体"/>
                <w:color w:val="auto"/>
                <w:szCs w:val="21"/>
              </w:rPr>
              <w:t>2、床面为皮革，钢件表面喷塑</w:t>
            </w:r>
          </w:p>
          <w:p>
            <w:pPr>
              <w:widowControl/>
              <w:spacing w:line="360" w:lineRule="exact"/>
              <w:rPr>
                <w:rFonts w:ascii="宋体" w:hAnsi="宋体" w:cs="宋体"/>
                <w:color w:val="auto"/>
                <w:szCs w:val="21"/>
              </w:rPr>
            </w:pPr>
            <w:r>
              <w:rPr>
                <w:rFonts w:hint="eastAsia" w:ascii="宋体" w:hAnsi="宋体" w:cs="宋体"/>
                <w:color w:val="auto"/>
                <w:szCs w:val="21"/>
              </w:rPr>
              <w:t>3、配小枕头一个</w:t>
            </w:r>
          </w:p>
          <w:p>
            <w:pPr>
              <w:widowControl/>
              <w:spacing w:line="360" w:lineRule="exact"/>
              <w:rPr>
                <w:rFonts w:ascii="宋体" w:hAnsi="宋体" w:cs="宋体"/>
                <w:color w:val="auto"/>
                <w:szCs w:val="21"/>
              </w:rPr>
            </w:pPr>
            <w:r>
              <w:rPr>
                <w:rFonts w:hint="eastAsia" w:ascii="宋体" w:hAnsi="宋体" w:cs="宋体"/>
                <w:color w:val="auto"/>
                <w:szCs w:val="21"/>
              </w:rPr>
              <w:t>4、重量：</w:t>
            </w:r>
            <w:r>
              <w:rPr>
                <w:rFonts w:hint="eastAsia" w:ascii="宋体" w:hAnsi="宋体" w:cs="宋体"/>
                <w:color w:val="auto"/>
                <w:szCs w:val="21"/>
              </w:rPr>
              <w:t>约</w:t>
            </w:r>
            <w:r>
              <w:rPr>
                <w:rFonts w:hint="eastAsia" w:ascii="宋体" w:hAnsi="宋体" w:cs="宋体"/>
                <w:color w:val="auto"/>
                <w:szCs w:val="21"/>
              </w:rPr>
              <w:t>65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14</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组合皮软垫</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4张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 xml:space="preserve"> 约</w:t>
            </w:r>
            <w:r>
              <w:rPr>
                <w:rFonts w:hint="eastAsia" w:ascii="宋体" w:hAnsi="宋体" w:cs="宋体"/>
                <w:color w:val="auto"/>
                <w:szCs w:val="21"/>
              </w:rPr>
              <w:t>160×60×5cm</w:t>
            </w:r>
          </w:p>
          <w:p>
            <w:pPr>
              <w:widowControl/>
              <w:spacing w:line="360" w:lineRule="exact"/>
              <w:rPr>
                <w:rFonts w:ascii="宋体" w:hAnsi="宋体" w:cs="宋体"/>
                <w:color w:val="auto"/>
                <w:szCs w:val="21"/>
              </w:rPr>
            </w:pPr>
            <w:r>
              <w:rPr>
                <w:rFonts w:hint="eastAsia" w:ascii="宋体" w:hAnsi="宋体" w:cs="宋体"/>
                <w:color w:val="auto"/>
                <w:szCs w:val="21"/>
              </w:rPr>
              <w:t>2、高弹性海绵</w:t>
            </w:r>
          </w:p>
          <w:p>
            <w:pPr>
              <w:widowControl/>
              <w:spacing w:line="360" w:lineRule="exact"/>
              <w:rPr>
                <w:rFonts w:ascii="宋体" w:hAnsi="宋体" w:cs="宋体"/>
                <w:color w:val="auto"/>
                <w:szCs w:val="21"/>
              </w:rPr>
            </w:pPr>
            <w:r>
              <w:rPr>
                <w:rFonts w:hint="eastAsia" w:ascii="宋体" w:hAnsi="宋体" w:cs="宋体"/>
                <w:color w:val="auto"/>
                <w:szCs w:val="21"/>
              </w:rPr>
              <w:t>3、外包皮革</w:t>
            </w:r>
          </w:p>
          <w:p>
            <w:pPr>
              <w:widowControl/>
              <w:spacing w:line="360" w:lineRule="exact"/>
              <w:rPr>
                <w:rFonts w:ascii="宋体" w:hAnsi="宋体" w:cs="宋体"/>
                <w:color w:val="auto"/>
                <w:szCs w:val="21"/>
              </w:rPr>
            </w:pPr>
            <w:r>
              <w:rPr>
                <w:rFonts w:hint="eastAsia" w:ascii="宋体" w:hAnsi="宋体" w:cs="宋体"/>
                <w:color w:val="auto"/>
                <w:szCs w:val="21"/>
              </w:rPr>
              <w:t>4、可折叠</w:t>
            </w:r>
          </w:p>
          <w:p>
            <w:pPr>
              <w:widowControl/>
              <w:spacing w:line="360" w:lineRule="exact"/>
              <w:rPr>
                <w:rFonts w:ascii="宋体" w:hAnsi="宋体" w:cs="宋体"/>
                <w:color w:val="auto"/>
                <w:szCs w:val="21"/>
              </w:rPr>
            </w:pPr>
            <w:r>
              <w:rPr>
                <w:rFonts w:hint="eastAsia" w:ascii="宋体" w:hAnsi="宋体" w:cs="宋体"/>
                <w:color w:val="auto"/>
                <w:szCs w:val="21"/>
              </w:rPr>
              <w:t>5、重量：</w:t>
            </w:r>
            <w:r>
              <w:rPr>
                <w:rFonts w:hint="eastAsia" w:ascii="宋体" w:hAnsi="宋体" w:cs="宋体"/>
                <w:color w:val="auto"/>
                <w:szCs w:val="21"/>
              </w:rPr>
              <w:t>约</w:t>
            </w:r>
            <w:r>
              <w:rPr>
                <w:rFonts w:hint="eastAsia" w:ascii="宋体" w:hAnsi="宋体" w:cs="宋体"/>
                <w:color w:val="auto"/>
                <w:szCs w:val="21"/>
              </w:rPr>
              <w:t>3.2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15</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前臂旋转训练器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58×28×165cm</w:t>
            </w:r>
          </w:p>
          <w:p>
            <w:pPr>
              <w:widowControl/>
              <w:spacing w:line="360" w:lineRule="exact"/>
              <w:rPr>
                <w:rFonts w:ascii="宋体" w:hAnsi="宋体" w:cs="宋体"/>
                <w:color w:val="auto"/>
                <w:szCs w:val="21"/>
              </w:rPr>
            </w:pPr>
            <w:r>
              <w:rPr>
                <w:rFonts w:hint="eastAsia" w:ascii="宋体" w:hAnsi="宋体" w:cs="宋体"/>
                <w:color w:val="auto"/>
                <w:szCs w:val="21"/>
              </w:rPr>
              <w:t>2、钢件表面喷塑，阻力可调</w:t>
            </w:r>
          </w:p>
          <w:p>
            <w:pPr>
              <w:widowControl/>
              <w:spacing w:line="360" w:lineRule="exact"/>
              <w:rPr>
                <w:rFonts w:ascii="宋体" w:hAnsi="宋体" w:cs="宋体"/>
                <w:color w:val="auto"/>
                <w:szCs w:val="21"/>
              </w:rPr>
            </w:pPr>
            <w:r>
              <w:rPr>
                <w:rFonts w:hint="eastAsia" w:ascii="宋体" w:hAnsi="宋体" w:cs="宋体"/>
                <w:color w:val="auto"/>
                <w:szCs w:val="21"/>
              </w:rPr>
              <w:t>3、平台升降调节范围0～70cm，最大阻尼980N·cm</w:t>
            </w:r>
          </w:p>
          <w:p>
            <w:pPr>
              <w:widowControl/>
              <w:spacing w:line="360" w:lineRule="exact"/>
              <w:rPr>
                <w:rFonts w:ascii="宋体" w:hAnsi="宋体" w:cs="宋体"/>
                <w:color w:val="auto"/>
                <w:szCs w:val="21"/>
              </w:rPr>
            </w:pPr>
            <w:r>
              <w:rPr>
                <w:rFonts w:hint="eastAsia" w:ascii="宋体" w:hAnsi="宋体" w:cs="宋体"/>
                <w:color w:val="auto"/>
                <w:szCs w:val="21"/>
              </w:rPr>
              <w:t>4、重量：</w:t>
            </w:r>
            <w:r>
              <w:rPr>
                <w:rFonts w:hint="eastAsia" w:ascii="宋体" w:hAnsi="宋体" w:cs="宋体"/>
                <w:color w:val="auto"/>
                <w:szCs w:val="21"/>
              </w:rPr>
              <w:t>约</w:t>
            </w:r>
            <w:r>
              <w:rPr>
                <w:rFonts w:hint="eastAsia" w:ascii="宋体" w:hAnsi="宋体" w:cs="宋体"/>
                <w:color w:val="auto"/>
                <w:szCs w:val="21"/>
              </w:rPr>
              <w:t>8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16</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功率车</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135×60×110cm</w:t>
            </w:r>
          </w:p>
          <w:p>
            <w:pPr>
              <w:widowControl/>
              <w:spacing w:line="360" w:lineRule="exact"/>
              <w:rPr>
                <w:rFonts w:ascii="宋体" w:hAnsi="宋体" w:cs="宋体"/>
                <w:color w:val="auto"/>
                <w:szCs w:val="21"/>
              </w:rPr>
            </w:pPr>
            <w:r>
              <w:rPr>
                <w:rFonts w:hint="eastAsia" w:ascii="宋体" w:hAnsi="宋体" w:cs="宋体"/>
                <w:color w:val="auto"/>
                <w:szCs w:val="21"/>
              </w:rPr>
              <w:t>2、材质：钢件、塑料。</w:t>
            </w:r>
          </w:p>
          <w:p>
            <w:pPr>
              <w:widowControl/>
              <w:spacing w:line="360" w:lineRule="exact"/>
              <w:rPr>
                <w:rFonts w:ascii="宋体" w:hAnsi="宋体" w:cs="宋体"/>
                <w:color w:val="auto"/>
                <w:szCs w:val="21"/>
              </w:rPr>
            </w:pPr>
            <w:r>
              <w:rPr>
                <w:rFonts w:hint="eastAsia" w:ascii="宋体" w:hAnsi="宋体" w:cs="宋体"/>
                <w:color w:val="auto"/>
                <w:szCs w:val="21"/>
              </w:rPr>
              <w:t>3、钢件表面喷塑</w:t>
            </w:r>
          </w:p>
          <w:p>
            <w:pPr>
              <w:widowControl/>
              <w:spacing w:line="360" w:lineRule="exact"/>
              <w:rPr>
                <w:rFonts w:ascii="宋体" w:hAnsi="宋体" w:cs="宋体"/>
                <w:color w:val="auto"/>
                <w:szCs w:val="21"/>
              </w:rPr>
            </w:pPr>
            <w:r>
              <w:rPr>
                <w:rFonts w:hint="eastAsia" w:ascii="宋体" w:hAnsi="宋体" w:cs="宋体"/>
                <w:color w:val="auto"/>
                <w:szCs w:val="21"/>
              </w:rPr>
              <w:t>4、阻尼调节档数数：8</w:t>
            </w:r>
          </w:p>
          <w:p>
            <w:pPr>
              <w:widowControl/>
              <w:spacing w:line="360" w:lineRule="exact"/>
              <w:rPr>
                <w:rFonts w:ascii="宋体" w:hAnsi="宋体" w:cs="宋体"/>
                <w:color w:val="auto"/>
                <w:szCs w:val="21"/>
              </w:rPr>
            </w:pPr>
            <w:r>
              <w:rPr>
                <w:rFonts w:hint="eastAsia" w:ascii="宋体" w:hAnsi="宋体" w:cs="宋体"/>
                <w:color w:val="auto"/>
                <w:szCs w:val="21"/>
              </w:rPr>
              <w:t>5、坐垫额定载荷：</w:t>
            </w:r>
            <w:r>
              <w:rPr>
                <w:rFonts w:hint="eastAsia" w:ascii="宋体" w:hAnsi="宋体" w:cs="宋体"/>
                <w:color w:val="auto"/>
                <w:szCs w:val="21"/>
              </w:rPr>
              <w:t>≥</w:t>
            </w:r>
            <w:r>
              <w:rPr>
                <w:rFonts w:hint="eastAsia" w:ascii="宋体" w:hAnsi="宋体" w:cs="宋体"/>
                <w:color w:val="auto"/>
                <w:szCs w:val="21"/>
              </w:rPr>
              <w:t>135kg。</w:t>
            </w:r>
          </w:p>
          <w:p>
            <w:pPr>
              <w:widowControl/>
              <w:spacing w:line="360" w:lineRule="exact"/>
              <w:rPr>
                <w:rFonts w:ascii="宋体" w:hAnsi="宋体" w:cs="宋体"/>
                <w:color w:val="auto"/>
                <w:szCs w:val="21"/>
              </w:rPr>
            </w:pPr>
            <w:r>
              <w:rPr>
                <w:rFonts w:hint="eastAsia" w:ascii="宋体" w:hAnsi="宋体" w:cs="宋体"/>
                <w:color w:val="auto"/>
                <w:szCs w:val="21"/>
              </w:rPr>
              <w:t>6、坐垫可前后移动</w:t>
            </w:r>
          </w:p>
          <w:p>
            <w:pPr>
              <w:widowControl/>
              <w:spacing w:line="360" w:lineRule="exact"/>
              <w:rPr>
                <w:rFonts w:ascii="宋体" w:hAnsi="宋体" w:cs="宋体"/>
                <w:color w:val="auto"/>
                <w:szCs w:val="21"/>
              </w:rPr>
            </w:pPr>
            <w:r>
              <w:rPr>
                <w:rFonts w:hint="eastAsia" w:ascii="宋体" w:hAnsi="宋体" w:cs="宋体"/>
                <w:color w:val="auto"/>
                <w:szCs w:val="21"/>
              </w:rPr>
              <w:t>7、扶手上有心率传感器</w:t>
            </w:r>
          </w:p>
          <w:p>
            <w:pPr>
              <w:widowControl/>
              <w:spacing w:line="360" w:lineRule="exact"/>
              <w:rPr>
                <w:rFonts w:ascii="宋体" w:hAnsi="宋体" w:cs="宋体"/>
                <w:color w:val="auto"/>
                <w:szCs w:val="21"/>
              </w:rPr>
            </w:pPr>
            <w:r>
              <w:rPr>
                <w:rFonts w:hint="eastAsia" w:ascii="宋体" w:hAnsi="宋体" w:cs="宋体"/>
                <w:color w:val="auto"/>
                <w:szCs w:val="21"/>
              </w:rPr>
              <w:t>8、可以记录运动时间、速度、里程、热量、心率等参数。</w:t>
            </w:r>
          </w:p>
          <w:p>
            <w:pPr>
              <w:widowControl/>
              <w:spacing w:line="360" w:lineRule="exact"/>
              <w:rPr>
                <w:rFonts w:ascii="宋体" w:hAnsi="宋体" w:cs="宋体"/>
                <w:color w:val="auto"/>
                <w:szCs w:val="21"/>
              </w:rPr>
            </w:pPr>
            <w:r>
              <w:rPr>
                <w:rFonts w:hint="eastAsia" w:ascii="宋体" w:hAnsi="宋体" w:cs="宋体"/>
                <w:color w:val="auto"/>
                <w:szCs w:val="21"/>
              </w:rPr>
              <w:t>9、重量：</w:t>
            </w:r>
            <w:r>
              <w:rPr>
                <w:rFonts w:hint="eastAsia" w:ascii="宋体" w:hAnsi="宋体" w:cs="宋体"/>
                <w:color w:val="auto"/>
                <w:szCs w:val="21"/>
              </w:rPr>
              <w:t>约</w:t>
            </w:r>
            <w:r>
              <w:rPr>
                <w:rFonts w:hint="eastAsia" w:ascii="宋体" w:hAnsi="宋体" w:cs="宋体"/>
                <w:color w:val="auto"/>
                <w:szCs w:val="21"/>
              </w:rPr>
              <w:t>36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17</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复式墙拉力器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55×17×170cm</w:t>
            </w:r>
          </w:p>
          <w:p>
            <w:pPr>
              <w:widowControl/>
              <w:spacing w:line="360" w:lineRule="exact"/>
              <w:rPr>
                <w:rFonts w:ascii="宋体" w:hAnsi="宋体" w:cs="宋体"/>
                <w:color w:val="auto"/>
                <w:szCs w:val="21"/>
              </w:rPr>
            </w:pPr>
            <w:r>
              <w:rPr>
                <w:rFonts w:hint="eastAsia" w:ascii="宋体" w:hAnsi="宋体" w:cs="宋体"/>
                <w:color w:val="auto"/>
                <w:szCs w:val="21"/>
              </w:rPr>
              <w:t>2、拉力器套数2套，每套拉力器配8个配重块，</w:t>
            </w:r>
          </w:p>
          <w:p>
            <w:pPr>
              <w:widowControl/>
              <w:spacing w:line="360" w:lineRule="exact"/>
              <w:rPr>
                <w:rFonts w:ascii="宋体" w:hAnsi="宋体" w:cs="宋体"/>
                <w:color w:val="auto"/>
                <w:szCs w:val="21"/>
              </w:rPr>
            </w:pPr>
            <w:r>
              <w:rPr>
                <w:rFonts w:hint="eastAsia" w:ascii="宋体" w:hAnsi="宋体" w:cs="宋体"/>
                <w:color w:val="auto"/>
                <w:szCs w:val="21"/>
              </w:rPr>
              <w:t>3、每块1kg,最大行程128cm。</w:t>
            </w:r>
          </w:p>
          <w:p>
            <w:pPr>
              <w:widowControl/>
              <w:spacing w:line="360" w:lineRule="exact"/>
              <w:rPr>
                <w:rFonts w:ascii="宋体" w:hAnsi="宋体" w:cs="宋体"/>
                <w:color w:val="auto"/>
                <w:szCs w:val="21"/>
              </w:rPr>
            </w:pPr>
            <w:r>
              <w:rPr>
                <w:rFonts w:hint="eastAsia" w:ascii="宋体" w:hAnsi="宋体" w:cs="宋体"/>
                <w:color w:val="auto"/>
                <w:szCs w:val="21"/>
              </w:rPr>
              <w:t>4、材质：型钢、不锈钢。</w:t>
            </w:r>
          </w:p>
          <w:p>
            <w:pPr>
              <w:widowControl/>
              <w:spacing w:line="360" w:lineRule="exact"/>
              <w:rPr>
                <w:rFonts w:ascii="宋体" w:hAnsi="宋体" w:cs="宋体"/>
                <w:color w:val="auto"/>
                <w:szCs w:val="21"/>
              </w:rPr>
            </w:pPr>
            <w:r>
              <w:rPr>
                <w:rFonts w:hint="eastAsia" w:ascii="宋体" w:hAnsi="宋体" w:cs="宋体"/>
                <w:color w:val="auto"/>
                <w:szCs w:val="21"/>
              </w:rPr>
              <w:t>5、型钢表面喷塑。</w:t>
            </w:r>
          </w:p>
          <w:p>
            <w:pPr>
              <w:widowControl/>
              <w:spacing w:line="360" w:lineRule="exact"/>
              <w:rPr>
                <w:rFonts w:ascii="宋体" w:hAnsi="宋体" w:cs="宋体"/>
                <w:color w:val="auto"/>
                <w:szCs w:val="21"/>
              </w:rPr>
            </w:pPr>
            <w:r>
              <w:rPr>
                <w:rFonts w:hint="eastAsia" w:ascii="宋体" w:hAnsi="宋体" w:cs="宋体"/>
                <w:color w:val="auto"/>
                <w:szCs w:val="21"/>
              </w:rPr>
              <w:t>6、重量：</w:t>
            </w:r>
            <w:r>
              <w:rPr>
                <w:rFonts w:hint="eastAsia" w:ascii="宋体" w:hAnsi="宋体" w:cs="宋体"/>
                <w:color w:val="auto"/>
                <w:szCs w:val="21"/>
              </w:rPr>
              <w:t>约</w:t>
            </w:r>
            <w:r>
              <w:rPr>
                <w:rFonts w:hint="eastAsia" w:ascii="宋体" w:hAnsi="宋体" w:cs="宋体"/>
                <w:color w:val="auto"/>
                <w:szCs w:val="21"/>
              </w:rPr>
              <w:t>35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18</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肋木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64×97*×220cm</w:t>
            </w:r>
          </w:p>
          <w:p>
            <w:pPr>
              <w:widowControl/>
              <w:spacing w:line="360" w:lineRule="exact"/>
              <w:rPr>
                <w:rFonts w:ascii="宋体" w:hAnsi="宋体" w:cs="宋体"/>
                <w:color w:val="auto"/>
                <w:szCs w:val="21"/>
              </w:rPr>
            </w:pPr>
            <w:r>
              <w:rPr>
                <w:rFonts w:hint="eastAsia" w:ascii="宋体" w:hAnsi="宋体" w:cs="宋体"/>
                <w:color w:val="auto"/>
                <w:szCs w:val="21"/>
              </w:rPr>
              <w:t>2、肋木杠直径3.2cm，</w:t>
            </w:r>
          </w:p>
          <w:p>
            <w:pPr>
              <w:widowControl/>
              <w:spacing w:line="360" w:lineRule="exact"/>
              <w:rPr>
                <w:rFonts w:ascii="宋体" w:hAnsi="宋体" w:cs="宋体"/>
                <w:color w:val="auto"/>
                <w:szCs w:val="21"/>
              </w:rPr>
            </w:pPr>
            <w:r>
              <w:rPr>
                <w:rFonts w:hint="eastAsia" w:ascii="宋体" w:hAnsi="宋体" w:cs="宋体"/>
                <w:color w:val="auto"/>
                <w:szCs w:val="21"/>
              </w:rPr>
              <w:t>3、肋木杠间距离12cm，</w:t>
            </w:r>
          </w:p>
          <w:p>
            <w:pPr>
              <w:widowControl/>
              <w:spacing w:line="360" w:lineRule="exact"/>
              <w:rPr>
                <w:rFonts w:ascii="宋体" w:hAnsi="宋体" w:cs="宋体"/>
                <w:color w:val="auto"/>
                <w:szCs w:val="21"/>
              </w:rPr>
            </w:pPr>
            <w:r>
              <w:rPr>
                <w:rFonts w:hint="eastAsia" w:ascii="宋体" w:hAnsi="宋体" w:cs="宋体"/>
                <w:color w:val="auto"/>
                <w:szCs w:val="21"/>
              </w:rPr>
              <w:t>4、额定载荷</w:t>
            </w:r>
            <w:r>
              <w:rPr>
                <w:rFonts w:hint="eastAsia" w:ascii="宋体" w:hAnsi="宋体" w:cs="宋体"/>
                <w:color w:val="auto"/>
                <w:szCs w:val="21"/>
              </w:rPr>
              <w:t>≥</w:t>
            </w:r>
            <w:r>
              <w:rPr>
                <w:rFonts w:hint="eastAsia" w:ascii="宋体" w:hAnsi="宋体" w:cs="宋体"/>
                <w:color w:val="auto"/>
                <w:szCs w:val="21"/>
              </w:rPr>
              <w:t>135kg。</w:t>
            </w:r>
          </w:p>
          <w:p>
            <w:pPr>
              <w:widowControl/>
              <w:spacing w:line="360" w:lineRule="exact"/>
              <w:rPr>
                <w:rFonts w:ascii="宋体" w:hAnsi="宋体" w:cs="宋体"/>
                <w:color w:val="auto"/>
                <w:szCs w:val="21"/>
              </w:rPr>
            </w:pPr>
            <w:r>
              <w:rPr>
                <w:rFonts w:hint="eastAsia" w:ascii="宋体" w:hAnsi="宋体" w:cs="宋体"/>
                <w:color w:val="auto"/>
                <w:szCs w:val="21"/>
              </w:rPr>
              <w:t>5、材质：型钢。</w:t>
            </w:r>
          </w:p>
          <w:p>
            <w:pPr>
              <w:widowControl/>
              <w:spacing w:line="360" w:lineRule="exact"/>
              <w:rPr>
                <w:rFonts w:ascii="宋体" w:hAnsi="宋体" w:cs="宋体"/>
                <w:color w:val="auto"/>
                <w:szCs w:val="21"/>
              </w:rPr>
            </w:pPr>
            <w:r>
              <w:rPr>
                <w:rFonts w:hint="eastAsia" w:ascii="宋体" w:hAnsi="宋体" w:cs="宋体"/>
                <w:color w:val="auto"/>
                <w:szCs w:val="21"/>
              </w:rPr>
              <w:t>6、钢件表面喷塑。</w:t>
            </w:r>
          </w:p>
          <w:p>
            <w:pPr>
              <w:widowControl/>
              <w:spacing w:line="360" w:lineRule="exact"/>
              <w:rPr>
                <w:rFonts w:ascii="宋体" w:hAnsi="宋体" w:cs="宋体"/>
                <w:color w:val="auto"/>
                <w:szCs w:val="21"/>
              </w:rPr>
            </w:pPr>
            <w:r>
              <w:rPr>
                <w:rFonts w:hint="eastAsia" w:ascii="宋体" w:hAnsi="宋体" w:cs="宋体"/>
                <w:color w:val="auto"/>
                <w:szCs w:val="21"/>
              </w:rPr>
              <w:t>7、重量：</w:t>
            </w:r>
            <w:r>
              <w:rPr>
                <w:rFonts w:hint="eastAsia" w:ascii="宋体" w:hAnsi="宋体" w:cs="宋体"/>
                <w:color w:val="auto"/>
                <w:szCs w:val="21"/>
              </w:rPr>
              <w:t>约</w:t>
            </w:r>
            <w:r>
              <w:rPr>
                <w:rFonts w:hint="eastAsia" w:ascii="宋体" w:hAnsi="宋体" w:cs="宋体"/>
                <w:color w:val="auto"/>
                <w:szCs w:val="21"/>
              </w:rPr>
              <w:t>30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19</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电针治疗仪</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5</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1、电源:内部电源DC9V;电源适配器(输入AC220V±22V 50Hz±1Hz;输出DC9V)</w:t>
            </w:r>
          </w:p>
          <w:p>
            <w:pPr>
              <w:widowControl/>
              <w:spacing w:line="360" w:lineRule="exact"/>
              <w:rPr>
                <w:rFonts w:ascii="宋体" w:hAnsi="宋体" w:cs="宋体"/>
                <w:color w:val="auto"/>
                <w:szCs w:val="21"/>
              </w:rPr>
            </w:pPr>
            <w:r>
              <w:rPr>
                <w:rFonts w:hint="eastAsia" w:ascii="宋体" w:hAnsi="宋体" w:cs="宋体"/>
                <w:color w:val="auto"/>
                <w:szCs w:val="21"/>
              </w:rPr>
              <w:t>2、输入功率:10.0VA</w:t>
            </w:r>
          </w:p>
          <w:p>
            <w:pPr>
              <w:widowControl/>
              <w:spacing w:line="360" w:lineRule="exact"/>
              <w:rPr>
                <w:rFonts w:ascii="宋体" w:hAnsi="宋体" w:cs="宋体"/>
                <w:color w:val="auto"/>
                <w:szCs w:val="21"/>
              </w:rPr>
            </w:pPr>
            <w:r>
              <w:rPr>
                <w:rFonts w:hint="eastAsia" w:ascii="宋体" w:hAnsi="宋体" w:cs="宋体"/>
                <w:color w:val="auto"/>
                <w:szCs w:val="21"/>
              </w:rPr>
              <w:t>3、输出脉冲波形：非对称双向脉冲波</w:t>
            </w:r>
          </w:p>
          <w:p>
            <w:pPr>
              <w:widowControl/>
              <w:spacing w:line="360" w:lineRule="exact"/>
              <w:rPr>
                <w:rFonts w:ascii="宋体" w:hAnsi="宋体" w:cs="宋体"/>
                <w:color w:val="auto"/>
                <w:szCs w:val="21"/>
              </w:rPr>
            </w:pPr>
            <w:r>
              <w:rPr>
                <w:rFonts w:hint="eastAsia" w:ascii="宋体" w:hAnsi="宋体" w:cs="宋体"/>
                <w:color w:val="auto"/>
                <w:szCs w:val="21"/>
              </w:rPr>
              <w:t>4、输出脉冲路数：六路输出</w:t>
            </w:r>
          </w:p>
          <w:p>
            <w:pPr>
              <w:widowControl/>
              <w:spacing w:line="360" w:lineRule="exact"/>
              <w:rPr>
                <w:rFonts w:ascii="宋体" w:hAnsi="宋体" w:cs="宋体"/>
                <w:color w:val="auto"/>
                <w:szCs w:val="21"/>
              </w:rPr>
            </w:pPr>
            <w:r>
              <w:rPr>
                <w:rFonts w:hint="eastAsia" w:ascii="宋体" w:hAnsi="宋体" w:cs="宋体"/>
                <w:color w:val="auto"/>
                <w:szCs w:val="21"/>
              </w:rPr>
              <w:t>5、最大输出功率:0.3VA(250Ω负载阻抗下)</w:t>
            </w:r>
          </w:p>
          <w:p>
            <w:pPr>
              <w:widowControl/>
              <w:spacing w:line="360" w:lineRule="exact"/>
              <w:rPr>
                <w:rFonts w:ascii="宋体" w:hAnsi="宋体" w:cs="宋体"/>
                <w:color w:val="auto"/>
                <w:szCs w:val="21"/>
              </w:rPr>
            </w:pPr>
            <w:r>
              <w:rPr>
                <w:rFonts w:hint="eastAsia" w:ascii="宋体" w:hAnsi="宋体" w:cs="宋体"/>
                <w:color w:val="auto"/>
                <w:szCs w:val="21"/>
              </w:rPr>
              <w:t>6、输出脉冲频率：1-100Hz可调,允差为±15％</w:t>
            </w:r>
          </w:p>
          <w:p>
            <w:pPr>
              <w:widowControl/>
              <w:spacing w:line="360" w:lineRule="exact"/>
              <w:rPr>
                <w:rFonts w:ascii="宋体" w:hAnsi="宋体" w:cs="宋体"/>
                <w:color w:val="auto"/>
                <w:szCs w:val="21"/>
              </w:rPr>
            </w:pPr>
            <w:r>
              <w:rPr>
                <w:rFonts w:hint="eastAsia" w:ascii="宋体" w:hAnsi="宋体" w:cs="宋体"/>
                <w:color w:val="auto"/>
                <w:szCs w:val="21"/>
              </w:rPr>
              <w:t>6.1工作模式:连续波工作模式:连续</w:t>
            </w:r>
          </w:p>
          <w:p>
            <w:pPr>
              <w:widowControl/>
              <w:spacing w:line="360" w:lineRule="exact"/>
              <w:rPr>
                <w:rFonts w:ascii="宋体" w:hAnsi="宋体" w:cs="宋体"/>
                <w:color w:val="auto"/>
                <w:szCs w:val="21"/>
              </w:rPr>
            </w:pPr>
            <w:r>
              <w:rPr>
                <w:rFonts w:hint="eastAsia" w:ascii="宋体" w:hAnsi="宋体" w:cs="宋体"/>
                <w:color w:val="auto"/>
                <w:szCs w:val="21"/>
              </w:rPr>
              <w:t>6.2 断续波工作模式:工作15s,停5s</w:t>
            </w:r>
          </w:p>
          <w:p>
            <w:pPr>
              <w:widowControl/>
              <w:spacing w:line="360" w:lineRule="exact"/>
              <w:rPr>
                <w:rFonts w:ascii="宋体" w:hAnsi="宋体" w:cs="宋体"/>
                <w:color w:val="auto"/>
                <w:szCs w:val="21"/>
              </w:rPr>
            </w:pPr>
            <w:r>
              <w:rPr>
                <w:rFonts w:hint="eastAsia" w:ascii="宋体" w:hAnsi="宋体" w:cs="宋体"/>
                <w:color w:val="auto"/>
                <w:szCs w:val="21"/>
              </w:rPr>
              <w:t>6.3疏密波工作模式:疏波频率与密波频率之比是1:5，疏波工作5s，密波工作10s(断续波、疏密波时间允差为±15％)</w:t>
            </w:r>
          </w:p>
          <w:p>
            <w:pPr>
              <w:widowControl/>
              <w:spacing w:line="360" w:lineRule="exact"/>
              <w:rPr>
                <w:rFonts w:ascii="宋体" w:hAnsi="宋体" w:cs="宋体"/>
                <w:color w:val="auto"/>
                <w:szCs w:val="21"/>
              </w:rPr>
            </w:pPr>
            <w:r>
              <w:rPr>
                <w:rFonts w:hint="eastAsia" w:ascii="宋体" w:hAnsi="宋体" w:cs="宋体"/>
                <w:color w:val="auto"/>
                <w:szCs w:val="21"/>
              </w:rPr>
              <w:t>7、输出电流的限制：≤10mA(250Ω负载阻抗下)</w:t>
            </w:r>
          </w:p>
          <w:p>
            <w:pPr>
              <w:widowControl/>
              <w:spacing w:line="360" w:lineRule="exact"/>
              <w:rPr>
                <w:rFonts w:ascii="宋体" w:hAnsi="宋体" w:cs="宋体"/>
                <w:color w:val="auto"/>
                <w:szCs w:val="21"/>
              </w:rPr>
            </w:pPr>
            <w:r>
              <w:rPr>
                <w:rFonts w:hint="eastAsia" w:ascii="宋体" w:hAnsi="宋体" w:cs="宋体"/>
                <w:color w:val="auto"/>
                <w:szCs w:val="21"/>
              </w:rPr>
              <w:t>8、输出直流分量：0</w:t>
            </w:r>
          </w:p>
          <w:p>
            <w:pPr>
              <w:widowControl/>
              <w:spacing w:line="360" w:lineRule="exact"/>
              <w:rPr>
                <w:rFonts w:ascii="宋体" w:hAnsi="宋体" w:cs="宋体"/>
                <w:color w:val="auto"/>
                <w:szCs w:val="21"/>
              </w:rPr>
            </w:pPr>
            <w:r>
              <w:rPr>
                <w:rFonts w:hint="eastAsia" w:ascii="宋体" w:hAnsi="宋体" w:cs="宋体"/>
                <w:color w:val="auto"/>
                <w:szCs w:val="21"/>
              </w:rPr>
              <w:t>9、输出脉冲宽度：0.2ms±30%（EMC检测基本性能）</w:t>
            </w:r>
          </w:p>
          <w:p>
            <w:pPr>
              <w:widowControl/>
              <w:spacing w:line="360" w:lineRule="exact"/>
              <w:rPr>
                <w:rFonts w:ascii="宋体" w:hAnsi="宋体" w:cs="宋体"/>
                <w:color w:val="auto"/>
                <w:szCs w:val="21"/>
              </w:rPr>
            </w:pPr>
            <w:r>
              <w:rPr>
                <w:rFonts w:hint="eastAsia" w:ascii="宋体" w:hAnsi="宋体" w:cs="宋体"/>
                <w:color w:val="auto"/>
                <w:szCs w:val="21"/>
              </w:rPr>
              <w:t>10、体积：</w:t>
            </w:r>
            <w:r>
              <w:rPr>
                <w:rFonts w:hint="eastAsia" w:ascii="宋体" w:hAnsi="宋体" w:cs="宋体"/>
                <w:color w:val="auto"/>
                <w:szCs w:val="21"/>
              </w:rPr>
              <w:t>约</w:t>
            </w:r>
            <w:r>
              <w:rPr>
                <w:rFonts w:hint="eastAsia" w:ascii="宋体" w:hAnsi="宋体" w:cs="宋体"/>
                <w:color w:val="auto"/>
                <w:szCs w:val="21"/>
              </w:rPr>
              <w:t>345mm× 225mm× 94mm</w:t>
            </w:r>
          </w:p>
          <w:p>
            <w:pPr>
              <w:widowControl/>
              <w:spacing w:line="360" w:lineRule="exact"/>
              <w:rPr>
                <w:rFonts w:ascii="宋体" w:hAnsi="宋体" w:cs="宋体"/>
                <w:color w:val="auto"/>
                <w:szCs w:val="21"/>
              </w:rPr>
            </w:pPr>
            <w:r>
              <w:rPr>
                <w:rFonts w:hint="eastAsia" w:ascii="宋体" w:hAnsi="宋体" w:cs="宋体"/>
                <w:color w:val="auto"/>
                <w:szCs w:val="21"/>
              </w:rPr>
              <w:t>11、重量：</w:t>
            </w:r>
            <w:r>
              <w:rPr>
                <w:rFonts w:hint="eastAsia" w:ascii="宋体" w:hAnsi="宋体" w:cs="宋体"/>
                <w:color w:val="auto"/>
                <w:szCs w:val="21"/>
              </w:rPr>
              <w:t>约</w:t>
            </w:r>
            <w:r>
              <w:rPr>
                <w:rFonts w:hint="eastAsia" w:ascii="宋体" w:hAnsi="宋体" w:cs="宋体"/>
                <w:color w:val="auto"/>
                <w:szCs w:val="21"/>
              </w:rPr>
              <w:t>1.4kg</w:t>
            </w:r>
          </w:p>
          <w:p>
            <w:pPr>
              <w:widowControl/>
              <w:spacing w:line="360" w:lineRule="exact"/>
              <w:rPr>
                <w:rFonts w:ascii="宋体" w:hAnsi="宋体" w:cs="宋体"/>
                <w:color w:val="auto"/>
                <w:szCs w:val="21"/>
              </w:rPr>
            </w:pPr>
            <w:r>
              <w:rPr>
                <w:rFonts w:hint="eastAsia" w:ascii="宋体" w:hAnsi="宋体" w:cs="宋体"/>
                <w:color w:val="auto"/>
                <w:szCs w:val="21"/>
              </w:rPr>
              <w:t>附 件</w:t>
            </w:r>
          </w:p>
          <w:p>
            <w:pPr>
              <w:widowControl/>
              <w:spacing w:line="360" w:lineRule="exact"/>
              <w:rPr>
                <w:rFonts w:ascii="宋体" w:hAnsi="宋体" w:cs="宋体"/>
                <w:color w:val="auto"/>
                <w:szCs w:val="21"/>
              </w:rPr>
            </w:pPr>
            <w:r>
              <w:rPr>
                <w:rFonts w:hint="eastAsia" w:ascii="宋体" w:hAnsi="宋体" w:cs="宋体"/>
                <w:color w:val="auto"/>
                <w:szCs w:val="21"/>
              </w:rPr>
              <w:t>1、输出导线6根</w:t>
            </w:r>
          </w:p>
          <w:p>
            <w:pPr>
              <w:widowControl/>
              <w:spacing w:line="360" w:lineRule="exact"/>
              <w:rPr>
                <w:rFonts w:ascii="宋体" w:hAnsi="宋体" w:cs="宋体"/>
                <w:color w:val="auto"/>
                <w:szCs w:val="21"/>
              </w:rPr>
            </w:pPr>
            <w:r>
              <w:rPr>
                <w:rFonts w:hint="eastAsia" w:ascii="宋体" w:hAnsi="宋体" w:cs="宋体"/>
                <w:color w:val="auto"/>
                <w:szCs w:val="21"/>
              </w:rPr>
              <w:t>2、皮肤电极6副(尺寸:</w:t>
            </w:r>
            <w:r>
              <w:rPr>
                <w:rFonts w:hint="eastAsia" w:ascii="宋体" w:hAnsi="宋体" w:cs="宋体"/>
                <w:color w:val="auto"/>
                <w:szCs w:val="21"/>
              </w:rPr>
              <w:t xml:space="preserve"> 约</w:t>
            </w:r>
            <w:r>
              <w:rPr>
                <w:rFonts w:hint="eastAsia" w:ascii="宋体" w:hAnsi="宋体" w:cs="宋体"/>
                <w:color w:val="auto"/>
                <w:szCs w:val="21"/>
              </w:rPr>
              <w:t>50mm*50mm)</w:t>
            </w:r>
            <w:r>
              <w:rPr>
                <w:rFonts w:hint="eastAsia" w:ascii="宋体" w:hAnsi="宋体" w:cs="宋体"/>
                <w:color w:val="auto"/>
                <w:szCs w:val="21"/>
              </w:rPr>
              <w:br w:type="textWrapping"/>
            </w:r>
            <w:r>
              <w:rPr>
                <w:rFonts w:hint="eastAsia" w:ascii="宋体" w:hAnsi="宋体" w:cs="宋体"/>
                <w:color w:val="auto"/>
                <w:szCs w:val="21"/>
              </w:rPr>
              <w:t>3、毫针电极金属夹6副(尺寸:≤28mm)</w:t>
            </w:r>
            <w:r>
              <w:rPr>
                <w:rFonts w:hint="eastAsia" w:ascii="宋体" w:hAnsi="宋体" w:cs="宋体"/>
                <w:color w:val="auto"/>
                <w:szCs w:val="21"/>
              </w:rPr>
              <w:br w:type="textWrapping"/>
            </w:r>
            <w:r>
              <w:rPr>
                <w:rFonts w:hint="eastAsia" w:ascii="宋体" w:hAnsi="宋体" w:cs="宋体"/>
                <w:color w:val="auto"/>
                <w:szCs w:val="21"/>
              </w:rPr>
              <w:t>4、合格证1张</w:t>
            </w:r>
            <w:r>
              <w:rPr>
                <w:rFonts w:hint="eastAsia" w:ascii="宋体" w:hAnsi="宋体" w:cs="宋体"/>
                <w:color w:val="auto"/>
                <w:szCs w:val="21"/>
              </w:rPr>
              <w:br w:type="textWrapping"/>
            </w:r>
            <w:r>
              <w:rPr>
                <w:rFonts w:hint="eastAsia" w:ascii="宋体" w:hAnsi="宋体" w:cs="宋体"/>
                <w:color w:val="auto"/>
                <w:szCs w:val="21"/>
              </w:rPr>
              <w:t>5、产品保修卡1份</w:t>
            </w:r>
            <w:r>
              <w:rPr>
                <w:rFonts w:hint="eastAsia" w:ascii="宋体" w:hAnsi="宋体" w:cs="宋体"/>
                <w:color w:val="auto"/>
                <w:szCs w:val="21"/>
              </w:rPr>
              <w:br w:type="textWrapping"/>
            </w:r>
            <w:r>
              <w:rPr>
                <w:rFonts w:hint="eastAsia" w:ascii="宋体" w:hAnsi="宋体" w:cs="宋体"/>
                <w:color w:val="auto"/>
                <w:szCs w:val="21"/>
              </w:rPr>
              <w:t>6、使用说明书一本</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20</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助行器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98×80×100-140cm</w:t>
            </w:r>
          </w:p>
          <w:p>
            <w:pPr>
              <w:widowControl/>
              <w:spacing w:line="360" w:lineRule="exact"/>
              <w:rPr>
                <w:rFonts w:ascii="宋体" w:hAnsi="宋体" w:cs="宋体"/>
                <w:color w:val="auto"/>
                <w:szCs w:val="21"/>
              </w:rPr>
            </w:pPr>
            <w:r>
              <w:rPr>
                <w:rFonts w:hint="eastAsia" w:ascii="宋体" w:hAnsi="宋体" w:cs="宋体"/>
                <w:color w:val="auto"/>
                <w:szCs w:val="21"/>
              </w:rPr>
              <w:t>2、扶手高度可调，调节范围：0-36cm</w:t>
            </w:r>
          </w:p>
          <w:p>
            <w:pPr>
              <w:widowControl/>
              <w:spacing w:line="360" w:lineRule="exact"/>
              <w:rPr>
                <w:rFonts w:ascii="宋体" w:hAnsi="宋体" w:cs="宋体"/>
                <w:color w:val="auto"/>
                <w:szCs w:val="21"/>
              </w:rPr>
            </w:pPr>
            <w:r>
              <w:rPr>
                <w:rFonts w:hint="eastAsia" w:ascii="宋体" w:hAnsi="宋体" w:cs="宋体"/>
                <w:color w:val="auto"/>
                <w:szCs w:val="21"/>
              </w:rPr>
              <w:t>3、手柄间距调节范围0-45cm</w:t>
            </w:r>
          </w:p>
          <w:p>
            <w:pPr>
              <w:widowControl/>
              <w:spacing w:line="360" w:lineRule="exact"/>
              <w:rPr>
                <w:rFonts w:ascii="宋体" w:hAnsi="宋体" w:cs="宋体"/>
                <w:color w:val="auto"/>
                <w:szCs w:val="21"/>
              </w:rPr>
            </w:pPr>
            <w:r>
              <w:rPr>
                <w:rFonts w:hint="eastAsia" w:ascii="宋体" w:hAnsi="宋体" w:cs="宋体"/>
                <w:color w:val="auto"/>
                <w:szCs w:val="21"/>
              </w:rPr>
              <w:t>4、钢件表面喷塑</w:t>
            </w:r>
          </w:p>
          <w:p>
            <w:pPr>
              <w:widowControl/>
              <w:spacing w:line="360" w:lineRule="exact"/>
              <w:rPr>
                <w:rFonts w:ascii="宋体" w:hAnsi="宋体" w:cs="宋体"/>
                <w:color w:val="auto"/>
                <w:szCs w:val="21"/>
              </w:rPr>
            </w:pPr>
            <w:r>
              <w:rPr>
                <w:rFonts w:hint="eastAsia" w:ascii="宋体" w:hAnsi="宋体" w:cs="宋体"/>
                <w:color w:val="auto"/>
                <w:szCs w:val="21"/>
              </w:rPr>
              <w:t>5、材质：型钢</w:t>
            </w:r>
          </w:p>
          <w:p>
            <w:pPr>
              <w:widowControl/>
              <w:spacing w:line="360" w:lineRule="exact"/>
              <w:rPr>
                <w:rFonts w:ascii="宋体" w:hAnsi="宋体" w:cs="宋体"/>
                <w:color w:val="auto"/>
                <w:szCs w:val="21"/>
              </w:rPr>
            </w:pPr>
            <w:r>
              <w:rPr>
                <w:rFonts w:hint="eastAsia" w:ascii="宋体" w:hAnsi="宋体" w:cs="宋体"/>
                <w:color w:val="auto"/>
                <w:szCs w:val="21"/>
              </w:rPr>
              <w:t>6、重量：</w:t>
            </w:r>
            <w:r>
              <w:rPr>
                <w:rFonts w:hint="eastAsia" w:ascii="宋体" w:hAnsi="宋体" w:cs="宋体"/>
                <w:color w:val="auto"/>
                <w:szCs w:val="21"/>
              </w:rPr>
              <w:t>约</w:t>
            </w:r>
            <w:r>
              <w:rPr>
                <w:rFonts w:hint="eastAsia" w:ascii="宋体" w:hAnsi="宋体" w:cs="宋体"/>
                <w:color w:val="auto"/>
                <w:szCs w:val="21"/>
              </w:rPr>
              <w:t>16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OT桌</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 xml:space="preserve"> 约</w:t>
            </w:r>
            <w:r>
              <w:rPr>
                <w:rFonts w:hint="eastAsia" w:ascii="宋体" w:hAnsi="宋体" w:cs="宋体"/>
                <w:color w:val="auto"/>
                <w:szCs w:val="21"/>
              </w:rPr>
              <w:t>150×75×80</w:t>
            </w:r>
            <w:r>
              <w:rPr>
                <w:rFonts w:hint="eastAsia" w:ascii="宋体" w:hAnsi="宋体" w:cs="宋体"/>
                <w:color w:val="auto"/>
                <w:szCs w:val="21"/>
              </w:rPr>
              <w:t>cm</w:t>
            </w:r>
          </w:p>
          <w:p>
            <w:pPr>
              <w:widowControl/>
              <w:spacing w:line="360" w:lineRule="exact"/>
              <w:rPr>
                <w:rFonts w:ascii="宋体" w:hAnsi="宋体" w:cs="宋体"/>
                <w:color w:val="auto"/>
                <w:szCs w:val="21"/>
              </w:rPr>
            </w:pPr>
            <w:r>
              <w:rPr>
                <w:rFonts w:hint="eastAsia" w:ascii="宋体" w:hAnsi="宋体" w:cs="宋体"/>
                <w:color w:val="auto"/>
                <w:szCs w:val="21"/>
              </w:rPr>
              <w:t>2、桌面高度调节范围68～81cm，手柄转动力矩10N·m，桌面额定载荷50kg，桌面尺寸149×80cm。</w:t>
            </w:r>
          </w:p>
          <w:p>
            <w:pPr>
              <w:widowControl/>
              <w:spacing w:line="360" w:lineRule="exact"/>
              <w:rPr>
                <w:rFonts w:ascii="宋体" w:hAnsi="宋体" w:cs="宋体"/>
                <w:color w:val="auto"/>
                <w:szCs w:val="21"/>
              </w:rPr>
            </w:pPr>
            <w:r>
              <w:rPr>
                <w:rFonts w:hint="eastAsia" w:ascii="宋体" w:hAnsi="宋体" w:cs="宋体"/>
                <w:color w:val="auto"/>
                <w:szCs w:val="21"/>
              </w:rPr>
              <w:t>3、材质：桌面为木质、主体为型钢。</w:t>
            </w:r>
          </w:p>
          <w:p>
            <w:pPr>
              <w:widowControl/>
              <w:spacing w:line="360" w:lineRule="exact"/>
              <w:rPr>
                <w:rFonts w:ascii="宋体" w:hAnsi="宋体" w:cs="宋体"/>
                <w:color w:val="auto"/>
                <w:szCs w:val="21"/>
              </w:rPr>
            </w:pPr>
            <w:r>
              <w:rPr>
                <w:rFonts w:hint="eastAsia" w:ascii="宋体" w:hAnsi="宋体" w:cs="宋体"/>
                <w:color w:val="auto"/>
                <w:szCs w:val="21"/>
              </w:rPr>
              <w:t>4、钢件表面喷塑，木件表面油漆5°。</w:t>
            </w:r>
          </w:p>
          <w:p>
            <w:pPr>
              <w:widowControl/>
              <w:spacing w:line="360" w:lineRule="exact"/>
              <w:rPr>
                <w:rFonts w:ascii="宋体" w:hAnsi="宋体" w:cs="宋体"/>
                <w:color w:val="auto"/>
                <w:szCs w:val="21"/>
              </w:rPr>
            </w:pPr>
            <w:r>
              <w:rPr>
                <w:rFonts w:hint="eastAsia" w:ascii="宋体" w:hAnsi="宋体" w:cs="宋体"/>
                <w:color w:val="auto"/>
                <w:szCs w:val="21"/>
              </w:rPr>
              <w:t>5、重量：</w:t>
            </w:r>
            <w:r>
              <w:rPr>
                <w:rFonts w:hint="eastAsia" w:ascii="宋体" w:hAnsi="宋体" w:cs="宋体"/>
                <w:color w:val="auto"/>
                <w:szCs w:val="21"/>
              </w:rPr>
              <w:t>约</w:t>
            </w:r>
            <w:r>
              <w:rPr>
                <w:rFonts w:hint="eastAsia" w:ascii="宋体" w:hAnsi="宋体" w:cs="宋体"/>
                <w:color w:val="auto"/>
                <w:szCs w:val="21"/>
              </w:rPr>
              <w:t>34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手功能组合训练箱</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 xml:space="preserve"> 约</w:t>
            </w:r>
            <w:r>
              <w:rPr>
                <w:rFonts w:hint="eastAsia" w:ascii="宋体" w:hAnsi="宋体" w:cs="宋体"/>
                <w:color w:val="auto"/>
                <w:szCs w:val="21"/>
              </w:rPr>
              <w:t>62×44×12cm</w:t>
            </w:r>
          </w:p>
          <w:p>
            <w:pPr>
              <w:widowControl/>
              <w:spacing w:line="360" w:lineRule="exact"/>
              <w:rPr>
                <w:rFonts w:ascii="宋体" w:hAnsi="宋体" w:cs="宋体"/>
                <w:color w:val="auto"/>
                <w:szCs w:val="21"/>
              </w:rPr>
            </w:pPr>
            <w:r>
              <w:rPr>
                <w:rFonts w:hint="eastAsia" w:ascii="宋体" w:hAnsi="宋体" w:cs="宋体"/>
                <w:color w:val="auto"/>
                <w:szCs w:val="21"/>
              </w:rPr>
              <w:t>2、箱体木制</w:t>
            </w:r>
          </w:p>
          <w:p>
            <w:pPr>
              <w:widowControl/>
              <w:spacing w:line="360" w:lineRule="exact"/>
              <w:rPr>
                <w:rFonts w:ascii="宋体" w:hAnsi="宋体" w:cs="宋体"/>
                <w:color w:val="auto"/>
                <w:szCs w:val="21"/>
              </w:rPr>
            </w:pPr>
            <w:r>
              <w:rPr>
                <w:rFonts w:hint="eastAsia" w:ascii="宋体" w:hAnsi="宋体" w:cs="宋体"/>
                <w:color w:val="auto"/>
                <w:szCs w:val="21"/>
              </w:rPr>
              <w:t>3、重量：</w:t>
            </w:r>
            <w:r>
              <w:rPr>
                <w:rFonts w:hint="eastAsia" w:ascii="宋体" w:hAnsi="宋体" w:cs="宋体"/>
                <w:color w:val="auto"/>
                <w:szCs w:val="21"/>
              </w:rPr>
              <w:t>约</w:t>
            </w:r>
            <w:r>
              <w:rPr>
                <w:rFonts w:hint="eastAsia" w:ascii="宋体" w:hAnsi="宋体" w:cs="宋体"/>
                <w:color w:val="auto"/>
                <w:szCs w:val="21"/>
              </w:rPr>
              <w:t>10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23</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矫正镜</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1面</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 xml:space="preserve"> 约</w:t>
            </w:r>
            <w:r>
              <w:rPr>
                <w:rFonts w:hint="eastAsia" w:ascii="宋体" w:hAnsi="宋体" w:cs="宋体"/>
                <w:color w:val="auto"/>
                <w:szCs w:val="21"/>
              </w:rPr>
              <w:t>87×69×191cm</w:t>
            </w:r>
          </w:p>
          <w:p>
            <w:pPr>
              <w:widowControl/>
              <w:spacing w:line="360" w:lineRule="exact"/>
              <w:rPr>
                <w:rFonts w:ascii="宋体" w:hAnsi="宋体" w:cs="宋体"/>
                <w:color w:val="auto"/>
                <w:szCs w:val="21"/>
              </w:rPr>
            </w:pPr>
            <w:r>
              <w:rPr>
                <w:rFonts w:hint="eastAsia" w:ascii="宋体" w:hAnsi="宋体" w:cs="宋体"/>
                <w:color w:val="auto"/>
                <w:szCs w:val="21"/>
              </w:rPr>
              <w:t>2、钢制框架</w:t>
            </w:r>
          </w:p>
          <w:p>
            <w:pPr>
              <w:widowControl/>
              <w:spacing w:line="360" w:lineRule="exact"/>
              <w:rPr>
                <w:rFonts w:ascii="宋体" w:hAnsi="宋体" w:cs="宋体"/>
                <w:color w:val="auto"/>
                <w:szCs w:val="21"/>
              </w:rPr>
            </w:pPr>
            <w:r>
              <w:rPr>
                <w:rFonts w:hint="eastAsia" w:ascii="宋体" w:hAnsi="宋体" w:cs="宋体"/>
                <w:color w:val="auto"/>
                <w:szCs w:val="21"/>
              </w:rPr>
              <w:t>3、框架带脚轮可移动</w:t>
            </w:r>
          </w:p>
          <w:p>
            <w:pPr>
              <w:widowControl/>
              <w:spacing w:line="360" w:lineRule="exact"/>
              <w:rPr>
                <w:rFonts w:ascii="宋体" w:hAnsi="宋体" w:cs="宋体"/>
                <w:color w:val="auto"/>
                <w:szCs w:val="21"/>
              </w:rPr>
            </w:pPr>
            <w:r>
              <w:rPr>
                <w:rFonts w:hint="eastAsia" w:ascii="宋体" w:hAnsi="宋体" w:cs="宋体"/>
                <w:color w:val="auto"/>
                <w:szCs w:val="21"/>
              </w:rPr>
              <w:t>4、整体镜面，可映照全身</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24</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系列沙袋绑式</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1套</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67×33×78cm</w:t>
            </w:r>
          </w:p>
          <w:p>
            <w:pPr>
              <w:widowControl/>
              <w:spacing w:line="360" w:lineRule="exact"/>
              <w:rPr>
                <w:rFonts w:ascii="宋体" w:hAnsi="宋体" w:cs="宋体"/>
                <w:color w:val="auto"/>
                <w:szCs w:val="21"/>
              </w:rPr>
            </w:pPr>
            <w:r>
              <w:rPr>
                <w:rFonts w:hint="eastAsia" w:ascii="宋体" w:hAnsi="宋体" w:cs="宋体"/>
                <w:color w:val="auto"/>
                <w:szCs w:val="21"/>
              </w:rPr>
              <w:t>2、材质：不锈钢球，主体为型钢</w:t>
            </w:r>
          </w:p>
          <w:p>
            <w:pPr>
              <w:widowControl/>
              <w:spacing w:line="360" w:lineRule="exact"/>
              <w:rPr>
                <w:rFonts w:ascii="宋体" w:hAnsi="宋体" w:cs="宋体"/>
                <w:color w:val="auto"/>
                <w:szCs w:val="21"/>
              </w:rPr>
            </w:pPr>
            <w:r>
              <w:rPr>
                <w:rFonts w:hint="eastAsia" w:ascii="宋体" w:hAnsi="宋体" w:cs="宋体"/>
                <w:color w:val="auto"/>
                <w:szCs w:val="21"/>
              </w:rPr>
              <w:t>3、钢件表面喷塑</w:t>
            </w:r>
          </w:p>
          <w:p>
            <w:pPr>
              <w:widowControl/>
              <w:spacing w:line="360" w:lineRule="exact"/>
              <w:rPr>
                <w:rFonts w:ascii="宋体" w:hAnsi="宋体" w:cs="宋体"/>
                <w:color w:val="auto"/>
                <w:szCs w:val="21"/>
              </w:rPr>
            </w:pPr>
            <w:r>
              <w:rPr>
                <w:rFonts w:hint="eastAsia" w:ascii="宋体" w:hAnsi="宋体" w:cs="宋体"/>
                <w:color w:val="auto"/>
                <w:szCs w:val="21"/>
              </w:rPr>
              <w:t>4、砂袋采用弹性尼龙布制作，沙袋重量（kg）及个数：0.5(2个)、0.75（2个）、1（2个）、1.5（2个）、2（2个）、2.5（2个）共12个</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25</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滚筒</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1、规格：φ40×80cm</w:t>
            </w:r>
          </w:p>
          <w:p>
            <w:pPr>
              <w:widowControl/>
              <w:spacing w:line="360" w:lineRule="exact"/>
              <w:rPr>
                <w:rFonts w:ascii="宋体" w:hAnsi="宋体" w:cs="宋体"/>
                <w:color w:val="auto"/>
                <w:szCs w:val="21"/>
              </w:rPr>
            </w:pPr>
            <w:r>
              <w:rPr>
                <w:rFonts w:hint="eastAsia" w:ascii="宋体" w:hAnsi="宋体" w:cs="宋体"/>
                <w:color w:val="auto"/>
                <w:szCs w:val="21"/>
              </w:rPr>
              <w:t>1.1木制架构</w:t>
            </w:r>
          </w:p>
          <w:p>
            <w:pPr>
              <w:widowControl/>
              <w:spacing w:line="360" w:lineRule="exact"/>
              <w:rPr>
                <w:rFonts w:ascii="宋体" w:hAnsi="宋体" w:cs="宋体"/>
                <w:color w:val="auto"/>
                <w:szCs w:val="21"/>
              </w:rPr>
            </w:pPr>
            <w:r>
              <w:rPr>
                <w:rFonts w:hint="eastAsia" w:ascii="宋体" w:hAnsi="宋体" w:cs="宋体"/>
                <w:color w:val="auto"/>
                <w:szCs w:val="21"/>
              </w:rPr>
              <w:t>1.2高弹性海绵，外包皮革</w:t>
            </w:r>
          </w:p>
          <w:p>
            <w:pPr>
              <w:widowControl/>
              <w:spacing w:line="360" w:lineRule="exact"/>
              <w:rPr>
                <w:rFonts w:ascii="宋体" w:hAnsi="宋体" w:cs="宋体"/>
                <w:color w:val="auto"/>
                <w:szCs w:val="21"/>
              </w:rPr>
            </w:pPr>
            <w:r>
              <w:rPr>
                <w:rFonts w:hint="eastAsia" w:ascii="宋体" w:hAnsi="宋体" w:cs="宋体"/>
                <w:color w:val="auto"/>
                <w:szCs w:val="21"/>
              </w:rPr>
              <w:t>1.3额定负载：</w:t>
            </w:r>
            <w:r>
              <w:rPr>
                <w:rFonts w:hint="eastAsia" w:ascii="宋体" w:hAnsi="宋体" w:cs="宋体"/>
                <w:color w:val="auto"/>
                <w:szCs w:val="21"/>
              </w:rPr>
              <w:t>≥</w:t>
            </w:r>
            <w:r>
              <w:rPr>
                <w:rFonts w:hint="eastAsia" w:ascii="宋体" w:hAnsi="宋体" w:cs="宋体"/>
                <w:color w:val="auto"/>
                <w:szCs w:val="21"/>
              </w:rPr>
              <w:t>80kg。</w:t>
            </w:r>
          </w:p>
          <w:p>
            <w:pPr>
              <w:widowControl/>
              <w:spacing w:line="360" w:lineRule="exact"/>
              <w:rPr>
                <w:rFonts w:ascii="宋体" w:hAnsi="宋体" w:cs="宋体"/>
                <w:color w:val="auto"/>
                <w:szCs w:val="21"/>
              </w:rPr>
            </w:pPr>
            <w:r>
              <w:rPr>
                <w:rFonts w:hint="eastAsia" w:ascii="宋体" w:hAnsi="宋体" w:cs="宋体"/>
                <w:color w:val="auto"/>
                <w:szCs w:val="21"/>
              </w:rPr>
              <w:t>2、规格：φ26×80cm</w:t>
            </w:r>
          </w:p>
          <w:p>
            <w:pPr>
              <w:widowControl/>
              <w:spacing w:line="360" w:lineRule="exact"/>
              <w:rPr>
                <w:rFonts w:ascii="宋体" w:hAnsi="宋体" w:cs="宋体"/>
                <w:color w:val="auto"/>
                <w:szCs w:val="21"/>
              </w:rPr>
            </w:pPr>
            <w:r>
              <w:rPr>
                <w:rFonts w:hint="eastAsia" w:ascii="宋体" w:hAnsi="宋体" w:cs="宋体"/>
                <w:color w:val="auto"/>
                <w:szCs w:val="21"/>
              </w:rPr>
              <w:t>2.1木制架构</w:t>
            </w:r>
          </w:p>
          <w:p>
            <w:pPr>
              <w:widowControl/>
              <w:spacing w:line="360" w:lineRule="exact"/>
              <w:rPr>
                <w:rFonts w:ascii="宋体" w:hAnsi="宋体" w:cs="宋体"/>
                <w:color w:val="auto"/>
                <w:szCs w:val="21"/>
              </w:rPr>
            </w:pPr>
            <w:r>
              <w:rPr>
                <w:rFonts w:hint="eastAsia" w:ascii="宋体" w:hAnsi="宋体" w:cs="宋体"/>
                <w:color w:val="auto"/>
                <w:szCs w:val="21"/>
              </w:rPr>
              <w:t>2.2高弹性海绵，外包皮革</w:t>
            </w:r>
          </w:p>
          <w:p>
            <w:pPr>
              <w:widowControl/>
              <w:spacing w:line="360" w:lineRule="exact"/>
              <w:rPr>
                <w:rFonts w:ascii="宋体" w:hAnsi="宋体" w:cs="宋体"/>
                <w:color w:val="auto"/>
                <w:szCs w:val="21"/>
              </w:rPr>
            </w:pPr>
            <w:r>
              <w:rPr>
                <w:rFonts w:hint="eastAsia" w:ascii="宋体" w:hAnsi="宋体" w:cs="宋体"/>
                <w:color w:val="auto"/>
                <w:szCs w:val="21"/>
              </w:rPr>
              <w:t>2.3额定负载：</w:t>
            </w:r>
            <w:r>
              <w:rPr>
                <w:rFonts w:hint="eastAsia" w:ascii="宋体" w:hAnsi="宋体" w:cs="宋体"/>
                <w:color w:val="auto"/>
                <w:szCs w:val="21"/>
              </w:rPr>
              <w:t>≥</w:t>
            </w:r>
            <w:r>
              <w:rPr>
                <w:rFonts w:hint="eastAsia" w:ascii="宋体" w:hAnsi="宋体" w:cs="宋体"/>
                <w:color w:val="auto"/>
                <w:szCs w:val="21"/>
              </w:rPr>
              <w:t>80kg。</w:t>
            </w:r>
          </w:p>
          <w:p>
            <w:pPr>
              <w:widowControl/>
              <w:spacing w:line="360" w:lineRule="exact"/>
              <w:rPr>
                <w:rFonts w:ascii="宋体" w:hAnsi="宋体" w:cs="宋体"/>
                <w:color w:val="auto"/>
                <w:szCs w:val="21"/>
              </w:rPr>
            </w:pPr>
            <w:r>
              <w:rPr>
                <w:rFonts w:hint="eastAsia" w:ascii="宋体" w:hAnsi="宋体" w:cs="宋体"/>
                <w:color w:val="auto"/>
                <w:szCs w:val="21"/>
              </w:rPr>
              <w:t>3、规格：φ21×80cm</w:t>
            </w:r>
          </w:p>
          <w:p>
            <w:pPr>
              <w:widowControl/>
              <w:spacing w:line="360" w:lineRule="exact"/>
              <w:rPr>
                <w:rFonts w:ascii="宋体" w:hAnsi="宋体" w:cs="宋体"/>
                <w:color w:val="auto"/>
                <w:szCs w:val="21"/>
              </w:rPr>
            </w:pPr>
            <w:r>
              <w:rPr>
                <w:rFonts w:hint="eastAsia" w:ascii="宋体" w:hAnsi="宋体" w:cs="宋体"/>
                <w:color w:val="auto"/>
                <w:szCs w:val="21"/>
              </w:rPr>
              <w:t>3.1木制架构</w:t>
            </w:r>
          </w:p>
          <w:p>
            <w:pPr>
              <w:widowControl/>
              <w:spacing w:line="360" w:lineRule="exact"/>
              <w:rPr>
                <w:rFonts w:ascii="宋体" w:hAnsi="宋体" w:cs="宋体"/>
                <w:color w:val="auto"/>
                <w:szCs w:val="21"/>
              </w:rPr>
            </w:pPr>
            <w:r>
              <w:rPr>
                <w:rFonts w:hint="eastAsia" w:ascii="宋体" w:hAnsi="宋体" w:cs="宋体"/>
                <w:color w:val="auto"/>
                <w:szCs w:val="21"/>
              </w:rPr>
              <w:t>3.2高弹性海绵，外包皮革</w:t>
            </w:r>
          </w:p>
          <w:p>
            <w:pPr>
              <w:widowControl/>
              <w:spacing w:line="360" w:lineRule="exact"/>
              <w:rPr>
                <w:rFonts w:ascii="宋体" w:hAnsi="宋体" w:cs="宋体"/>
                <w:color w:val="auto"/>
                <w:szCs w:val="21"/>
              </w:rPr>
            </w:pPr>
            <w:r>
              <w:rPr>
                <w:rFonts w:hint="eastAsia" w:ascii="宋体" w:hAnsi="宋体" w:cs="宋体"/>
                <w:color w:val="auto"/>
                <w:szCs w:val="21"/>
              </w:rPr>
              <w:t>3.3额定负载：</w:t>
            </w:r>
            <w:r>
              <w:rPr>
                <w:rFonts w:hint="eastAsia" w:ascii="宋体" w:hAnsi="宋体" w:cs="宋体"/>
                <w:color w:val="auto"/>
                <w:szCs w:val="21"/>
              </w:rPr>
              <w:t>≥</w:t>
            </w:r>
            <w:r>
              <w:rPr>
                <w:rFonts w:hint="eastAsia" w:ascii="宋体" w:hAnsi="宋体" w:cs="宋体"/>
                <w:color w:val="auto"/>
                <w:szCs w:val="21"/>
              </w:rPr>
              <w:t>80kg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26</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巴氏球94</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1、充气巴氏球一个</w:t>
            </w:r>
          </w:p>
          <w:p>
            <w:pPr>
              <w:widowControl/>
              <w:spacing w:line="360" w:lineRule="exact"/>
              <w:rPr>
                <w:rFonts w:ascii="宋体" w:hAnsi="宋体" w:cs="宋体"/>
                <w:color w:val="auto"/>
                <w:szCs w:val="21"/>
              </w:rPr>
            </w:pPr>
            <w:r>
              <w:rPr>
                <w:rFonts w:hint="eastAsia" w:ascii="宋体" w:hAnsi="宋体" w:cs="宋体"/>
                <w:color w:val="auto"/>
                <w:szCs w:val="21"/>
              </w:rPr>
              <w:t>2、φ95cm</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27</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巴氏球74</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1、充气巴氏球一个</w:t>
            </w:r>
          </w:p>
          <w:p>
            <w:pPr>
              <w:widowControl/>
              <w:spacing w:line="360" w:lineRule="exact"/>
              <w:rPr>
                <w:rFonts w:ascii="宋体" w:hAnsi="宋体" w:cs="宋体"/>
                <w:color w:val="auto"/>
                <w:szCs w:val="21"/>
              </w:rPr>
            </w:pPr>
            <w:r>
              <w:rPr>
                <w:rFonts w:hint="eastAsia" w:ascii="宋体" w:hAnsi="宋体" w:cs="宋体"/>
                <w:color w:val="auto"/>
                <w:szCs w:val="21"/>
              </w:rPr>
              <w:t>2、φ75cm</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28</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弹跳球</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lang w:eastAsia="zh-CN"/>
              </w:rPr>
              <w:t>（</w:t>
            </w:r>
            <w:r>
              <w:rPr>
                <w:rFonts w:hint="eastAsia" w:ascii="宋体" w:hAnsi="宋体" w:cs="宋体"/>
                <w:color w:val="auto"/>
                <w:szCs w:val="21"/>
                <w:lang w:val="en-US" w:eastAsia="zh-CN"/>
              </w:rPr>
              <w:t>cm</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rPr>
              <w:t>约</w:t>
            </w:r>
            <w:r>
              <w:rPr>
                <w:rFonts w:hint="eastAsia" w:ascii="宋体" w:hAnsi="宋体" w:cs="宋体"/>
                <w:color w:val="auto"/>
                <w:szCs w:val="21"/>
              </w:rPr>
              <w:t>40×30×22</w:t>
            </w:r>
          </w:p>
          <w:p>
            <w:pPr>
              <w:widowControl/>
              <w:spacing w:line="360" w:lineRule="exact"/>
              <w:rPr>
                <w:rFonts w:ascii="宋体" w:hAnsi="宋体" w:cs="宋体"/>
                <w:color w:val="auto"/>
                <w:szCs w:val="21"/>
              </w:rPr>
            </w:pPr>
            <w:r>
              <w:rPr>
                <w:rFonts w:hint="eastAsia" w:ascii="宋体" w:hAnsi="宋体" w:cs="宋体"/>
                <w:color w:val="auto"/>
                <w:szCs w:val="21"/>
              </w:rPr>
              <w:t>2、重量：</w:t>
            </w:r>
            <w:r>
              <w:rPr>
                <w:rFonts w:hint="eastAsia" w:ascii="宋体" w:hAnsi="宋体" w:cs="宋体"/>
                <w:color w:val="auto"/>
                <w:szCs w:val="21"/>
              </w:rPr>
              <w:t>约</w:t>
            </w:r>
            <w:r>
              <w:rPr>
                <w:rFonts w:hint="eastAsia" w:ascii="宋体" w:hAnsi="宋体" w:cs="宋体"/>
                <w:color w:val="auto"/>
                <w:szCs w:val="21"/>
              </w:rPr>
              <w:t>0.9/1 kg</w:t>
            </w:r>
          </w:p>
          <w:p>
            <w:pPr>
              <w:widowControl/>
              <w:spacing w:line="360" w:lineRule="exact"/>
              <w:rPr>
                <w:rFonts w:ascii="宋体" w:hAnsi="宋体" w:cs="宋体"/>
                <w:color w:val="auto"/>
                <w:szCs w:val="21"/>
              </w:rPr>
            </w:pPr>
            <w:r>
              <w:rPr>
                <w:rFonts w:hint="eastAsia" w:ascii="宋体" w:hAnsi="宋体" w:cs="宋体"/>
                <w:color w:val="auto"/>
                <w:szCs w:val="21"/>
              </w:rPr>
              <w:t>3、配圆形的球2个、脚踏板1个</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29</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模拟作业工具</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1套</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lang w:eastAsia="zh-CN"/>
              </w:rPr>
              <w:t>（</w:t>
            </w:r>
            <w:r>
              <w:rPr>
                <w:rFonts w:hint="eastAsia" w:ascii="宋体" w:hAnsi="宋体" w:cs="宋体"/>
                <w:color w:val="auto"/>
                <w:szCs w:val="21"/>
                <w:lang w:val="en-US" w:eastAsia="zh-CN"/>
              </w:rPr>
              <w:t>cm</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rPr>
              <w:t>约</w:t>
            </w:r>
            <w:r>
              <w:rPr>
                <w:rFonts w:hint="eastAsia" w:ascii="宋体" w:hAnsi="宋体" w:cs="宋体"/>
                <w:color w:val="auto"/>
                <w:szCs w:val="21"/>
              </w:rPr>
              <w:t>30×48×3</w:t>
            </w:r>
          </w:p>
          <w:p>
            <w:pPr>
              <w:widowControl/>
              <w:spacing w:line="360" w:lineRule="exact"/>
              <w:rPr>
                <w:rFonts w:ascii="宋体" w:hAnsi="宋体" w:cs="宋体"/>
                <w:color w:val="auto"/>
                <w:szCs w:val="21"/>
              </w:rPr>
            </w:pPr>
            <w:r>
              <w:rPr>
                <w:rFonts w:hint="eastAsia" w:ascii="宋体" w:hAnsi="宋体" w:cs="宋体"/>
                <w:color w:val="auto"/>
                <w:szCs w:val="21"/>
              </w:rPr>
              <w:t>2、塑料制件</w:t>
            </w:r>
          </w:p>
          <w:p>
            <w:pPr>
              <w:widowControl/>
              <w:spacing w:line="360" w:lineRule="exact"/>
              <w:rPr>
                <w:rFonts w:ascii="宋体" w:hAnsi="宋体" w:cs="宋体"/>
                <w:color w:val="auto"/>
                <w:szCs w:val="21"/>
              </w:rPr>
            </w:pPr>
            <w:r>
              <w:rPr>
                <w:rFonts w:hint="eastAsia" w:ascii="宋体" w:hAnsi="宋体" w:cs="宋体"/>
                <w:color w:val="auto"/>
                <w:szCs w:val="21"/>
              </w:rPr>
              <w:t>3、常用作业工具</w:t>
            </w:r>
          </w:p>
          <w:p>
            <w:pPr>
              <w:widowControl/>
              <w:spacing w:line="360" w:lineRule="exact"/>
              <w:rPr>
                <w:rFonts w:ascii="宋体" w:hAnsi="宋体" w:cs="宋体"/>
                <w:color w:val="auto"/>
                <w:szCs w:val="21"/>
              </w:rPr>
            </w:pPr>
            <w:r>
              <w:rPr>
                <w:rFonts w:hint="eastAsia" w:ascii="宋体" w:hAnsi="宋体" w:cs="宋体"/>
                <w:color w:val="auto"/>
                <w:szCs w:val="21"/>
              </w:rPr>
              <w:t>4、重量：</w:t>
            </w:r>
            <w:r>
              <w:rPr>
                <w:rFonts w:hint="eastAsia" w:ascii="宋体" w:hAnsi="宋体" w:cs="宋体"/>
                <w:color w:val="auto"/>
                <w:szCs w:val="21"/>
              </w:rPr>
              <w:t>约</w:t>
            </w:r>
            <w:r>
              <w:rPr>
                <w:rFonts w:hint="eastAsia" w:ascii="宋体" w:hAnsi="宋体" w:cs="宋体"/>
                <w:color w:val="auto"/>
                <w:szCs w:val="21"/>
              </w:rPr>
              <w:t>1.4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30</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木插板</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1、木制，三件，分大中小各一，</w:t>
            </w:r>
          </w:p>
          <w:p>
            <w:pPr>
              <w:widowControl/>
              <w:spacing w:line="360" w:lineRule="exact"/>
              <w:rPr>
                <w:rFonts w:ascii="宋体" w:hAnsi="宋体" w:cs="宋体"/>
                <w:color w:val="auto"/>
                <w:szCs w:val="21"/>
              </w:rPr>
            </w:pPr>
            <w:r>
              <w:rPr>
                <w:rFonts w:hint="eastAsia" w:ascii="宋体" w:hAnsi="宋体" w:cs="宋体"/>
                <w:color w:val="auto"/>
                <w:szCs w:val="21"/>
              </w:rPr>
              <w:t>2、规格：35×28×10、22×17×9、17×14×8cm</w:t>
            </w:r>
          </w:p>
          <w:p>
            <w:pPr>
              <w:widowControl/>
              <w:spacing w:line="360" w:lineRule="exact"/>
              <w:rPr>
                <w:rFonts w:ascii="宋体" w:hAnsi="宋体" w:cs="宋体"/>
                <w:color w:val="auto"/>
                <w:szCs w:val="21"/>
              </w:rPr>
            </w:pPr>
            <w:r>
              <w:rPr>
                <w:rFonts w:hint="eastAsia" w:ascii="宋体" w:hAnsi="宋体" w:cs="宋体"/>
                <w:color w:val="auto"/>
                <w:szCs w:val="21"/>
              </w:rPr>
              <w:t>3、重量：</w:t>
            </w:r>
            <w:r>
              <w:rPr>
                <w:rFonts w:hint="eastAsia" w:ascii="宋体" w:hAnsi="宋体" w:cs="宋体"/>
                <w:color w:val="auto"/>
                <w:szCs w:val="21"/>
              </w:rPr>
              <w:t>约</w:t>
            </w:r>
            <w:r>
              <w:rPr>
                <w:rFonts w:hint="eastAsia" w:ascii="宋体" w:hAnsi="宋体" w:cs="宋体"/>
                <w:color w:val="auto"/>
                <w:szCs w:val="21"/>
              </w:rPr>
              <w:t>3.2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滑轮吊环训练器</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1台</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64×10×130cm</w:t>
            </w:r>
          </w:p>
          <w:p>
            <w:pPr>
              <w:widowControl/>
              <w:spacing w:line="360" w:lineRule="exact"/>
              <w:rPr>
                <w:rFonts w:ascii="宋体" w:hAnsi="宋体" w:cs="宋体"/>
                <w:color w:val="auto"/>
                <w:szCs w:val="21"/>
              </w:rPr>
            </w:pPr>
            <w:r>
              <w:rPr>
                <w:rFonts w:hint="eastAsia" w:ascii="宋体" w:hAnsi="宋体" w:cs="宋体"/>
                <w:color w:val="auto"/>
                <w:szCs w:val="21"/>
              </w:rPr>
              <w:t>2、主体框架不锈钢制</w:t>
            </w:r>
          </w:p>
          <w:p>
            <w:pPr>
              <w:widowControl/>
              <w:spacing w:line="360" w:lineRule="exact"/>
              <w:rPr>
                <w:rFonts w:ascii="宋体" w:hAnsi="宋体" w:cs="宋体"/>
                <w:color w:val="auto"/>
                <w:szCs w:val="21"/>
              </w:rPr>
            </w:pPr>
            <w:r>
              <w:rPr>
                <w:rFonts w:hint="eastAsia" w:ascii="宋体" w:hAnsi="宋体" w:cs="宋体"/>
                <w:color w:val="auto"/>
                <w:szCs w:val="21"/>
              </w:rPr>
              <w:t>3、配塑制滑轮及拉手</w:t>
            </w:r>
          </w:p>
          <w:p>
            <w:pPr>
              <w:widowControl/>
              <w:spacing w:line="360" w:lineRule="exact"/>
              <w:rPr>
                <w:rFonts w:ascii="宋体" w:hAnsi="宋体" w:cs="宋体"/>
                <w:color w:val="auto"/>
                <w:szCs w:val="21"/>
              </w:rPr>
            </w:pPr>
            <w:r>
              <w:rPr>
                <w:rFonts w:hint="eastAsia" w:ascii="宋体" w:hAnsi="宋体" w:cs="宋体"/>
                <w:color w:val="auto"/>
                <w:szCs w:val="21"/>
              </w:rPr>
              <w:t>4、高度可调，调节范围：0-50cm</w:t>
            </w:r>
          </w:p>
          <w:p>
            <w:pPr>
              <w:widowControl/>
              <w:spacing w:line="360" w:lineRule="exact"/>
              <w:rPr>
                <w:rFonts w:ascii="宋体" w:hAnsi="宋体" w:cs="宋体"/>
                <w:color w:val="auto"/>
                <w:szCs w:val="21"/>
              </w:rPr>
            </w:pPr>
            <w:r>
              <w:rPr>
                <w:rFonts w:hint="eastAsia" w:ascii="宋体" w:hAnsi="宋体" w:cs="宋体"/>
                <w:color w:val="auto"/>
                <w:szCs w:val="21"/>
              </w:rPr>
              <w:t>5、吊环角度可调，旋转角度：0-180度</w:t>
            </w:r>
          </w:p>
          <w:p>
            <w:pPr>
              <w:widowControl/>
              <w:spacing w:line="360" w:lineRule="exact"/>
              <w:rPr>
                <w:rFonts w:ascii="宋体" w:hAnsi="宋体" w:cs="宋体"/>
                <w:color w:val="auto"/>
                <w:szCs w:val="21"/>
              </w:rPr>
            </w:pPr>
            <w:r>
              <w:rPr>
                <w:rFonts w:hint="eastAsia" w:ascii="宋体" w:hAnsi="宋体" w:cs="宋体"/>
                <w:color w:val="auto"/>
                <w:szCs w:val="21"/>
              </w:rPr>
              <w:t>6、滑轮位置、间距可调</w:t>
            </w:r>
          </w:p>
          <w:p>
            <w:pPr>
              <w:widowControl/>
              <w:spacing w:line="360" w:lineRule="exact"/>
              <w:rPr>
                <w:rFonts w:ascii="宋体" w:hAnsi="宋体" w:cs="宋体"/>
                <w:color w:val="auto"/>
                <w:szCs w:val="21"/>
              </w:rPr>
            </w:pPr>
            <w:r>
              <w:rPr>
                <w:rFonts w:hint="eastAsia" w:ascii="宋体" w:hAnsi="宋体" w:cs="宋体"/>
                <w:color w:val="auto"/>
                <w:szCs w:val="21"/>
              </w:rPr>
              <w:t>7、重量：</w:t>
            </w:r>
            <w:r>
              <w:rPr>
                <w:rFonts w:hint="eastAsia" w:ascii="宋体" w:hAnsi="宋体" w:cs="宋体"/>
                <w:color w:val="auto"/>
                <w:szCs w:val="21"/>
              </w:rPr>
              <w:t>约</w:t>
            </w:r>
            <w:r>
              <w:rPr>
                <w:rFonts w:hint="eastAsia" w:ascii="宋体" w:hAnsi="宋体" w:cs="宋体"/>
                <w:color w:val="auto"/>
                <w:szCs w:val="21"/>
              </w:rPr>
              <w:t>5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32</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楔形垫</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1张</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1、45度锲形垫1个</w:t>
            </w:r>
          </w:p>
          <w:p>
            <w:pPr>
              <w:widowControl/>
              <w:spacing w:line="360" w:lineRule="exact"/>
              <w:rPr>
                <w:rFonts w:ascii="宋体" w:hAnsi="宋体" w:cs="宋体"/>
                <w:color w:val="auto"/>
                <w:szCs w:val="21"/>
              </w:rPr>
            </w:pPr>
            <w:r>
              <w:rPr>
                <w:rFonts w:hint="eastAsia" w:ascii="宋体" w:hAnsi="宋体" w:cs="宋体"/>
                <w:color w:val="auto"/>
                <w:szCs w:val="21"/>
              </w:rPr>
              <w:t>2、规格：</w:t>
            </w:r>
            <w:r>
              <w:rPr>
                <w:rFonts w:hint="eastAsia" w:ascii="宋体" w:hAnsi="宋体" w:cs="宋体"/>
                <w:color w:val="auto"/>
                <w:szCs w:val="21"/>
              </w:rPr>
              <w:t>约</w:t>
            </w:r>
            <w:r>
              <w:rPr>
                <w:rFonts w:hint="eastAsia" w:ascii="宋体" w:hAnsi="宋体" w:cs="宋体"/>
                <w:color w:val="auto"/>
                <w:szCs w:val="21"/>
              </w:rPr>
              <w:t>62x48x45cm</w:t>
            </w:r>
          </w:p>
          <w:p>
            <w:pPr>
              <w:widowControl/>
              <w:spacing w:line="360" w:lineRule="exact"/>
              <w:rPr>
                <w:rFonts w:ascii="宋体" w:hAnsi="宋体" w:cs="宋体"/>
                <w:color w:val="auto"/>
                <w:szCs w:val="21"/>
              </w:rPr>
            </w:pPr>
            <w:r>
              <w:rPr>
                <w:rFonts w:hint="eastAsia" w:ascii="宋体" w:hAnsi="宋体" w:cs="宋体"/>
                <w:color w:val="auto"/>
                <w:szCs w:val="21"/>
              </w:rPr>
              <w:t>3、人造皮革外包</w:t>
            </w:r>
          </w:p>
          <w:p>
            <w:pPr>
              <w:widowControl/>
              <w:spacing w:line="360" w:lineRule="exact"/>
              <w:rPr>
                <w:rFonts w:ascii="宋体" w:hAnsi="宋体" w:cs="宋体"/>
                <w:color w:val="auto"/>
                <w:szCs w:val="21"/>
              </w:rPr>
            </w:pPr>
            <w:r>
              <w:rPr>
                <w:rFonts w:hint="eastAsia" w:ascii="宋体" w:hAnsi="宋体" w:cs="宋体"/>
                <w:color w:val="auto"/>
                <w:szCs w:val="21"/>
              </w:rPr>
              <w:t>4、重量：</w:t>
            </w:r>
            <w:r>
              <w:rPr>
                <w:rFonts w:hint="eastAsia" w:ascii="宋体" w:hAnsi="宋体" w:cs="宋体"/>
                <w:color w:val="auto"/>
                <w:szCs w:val="21"/>
              </w:rPr>
              <w:t>约</w:t>
            </w:r>
            <w:r>
              <w:rPr>
                <w:rFonts w:hint="eastAsia" w:ascii="宋体" w:hAnsi="宋体" w:cs="宋体"/>
                <w:color w:val="auto"/>
                <w:szCs w:val="21"/>
              </w:rPr>
              <w:t>1.8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33</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木质图形插板</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48×38×5cm</w:t>
            </w:r>
          </w:p>
          <w:p>
            <w:pPr>
              <w:widowControl/>
              <w:spacing w:line="360" w:lineRule="exact"/>
              <w:rPr>
                <w:rFonts w:ascii="宋体" w:hAnsi="宋体" w:cs="宋体"/>
                <w:color w:val="auto"/>
                <w:szCs w:val="21"/>
              </w:rPr>
            </w:pPr>
            <w:r>
              <w:rPr>
                <w:rFonts w:hint="eastAsia" w:ascii="宋体" w:hAnsi="宋体" w:cs="宋体"/>
                <w:color w:val="auto"/>
                <w:szCs w:val="21"/>
              </w:rPr>
              <w:t>2、木制件</w:t>
            </w:r>
          </w:p>
          <w:p>
            <w:pPr>
              <w:widowControl/>
              <w:spacing w:line="360" w:lineRule="exact"/>
              <w:rPr>
                <w:rFonts w:ascii="宋体" w:hAnsi="宋体" w:cs="宋体"/>
                <w:color w:val="auto"/>
                <w:szCs w:val="21"/>
              </w:rPr>
            </w:pPr>
            <w:r>
              <w:rPr>
                <w:rFonts w:hint="eastAsia" w:ascii="宋体" w:hAnsi="宋体" w:cs="宋体"/>
                <w:color w:val="auto"/>
                <w:szCs w:val="21"/>
              </w:rPr>
              <w:t>3、重量：</w:t>
            </w:r>
            <w:r>
              <w:rPr>
                <w:rFonts w:hint="eastAsia" w:ascii="宋体" w:hAnsi="宋体" w:cs="宋体"/>
                <w:color w:val="auto"/>
                <w:szCs w:val="21"/>
              </w:rPr>
              <w:t>约</w:t>
            </w:r>
            <w:r>
              <w:rPr>
                <w:rFonts w:hint="eastAsia" w:ascii="宋体" w:hAnsi="宋体" w:cs="宋体"/>
                <w:color w:val="auto"/>
                <w:szCs w:val="21"/>
              </w:rPr>
              <w:t>1.8 kg</w:t>
            </w:r>
          </w:p>
        </w:tc>
      </w:tr>
      <w:tr>
        <w:tblPrEx>
          <w:tblCellMar>
            <w:top w:w="0" w:type="dxa"/>
            <w:left w:w="108" w:type="dxa"/>
            <w:bottom w:w="0" w:type="dxa"/>
            <w:right w:w="108" w:type="dxa"/>
          </w:tblCellMar>
        </w:tblPrEx>
        <w:trPr>
          <w:trHeight w:val="39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34</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分指板</w:t>
            </w:r>
          </w:p>
        </w:tc>
        <w:tc>
          <w:tcPr>
            <w:tcW w:w="8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1个</w:t>
            </w:r>
          </w:p>
        </w:tc>
        <w:tc>
          <w:tcPr>
            <w:tcW w:w="694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color w:val="auto"/>
                <w:szCs w:val="21"/>
              </w:rPr>
            </w:pPr>
            <w:r>
              <w:rPr>
                <w:rFonts w:hint="eastAsia" w:ascii="宋体" w:hAnsi="宋体" w:cs="宋体"/>
                <w:color w:val="auto"/>
                <w:szCs w:val="21"/>
              </w:rPr>
              <w:t>1、规格：</w:t>
            </w:r>
            <w:r>
              <w:rPr>
                <w:rFonts w:hint="eastAsia" w:ascii="宋体" w:hAnsi="宋体" w:cs="宋体"/>
                <w:color w:val="auto"/>
                <w:szCs w:val="21"/>
              </w:rPr>
              <w:t>约</w:t>
            </w:r>
            <w:r>
              <w:rPr>
                <w:rFonts w:hint="eastAsia" w:ascii="宋体" w:hAnsi="宋体" w:cs="宋体"/>
                <w:color w:val="auto"/>
                <w:szCs w:val="21"/>
              </w:rPr>
              <w:t>22×22×3.5cm</w:t>
            </w:r>
          </w:p>
          <w:p>
            <w:pPr>
              <w:widowControl/>
              <w:spacing w:line="360" w:lineRule="exact"/>
              <w:rPr>
                <w:rFonts w:ascii="宋体" w:hAnsi="宋体" w:cs="宋体"/>
                <w:color w:val="auto"/>
                <w:szCs w:val="21"/>
              </w:rPr>
            </w:pPr>
            <w:r>
              <w:rPr>
                <w:rFonts w:hint="eastAsia" w:ascii="宋体" w:hAnsi="宋体" w:cs="宋体"/>
                <w:color w:val="auto"/>
                <w:szCs w:val="21"/>
              </w:rPr>
              <w:t>2、全木制件　</w:t>
            </w:r>
          </w:p>
          <w:p>
            <w:pPr>
              <w:widowControl/>
              <w:spacing w:line="360" w:lineRule="exact"/>
              <w:rPr>
                <w:rFonts w:ascii="宋体" w:hAnsi="宋体" w:cs="宋体"/>
                <w:color w:val="auto"/>
                <w:szCs w:val="21"/>
              </w:rPr>
            </w:pPr>
            <w:r>
              <w:rPr>
                <w:rFonts w:hint="eastAsia" w:ascii="宋体" w:hAnsi="宋体" w:cs="宋体"/>
                <w:color w:val="auto"/>
                <w:szCs w:val="21"/>
              </w:rPr>
              <w:t>3、重量：</w:t>
            </w:r>
            <w:r>
              <w:rPr>
                <w:rFonts w:hint="eastAsia" w:ascii="宋体" w:hAnsi="宋体" w:cs="宋体"/>
                <w:color w:val="auto"/>
                <w:szCs w:val="21"/>
              </w:rPr>
              <w:t>约</w:t>
            </w:r>
            <w:r>
              <w:rPr>
                <w:rFonts w:hint="eastAsia" w:ascii="宋体" w:hAnsi="宋体" w:cs="宋体"/>
                <w:color w:val="auto"/>
                <w:szCs w:val="21"/>
              </w:rPr>
              <w:t>0.2 kg</w:t>
            </w:r>
          </w:p>
        </w:tc>
      </w:tr>
      <w:tr>
        <w:tblPrEx>
          <w:tblCellMar>
            <w:top w:w="0" w:type="dxa"/>
            <w:left w:w="108" w:type="dxa"/>
            <w:bottom w:w="0" w:type="dxa"/>
            <w:right w:w="108" w:type="dxa"/>
          </w:tblCellMar>
        </w:tblPrEx>
        <w:trPr>
          <w:trHeight w:val="31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商</w:t>
            </w:r>
          </w:p>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务</w:t>
            </w:r>
          </w:p>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要</w:t>
            </w:r>
          </w:p>
          <w:p>
            <w:pPr>
              <w:widowControl/>
              <w:spacing w:line="360" w:lineRule="exact"/>
              <w:jc w:val="center"/>
              <w:rPr>
                <w:rFonts w:ascii="宋体" w:hAnsi="宋体" w:cs="宋体"/>
                <w:b/>
                <w:color w:val="auto"/>
                <w:kern w:val="0"/>
                <w:szCs w:val="21"/>
              </w:rPr>
            </w:pPr>
            <w:r>
              <w:rPr>
                <w:rFonts w:hint="eastAsia" w:ascii="宋体" w:hAnsi="宋体" w:cs="宋体"/>
                <w:b/>
                <w:color w:val="auto"/>
                <w:kern w:val="0"/>
                <w:szCs w:val="21"/>
              </w:rPr>
              <w:t>求</w:t>
            </w:r>
          </w:p>
        </w:tc>
        <w:tc>
          <w:tcPr>
            <w:tcW w:w="902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rPr>
            </w:pPr>
            <w:r>
              <w:rPr>
                <w:rFonts w:hint="eastAsia" w:ascii="宋体" w:hAnsi="宋体" w:cs="宋体"/>
                <w:color w:val="auto"/>
                <w:szCs w:val="21"/>
              </w:rPr>
              <w:t>★一、合同签订期：</w:t>
            </w:r>
            <w:r>
              <w:rPr>
                <w:rFonts w:hint="eastAsia" w:ascii="宋体" w:hAnsi="宋体" w:cs="宋体"/>
                <w:color w:val="auto"/>
                <w:szCs w:val="21"/>
              </w:rPr>
              <w:t>自成交通知书发出之日起25天内。</w:t>
            </w:r>
          </w:p>
          <w:p>
            <w:pPr>
              <w:spacing w:line="360" w:lineRule="exact"/>
              <w:rPr>
                <w:rFonts w:ascii="宋体" w:hAnsi="宋体" w:cs="宋体"/>
                <w:color w:val="auto"/>
                <w:szCs w:val="21"/>
              </w:rPr>
            </w:pPr>
            <w:r>
              <w:rPr>
                <w:rFonts w:hint="eastAsia" w:ascii="宋体" w:hAnsi="宋体" w:cs="宋体"/>
                <w:color w:val="auto"/>
                <w:szCs w:val="21"/>
              </w:rPr>
              <w:t>★二、合同履行期限：自签订合同之日起</w:t>
            </w:r>
            <w:r>
              <w:rPr>
                <w:rFonts w:hint="eastAsia" w:ascii="宋体" w:hAnsi="宋体" w:cs="宋体"/>
                <w:color w:val="auto"/>
                <w:szCs w:val="21"/>
                <w:lang w:val="en-US" w:eastAsia="zh-CN"/>
              </w:rPr>
              <w:t>15</w:t>
            </w:r>
            <w:r>
              <w:rPr>
                <w:rFonts w:hint="eastAsia" w:ascii="宋体" w:hAnsi="宋体" w:cs="宋体"/>
                <w:color w:val="auto"/>
                <w:szCs w:val="21"/>
              </w:rPr>
              <w:t>个日历日内交货安装和调试完毕验收合格并交付使用。</w:t>
            </w:r>
          </w:p>
          <w:p>
            <w:pPr>
              <w:spacing w:line="360" w:lineRule="exact"/>
              <w:rPr>
                <w:rFonts w:ascii="宋体" w:hAnsi="宋体" w:cs="宋体"/>
                <w:color w:val="auto"/>
                <w:szCs w:val="21"/>
              </w:rPr>
            </w:pPr>
            <w:r>
              <w:rPr>
                <w:rFonts w:hint="eastAsia" w:ascii="宋体" w:hAnsi="宋体" w:cs="宋体"/>
                <w:color w:val="auto"/>
                <w:szCs w:val="21"/>
              </w:rPr>
              <w:t>★三、</w:t>
            </w:r>
            <w:r>
              <w:rPr>
                <w:rFonts w:hint="eastAsia" w:ascii="宋体" w:hAnsi="宋体" w:cs="宋体"/>
                <w:color w:val="auto"/>
                <w:szCs w:val="21"/>
              </w:rPr>
              <w:t>质保期：质保期从验收合格之日起计算，除“技术参数及性能（配置）要求”中有特别要求的，</w:t>
            </w:r>
            <w:r>
              <w:rPr>
                <w:rFonts w:hint="eastAsia" w:ascii="宋体" w:hAnsi="宋体" w:cs="宋体"/>
                <w:color w:val="auto"/>
                <w:szCs w:val="21"/>
              </w:rPr>
              <w:t>货物质保期≥12个月</w:t>
            </w:r>
            <w:r>
              <w:rPr>
                <w:rFonts w:hint="eastAsia" w:ascii="宋体" w:hAnsi="宋体" w:cs="宋体"/>
                <w:color w:val="auto"/>
                <w:szCs w:val="21"/>
              </w:rPr>
              <w:t>，质保期期内产品实行三包。在质保期期内因货物质量、安装而造成货物损坏，其全部费用由成交人负责。</w:t>
            </w:r>
          </w:p>
          <w:p>
            <w:pPr>
              <w:spacing w:line="360" w:lineRule="exact"/>
              <w:rPr>
                <w:rFonts w:ascii="宋体" w:hAnsi="宋体" w:cs="宋体"/>
                <w:color w:val="auto"/>
                <w:szCs w:val="21"/>
              </w:rPr>
            </w:pPr>
            <w:r>
              <w:rPr>
                <w:rFonts w:hint="eastAsia" w:ascii="宋体" w:hAnsi="宋体" w:cs="宋体"/>
                <w:color w:val="auto"/>
                <w:szCs w:val="21"/>
              </w:rPr>
              <w:t>四、交货地点：防城港市中医医院采购人指定地点</w:t>
            </w:r>
          </w:p>
          <w:p>
            <w:pPr>
              <w:spacing w:line="360" w:lineRule="exact"/>
              <w:rPr>
                <w:rFonts w:ascii="宋体" w:hAnsi="宋体" w:cs="宋体"/>
                <w:color w:val="auto"/>
                <w:szCs w:val="21"/>
              </w:rPr>
            </w:pPr>
            <w:r>
              <w:rPr>
                <w:rFonts w:hint="eastAsia" w:ascii="宋体" w:hAnsi="宋体" w:cs="宋体"/>
                <w:color w:val="auto"/>
                <w:szCs w:val="21"/>
              </w:rPr>
              <w:t>五、售后技术服务要求：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售后服务：（1）按国家有关规定实行产品“三包”；（2）免费将所有货物送货上门、免费安装调试；（3）故障响应时间：接到采购人故障通知后供应商应在≤30分钟内电话服务应答，在不需要更换备件的条件下应在≤8小时内解除故障，需要更换备件时应在≤24小时内解决故障，故障解决后≤48小时内，应向采购人提交故障处理报告。报告中必须说明故障种类、故障原因、故障处理方法等。特殊情况无法修复的，质保期内供应商无条件更换新设备或提供代用设备；或采取使设备可正常运转的措施，保证设备正常使用；（4）定期回访、走访以及维修；（5）质保期内对全部产品免费上门维修、免费更换零部件，不向采购人收取额外费用，免费提供所竞标产品的软件更新升级；（6）提供终身维护；（7）其余按厂家承诺进行。</w:t>
            </w:r>
          </w:p>
          <w:p>
            <w:pPr>
              <w:spacing w:line="360" w:lineRule="exact"/>
              <w:ind w:firstLine="420" w:firstLineChars="200"/>
              <w:rPr>
                <w:rFonts w:ascii="宋体" w:hAnsi="宋体" w:cs="宋体"/>
                <w:color w:val="auto"/>
                <w:szCs w:val="21"/>
              </w:rPr>
            </w:pPr>
            <w:r>
              <w:rPr>
                <w:rFonts w:hint="eastAsia" w:ascii="宋体" w:hAnsi="宋体" w:cs="宋体"/>
                <w:color w:val="auto"/>
                <w:szCs w:val="21"/>
              </w:rPr>
              <w:t>2、项目验收后，成交供应商将有关项目文档（包括电子文档和纸质文档）移交采购人。</w:t>
            </w:r>
          </w:p>
          <w:p>
            <w:pPr>
              <w:spacing w:line="360" w:lineRule="exact"/>
              <w:rPr>
                <w:rFonts w:ascii="宋体" w:hAnsi="宋体" w:cs="宋体"/>
                <w:color w:val="auto"/>
                <w:szCs w:val="21"/>
              </w:rPr>
            </w:pPr>
            <w:r>
              <w:rPr>
                <w:rFonts w:hint="eastAsia" w:ascii="宋体" w:hAnsi="宋体" w:cs="宋体"/>
                <w:color w:val="auto"/>
                <w:szCs w:val="21"/>
              </w:rPr>
              <w:t>六、备品备件及耗材等要求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1、在广西区内常年备有备品、备件，以保证设备出现故障时能及时处理、更换损坏的部件；</w:t>
            </w:r>
          </w:p>
          <w:p>
            <w:pPr>
              <w:spacing w:line="360" w:lineRule="exact"/>
              <w:ind w:firstLine="420" w:firstLineChars="200"/>
              <w:rPr>
                <w:rFonts w:ascii="宋体" w:hAnsi="宋体" w:cs="宋体"/>
                <w:color w:val="auto"/>
                <w:szCs w:val="21"/>
              </w:rPr>
            </w:pPr>
            <w:r>
              <w:rPr>
                <w:rFonts w:hint="eastAsia" w:ascii="宋体" w:hAnsi="宋体" w:cs="宋体"/>
                <w:color w:val="auto"/>
                <w:szCs w:val="21"/>
              </w:rPr>
              <w:t>2、供应商应能长期提供优良的技术支持及备品、备件优惠供应。</w:t>
            </w:r>
          </w:p>
          <w:p>
            <w:pPr>
              <w:spacing w:line="360" w:lineRule="exact"/>
              <w:rPr>
                <w:rFonts w:ascii="宋体" w:hAnsi="宋体" w:cs="宋体"/>
                <w:color w:val="auto"/>
                <w:szCs w:val="21"/>
              </w:rPr>
            </w:pPr>
            <w:r>
              <w:rPr>
                <w:rFonts w:hint="eastAsia" w:ascii="宋体" w:hAnsi="宋体" w:cs="宋体"/>
                <w:color w:val="auto"/>
                <w:szCs w:val="21"/>
              </w:rPr>
              <w:t>七、其他要求：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★1、竞标报价为采购人指定地点的现场交货价，包括：</w:t>
            </w:r>
          </w:p>
          <w:p>
            <w:pPr>
              <w:spacing w:line="360" w:lineRule="exact"/>
              <w:ind w:firstLine="420" w:firstLineChars="200"/>
              <w:rPr>
                <w:rFonts w:ascii="宋体" w:hAnsi="宋体" w:cs="宋体"/>
                <w:color w:val="auto"/>
                <w:szCs w:val="21"/>
              </w:rPr>
            </w:pPr>
            <w:r>
              <w:rPr>
                <w:rFonts w:hint="eastAsia" w:ascii="宋体" w:hAnsi="宋体" w:cs="宋体"/>
                <w:color w:val="auto"/>
                <w:szCs w:val="21"/>
              </w:rPr>
              <w:t>（1）货物的价格；</w:t>
            </w:r>
          </w:p>
          <w:p>
            <w:pPr>
              <w:spacing w:line="360" w:lineRule="exact"/>
              <w:ind w:firstLine="420" w:firstLineChars="200"/>
              <w:rPr>
                <w:rFonts w:ascii="宋体" w:hAnsi="宋体" w:cs="宋体"/>
                <w:color w:val="auto"/>
                <w:szCs w:val="21"/>
              </w:rPr>
            </w:pPr>
            <w:r>
              <w:rPr>
                <w:rFonts w:hint="eastAsia" w:ascii="宋体" w:hAnsi="宋体" w:cs="宋体"/>
                <w:color w:val="auto"/>
                <w:szCs w:val="21"/>
              </w:rPr>
              <w:t>（2）货物的标准附件、备品备件、专用工具的价格；</w:t>
            </w:r>
          </w:p>
          <w:p>
            <w:pPr>
              <w:spacing w:line="360" w:lineRule="exact"/>
              <w:ind w:firstLine="420" w:firstLineChars="200"/>
              <w:rPr>
                <w:rFonts w:ascii="宋体" w:hAnsi="宋体" w:cs="宋体"/>
                <w:color w:val="auto"/>
                <w:szCs w:val="21"/>
              </w:rPr>
            </w:pPr>
            <w:r>
              <w:rPr>
                <w:rFonts w:hint="eastAsia" w:ascii="宋体" w:hAnsi="宋体" w:cs="宋体"/>
                <w:color w:val="auto"/>
                <w:szCs w:val="21"/>
              </w:rPr>
              <w:t>（3）运输、装卸、调试、培训、技术支持、系统设计及售后服务等费用；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（4）必要的保险费用和各项税费；</w:t>
            </w:r>
          </w:p>
          <w:p>
            <w:pPr>
              <w:spacing w:line="360" w:lineRule="exact"/>
              <w:ind w:firstLine="420" w:firstLineChars="200"/>
              <w:rPr>
                <w:rFonts w:ascii="宋体" w:hAnsi="宋体" w:cs="宋体"/>
                <w:color w:val="auto"/>
                <w:szCs w:val="21"/>
              </w:rPr>
            </w:pPr>
            <w:r>
              <w:rPr>
                <w:rFonts w:hint="eastAsia" w:ascii="宋体" w:hAnsi="宋体" w:cs="宋体"/>
                <w:color w:val="auto"/>
                <w:szCs w:val="21"/>
              </w:rPr>
              <w:t>（5）安装集成费用；</w:t>
            </w:r>
          </w:p>
          <w:p>
            <w:pPr>
              <w:spacing w:line="360" w:lineRule="exact"/>
              <w:ind w:firstLine="420" w:firstLineChars="200"/>
              <w:rPr>
                <w:rFonts w:ascii="宋体" w:hAnsi="宋体" w:cs="宋体"/>
                <w:color w:val="auto"/>
                <w:szCs w:val="21"/>
              </w:rPr>
            </w:pPr>
            <w:r>
              <w:rPr>
                <w:rFonts w:hint="eastAsia" w:ascii="宋体" w:hAnsi="宋体" w:cs="宋体"/>
                <w:color w:val="auto"/>
                <w:szCs w:val="21"/>
              </w:rPr>
              <w:t>（6）培训费用（包括但不限于场地费、教材、技术认证费用等）。</w:t>
            </w:r>
          </w:p>
          <w:p>
            <w:pPr>
              <w:spacing w:line="360" w:lineRule="exact"/>
              <w:ind w:firstLine="420" w:firstLineChars="200"/>
              <w:rPr>
                <w:rFonts w:ascii="宋体" w:hAnsi="宋体" w:cs="宋体"/>
                <w:color w:val="auto"/>
                <w:szCs w:val="21"/>
              </w:rPr>
            </w:pPr>
            <w:r>
              <w:rPr>
                <w:rFonts w:hint="eastAsia" w:ascii="宋体" w:hAnsi="宋体" w:cs="宋体"/>
                <w:color w:val="auto"/>
                <w:szCs w:val="21"/>
              </w:rPr>
              <w:t>（7）项目整体验收各项费用，采购人不再支付任何费用。</w:t>
            </w:r>
          </w:p>
          <w:p>
            <w:pPr>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★2、付款方式</w:t>
            </w:r>
            <w:r>
              <w:rPr>
                <w:rFonts w:hint="eastAsia" w:ascii="宋体" w:hAnsi="宋体" w:cs="宋体"/>
                <w:color w:val="auto"/>
                <w:szCs w:val="21"/>
                <w:lang w:eastAsia="zh-CN"/>
              </w:rPr>
              <w:t>：</w:t>
            </w:r>
            <w:r>
              <w:rPr>
                <w:rFonts w:hint="eastAsia" w:ascii="宋体" w:hAnsi="宋体" w:cs="宋体"/>
                <w:color w:val="auto"/>
                <w:szCs w:val="21"/>
                <w:lang w:eastAsia="zh-CN"/>
              </w:rPr>
              <w:t>采用分期付款方式，自合同签订后及项目具备实施条件后供应商开具货款全额发票给采购人，采购人在收到发票15个工作日内支付合同总金额的95%给成交人，余款总额5%在一年内付清（不计息）。</w:t>
            </w:r>
          </w:p>
          <w:p>
            <w:pPr>
              <w:spacing w:line="360" w:lineRule="exact"/>
              <w:ind w:firstLine="420" w:firstLineChars="200"/>
              <w:rPr>
                <w:rFonts w:ascii="宋体" w:hAnsi="宋体" w:cs="宋体"/>
                <w:color w:val="auto"/>
                <w:szCs w:val="21"/>
              </w:rPr>
            </w:pPr>
            <w:r>
              <w:rPr>
                <w:rFonts w:hint="eastAsia" w:ascii="宋体" w:hAnsi="宋体" w:cs="宋体"/>
                <w:color w:val="auto"/>
                <w:szCs w:val="21"/>
              </w:rPr>
              <w:t>3、验收条件及标准：验收标准应符合中国有关的国家、地方、行业标准。供应商提供产品的有效检验文件，经采购人认可后，与合同的性能指标一起作为验收标准，采购人可组成验收小组对产品进行复检与性能测试，供应商派出技术人员协助此项工作。项目验收合格后，签署验收合格书。</w:t>
            </w:r>
          </w:p>
        </w:tc>
      </w:tr>
    </w:tbl>
    <w:p>
      <w:pPr>
        <w:spacing w:line="460" w:lineRule="atLeast"/>
        <w:ind w:firstLine="413" w:firstLineChars="196"/>
        <w:rPr>
          <w:rFonts w:ascii="宋体" w:hAnsi="宋体" w:cs="宋体"/>
          <w:b/>
          <w:bCs/>
          <w:color w:val="auto"/>
          <w:szCs w:val="21"/>
        </w:rPr>
      </w:pPr>
    </w:p>
    <w:p>
      <w:pPr>
        <w:spacing w:line="520" w:lineRule="atLeast"/>
        <w:rPr>
          <w:rFonts w:ascii="宋体" w:hAnsi="宋体" w:cs="宋体"/>
          <w:b/>
          <w:bCs/>
          <w:color w:val="auto"/>
          <w:sz w:val="24"/>
          <w:szCs w:val="21"/>
        </w:rPr>
      </w:pPr>
      <w:r>
        <w:rPr>
          <w:rFonts w:hint="eastAsia" w:ascii="宋体" w:hAnsi="宋体" w:cs="宋体"/>
          <w:b/>
          <w:bCs/>
          <w:color w:val="auto"/>
          <w:sz w:val="24"/>
          <w:szCs w:val="21"/>
        </w:rPr>
        <w:br w:type="page"/>
      </w:r>
    </w:p>
    <w:bookmarkEnd w:id="0"/>
    <w:bookmarkEnd w:id="1"/>
    <w:p>
      <w:pPr>
        <w:pStyle w:val="26"/>
        <w:snapToGrid w:val="0"/>
        <w:spacing w:line="360" w:lineRule="exact"/>
        <w:outlineLvl w:val="0"/>
        <w:rPr>
          <w:rFonts w:hAnsi="宋体" w:cs="宋体"/>
          <w:b/>
          <w:color w:val="auto"/>
          <w:szCs w:val="21"/>
        </w:rPr>
      </w:pPr>
      <w:bookmarkStart w:id="43" w:name="工期要求"/>
      <w:bookmarkEnd w:id="43"/>
    </w:p>
    <w:p>
      <w:pPr>
        <w:spacing w:line="360" w:lineRule="exact"/>
        <w:jc w:val="center"/>
        <w:outlineLvl w:val="0"/>
        <w:rPr>
          <w:rFonts w:ascii="宋体" w:hAnsi="宋体" w:cs="宋体"/>
          <w:b/>
          <w:color w:val="auto"/>
          <w:sz w:val="28"/>
          <w:szCs w:val="28"/>
        </w:rPr>
      </w:pPr>
      <w:bookmarkStart w:id="44" w:name="_Toc488673054"/>
    </w:p>
    <w:p>
      <w:pPr>
        <w:spacing w:line="360" w:lineRule="exact"/>
        <w:jc w:val="center"/>
        <w:outlineLvl w:val="0"/>
        <w:rPr>
          <w:rFonts w:ascii="宋体" w:hAnsi="宋体" w:cs="宋体"/>
          <w:b/>
          <w:color w:val="auto"/>
          <w:sz w:val="28"/>
          <w:szCs w:val="28"/>
        </w:rPr>
      </w:pPr>
      <w:r>
        <w:rPr>
          <w:rFonts w:hint="eastAsia" w:ascii="宋体" w:hAnsi="宋体" w:cs="宋体"/>
          <w:b/>
          <w:color w:val="auto"/>
          <w:sz w:val="28"/>
          <w:szCs w:val="28"/>
        </w:rPr>
        <w:t>第四章  谈判书格式</w:t>
      </w:r>
      <w:bookmarkEnd w:id="44"/>
    </w:p>
    <w:p>
      <w:pPr>
        <w:pStyle w:val="26"/>
        <w:spacing w:line="380" w:lineRule="exact"/>
        <w:jc w:val="center"/>
        <w:rPr>
          <w:rFonts w:hAnsi="宋体" w:cs="宋体"/>
          <w:b/>
          <w:color w:val="auto"/>
          <w:sz w:val="32"/>
          <w:szCs w:val="32"/>
        </w:rPr>
      </w:pPr>
    </w:p>
    <w:p>
      <w:pPr>
        <w:pStyle w:val="26"/>
        <w:spacing w:line="380" w:lineRule="exact"/>
        <w:jc w:val="center"/>
        <w:rPr>
          <w:rFonts w:hAnsi="宋体" w:cs="宋体"/>
          <w:b/>
          <w:color w:val="auto"/>
          <w:sz w:val="32"/>
          <w:szCs w:val="32"/>
        </w:rPr>
      </w:pPr>
    </w:p>
    <w:p>
      <w:pPr>
        <w:pStyle w:val="26"/>
        <w:spacing w:line="380" w:lineRule="exact"/>
        <w:jc w:val="center"/>
        <w:rPr>
          <w:rFonts w:hAnsi="宋体" w:cs="宋体"/>
          <w:b/>
          <w:color w:val="auto"/>
          <w:sz w:val="32"/>
          <w:szCs w:val="32"/>
        </w:rPr>
      </w:pPr>
    </w:p>
    <w:p>
      <w:pPr>
        <w:spacing w:line="400" w:lineRule="exact"/>
        <w:ind w:left="431" w:leftChars="172" w:hanging="70" w:hangingChars="25"/>
        <w:jc w:val="center"/>
        <w:rPr>
          <w:rFonts w:ascii="宋体" w:hAnsi="宋体" w:cs="宋体"/>
          <w:b/>
          <w:color w:val="auto"/>
          <w:sz w:val="28"/>
          <w:szCs w:val="28"/>
        </w:rPr>
      </w:pPr>
      <w:r>
        <w:rPr>
          <w:rFonts w:hint="eastAsia" w:ascii="宋体" w:hAnsi="宋体" w:cs="宋体"/>
          <w:b/>
          <w:color w:val="auto"/>
          <w:sz w:val="28"/>
          <w:szCs w:val="28"/>
        </w:rPr>
        <w:t>竞争性谈判响应文件（封面）</w:t>
      </w: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pPr>
        <w:spacing w:line="360" w:lineRule="auto"/>
        <w:ind w:left="413" w:leftChars="172" w:hanging="52" w:hangingChars="25"/>
        <w:jc w:val="left"/>
        <w:rPr>
          <w:rFonts w:ascii="宋体" w:hAnsi="宋体" w:cs="宋体"/>
          <w:color w:val="auto"/>
          <w:szCs w:val="21"/>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pPr>
        <w:spacing w:line="360" w:lineRule="auto"/>
        <w:ind w:left="413" w:leftChars="172" w:hanging="52" w:hangingChars="25"/>
        <w:jc w:val="left"/>
        <w:rPr>
          <w:rFonts w:ascii="宋体" w:hAnsi="宋体" w:cs="宋体"/>
          <w:color w:val="auto"/>
          <w:szCs w:val="21"/>
        </w:rPr>
      </w:pPr>
      <w:r>
        <w:rPr>
          <w:rFonts w:hint="eastAsia" w:ascii="宋体" w:hAnsi="宋体" w:cs="宋体"/>
          <w:color w:val="auto"/>
          <w:szCs w:val="21"/>
        </w:rPr>
        <w:t>谈判内容：</w:t>
      </w:r>
      <w:r>
        <w:rPr>
          <w:rFonts w:hint="eastAsia" w:ascii="宋体" w:hAnsi="宋体" w:cs="宋体"/>
          <w:color w:val="auto"/>
          <w:szCs w:val="21"/>
          <w:u w:val="single"/>
        </w:rPr>
        <w:t xml:space="preserve">                                                             </w:t>
      </w: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360" w:lineRule="auto"/>
        <w:ind w:left="414" w:leftChars="197" w:firstLine="5565" w:firstLineChars="2650"/>
        <w:jc w:val="left"/>
        <w:rPr>
          <w:rFonts w:ascii="宋体" w:hAnsi="宋体" w:cs="宋体"/>
          <w:color w:val="auto"/>
          <w:szCs w:val="21"/>
        </w:rPr>
      </w:pPr>
      <w:r>
        <w:rPr>
          <w:rFonts w:hint="eastAsia" w:ascii="宋体" w:hAnsi="宋体" w:cs="宋体"/>
          <w:color w:val="auto"/>
          <w:szCs w:val="21"/>
        </w:rPr>
        <w:t>（谈判供应商名称）</w:t>
      </w:r>
    </w:p>
    <w:p>
      <w:pPr>
        <w:pStyle w:val="26"/>
        <w:spacing w:line="380" w:lineRule="exact"/>
        <w:jc w:val="center"/>
        <w:rPr>
          <w:rFonts w:hAnsi="宋体" w:cs="宋体"/>
          <w:color w:val="auto"/>
          <w:szCs w:val="21"/>
        </w:rPr>
      </w:pPr>
      <w:r>
        <w:rPr>
          <w:rFonts w:hint="eastAsia" w:hAnsi="宋体" w:cs="宋体"/>
          <w:color w:val="auto"/>
          <w:szCs w:val="21"/>
        </w:rPr>
        <w:t>年   月    日</w:t>
      </w: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p>
    <w:p>
      <w:pPr>
        <w:pStyle w:val="26"/>
        <w:spacing w:line="380" w:lineRule="exact"/>
        <w:jc w:val="center"/>
        <w:rPr>
          <w:rFonts w:hAnsi="宋体" w:cs="宋体"/>
          <w:color w:val="auto"/>
          <w:szCs w:val="21"/>
        </w:rPr>
      </w:pPr>
      <w:r>
        <w:rPr>
          <w:rFonts w:hint="eastAsia" w:hAnsi="宋体" w:cs="宋体"/>
          <w:color w:val="auto"/>
          <w:szCs w:val="21"/>
        </w:rPr>
        <w:br w:type="page"/>
      </w:r>
    </w:p>
    <w:p>
      <w:pPr>
        <w:spacing w:line="400" w:lineRule="exact"/>
        <w:ind w:left="431" w:leftChars="172" w:hanging="70" w:hangingChars="25"/>
        <w:rPr>
          <w:rFonts w:ascii="宋体" w:hAnsi="宋体" w:cs="宋体"/>
          <w:b/>
          <w:color w:val="auto"/>
          <w:sz w:val="28"/>
          <w:szCs w:val="28"/>
        </w:rPr>
      </w:pPr>
      <w:r>
        <w:rPr>
          <w:rFonts w:hint="eastAsia" w:ascii="宋体" w:hAnsi="宋体" w:cs="宋体"/>
          <w:b/>
          <w:color w:val="auto"/>
          <w:sz w:val="28"/>
          <w:szCs w:val="28"/>
        </w:rPr>
        <w:t>附件一</w:t>
      </w:r>
    </w:p>
    <w:p>
      <w:pPr>
        <w:spacing w:line="400" w:lineRule="exact"/>
        <w:ind w:left="431" w:leftChars="172" w:hanging="70" w:hangingChars="25"/>
        <w:rPr>
          <w:rFonts w:ascii="宋体" w:hAnsi="宋体" w:cs="宋体"/>
          <w:b/>
          <w:color w:val="auto"/>
          <w:sz w:val="28"/>
          <w:szCs w:val="28"/>
        </w:rPr>
      </w:pPr>
    </w:p>
    <w:p>
      <w:pPr>
        <w:spacing w:line="400" w:lineRule="exact"/>
        <w:jc w:val="center"/>
        <w:rPr>
          <w:rFonts w:ascii="宋体" w:hAnsi="宋体" w:cs="宋体"/>
          <w:b/>
          <w:color w:val="auto"/>
          <w:sz w:val="28"/>
          <w:szCs w:val="28"/>
        </w:rPr>
      </w:pPr>
      <w:r>
        <w:rPr>
          <w:rFonts w:hint="eastAsia" w:ascii="宋体" w:hAnsi="宋体" w:cs="宋体"/>
          <w:b/>
          <w:color w:val="auto"/>
          <w:sz w:val="28"/>
          <w:szCs w:val="28"/>
        </w:rPr>
        <w:t>谈 判 书</w:t>
      </w:r>
    </w:p>
    <w:p>
      <w:pPr>
        <w:spacing w:line="520" w:lineRule="exact"/>
        <w:rPr>
          <w:rFonts w:ascii="宋体" w:hAnsi="宋体" w:cs="宋体"/>
          <w:color w:val="auto"/>
          <w:szCs w:val="21"/>
        </w:rPr>
      </w:pPr>
      <w:r>
        <w:rPr>
          <w:rFonts w:hint="eastAsia" w:ascii="宋体" w:hAnsi="宋体" w:cs="宋体"/>
          <w:color w:val="auto"/>
          <w:szCs w:val="21"/>
          <w:u w:val="single"/>
        </w:rPr>
        <w:t>广西科联招标中心有限公司：</w:t>
      </w:r>
    </w:p>
    <w:p>
      <w:pPr>
        <w:spacing w:line="520" w:lineRule="exact"/>
        <w:ind w:left="-181" w:leftChars="-86" w:firstLine="420" w:firstLineChars="200"/>
        <w:rPr>
          <w:rFonts w:ascii="宋体" w:hAnsi="宋体" w:cs="宋体"/>
          <w:color w:val="auto"/>
          <w:szCs w:val="21"/>
        </w:rPr>
      </w:pPr>
      <w:r>
        <w:rPr>
          <w:rFonts w:hint="eastAsia" w:ascii="宋体" w:hAnsi="宋体" w:cs="宋体"/>
          <w:color w:val="auto"/>
          <w:szCs w:val="21"/>
        </w:rPr>
        <w:t>依据贵方</w:t>
      </w:r>
      <w:r>
        <w:rPr>
          <w:rFonts w:hint="eastAsia" w:ascii="宋体" w:hAnsi="宋体" w:cs="宋体"/>
          <w:color w:val="auto"/>
          <w:szCs w:val="21"/>
          <w:u w:val="single"/>
        </w:rPr>
        <w:t>（项目名称/文件编号）</w:t>
      </w:r>
      <w:r>
        <w:rPr>
          <w:rFonts w:hint="eastAsia" w:ascii="宋体" w:hAnsi="宋体" w:cs="宋体"/>
          <w:color w:val="auto"/>
          <w:szCs w:val="21"/>
        </w:rPr>
        <w:t>项目政府采购的谈判邀请，我方</w:t>
      </w:r>
      <w:r>
        <w:rPr>
          <w:rFonts w:hint="eastAsia" w:ascii="宋体" w:hAnsi="宋体" w:cs="宋体"/>
          <w:color w:val="auto"/>
          <w:szCs w:val="21"/>
          <w:u w:val="single"/>
        </w:rPr>
        <w:t>（姓名和职务）</w:t>
      </w:r>
      <w:r>
        <w:rPr>
          <w:rFonts w:hint="eastAsia" w:ascii="宋体" w:hAnsi="宋体" w:cs="宋体"/>
          <w:color w:val="auto"/>
          <w:szCs w:val="21"/>
        </w:rPr>
        <w:t>经正式授权并代表谈判供应商</w:t>
      </w:r>
      <w:r>
        <w:rPr>
          <w:rFonts w:hint="eastAsia" w:ascii="宋体" w:hAnsi="宋体" w:cs="宋体"/>
          <w:color w:val="auto"/>
          <w:szCs w:val="21"/>
          <w:u w:val="single"/>
        </w:rPr>
        <w:t>（谈判供应商名称、地址）</w:t>
      </w:r>
      <w:r>
        <w:rPr>
          <w:rFonts w:hint="eastAsia" w:ascii="宋体" w:hAnsi="宋体" w:cs="宋体"/>
          <w:color w:val="auto"/>
          <w:szCs w:val="21"/>
        </w:rPr>
        <w:t>提交下述竞争性谈判响应文件正本一份和副本</w:t>
      </w:r>
      <w:r>
        <w:rPr>
          <w:rFonts w:hint="eastAsia" w:ascii="宋体" w:hAnsi="宋体" w:cs="宋体"/>
          <w:color w:val="auto"/>
          <w:szCs w:val="21"/>
          <w:u w:val="single"/>
        </w:rPr>
        <w:t>四</w:t>
      </w:r>
      <w:r>
        <w:rPr>
          <w:rFonts w:hint="eastAsia" w:ascii="宋体" w:hAnsi="宋体" w:cs="宋体"/>
          <w:color w:val="auto"/>
          <w:szCs w:val="21"/>
        </w:rPr>
        <w:t>份。</w:t>
      </w:r>
    </w:p>
    <w:p>
      <w:pPr>
        <w:numPr>
          <w:ilvl w:val="1"/>
          <w:numId w:val="1"/>
        </w:numPr>
        <w:spacing w:line="520" w:lineRule="exact"/>
        <w:rPr>
          <w:rFonts w:ascii="宋体" w:hAnsi="宋体" w:cs="宋体"/>
          <w:color w:val="auto"/>
          <w:szCs w:val="21"/>
        </w:rPr>
      </w:pPr>
      <w:r>
        <w:rPr>
          <w:rFonts w:hint="eastAsia" w:ascii="宋体" w:hAnsi="宋体" w:cs="宋体"/>
          <w:color w:val="auto"/>
          <w:szCs w:val="21"/>
        </w:rPr>
        <w:t>报价表；</w:t>
      </w:r>
    </w:p>
    <w:p>
      <w:pPr>
        <w:numPr>
          <w:ilvl w:val="1"/>
          <w:numId w:val="1"/>
        </w:numPr>
        <w:spacing w:line="520" w:lineRule="exact"/>
        <w:rPr>
          <w:rFonts w:ascii="宋体" w:hAnsi="宋体" w:cs="宋体"/>
          <w:color w:val="auto"/>
          <w:szCs w:val="21"/>
        </w:rPr>
      </w:pPr>
      <w:r>
        <w:rPr>
          <w:rFonts w:hint="eastAsia" w:ascii="宋体" w:hAnsi="宋体" w:cs="宋体"/>
          <w:color w:val="auto"/>
          <w:szCs w:val="21"/>
        </w:rPr>
        <w:t>分项报价表；</w:t>
      </w:r>
    </w:p>
    <w:p>
      <w:pPr>
        <w:numPr>
          <w:ilvl w:val="1"/>
          <w:numId w:val="1"/>
        </w:numPr>
        <w:spacing w:line="520" w:lineRule="exact"/>
        <w:rPr>
          <w:rFonts w:ascii="宋体" w:hAnsi="宋体" w:cs="宋体"/>
          <w:color w:val="auto"/>
          <w:szCs w:val="21"/>
        </w:rPr>
      </w:pPr>
      <w:r>
        <w:rPr>
          <w:rFonts w:hint="eastAsia" w:ascii="宋体" w:hAnsi="宋体" w:cs="宋体"/>
          <w:color w:val="auto"/>
          <w:szCs w:val="21"/>
        </w:rPr>
        <w:t>供货清单；</w:t>
      </w:r>
    </w:p>
    <w:p>
      <w:pPr>
        <w:numPr>
          <w:ilvl w:val="1"/>
          <w:numId w:val="1"/>
        </w:numPr>
        <w:spacing w:line="520" w:lineRule="exact"/>
        <w:rPr>
          <w:rFonts w:ascii="宋体" w:hAnsi="宋体" w:cs="宋体"/>
          <w:color w:val="auto"/>
          <w:szCs w:val="21"/>
        </w:rPr>
      </w:pPr>
      <w:r>
        <w:rPr>
          <w:rFonts w:hint="eastAsia" w:ascii="宋体" w:hAnsi="宋体" w:cs="宋体"/>
          <w:color w:val="auto"/>
          <w:szCs w:val="21"/>
        </w:rPr>
        <w:t>技术规格响应、偏离情况说明表；</w:t>
      </w:r>
    </w:p>
    <w:p>
      <w:pPr>
        <w:numPr>
          <w:ilvl w:val="1"/>
          <w:numId w:val="1"/>
        </w:numPr>
        <w:spacing w:line="520" w:lineRule="exact"/>
        <w:rPr>
          <w:rFonts w:ascii="宋体" w:hAnsi="宋体" w:cs="宋体"/>
          <w:color w:val="auto"/>
          <w:szCs w:val="21"/>
        </w:rPr>
      </w:pPr>
      <w:r>
        <w:rPr>
          <w:rFonts w:hint="eastAsia" w:ascii="宋体" w:hAnsi="宋体" w:cs="宋体"/>
          <w:color w:val="auto"/>
          <w:szCs w:val="21"/>
        </w:rPr>
        <w:t>按竞争性谈判文件谈判须知和技术规格要求提供的有关文件；</w:t>
      </w:r>
    </w:p>
    <w:p>
      <w:pPr>
        <w:numPr>
          <w:ilvl w:val="1"/>
          <w:numId w:val="1"/>
        </w:numPr>
        <w:spacing w:line="520" w:lineRule="exact"/>
        <w:rPr>
          <w:rFonts w:ascii="宋体" w:hAnsi="宋体" w:cs="宋体"/>
          <w:color w:val="auto"/>
          <w:szCs w:val="21"/>
        </w:rPr>
      </w:pPr>
      <w:r>
        <w:rPr>
          <w:rFonts w:hint="eastAsia" w:ascii="宋体" w:hAnsi="宋体" w:cs="宋体"/>
          <w:color w:val="auto"/>
          <w:szCs w:val="21"/>
        </w:rPr>
        <w:t>资格证明文件。</w:t>
      </w:r>
    </w:p>
    <w:p>
      <w:pPr>
        <w:spacing w:line="520" w:lineRule="exact"/>
        <w:ind w:left="420"/>
        <w:rPr>
          <w:rFonts w:ascii="宋体" w:hAnsi="宋体" w:cs="宋体"/>
          <w:color w:val="auto"/>
          <w:szCs w:val="21"/>
        </w:rPr>
      </w:pPr>
      <w:r>
        <w:rPr>
          <w:rFonts w:hint="eastAsia" w:ascii="宋体" w:hAnsi="宋体" w:cs="宋体"/>
          <w:color w:val="auto"/>
          <w:szCs w:val="21"/>
        </w:rPr>
        <w:t>因此，授权代表宣布同意如下：</w:t>
      </w:r>
    </w:p>
    <w:p>
      <w:pPr>
        <w:numPr>
          <w:ilvl w:val="0"/>
          <w:numId w:val="2"/>
        </w:numPr>
        <w:spacing w:line="520" w:lineRule="exact"/>
        <w:rPr>
          <w:rFonts w:ascii="宋体" w:hAnsi="宋体" w:cs="宋体"/>
          <w:color w:val="auto"/>
          <w:szCs w:val="21"/>
        </w:rPr>
      </w:pPr>
      <w:r>
        <w:rPr>
          <w:rFonts w:hint="eastAsia" w:ascii="宋体" w:hAnsi="宋体" w:cs="宋体"/>
          <w:color w:val="auto"/>
          <w:szCs w:val="21"/>
        </w:rPr>
        <w:t>将按竞争性谈判文件的约定履行合同责任和义务；</w:t>
      </w:r>
    </w:p>
    <w:p>
      <w:pPr>
        <w:numPr>
          <w:ilvl w:val="0"/>
          <w:numId w:val="2"/>
        </w:numPr>
        <w:spacing w:line="520" w:lineRule="exact"/>
        <w:rPr>
          <w:rFonts w:ascii="宋体" w:hAnsi="宋体" w:cs="宋体"/>
          <w:color w:val="auto"/>
          <w:szCs w:val="21"/>
        </w:rPr>
      </w:pPr>
      <w:r>
        <w:rPr>
          <w:rFonts w:hint="eastAsia" w:ascii="宋体" w:hAnsi="宋体" w:cs="宋体"/>
          <w:color w:val="auto"/>
          <w:szCs w:val="21"/>
        </w:rPr>
        <w:t>已详细审查全部竞争性谈判文件，包括</w:t>
      </w:r>
      <w:r>
        <w:rPr>
          <w:rFonts w:hint="eastAsia" w:ascii="宋体" w:hAnsi="宋体" w:cs="宋体"/>
          <w:color w:val="auto"/>
          <w:szCs w:val="21"/>
          <w:u w:val="single"/>
        </w:rPr>
        <w:t>(补遗文件)（如果有的话）；</w:t>
      </w:r>
      <w:r>
        <w:rPr>
          <w:rFonts w:hint="eastAsia" w:ascii="宋体" w:hAnsi="宋体" w:cs="宋体"/>
          <w:color w:val="auto"/>
          <w:szCs w:val="21"/>
        </w:rPr>
        <w:t>我们完全理解并同意放弃对这方面有不明及误解的权力；</w:t>
      </w:r>
    </w:p>
    <w:p>
      <w:pPr>
        <w:numPr>
          <w:ilvl w:val="0"/>
          <w:numId w:val="2"/>
        </w:numPr>
        <w:spacing w:line="520" w:lineRule="exact"/>
        <w:rPr>
          <w:rFonts w:ascii="宋体" w:hAnsi="宋体" w:cs="宋体"/>
          <w:color w:val="auto"/>
          <w:szCs w:val="21"/>
        </w:rPr>
      </w:pPr>
      <w:r>
        <w:rPr>
          <w:rFonts w:hint="eastAsia" w:ascii="宋体" w:hAnsi="宋体" w:cs="宋体"/>
          <w:color w:val="auto"/>
          <w:szCs w:val="21"/>
        </w:rPr>
        <w:t>同意提供按照贵方可能要求的与其谈判有关的一切数据或资料；</w:t>
      </w:r>
    </w:p>
    <w:p>
      <w:pPr>
        <w:numPr>
          <w:ilvl w:val="0"/>
          <w:numId w:val="2"/>
        </w:numPr>
        <w:spacing w:line="520" w:lineRule="exact"/>
        <w:rPr>
          <w:rFonts w:ascii="宋体" w:hAnsi="宋体" w:cs="宋体"/>
          <w:color w:val="auto"/>
          <w:szCs w:val="21"/>
        </w:rPr>
      </w:pPr>
      <w:r>
        <w:rPr>
          <w:rFonts w:hint="eastAsia" w:ascii="宋体" w:hAnsi="宋体" w:cs="宋体"/>
          <w:color w:val="auto"/>
          <w:szCs w:val="21"/>
        </w:rPr>
        <w:t>与本谈判有关的一切正式往来信函请寄：</w:t>
      </w:r>
      <w:r>
        <w:rPr>
          <w:rFonts w:hint="eastAsia" w:ascii="宋体" w:hAnsi="宋体" w:cs="宋体"/>
          <w:color w:val="auto"/>
          <w:szCs w:val="21"/>
          <w:u w:val="single"/>
        </w:rPr>
        <w:t xml:space="preserve">                                 </w:t>
      </w:r>
    </w:p>
    <w:p>
      <w:pPr>
        <w:snapToGrid w:val="0"/>
        <w:spacing w:line="500" w:lineRule="exact"/>
        <w:ind w:firstLine="735" w:firstLineChars="350"/>
        <w:rPr>
          <w:rFonts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w:t>
      </w:r>
      <w:r>
        <w:rPr>
          <w:rFonts w:hint="eastAsia" w:ascii="宋体" w:hAnsi="宋体" w:cs="宋体"/>
          <w:color w:val="auto"/>
          <w:szCs w:val="21"/>
          <w:u w:val="single"/>
        </w:rPr>
        <w:t xml:space="preserve">                   </w:t>
      </w: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u w:val="single"/>
        </w:rPr>
      </w:pPr>
      <w:r>
        <w:rPr>
          <w:rFonts w:hint="eastAsia" w:ascii="宋体" w:hAnsi="宋体" w:cs="宋体"/>
          <w:color w:val="auto"/>
          <w:szCs w:val="21"/>
        </w:rPr>
        <w:t>传真：</w:t>
      </w:r>
      <w:r>
        <w:rPr>
          <w:rFonts w:hint="eastAsia" w:ascii="宋体" w:hAnsi="宋体" w:cs="宋体"/>
          <w:color w:val="auto"/>
          <w:szCs w:val="21"/>
          <w:u w:val="single"/>
        </w:rPr>
        <w:t xml:space="preserve">                       </w:t>
      </w:r>
      <w:r>
        <w:rPr>
          <w:rFonts w:hint="eastAsia" w:ascii="宋体" w:hAnsi="宋体" w:cs="宋体"/>
          <w:color w:val="auto"/>
          <w:szCs w:val="21"/>
        </w:rPr>
        <w:t>；投标人代表姓名：</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u w:val="single"/>
        </w:rPr>
      </w:pPr>
      <w:r>
        <w:rPr>
          <w:rFonts w:hint="eastAsia" w:ascii="宋体" w:hAnsi="宋体" w:cs="宋体"/>
          <w:color w:val="auto"/>
          <w:szCs w:val="21"/>
        </w:rPr>
        <w:t>投标人名称（公章）：</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rPr>
      </w:pPr>
      <w:r>
        <w:rPr>
          <w:rFonts w:hint="eastAsia" w:ascii="宋体" w:hAnsi="宋体" w:cs="宋体"/>
          <w:color w:val="auto"/>
          <w:szCs w:val="21"/>
        </w:rPr>
        <w:t>投标人企业工商营业执照号码：</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u w:val="single"/>
        </w:rPr>
      </w:pPr>
      <w:r>
        <w:rPr>
          <w:rFonts w:hint="eastAsia" w:ascii="宋体" w:hAnsi="宋体" w:cs="宋体"/>
          <w:color w:val="auto"/>
          <w:szCs w:val="21"/>
        </w:rPr>
        <w:t>法定代表人姓名：</w:t>
      </w:r>
      <w:r>
        <w:rPr>
          <w:rFonts w:hint="eastAsia" w:ascii="宋体" w:hAnsi="宋体" w:cs="宋体"/>
          <w:color w:val="auto"/>
          <w:szCs w:val="21"/>
          <w:u w:val="single"/>
        </w:rPr>
        <w:t xml:space="preserve">                </w:t>
      </w:r>
      <w:r>
        <w:rPr>
          <w:rFonts w:hint="eastAsia" w:ascii="宋体" w:hAnsi="宋体" w:cs="宋体"/>
          <w:color w:val="auto"/>
          <w:szCs w:val="21"/>
        </w:rPr>
        <w:t>；法定代表人身份证号码：</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u w:val="single"/>
        </w:rPr>
      </w:pPr>
      <w:r>
        <w:rPr>
          <w:rFonts w:hint="eastAsia" w:ascii="宋体" w:hAnsi="宋体" w:cs="宋体"/>
          <w:color w:val="auto"/>
          <w:szCs w:val="21"/>
        </w:rPr>
        <w:t>授权委托代理人姓名：</w:t>
      </w:r>
      <w:r>
        <w:rPr>
          <w:rFonts w:hint="eastAsia" w:ascii="宋体" w:hAnsi="宋体" w:cs="宋体"/>
          <w:color w:val="auto"/>
          <w:szCs w:val="21"/>
          <w:u w:val="single"/>
        </w:rPr>
        <w:t xml:space="preserve">            </w:t>
      </w:r>
      <w:r>
        <w:rPr>
          <w:rFonts w:hint="eastAsia" w:ascii="宋体" w:hAnsi="宋体" w:cs="宋体"/>
          <w:color w:val="auto"/>
          <w:szCs w:val="21"/>
        </w:rPr>
        <w:t>；授权委托代理人身份证号码：</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500" w:lineRule="exact"/>
        <w:ind w:firstLine="735" w:firstLineChars="350"/>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；银行帐号：</w:t>
      </w:r>
      <w:r>
        <w:rPr>
          <w:rFonts w:hint="eastAsia" w:ascii="宋体" w:hAnsi="宋体" w:cs="宋体"/>
          <w:color w:val="auto"/>
          <w:szCs w:val="21"/>
          <w:u w:val="single"/>
        </w:rPr>
        <w:t xml:space="preserve">                    </w:t>
      </w:r>
      <w:r>
        <w:rPr>
          <w:rFonts w:hint="eastAsia" w:ascii="宋体" w:hAnsi="宋体" w:cs="宋体"/>
          <w:color w:val="auto"/>
          <w:szCs w:val="21"/>
        </w:rPr>
        <w:t>；</w:t>
      </w:r>
    </w:p>
    <w:p>
      <w:pPr>
        <w:spacing w:line="520" w:lineRule="exact"/>
        <w:ind w:left="420" w:leftChars="200" w:firstLine="315" w:firstLineChars="150"/>
        <w:rPr>
          <w:rFonts w:ascii="宋体" w:hAnsi="宋体" w:cs="宋体"/>
          <w:color w:val="auto"/>
          <w:szCs w:val="21"/>
        </w:rPr>
      </w:pPr>
      <w:r>
        <w:rPr>
          <w:rFonts w:hint="eastAsia" w:ascii="宋体" w:hAnsi="宋体" w:cs="宋体"/>
          <w:color w:val="auto"/>
          <w:szCs w:val="21"/>
        </w:rPr>
        <w:t>授权代表签字：</w:t>
      </w:r>
      <w:r>
        <w:rPr>
          <w:rFonts w:hint="eastAsia" w:ascii="宋体" w:hAnsi="宋体" w:cs="宋体"/>
          <w:color w:val="auto"/>
          <w:szCs w:val="21"/>
          <w:u w:val="single"/>
        </w:rPr>
        <w:t xml:space="preserve">                </w:t>
      </w:r>
    </w:p>
    <w:p>
      <w:pPr>
        <w:snapToGrid w:val="0"/>
        <w:spacing w:line="500" w:lineRule="exact"/>
        <w:ind w:firstLine="7665" w:firstLineChars="3650"/>
        <w:rPr>
          <w:rFonts w:ascii="宋体" w:hAnsi="宋体" w:cs="宋体"/>
          <w:color w:val="auto"/>
          <w:szCs w:val="21"/>
        </w:rPr>
      </w:pPr>
      <w:r>
        <w:rPr>
          <w:rFonts w:hint="eastAsia" w:ascii="宋体" w:hAnsi="宋体" w:cs="宋体"/>
          <w:color w:val="auto"/>
          <w:szCs w:val="21"/>
        </w:rPr>
        <w:t>（公章）</w:t>
      </w:r>
    </w:p>
    <w:p>
      <w:pPr>
        <w:pStyle w:val="26"/>
        <w:spacing w:line="380" w:lineRule="exact"/>
        <w:jc w:val="center"/>
        <w:rPr>
          <w:rFonts w:hAnsi="宋体" w:cs="宋体"/>
          <w:color w:val="auto"/>
          <w:szCs w:val="21"/>
        </w:rPr>
      </w:pPr>
      <w:r>
        <w:rPr>
          <w:rFonts w:hint="eastAsia" w:hAnsi="宋体" w:cs="宋体"/>
          <w:color w:val="auto"/>
          <w:szCs w:val="21"/>
        </w:rPr>
        <w:t xml:space="preserve">                                                        </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500" w:lineRule="exact"/>
        <w:rPr>
          <w:rFonts w:ascii="宋体" w:hAnsi="宋体" w:cs="宋体"/>
          <w:b/>
          <w:color w:val="auto"/>
          <w:sz w:val="28"/>
          <w:szCs w:val="28"/>
        </w:rPr>
      </w:pPr>
    </w:p>
    <w:p>
      <w:pPr>
        <w:spacing w:line="500" w:lineRule="exact"/>
        <w:rPr>
          <w:rFonts w:ascii="宋体" w:hAnsi="宋体" w:cs="宋体"/>
          <w:b/>
          <w:color w:val="auto"/>
          <w:sz w:val="28"/>
          <w:szCs w:val="28"/>
        </w:rPr>
      </w:pPr>
      <w:r>
        <w:rPr>
          <w:rFonts w:hint="eastAsia" w:ascii="宋体" w:hAnsi="宋体" w:cs="宋体"/>
          <w:b/>
          <w:color w:val="auto"/>
          <w:sz w:val="28"/>
          <w:szCs w:val="28"/>
        </w:rPr>
        <w:t xml:space="preserve">附件二             </w:t>
      </w:r>
    </w:p>
    <w:p>
      <w:pPr>
        <w:spacing w:line="500" w:lineRule="exact"/>
        <w:jc w:val="center"/>
        <w:rPr>
          <w:rFonts w:ascii="宋体" w:hAnsi="宋体" w:cs="宋体"/>
          <w:b/>
          <w:color w:val="auto"/>
          <w:sz w:val="28"/>
          <w:szCs w:val="28"/>
        </w:rPr>
      </w:pPr>
    </w:p>
    <w:p>
      <w:pPr>
        <w:spacing w:line="500" w:lineRule="exact"/>
        <w:jc w:val="center"/>
        <w:rPr>
          <w:rFonts w:ascii="宋体" w:hAnsi="宋体" w:cs="宋体"/>
          <w:b/>
          <w:color w:val="auto"/>
          <w:sz w:val="28"/>
          <w:szCs w:val="28"/>
        </w:rPr>
      </w:pPr>
      <w:r>
        <w:rPr>
          <w:rFonts w:hint="eastAsia" w:ascii="宋体" w:hAnsi="宋体" w:cs="宋体"/>
          <w:b/>
          <w:color w:val="auto"/>
          <w:sz w:val="28"/>
          <w:szCs w:val="28"/>
        </w:rPr>
        <w:t>报  价  表</w:t>
      </w:r>
    </w:p>
    <w:p>
      <w:pPr>
        <w:spacing w:line="500" w:lineRule="exact"/>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pPr>
        <w:spacing w:line="500" w:lineRule="exact"/>
        <w:rPr>
          <w:rFonts w:ascii="宋体" w:hAnsi="宋体" w:cs="宋体"/>
          <w:color w:val="auto"/>
          <w:szCs w:val="21"/>
        </w:rPr>
      </w:pPr>
      <w:r>
        <w:rPr>
          <w:rFonts w:hint="eastAsia" w:ascii="宋体" w:hAnsi="宋体" w:cs="宋体"/>
          <w:color w:val="auto"/>
          <w:szCs w:val="21"/>
        </w:rPr>
        <w:t>采购项目名称: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rPr>
          <w:rFonts w:ascii="宋体" w:hAnsi="宋体" w:cs="宋体"/>
          <w:color w:val="auto"/>
          <w:szCs w:val="21"/>
        </w:rPr>
      </w:pPr>
    </w:p>
    <w:p>
      <w:pPr>
        <w:spacing w:line="500" w:lineRule="exact"/>
        <w:rPr>
          <w:rFonts w:ascii="宋体" w:hAnsi="宋体" w:cs="宋体"/>
          <w:color w:val="auto"/>
          <w:szCs w:val="21"/>
        </w:rPr>
      </w:pPr>
      <w:r>
        <w:rPr>
          <w:rFonts w:hint="eastAsia" w:ascii="宋体" w:hAnsi="宋体" w:cs="宋体"/>
          <w:b/>
          <w:color w:val="auto"/>
          <w:szCs w:val="21"/>
          <w:u w:val="single"/>
        </w:rPr>
        <w:t xml:space="preserve">     </w:t>
      </w:r>
      <w:r>
        <w:rPr>
          <w:rFonts w:hint="eastAsia" w:ascii="宋体" w:hAnsi="宋体" w:cs="宋体"/>
          <w:b/>
          <w:color w:val="auto"/>
          <w:szCs w:val="21"/>
        </w:rPr>
        <w:t>分标</w:t>
      </w:r>
      <w:r>
        <w:rPr>
          <w:rFonts w:hint="eastAsia" w:ascii="宋体" w:hAnsi="宋体" w:cs="宋体"/>
          <w:color w:val="auto"/>
          <w:szCs w:val="21"/>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341"/>
        <w:gridCol w:w="991"/>
        <w:gridCol w:w="39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序号</w:t>
            </w:r>
          </w:p>
        </w:tc>
        <w:tc>
          <w:tcPr>
            <w:tcW w:w="2341"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货物名称</w:t>
            </w:r>
          </w:p>
        </w:tc>
        <w:tc>
          <w:tcPr>
            <w:tcW w:w="991"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数量</w:t>
            </w:r>
          </w:p>
        </w:tc>
        <w:tc>
          <w:tcPr>
            <w:tcW w:w="3943"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品牌、规格和型号、原产地和制造商名称</w:t>
            </w:r>
          </w:p>
        </w:tc>
        <w:tc>
          <w:tcPr>
            <w:tcW w:w="160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1</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2</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3</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4</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5</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28" w:type="dxa"/>
            <w:vAlign w:val="center"/>
          </w:tcPr>
          <w:p>
            <w:pPr>
              <w:spacing w:line="500" w:lineRule="exact"/>
              <w:jc w:val="center"/>
              <w:rPr>
                <w:rFonts w:ascii="宋体" w:hAnsi="宋体" w:cs="宋体"/>
                <w:color w:val="auto"/>
                <w:szCs w:val="21"/>
              </w:rPr>
            </w:pPr>
            <w:r>
              <w:rPr>
                <w:rFonts w:hint="eastAsia" w:ascii="宋体" w:hAnsi="宋体" w:cs="宋体"/>
                <w:color w:val="auto"/>
                <w:szCs w:val="21"/>
              </w:rPr>
              <w:t>……</w:t>
            </w:r>
          </w:p>
        </w:tc>
        <w:tc>
          <w:tcPr>
            <w:tcW w:w="2341" w:type="dxa"/>
            <w:vAlign w:val="center"/>
          </w:tcPr>
          <w:p>
            <w:pPr>
              <w:spacing w:line="500" w:lineRule="exact"/>
              <w:rPr>
                <w:rFonts w:ascii="宋体" w:hAnsi="宋体" w:cs="宋体"/>
                <w:color w:val="auto"/>
                <w:szCs w:val="21"/>
              </w:rPr>
            </w:pPr>
          </w:p>
        </w:tc>
        <w:tc>
          <w:tcPr>
            <w:tcW w:w="991" w:type="dxa"/>
            <w:vAlign w:val="center"/>
          </w:tcPr>
          <w:p>
            <w:pPr>
              <w:spacing w:line="500" w:lineRule="exact"/>
              <w:rPr>
                <w:rFonts w:ascii="宋体" w:hAnsi="宋体" w:cs="宋体"/>
                <w:color w:val="auto"/>
                <w:szCs w:val="21"/>
              </w:rPr>
            </w:pPr>
          </w:p>
        </w:tc>
        <w:tc>
          <w:tcPr>
            <w:tcW w:w="3943" w:type="dxa"/>
            <w:vAlign w:val="center"/>
          </w:tcPr>
          <w:p>
            <w:pPr>
              <w:spacing w:line="500" w:lineRule="exact"/>
              <w:rPr>
                <w:rFonts w:ascii="宋体" w:hAnsi="宋体" w:cs="宋体"/>
                <w:color w:val="auto"/>
                <w:szCs w:val="21"/>
              </w:rPr>
            </w:pPr>
          </w:p>
        </w:tc>
        <w:tc>
          <w:tcPr>
            <w:tcW w:w="1608" w:type="dxa"/>
            <w:vAlign w:val="center"/>
          </w:tcPr>
          <w:p>
            <w:pPr>
              <w:spacing w:line="5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911" w:type="dxa"/>
            <w:gridSpan w:val="5"/>
            <w:vAlign w:val="center"/>
          </w:tcPr>
          <w:p>
            <w:pPr>
              <w:spacing w:line="5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分标总报价（含所有优惠条件）：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911" w:type="dxa"/>
            <w:gridSpan w:val="5"/>
            <w:vAlign w:val="center"/>
          </w:tcPr>
          <w:p>
            <w:pPr>
              <w:spacing w:line="500" w:lineRule="exact"/>
              <w:rPr>
                <w:rFonts w:ascii="宋体" w:hAnsi="宋体" w:cs="宋体"/>
                <w:color w:val="auto"/>
                <w:szCs w:val="21"/>
                <w:u w:val="single"/>
              </w:rPr>
            </w:pPr>
            <w:r>
              <w:rPr>
                <w:rFonts w:hint="eastAsia" w:ascii="宋体" w:hAnsi="宋体" w:cs="宋体"/>
                <w:color w:val="auto"/>
                <w:szCs w:val="21"/>
              </w:rPr>
              <w:t>交货期：</w:t>
            </w:r>
          </w:p>
        </w:tc>
      </w:tr>
    </w:tbl>
    <w:p>
      <w:pPr>
        <w:adjustRightInd w:val="0"/>
        <w:snapToGrid w:val="0"/>
        <w:spacing w:line="360" w:lineRule="exact"/>
        <w:ind w:left="-88" w:leftChars="-42"/>
        <w:rPr>
          <w:rFonts w:ascii="宋体" w:hAnsi="宋体" w:cs="宋体"/>
          <w:color w:val="auto"/>
          <w:szCs w:val="21"/>
        </w:rPr>
      </w:pPr>
    </w:p>
    <w:p>
      <w:pPr>
        <w:pStyle w:val="26"/>
        <w:spacing w:line="500" w:lineRule="exact"/>
        <w:rPr>
          <w:rFonts w:hAnsi="宋体" w:cs="宋体"/>
          <w:color w:val="auto"/>
          <w:u w:val="single"/>
        </w:rPr>
      </w:pPr>
      <w:r>
        <w:rPr>
          <w:rFonts w:hint="eastAsia" w:hAnsi="宋体" w:cs="宋体"/>
          <w:color w:val="auto"/>
        </w:rPr>
        <w:t>法定代表人或法定代表人授权代表（签字）：</w:t>
      </w:r>
      <w:r>
        <w:rPr>
          <w:rFonts w:hint="eastAsia" w:hAnsi="宋体" w:cs="宋体"/>
          <w:color w:val="auto"/>
          <w:u w:val="single"/>
        </w:rPr>
        <w:t xml:space="preserve">              </w:t>
      </w:r>
    </w:p>
    <w:p>
      <w:pPr>
        <w:pStyle w:val="26"/>
        <w:spacing w:line="500" w:lineRule="exact"/>
        <w:rPr>
          <w:rFonts w:hAnsi="宋体" w:cs="宋体"/>
          <w:color w:val="auto"/>
          <w:u w:val="single"/>
        </w:rPr>
      </w:pPr>
      <w:r>
        <w:rPr>
          <w:rFonts w:hint="eastAsia" w:hAnsi="宋体" w:cs="宋体"/>
          <w:color w:val="auto"/>
        </w:rPr>
        <w:t>谈判供应商名称（签章）：</w:t>
      </w:r>
      <w:r>
        <w:rPr>
          <w:rFonts w:hint="eastAsia" w:hAnsi="宋体" w:cs="宋体"/>
          <w:color w:val="auto"/>
          <w:u w:val="single"/>
        </w:rPr>
        <w:t xml:space="preserve">                              </w:t>
      </w:r>
    </w:p>
    <w:p>
      <w:pPr>
        <w:pStyle w:val="26"/>
        <w:spacing w:line="500" w:lineRule="exact"/>
        <w:rPr>
          <w:rFonts w:hAnsi="宋体" w:cs="宋体"/>
          <w:color w:val="auto"/>
          <w:u w:val="single"/>
        </w:rPr>
      </w:pPr>
      <w:r>
        <w:rPr>
          <w:rFonts w:hint="eastAsia" w:hAnsi="宋体" w:cs="宋体"/>
          <w:color w:val="auto"/>
        </w:rPr>
        <w:t>报价时间：</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 xml:space="preserve">日 </w:t>
      </w:r>
    </w:p>
    <w:p>
      <w:pPr>
        <w:pStyle w:val="26"/>
        <w:spacing w:line="500" w:lineRule="exact"/>
        <w:rPr>
          <w:rFonts w:hAnsi="宋体" w:cs="宋体"/>
          <w:color w:val="auto"/>
        </w:rPr>
      </w:pPr>
    </w:p>
    <w:p>
      <w:pPr>
        <w:pStyle w:val="26"/>
        <w:ind w:left="1054" w:hanging="1054" w:hangingChars="500"/>
        <w:rPr>
          <w:rFonts w:hAnsi="宋体" w:cs="宋体"/>
          <w:b/>
          <w:color w:val="auto"/>
        </w:rPr>
      </w:pPr>
      <w:r>
        <w:rPr>
          <w:rFonts w:hint="eastAsia" w:hAnsi="宋体" w:cs="宋体"/>
          <w:b/>
          <w:color w:val="auto"/>
        </w:rPr>
        <w:t>竞标说明：</w:t>
      </w:r>
    </w:p>
    <w:p>
      <w:pPr>
        <w:pStyle w:val="26"/>
        <w:rPr>
          <w:rFonts w:hAnsi="宋体" w:cs="宋体"/>
          <w:b/>
          <w:color w:val="auto"/>
        </w:rPr>
      </w:pPr>
      <w:r>
        <w:rPr>
          <w:rFonts w:hint="eastAsia" w:hAnsi="宋体" w:cs="宋体"/>
          <w:b/>
          <w:color w:val="auto"/>
        </w:rPr>
        <w:t>1、竞标人必须按以上格式加盖单位公章并签名，否则，无签名、盖单位公章的竞标无效。</w:t>
      </w:r>
    </w:p>
    <w:p>
      <w:pPr>
        <w:pStyle w:val="26"/>
        <w:spacing w:line="500" w:lineRule="exact"/>
        <w:rPr>
          <w:rFonts w:hAnsi="宋体" w:cs="宋体"/>
          <w:color w:val="auto"/>
          <w:szCs w:val="21"/>
        </w:rPr>
      </w:pPr>
      <w:r>
        <w:rPr>
          <w:rFonts w:hint="eastAsia" w:hAnsi="宋体" w:cs="宋体"/>
          <w:b/>
          <w:color w:val="auto"/>
        </w:rPr>
        <w:t>2、所有价格均用人民币表示，单位为元，精确到个位数。</w:t>
      </w:r>
    </w:p>
    <w:p>
      <w:pPr>
        <w:adjustRightInd w:val="0"/>
        <w:snapToGrid w:val="0"/>
        <w:spacing w:line="300" w:lineRule="auto"/>
        <w:ind w:left="-88" w:leftChars="-42"/>
        <w:rPr>
          <w:rFonts w:ascii="宋体" w:hAnsi="宋体" w:cs="宋体"/>
          <w:b/>
          <w:color w:val="auto"/>
          <w:sz w:val="28"/>
          <w:szCs w:val="28"/>
        </w:rPr>
      </w:pPr>
    </w:p>
    <w:p>
      <w:pPr>
        <w:adjustRightInd w:val="0"/>
        <w:snapToGrid w:val="0"/>
        <w:spacing w:line="300" w:lineRule="auto"/>
        <w:ind w:left="-88" w:leftChars="-42"/>
        <w:rPr>
          <w:rFonts w:ascii="宋体" w:hAnsi="宋体" w:cs="宋体"/>
          <w:b/>
          <w:color w:val="auto"/>
          <w:sz w:val="28"/>
          <w:szCs w:val="28"/>
        </w:rPr>
      </w:pPr>
      <w:r>
        <w:rPr>
          <w:rFonts w:hint="eastAsia" w:ascii="宋体" w:hAnsi="宋体" w:cs="宋体"/>
          <w:b/>
          <w:color w:val="auto"/>
          <w:sz w:val="28"/>
          <w:szCs w:val="28"/>
        </w:rPr>
        <w:br w:type="page"/>
      </w:r>
    </w:p>
    <w:p>
      <w:pPr>
        <w:adjustRightInd w:val="0"/>
        <w:snapToGrid w:val="0"/>
        <w:spacing w:line="300" w:lineRule="auto"/>
        <w:ind w:left="-88" w:leftChars="-42"/>
        <w:rPr>
          <w:rFonts w:ascii="宋体" w:hAnsi="宋体" w:cs="宋体"/>
          <w:b/>
          <w:color w:val="auto"/>
          <w:sz w:val="28"/>
          <w:szCs w:val="28"/>
        </w:rPr>
      </w:pPr>
      <w:r>
        <w:rPr>
          <w:rFonts w:hint="eastAsia" w:ascii="宋体" w:hAnsi="宋体" w:cs="宋体"/>
          <w:b/>
          <w:color w:val="auto"/>
          <w:sz w:val="28"/>
          <w:szCs w:val="28"/>
        </w:rPr>
        <w:t xml:space="preserve">附件三  </w:t>
      </w:r>
    </w:p>
    <w:p>
      <w:pPr>
        <w:adjustRightInd w:val="0"/>
        <w:snapToGrid w:val="0"/>
        <w:spacing w:line="300" w:lineRule="auto"/>
        <w:ind w:left="-88" w:leftChars="-42"/>
        <w:jc w:val="center"/>
        <w:rPr>
          <w:rFonts w:ascii="宋体" w:hAnsi="宋体" w:cs="宋体"/>
          <w:b/>
          <w:color w:val="auto"/>
          <w:sz w:val="28"/>
          <w:szCs w:val="28"/>
        </w:rPr>
      </w:pPr>
      <w:r>
        <w:rPr>
          <w:rFonts w:hint="eastAsia" w:ascii="宋体" w:hAnsi="宋体" w:cs="宋体"/>
          <w:b/>
          <w:color w:val="auto"/>
          <w:sz w:val="28"/>
          <w:szCs w:val="28"/>
        </w:rPr>
        <w:t>分 项 报 价 表</w:t>
      </w:r>
    </w:p>
    <w:p>
      <w:pPr>
        <w:adjustRightInd w:val="0"/>
        <w:snapToGrid w:val="0"/>
        <w:spacing w:line="300" w:lineRule="auto"/>
        <w:ind w:left="-88" w:leftChars="-42"/>
        <w:jc w:val="center"/>
        <w:rPr>
          <w:rFonts w:ascii="宋体" w:hAnsi="宋体" w:cs="宋体"/>
          <w:color w:val="auto"/>
          <w:sz w:val="28"/>
          <w:szCs w:val="28"/>
        </w:rPr>
      </w:pPr>
    </w:p>
    <w:p>
      <w:pPr>
        <w:spacing w:line="300" w:lineRule="auto"/>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pPr>
        <w:spacing w:line="300" w:lineRule="auto"/>
        <w:rPr>
          <w:rFonts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pPr>
        <w:spacing w:line="300" w:lineRule="auto"/>
        <w:rPr>
          <w:rFonts w:ascii="宋体" w:hAnsi="宋体" w:cs="宋体"/>
          <w:color w:val="auto"/>
          <w:szCs w:val="21"/>
        </w:rPr>
      </w:pPr>
      <w:r>
        <w:rPr>
          <w:rFonts w:hint="eastAsia" w:ascii="宋体" w:hAnsi="宋体" w:cs="宋体"/>
          <w:b/>
          <w:color w:val="auto"/>
          <w:szCs w:val="21"/>
          <w:u w:val="single"/>
        </w:rPr>
        <w:t xml:space="preserve">    </w:t>
      </w:r>
      <w:r>
        <w:rPr>
          <w:rFonts w:hint="eastAsia" w:ascii="宋体" w:hAnsi="宋体" w:cs="宋体"/>
          <w:b/>
          <w:color w:val="auto"/>
          <w:szCs w:val="21"/>
        </w:rPr>
        <w:t>分标：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9"/>
        <w:gridCol w:w="2044"/>
        <w:gridCol w:w="801"/>
        <w:gridCol w:w="793"/>
        <w:gridCol w:w="1388"/>
        <w:gridCol w:w="2145"/>
        <w:gridCol w:w="918"/>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序号</w:t>
            </w:r>
          </w:p>
        </w:tc>
        <w:tc>
          <w:tcPr>
            <w:tcW w:w="2044"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货物名称</w:t>
            </w:r>
          </w:p>
        </w:tc>
        <w:tc>
          <w:tcPr>
            <w:tcW w:w="801"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单位</w:t>
            </w:r>
          </w:p>
        </w:tc>
        <w:tc>
          <w:tcPr>
            <w:tcW w:w="793"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数量</w:t>
            </w:r>
          </w:p>
        </w:tc>
        <w:tc>
          <w:tcPr>
            <w:tcW w:w="1388"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品牌、型号和</w:t>
            </w:r>
          </w:p>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规格</w:t>
            </w:r>
          </w:p>
        </w:tc>
        <w:tc>
          <w:tcPr>
            <w:tcW w:w="2145"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技术参数及性能</w:t>
            </w:r>
          </w:p>
        </w:tc>
        <w:tc>
          <w:tcPr>
            <w:tcW w:w="918"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单价</w:t>
            </w:r>
          </w:p>
        </w:tc>
        <w:tc>
          <w:tcPr>
            <w:tcW w:w="983"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1</w:t>
            </w:r>
          </w:p>
        </w:tc>
        <w:tc>
          <w:tcPr>
            <w:tcW w:w="2044" w:type="dxa"/>
            <w:vAlign w:val="center"/>
          </w:tcPr>
          <w:p>
            <w:pPr>
              <w:adjustRightInd w:val="0"/>
              <w:snapToGrid w:val="0"/>
              <w:spacing w:line="300" w:lineRule="auto"/>
              <w:ind w:left="-88" w:leftChars="-42"/>
              <w:jc w:val="center"/>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2</w:t>
            </w:r>
          </w:p>
        </w:tc>
        <w:tc>
          <w:tcPr>
            <w:tcW w:w="2044" w:type="dxa"/>
            <w:vAlign w:val="center"/>
          </w:tcPr>
          <w:p>
            <w:pPr>
              <w:adjustRightInd w:val="0"/>
              <w:snapToGrid w:val="0"/>
              <w:spacing w:line="300" w:lineRule="auto"/>
              <w:ind w:left="-88" w:leftChars="-42"/>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3</w:t>
            </w:r>
          </w:p>
        </w:tc>
        <w:tc>
          <w:tcPr>
            <w:tcW w:w="2044" w:type="dxa"/>
            <w:vAlign w:val="center"/>
          </w:tcPr>
          <w:p>
            <w:pPr>
              <w:adjustRightInd w:val="0"/>
              <w:snapToGrid w:val="0"/>
              <w:spacing w:line="300" w:lineRule="auto"/>
              <w:ind w:left="-88" w:leftChars="-42"/>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4</w:t>
            </w:r>
          </w:p>
        </w:tc>
        <w:tc>
          <w:tcPr>
            <w:tcW w:w="2044" w:type="dxa"/>
            <w:vAlign w:val="center"/>
          </w:tcPr>
          <w:p>
            <w:pPr>
              <w:adjustRightInd w:val="0"/>
              <w:snapToGrid w:val="0"/>
              <w:spacing w:line="300" w:lineRule="auto"/>
              <w:ind w:left="-88" w:leftChars="-42"/>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5</w:t>
            </w:r>
          </w:p>
        </w:tc>
        <w:tc>
          <w:tcPr>
            <w:tcW w:w="2044" w:type="dxa"/>
            <w:vAlign w:val="center"/>
          </w:tcPr>
          <w:p>
            <w:pPr>
              <w:adjustRightInd w:val="0"/>
              <w:snapToGrid w:val="0"/>
              <w:spacing w:line="300" w:lineRule="auto"/>
              <w:ind w:left="-88" w:leftChars="-42"/>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39"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w:t>
            </w:r>
          </w:p>
        </w:tc>
        <w:tc>
          <w:tcPr>
            <w:tcW w:w="2044" w:type="dxa"/>
            <w:vAlign w:val="center"/>
          </w:tcPr>
          <w:p>
            <w:pPr>
              <w:adjustRightInd w:val="0"/>
              <w:snapToGrid w:val="0"/>
              <w:spacing w:line="300" w:lineRule="auto"/>
              <w:ind w:left="-88" w:leftChars="-42"/>
              <w:rPr>
                <w:rFonts w:ascii="宋体" w:hAnsi="宋体" w:cs="宋体"/>
                <w:color w:val="auto"/>
                <w:szCs w:val="21"/>
              </w:rPr>
            </w:pPr>
          </w:p>
        </w:tc>
        <w:tc>
          <w:tcPr>
            <w:tcW w:w="801" w:type="dxa"/>
            <w:vAlign w:val="center"/>
          </w:tcPr>
          <w:p>
            <w:pPr>
              <w:adjustRightInd w:val="0"/>
              <w:snapToGrid w:val="0"/>
              <w:spacing w:line="300" w:lineRule="auto"/>
              <w:jc w:val="center"/>
              <w:rPr>
                <w:rFonts w:ascii="宋体" w:hAnsi="宋体" w:cs="宋体"/>
                <w:color w:val="auto"/>
                <w:szCs w:val="21"/>
              </w:rPr>
            </w:pPr>
          </w:p>
        </w:tc>
        <w:tc>
          <w:tcPr>
            <w:tcW w:w="793" w:type="dxa"/>
            <w:vAlign w:val="center"/>
          </w:tcPr>
          <w:p>
            <w:pPr>
              <w:adjustRightInd w:val="0"/>
              <w:snapToGrid w:val="0"/>
              <w:spacing w:line="300" w:lineRule="auto"/>
              <w:jc w:val="center"/>
              <w:rPr>
                <w:rFonts w:ascii="宋体" w:hAnsi="宋体" w:cs="宋体"/>
                <w:color w:val="auto"/>
                <w:szCs w:val="21"/>
              </w:rPr>
            </w:pPr>
          </w:p>
        </w:tc>
        <w:tc>
          <w:tcPr>
            <w:tcW w:w="1388" w:type="dxa"/>
            <w:vAlign w:val="center"/>
          </w:tcPr>
          <w:p>
            <w:pPr>
              <w:adjustRightInd w:val="0"/>
              <w:snapToGrid w:val="0"/>
              <w:spacing w:line="300" w:lineRule="auto"/>
              <w:jc w:val="center"/>
              <w:rPr>
                <w:rFonts w:ascii="宋体" w:hAnsi="宋体" w:cs="宋体"/>
                <w:color w:val="auto"/>
                <w:szCs w:val="21"/>
              </w:rPr>
            </w:pPr>
          </w:p>
        </w:tc>
        <w:tc>
          <w:tcPr>
            <w:tcW w:w="2145" w:type="dxa"/>
            <w:vAlign w:val="center"/>
          </w:tcPr>
          <w:p>
            <w:pPr>
              <w:adjustRightInd w:val="0"/>
              <w:snapToGrid w:val="0"/>
              <w:spacing w:line="300" w:lineRule="auto"/>
              <w:jc w:val="center"/>
              <w:rPr>
                <w:rFonts w:ascii="宋体" w:hAnsi="宋体" w:cs="宋体"/>
                <w:color w:val="auto"/>
                <w:szCs w:val="21"/>
              </w:rPr>
            </w:pPr>
          </w:p>
        </w:tc>
        <w:tc>
          <w:tcPr>
            <w:tcW w:w="918" w:type="dxa"/>
            <w:vAlign w:val="center"/>
          </w:tcPr>
          <w:p>
            <w:pPr>
              <w:adjustRightInd w:val="0"/>
              <w:snapToGrid w:val="0"/>
              <w:spacing w:line="300" w:lineRule="auto"/>
              <w:jc w:val="center"/>
              <w:rPr>
                <w:rFonts w:ascii="宋体" w:hAnsi="宋体" w:cs="宋体"/>
                <w:color w:val="auto"/>
                <w:szCs w:val="21"/>
              </w:rPr>
            </w:pPr>
          </w:p>
        </w:tc>
        <w:tc>
          <w:tcPr>
            <w:tcW w:w="983" w:type="dxa"/>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928" w:type="dxa"/>
            <w:gridSpan w:val="7"/>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总           计</w:t>
            </w:r>
          </w:p>
        </w:tc>
        <w:tc>
          <w:tcPr>
            <w:tcW w:w="983" w:type="dxa"/>
            <w:vAlign w:val="center"/>
          </w:tcPr>
          <w:p>
            <w:pPr>
              <w:adjustRightInd w:val="0"/>
              <w:snapToGrid w:val="0"/>
              <w:spacing w:line="30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911" w:type="dxa"/>
            <w:gridSpan w:val="8"/>
            <w:vAlign w:val="center"/>
          </w:tcPr>
          <w:p>
            <w:pPr>
              <w:adjustRightInd w:val="0"/>
              <w:snapToGrid w:val="0"/>
              <w:spacing w:line="300" w:lineRule="auto"/>
              <w:rPr>
                <w:rFonts w:ascii="宋体" w:hAnsi="宋体" w:cs="宋体"/>
                <w:color w:val="auto"/>
                <w:szCs w:val="21"/>
              </w:rPr>
            </w:pPr>
            <w:r>
              <w:rPr>
                <w:rFonts w:hint="eastAsia" w:ascii="宋体" w:hAnsi="宋体" w:cs="宋体"/>
                <w:color w:val="auto"/>
                <w:szCs w:val="21"/>
              </w:rPr>
              <w:t>交货期：</w:t>
            </w:r>
          </w:p>
        </w:tc>
      </w:tr>
    </w:tbl>
    <w:p>
      <w:pPr>
        <w:adjustRightInd w:val="0"/>
        <w:snapToGrid w:val="0"/>
        <w:spacing w:line="300" w:lineRule="auto"/>
        <w:ind w:left="-88" w:leftChars="-42" w:firstLine="140"/>
        <w:rPr>
          <w:rFonts w:ascii="宋体" w:hAnsi="宋体" w:cs="宋体"/>
          <w:color w:val="auto"/>
          <w:szCs w:val="21"/>
        </w:rPr>
      </w:pPr>
    </w:p>
    <w:p>
      <w:pPr>
        <w:adjustRightInd w:val="0"/>
        <w:snapToGrid w:val="0"/>
        <w:spacing w:line="300" w:lineRule="auto"/>
        <w:ind w:left="-88" w:leftChars="-42"/>
        <w:rPr>
          <w:rFonts w:ascii="宋体" w:hAnsi="宋体" w:cs="宋体"/>
          <w:color w:val="auto"/>
          <w:szCs w:val="21"/>
        </w:rPr>
      </w:pPr>
    </w:p>
    <w:p>
      <w:pPr>
        <w:adjustRightInd w:val="0"/>
        <w:snapToGrid w:val="0"/>
        <w:spacing w:line="360" w:lineRule="auto"/>
        <w:ind w:right="540" w:firstLine="4410" w:firstLineChars="2100"/>
        <w:rPr>
          <w:rFonts w:ascii="宋体" w:hAnsi="宋体" w:cs="宋体"/>
          <w:color w:val="auto"/>
          <w:szCs w:val="21"/>
          <w:u w:val="single"/>
        </w:rPr>
      </w:pPr>
      <w:r>
        <w:rPr>
          <w:rFonts w:hint="eastAsia" w:ascii="宋体" w:hAnsi="宋体" w:cs="宋体"/>
          <w:color w:val="auto"/>
          <w:szCs w:val="21"/>
        </w:rPr>
        <w:t>法定代表人或法定代表人授权代表签字：</w:t>
      </w:r>
      <w:r>
        <w:rPr>
          <w:rFonts w:hint="eastAsia" w:ascii="宋体" w:hAnsi="宋体" w:cs="宋体"/>
          <w:color w:val="auto"/>
          <w:szCs w:val="21"/>
          <w:u w:val="single"/>
        </w:rPr>
        <w:t xml:space="preserve">          </w:t>
      </w:r>
    </w:p>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00" w:lineRule="auto"/>
        <w:ind w:left="-88" w:leftChars="-42"/>
        <w:jc w:val="center"/>
        <w:rPr>
          <w:rFonts w:ascii="宋体" w:hAnsi="宋体" w:cs="宋体"/>
          <w:color w:val="auto"/>
          <w:szCs w:val="21"/>
        </w:rPr>
      </w:pPr>
    </w:p>
    <w:p>
      <w:pPr>
        <w:adjustRightInd w:val="0"/>
        <w:snapToGrid w:val="0"/>
        <w:spacing w:line="300" w:lineRule="auto"/>
        <w:ind w:left="-88" w:leftChars="-42"/>
        <w:rPr>
          <w:rFonts w:ascii="宋体" w:hAnsi="宋体" w:cs="宋体"/>
          <w:color w:val="auto"/>
          <w:szCs w:val="21"/>
        </w:rPr>
      </w:pPr>
      <w:r>
        <w:rPr>
          <w:rFonts w:hint="eastAsia" w:ascii="宋体" w:hAnsi="宋体" w:cs="宋体"/>
          <w:color w:val="auto"/>
          <w:szCs w:val="21"/>
        </w:rPr>
        <w:t>说明：1、分项报价总计价格必须与报价表一致。</w:t>
      </w:r>
    </w:p>
    <w:p>
      <w:pPr>
        <w:adjustRightInd w:val="0"/>
        <w:snapToGrid w:val="0"/>
        <w:spacing w:line="300" w:lineRule="auto"/>
        <w:ind w:firstLine="525" w:firstLineChars="250"/>
        <w:rPr>
          <w:rFonts w:ascii="宋体" w:hAnsi="宋体" w:cs="宋体"/>
          <w:color w:val="auto"/>
          <w:szCs w:val="21"/>
        </w:rPr>
      </w:pPr>
      <w:r>
        <w:rPr>
          <w:rFonts w:hint="eastAsia" w:ascii="宋体" w:hAnsi="宋体" w:cs="宋体"/>
          <w:color w:val="auto"/>
          <w:szCs w:val="21"/>
        </w:rPr>
        <w:t>2、如果不提供详细的分项报价表将被视为没有实质性响应竞争性谈判文件。</w:t>
      </w:r>
    </w:p>
    <w:p>
      <w:pPr>
        <w:adjustRightInd w:val="0"/>
        <w:snapToGrid w:val="0"/>
        <w:spacing w:line="300" w:lineRule="auto"/>
        <w:ind w:firstLine="525" w:firstLineChars="250"/>
        <w:rPr>
          <w:rFonts w:ascii="宋体" w:hAnsi="宋体" w:cs="宋体"/>
          <w:color w:val="auto"/>
          <w:szCs w:val="21"/>
        </w:rPr>
      </w:pPr>
      <w:r>
        <w:rPr>
          <w:rFonts w:hint="eastAsia" w:ascii="宋体" w:hAnsi="宋体" w:cs="宋体"/>
          <w:color w:val="auto"/>
          <w:szCs w:val="21"/>
        </w:rPr>
        <w:t>3、必须列明各项货物详细技术性能。</w:t>
      </w:r>
    </w:p>
    <w:p>
      <w:pPr>
        <w:spacing w:line="300" w:lineRule="auto"/>
        <w:ind w:firstLine="525" w:firstLineChars="250"/>
        <w:rPr>
          <w:rFonts w:ascii="宋体" w:hAnsi="宋体" w:cs="宋体"/>
          <w:b/>
          <w:color w:val="auto"/>
          <w:sz w:val="28"/>
          <w:szCs w:val="28"/>
        </w:rPr>
      </w:pPr>
      <w:r>
        <w:rPr>
          <w:rFonts w:hint="eastAsia" w:ascii="宋体" w:hAnsi="宋体" w:cs="宋体"/>
          <w:color w:val="auto"/>
          <w:szCs w:val="21"/>
        </w:rPr>
        <w:t>4、必须按此表格式中的对应栏目内容填写，若需增加栏目，请在栏目增加“其它”栏中填写，并作详细说明。</w:t>
      </w: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r>
        <w:rPr>
          <w:rFonts w:hint="eastAsia" w:ascii="宋体" w:hAnsi="宋体" w:cs="宋体"/>
          <w:b/>
          <w:color w:val="auto"/>
          <w:sz w:val="28"/>
          <w:szCs w:val="28"/>
        </w:rPr>
        <w:t xml:space="preserve">附件四   </w:t>
      </w:r>
    </w:p>
    <w:p>
      <w:pPr>
        <w:adjustRightInd w:val="0"/>
        <w:snapToGrid w:val="0"/>
        <w:spacing w:line="300" w:lineRule="auto"/>
        <w:ind w:left="-88" w:leftChars="-42"/>
        <w:jc w:val="center"/>
        <w:rPr>
          <w:rFonts w:ascii="宋体" w:hAnsi="宋体" w:cs="宋体"/>
          <w:b/>
          <w:color w:val="auto"/>
          <w:sz w:val="32"/>
          <w:szCs w:val="32"/>
        </w:rPr>
      </w:pPr>
    </w:p>
    <w:p>
      <w:pPr>
        <w:adjustRightInd w:val="0"/>
        <w:snapToGrid w:val="0"/>
        <w:spacing w:line="300" w:lineRule="auto"/>
        <w:ind w:left="-88" w:leftChars="-42"/>
        <w:jc w:val="center"/>
        <w:rPr>
          <w:rFonts w:ascii="宋体" w:hAnsi="宋体" w:cs="宋体"/>
          <w:b/>
          <w:color w:val="auto"/>
          <w:sz w:val="28"/>
          <w:szCs w:val="28"/>
        </w:rPr>
      </w:pPr>
      <w:r>
        <w:rPr>
          <w:rFonts w:hint="eastAsia" w:ascii="宋体" w:hAnsi="宋体" w:cs="宋体"/>
          <w:b/>
          <w:color w:val="auto"/>
          <w:sz w:val="28"/>
          <w:szCs w:val="28"/>
        </w:rPr>
        <w:t>供 货 清 单</w:t>
      </w:r>
    </w:p>
    <w:p>
      <w:pPr>
        <w:spacing w:line="300" w:lineRule="auto"/>
        <w:rPr>
          <w:rFonts w:ascii="宋体" w:hAnsi="宋体" w:cs="宋体"/>
          <w:color w:val="auto"/>
          <w:sz w:val="28"/>
          <w:szCs w:val="28"/>
        </w:rPr>
      </w:pPr>
    </w:p>
    <w:p>
      <w:pPr>
        <w:spacing w:line="300" w:lineRule="auto"/>
        <w:rPr>
          <w:rFonts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00" w:lineRule="auto"/>
        <w:rPr>
          <w:rFonts w:ascii="宋体" w:hAnsi="宋体" w:cs="宋体"/>
          <w:color w:val="auto"/>
          <w:szCs w:val="21"/>
        </w:rPr>
      </w:pPr>
      <w:r>
        <w:rPr>
          <w:rFonts w:hint="eastAsia" w:ascii="宋体" w:hAnsi="宋体" w:cs="宋体"/>
          <w:color w:val="auto"/>
          <w:szCs w:val="21"/>
        </w:rPr>
        <w:t>采购项目名称: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00" w:lineRule="auto"/>
        <w:rPr>
          <w:rFonts w:ascii="宋体" w:hAnsi="宋体" w:cs="宋体"/>
          <w:color w:val="auto"/>
          <w:szCs w:val="21"/>
        </w:rPr>
      </w:pPr>
      <w:r>
        <w:rPr>
          <w:rFonts w:hint="eastAsia" w:ascii="宋体" w:hAnsi="宋体" w:cs="宋体"/>
          <w:b/>
          <w:color w:val="auto"/>
          <w:szCs w:val="21"/>
          <w:u w:val="single"/>
        </w:rPr>
        <w:t xml:space="preserve">      </w:t>
      </w:r>
      <w:r>
        <w:rPr>
          <w:rFonts w:hint="eastAsia" w:ascii="宋体" w:hAnsi="宋体" w:cs="宋体"/>
          <w:b/>
          <w:color w:val="auto"/>
          <w:szCs w:val="21"/>
        </w:rPr>
        <w:t>分标：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415"/>
        <w:gridCol w:w="3084"/>
        <w:gridCol w:w="1228"/>
        <w:gridCol w:w="21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63"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序号</w:t>
            </w:r>
          </w:p>
        </w:tc>
        <w:tc>
          <w:tcPr>
            <w:tcW w:w="2415"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货物名称/采购内容</w:t>
            </w:r>
          </w:p>
        </w:tc>
        <w:tc>
          <w:tcPr>
            <w:tcW w:w="3084" w:type="dxa"/>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主要规格型号</w:t>
            </w: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数  量</w:t>
            </w: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r>
              <w:rPr>
                <w:rFonts w:hint="eastAsia" w:ascii="宋体" w:hAnsi="宋体" w:cs="宋体"/>
                <w:color w:val="auto"/>
                <w:szCs w:val="21"/>
              </w:rPr>
              <w:t>质保期或免费维护期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1</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2</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3</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4</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5</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63" w:type="dxa"/>
            <w:vAlign w:val="center"/>
          </w:tcPr>
          <w:p>
            <w:pPr>
              <w:adjustRightInd w:val="0"/>
              <w:snapToGrid w:val="0"/>
              <w:spacing w:line="300" w:lineRule="auto"/>
              <w:ind w:left="-88" w:leftChars="-42"/>
              <w:jc w:val="center"/>
              <w:rPr>
                <w:rFonts w:ascii="宋体" w:hAnsi="宋体" w:cs="宋体"/>
                <w:color w:val="auto"/>
                <w:szCs w:val="21"/>
              </w:rPr>
            </w:pPr>
            <w:r>
              <w:rPr>
                <w:rFonts w:hint="eastAsia" w:ascii="宋体" w:hAnsi="宋体" w:cs="宋体"/>
                <w:color w:val="auto"/>
                <w:szCs w:val="21"/>
              </w:rPr>
              <w:t>…</w:t>
            </w:r>
          </w:p>
        </w:tc>
        <w:tc>
          <w:tcPr>
            <w:tcW w:w="2415" w:type="dxa"/>
            <w:vAlign w:val="center"/>
          </w:tcPr>
          <w:p>
            <w:pPr>
              <w:adjustRightInd w:val="0"/>
              <w:snapToGrid w:val="0"/>
              <w:spacing w:line="300" w:lineRule="auto"/>
              <w:ind w:left="-88" w:leftChars="-42"/>
              <w:jc w:val="center"/>
              <w:rPr>
                <w:rFonts w:ascii="宋体" w:hAnsi="宋体" w:cs="宋体"/>
                <w:color w:val="auto"/>
                <w:szCs w:val="21"/>
              </w:rPr>
            </w:pPr>
          </w:p>
        </w:tc>
        <w:tc>
          <w:tcPr>
            <w:tcW w:w="3084" w:type="dxa"/>
            <w:vAlign w:val="center"/>
          </w:tcPr>
          <w:p>
            <w:pPr>
              <w:adjustRightInd w:val="0"/>
              <w:snapToGrid w:val="0"/>
              <w:spacing w:line="300" w:lineRule="auto"/>
              <w:jc w:val="center"/>
              <w:rPr>
                <w:rFonts w:ascii="宋体" w:hAnsi="宋体" w:cs="宋体"/>
                <w:color w:val="auto"/>
                <w:szCs w:val="21"/>
              </w:rPr>
            </w:pPr>
          </w:p>
        </w:tc>
        <w:tc>
          <w:tcPr>
            <w:tcW w:w="1228" w:type="dxa"/>
            <w:tcBorders>
              <w:right w:val="single" w:color="auto" w:sz="4" w:space="0"/>
            </w:tcBorders>
            <w:vAlign w:val="center"/>
          </w:tcPr>
          <w:p>
            <w:pPr>
              <w:adjustRightInd w:val="0"/>
              <w:snapToGrid w:val="0"/>
              <w:spacing w:line="300" w:lineRule="auto"/>
              <w:jc w:val="center"/>
              <w:rPr>
                <w:rFonts w:ascii="宋体" w:hAnsi="宋体" w:cs="宋体"/>
                <w:color w:val="auto"/>
                <w:szCs w:val="21"/>
              </w:rPr>
            </w:pPr>
          </w:p>
        </w:tc>
        <w:tc>
          <w:tcPr>
            <w:tcW w:w="2156" w:type="dxa"/>
            <w:tcBorders>
              <w:left w:val="single" w:color="auto" w:sz="4" w:space="0"/>
            </w:tcBorders>
            <w:vAlign w:val="center"/>
          </w:tcPr>
          <w:p>
            <w:pPr>
              <w:adjustRightInd w:val="0"/>
              <w:snapToGrid w:val="0"/>
              <w:spacing w:line="300" w:lineRule="auto"/>
              <w:jc w:val="center"/>
              <w:rPr>
                <w:rFonts w:ascii="宋体" w:hAnsi="宋体" w:cs="宋体"/>
                <w:color w:val="auto"/>
                <w:szCs w:val="21"/>
              </w:rPr>
            </w:pPr>
          </w:p>
        </w:tc>
      </w:tr>
    </w:tbl>
    <w:p>
      <w:pPr>
        <w:adjustRightInd w:val="0"/>
        <w:snapToGrid w:val="0"/>
        <w:spacing w:line="500" w:lineRule="exact"/>
        <w:rPr>
          <w:rFonts w:ascii="宋体" w:hAnsi="宋体" w:cs="宋体"/>
          <w:color w:val="auto"/>
          <w:szCs w:val="21"/>
        </w:rPr>
      </w:pPr>
      <w:r>
        <w:rPr>
          <w:rFonts w:hint="eastAsia" w:ascii="宋体" w:hAnsi="宋体" w:cs="宋体"/>
          <w:color w:val="auto"/>
          <w:szCs w:val="21"/>
        </w:rPr>
        <w:t>说明：提供竞标设备详细的供货范围，包括主机、主要配件及生产厂家、软件系统、备品备件等。</w:t>
      </w:r>
    </w:p>
    <w:p>
      <w:pPr>
        <w:adjustRightInd w:val="0"/>
        <w:snapToGrid w:val="0"/>
        <w:spacing w:line="500" w:lineRule="exact"/>
        <w:rPr>
          <w:rFonts w:ascii="宋体" w:hAnsi="宋体" w:cs="宋体"/>
          <w:color w:val="auto"/>
          <w:sz w:val="28"/>
          <w:szCs w:val="28"/>
        </w:rPr>
      </w:pPr>
    </w:p>
    <w:p>
      <w:pPr>
        <w:adjustRightInd w:val="0"/>
        <w:snapToGrid w:val="0"/>
        <w:spacing w:line="500" w:lineRule="exact"/>
        <w:rPr>
          <w:rFonts w:ascii="宋体" w:hAnsi="宋体" w:cs="宋体"/>
          <w:color w:val="auto"/>
          <w:sz w:val="28"/>
          <w:szCs w:val="28"/>
        </w:rPr>
      </w:pPr>
    </w:p>
    <w:p>
      <w:pPr>
        <w:adjustRightInd w:val="0"/>
        <w:snapToGrid w:val="0"/>
        <w:spacing w:line="500" w:lineRule="exact"/>
        <w:rPr>
          <w:rFonts w:ascii="宋体" w:hAnsi="宋体" w:cs="宋体"/>
          <w:color w:val="auto"/>
          <w:sz w:val="28"/>
          <w:szCs w:val="28"/>
        </w:rPr>
      </w:pPr>
    </w:p>
    <w:p>
      <w:pPr>
        <w:adjustRightInd w:val="0"/>
        <w:snapToGrid w:val="0"/>
        <w:spacing w:line="500" w:lineRule="exact"/>
        <w:rPr>
          <w:rFonts w:ascii="宋体" w:hAnsi="宋体" w:cs="宋体"/>
          <w:color w:val="auto"/>
          <w:sz w:val="28"/>
          <w:szCs w:val="28"/>
        </w:rPr>
      </w:pPr>
    </w:p>
    <w:p>
      <w:pPr>
        <w:adjustRightInd w:val="0"/>
        <w:snapToGrid w:val="0"/>
        <w:spacing w:line="500" w:lineRule="exact"/>
        <w:ind w:firstLine="3675" w:firstLineChars="1750"/>
        <w:rPr>
          <w:rFonts w:ascii="宋体" w:hAnsi="宋体" w:cs="宋体"/>
          <w:color w:val="auto"/>
          <w:szCs w:val="21"/>
          <w:u w:val="single"/>
        </w:rPr>
      </w:pPr>
      <w:r>
        <w:rPr>
          <w:rFonts w:hint="eastAsia" w:ascii="宋体" w:hAnsi="宋体" w:cs="宋体"/>
          <w:color w:val="auto"/>
          <w:szCs w:val="21"/>
        </w:rPr>
        <w:t>法定代表人或法定代表人授权代表签字：</w:t>
      </w:r>
      <w:r>
        <w:rPr>
          <w:rFonts w:hint="eastAsia" w:ascii="宋体" w:hAnsi="宋体" w:cs="宋体"/>
          <w:color w:val="auto"/>
          <w:szCs w:val="21"/>
          <w:u w:val="single"/>
        </w:rPr>
        <w:t xml:space="preserve">              </w:t>
      </w:r>
    </w:p>
    <w:p>
      <w:pPr>
        <w:pStyle w:val="26"/>
        <w:spacing w:line="500" w:lineRule="exact"/>
        <w:ind w:firstLine="3675" w:firstLineChars="1750"/>
        <w:rPr>
          <w:rFonts w:hAnsi="宋体" w:cs="宋体"/>
          <w:color w:val="auto"/>
          <w:u w:val="single"/>
        </w:rPr>
      </w:pPr>
      <w:r>
        <w:rPr>
          <w:rFonts w:hint="eastAsia" w:hAnsi="宋体" w:cs="宋体"/>
          <w:color w:val="auto"/>
          <w:szCs w:val="21"/>
        </w:rPr>
        <w:t>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pPr>
        <w:adjustRightInd w:val="0"/>
        <w:snapToGrid w:val="0"/>
        <w:spacing w:line="300" w:lineRule="auto"/>
        <w:rPr>
          <w:rFonts w:ascii="宋体" w:hAnsi="宋体" w:cs="宋体"/>
          <w:color w:val="auto"/>
          <w:szCs w:val="21"/>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spacing w:line="300" w:lineRule="auto"/>
        <w:rPr>
          <w:rFonts w:ascii="宋体" w:hAnsi="宋体" w:cs="宋体"/>
          <w:b/>
          <w:color w:val="auto"/>
          <w:sz w:val="28"/>
          <w:szCs w:val="28"/>
        </w:rPr>
      </w:pPr>
      <w:r>
        <w:rPr>
          <w:rFonts w:hint="eastAsia" w:ascii="宋体" w:hAnsi="宋体" w:cs="宋体"/>
          <w:b/>
          <w:color w:val="auto"/>
          <w:sz w:val="28"/>
          <w:szCs w:val="28"/>
        </w:rPr>
        <w:t>附件五</w:t>
      </w:r>
    </w:p>
    <w:p>
      <w:pPr>
        <w:spacing w:line="300" w:lineRule="auto"/>
        <w:jc w:val="center"/>
        <w:rPr>
          <w:rFonts w:ascii="宋体" w:hAnsi="宋体" w:cs="宋体"/>
          <w:b/>
          <w:color w:val="auto"/>
          <w:sz w:val="32"/>
          <w:szCs w:val="32"/>
        </w:rPr>
      </w:pPr>
    </w:p>
    <w:p>
      <w:pPr>
        <w:spacing w:line="300" w:lineRule="auto"/>
        <w:jc w:val="center"/>
        <w:rPr>
          <w:rFonts w:ascii="宋体" w:hAnsi="宋体" w:cs="宋体"/>
          <w:b/>
          <w:color w:val="auto"/>
          <w:sz w:val="28"/>
          <w:szCs w:val="28"/>
        </w:rPr>
      </w:pPr>
      <w:r>
        <w:rPr>
          <w:rFonts w:hint="eastAsia" w:ascii="宋体" w:hAnsi="宋体" w:cs="宋体"/>
          <w:b/>
          <w:color w:val="auto"/>
          <w:sz w:val="28"/>
          <w:szCs w:val="28"/>
        </w:rPr>
        <w:t>技术响应、偏离情况说明表</w:t>
      </w:r>
    </w:p>
    <w:p>
      <w:pPr>
        <w:spacing w:line="300" w:lineRule="auto"/>
        <w:rPr>
          <w:rFonts w:ascii="宋体" w:hAnsi="宋体" w:cs="宋体"/>
          <w:color w:val="auto"/>
          <w:sz w:val="28"/>
          <w:szCs w:val="28"/>
        </w:rPr>
      </w:pPr>
    </w:p>
    <w:p>
      <w:pPr>
        <w:spacing w:line="300" w:lineRule="auto"/>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pPr>
        <w:spacing w:line="300" w:lineRule="auto"/>
        <w:rPr>
          <w:rFonts w:ascii="宋体" w:hAnsi="宋体" w:cs="宋体"/>
          <w:color w:val="auto"/>
          <w:szCs w:val="21"/>
        </w:rPr>
      </w:pPr>
      <w:r>
        <w:rPr>
          <w:rFonts w:hint="eastAsia" w:ascii="宋体" w:hAnsi="宋体" w:cs="宋体"/>
          <w:color w:val="auto"/>
          <w:szCs w:val="21"/>
        </w:rPr>
        <w:t>采购项目名称: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00" w:lineRule="auto"/>
        <w:rPr>
          <w:rFonts w:ascii="宋体" w:hAnsi="宋体" w:cs="宋体"/>
          <w:color w:val="auto"/>
          <w:szCs w:val="21"/>
        </w:rPr>
      </w:pPr>
      <w:r>
        <w:rPr>
          <w:rFonts w:hint="eastAsia" w:ascii="宋体" w:hAnsi="宋体" w:cs="宋体"/>
          <w:b/>
          <w:color w:val="auto"/>
          <w:szCs w:val="21"/>
          <w:u w:val="single"/>
        </w:rPr>
        <w:t xml:space="preserve">      </w:t>
      </w:r>
      <w:r>
        <w:rPr>
          <w:rFonts w:hint="eastAsia" w:ascii="宋体" w:hAnsi="宋体" w:cs="宋体"/>
          <w:b/>
          <w:color w:val="auto"/>
          <w:szCs w:val="21"/>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45" w:name="_Toc291581941"/>
            <w:bookmarkStart w:id="46" w:name="_Toc322959186"/>
            <w:bookmarkStart w:id="47" w:name="_Toc488673055"/>
            <w:bookmarkStart w:id="48" w:name="_Toc388450312"/>
            <w:r>
              <w:rPr>
                <w:rFonts w:hint="eastAsia" w:ascii="宋体" w:hAnsi="宋体" w:cs="宋体"/>
                <w:color w:val="auto"/>
                <w:szCs w:val="21"/>
              </w:rPr>
              <w:t>序号</w:t>
            </w:r>
            <w:bookmarkEnd w:id="45"/>
            <w:bookmarkEnd w:id="46"/>
            <w:bookmarkEnd w:id="47"/>
            <w:bookmarkEnd w:id="48"/>
          </w:p>
        </w:tc>
        <w:tc>
          <w:tcPr>
            <w:tcW w:w="2843" w:type="dxa"/>
            <w:vAlign w:val="center"/>
          </w:tcPr>
          <w:p>
            <w:pPr>
              <w:adjustRightInd w:val="0"/>
              <w:snapToGrid w:val="0"/>
              <w:spacing w:line="300" w:lineRule="auto"/>
              <w:jc w:val="center"/>
              <w:outlineLvl w:val="0"/>
              <w:rPr>
                <w:rFonts w:ascii="宋体" w:hAnsi="宋体" w:cs="宋体"/>
                <w:color w:val="auto"/>
                <w:szCs w:val="21"/>
              </w:rPr>
            </w:pPr>
            <w:bookmarkStart w:id="49" w:name="_Toc322959187"/>
            <w:bookmarkStart w:id="50" w:name="_Toc291581942"/>
            <w:bookmarkStart w:id="51" w:name="_Toc488673056"/>
            <w:bookmarkStart w:id="52" w:name="_Toc388450313"/>
            <w:r>
              <w:rPr>
                <w:rFonts w:hint="eastAsia" w:ascii="宋体" w:hAnsi="宋体" w:cs="宋体"/>
                <w:color w:val="auto"/>
                <w:szCs w:val="21"/>
              </w:rPr>
              <w:t>竞争性谈判文件要求</w:t>
            </w:r>
            <w:bookmarkEnd w:id="49"/>
            <w:bookmarkEnd w:id="50"/>
            <w:bookmarkEnd w:id="51"/>
            <w:bookmarkEnd w:id="52"/>
          </w:p>
        </w:tc>
        <w:tc>
          <w:tcPr>
            <w:tcW w:w="3178" w:type="dxa"/>
            <w:vAlign w:val="center"/>
          </w:tcPr>
          <w:p>
            <w:pPr>
              <w:adjustRightInd w:val="0"/>
              <w:snapToGrid w:val="0"/>
              <w:spacing w:line="300" w:lineRule="auto"/>
              <w:jc w:val="center"/>
              <w:outlineLvl w:val="0"/>
              <w:rPr>
                <w:rFonts w:ascii="宋体" w:hAnsi="宋体" w:cs="宋体"/>
                <w:color w:val="auto"/>
                <w:szCs w:val="21"/>
              </w:rPr>
            </w:pPr>
            <w:bookmarkStart w:id="53" w:name="_Toc388450314"/>
            <w:bookmarkStart w:id="54" w:name="_Toc322959188"/>
            <w:bookmarkStart w:id="55" w:name="_Toc488673057"/>
            <w:bookmarkStart w:id="56" w:name="_Toc291581943"/>
            <w:r>
              <w:rPr>
                <w:rFonts w:hint="eastAsia" w:ascii="宋体" w:hAnsi="宋体" w:cs="宋体"/>
                <w:color w:val="auto"/>
                <w:szCs w:val="21"/>
              </w:rPr>
              <w:t>谈判响应文件具体响应</w:t>
            </w:r>
            <w:bookmarkEnd w:id="53"/>
            <w:bookmarkEnd w:id="54"/>
            <w:bookmarkEnd w:id="55"/>
            <w:bookmarkEnd w:id="56"/>
          </w:p>
        </w:tc>
        <w:tc>
          <w:tcPr>
            <w:tcW w:w="1580" w:type="dxa"/>
            <w:vAlign w:val="center"/>
          </w:tcPr>
          <w:p>
            <w:pPr>
              <w:adjustRightInd w:val="0"/>
              <w:snapToGrid w:val="0"/>
              <w:spacing w:line="300" w:lineRule="auto"/>
              <w:jc w:val="center"/>
              <w:outlineLvl w:val="0"/>
              <w:rPr>
                <w:rFonts w:ascii="宋体" w:hAnsi="宋体" w:cs="宋体"/>
                <w:color w:val="auto"/>
                <w:szCs w:val="21"/>
              </w:rPr>
            </w:pPr>
            <w:bookmarkStart w:id="57" w:name="_Toc488673058"/>
            <w:bookmarkStart w:id="58" w:name="_Toc388450315"/>
            <w:bookmarkStart w:id="59" w:name="_Toc291581944"/>
            <w:bookmarkStart w:id="60" w:name="_Toc322959189"/>
            <w:r>
              <w:rPr>
                <w:rFonts w:hint="eastAsia" w:ascii="宋体" w:hAnsi="宋体" w:cs="宋体"/>
                <w:color w:val="auto"/>
                <w:szCs w:val="21"/>
              </w:rPr>
              <w:t>响应/偏离</w:t>
            </w:r>
            <w:bookmarkEnd w:id="57"/>
            <w:bookmarkEnd w:id="58"/>
            <w:bookmarkEnd w:id="59"/>
            <w:bookmarkEnd w:id="60"/>
          </w:p>
        </w:tc>
        <w:tc>
          <w:tcPr>
            <w:tcW w:w="1469" w:type="dxa"/>
            <w:vAlign w:val="center"/>
          </w:tcPr>
          <w:p>
            <w:pPr>
              <w:adjustRightInd w:val="0"/>
              <w:snapToGrid w:val="0"/>
              <w:spacing w:line="300" w:lineRule="auto"/>
              <w:jc w:val="center"/>
              <w:outlineLvl w:val="0"/>
              <w:rPr>
                <w:rFonts w:ascii="宋体" w:hAnsi="宋体" w:cs="宋体"/>
                <w:color w:val="auto"/>
                <w:szCs w:val="21"/>
              </w:rPr>
            </w:pPr>
            <w:bookmarkStart w:id="61" w:name="_Toc322959190"/>
            <w:bookmarkStart w:id="62" w:name="_Toc488673059"/>
            <w:bookmarkStart w:id="63" w:name="_Toc291581945"/>
            <w:bookmarkStart w:id="64" w:name="_Toc388450316"/>
            <w:r>
              <w:rPr>
                <w:rFonts w:hint="eastAsia" w:ascii="宋体" w:hAnsi="宋体" w:cs="宋体"/>
                <w:color w:val="auto"/>
                <w:szCs w:val="21"/>
              </w:rPr>
              <w:t>说明</w:t>
            </w:r>
            <w:bookmarkEnd w:id="61"/>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65" w:name="_Toc388450317"/>
            <w:bookmarkStart w:id="66" w:name="_Toc291581946"/>
            <w:bookmarkStart w:id="67" w:name="_Toc488673060"/>
            <w:bookmarkStart w:id="68" w:name="_Toc322959191"/>
            <w:r>
              <w:rPr>
                <w:rFonts w:hint="eastAsia" w:ascii="宋体" w:hAnsi="宋体" w:cs="宋体"/>
                <w:color w:val="auto"/>
                <w:szCs w:val="21"/>
              </w:rPr>
              <w:t>1</w:t>
            </w:r>
            <w:bookmarkEnd w:id="65"/>
            <w:bookmarkEnd w:id="66"/>
            <w:bookmarkEnd w:id="67"/>
            <w:bookmarkEnd w:id="68"/>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vAlign w:val="center"/>
          </w:tcPr>
          <w:p>
            <w:pPr>
              <w:adjustRightInd w:val="0"/>
              <w:snapToGrid w:val="0"/>
              <w:spacing w:line="300" w:lineRule="auto"/>
              <w:jc w:val="center"/>
              <w:outlineLvl w:val="0"/>
              <w:rPr>
                <w:rFonts w:ascii="宋体" w:hAnsi="宋体" w:cs="宋体"/>
                <w:color w:val="auto"/>
                <w:szCs w:val="21"/>
              </w:rPr>
            </w:pPr>
          </w:p>
        </w:tc>
        <w:tc>
          <w:tcPr>
            <w:tcW w:w="1469"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69" w:name="_Toc488673061"/>
            <w:bookmarkStart w:id="70" w:name="_Toc291581947"/>
            <w:bookmarkStart w:id="71" w:name="_Toc388450318"/>
            <w:bookmarkStart w:id="72" w:name="_Toc322959192"/>
            <w:r>
              <w:rPr>
                <w:rFonts w:hint="eastAsia" w:ascii="宋体" w:hAnsi="宋体" w:cs="宋体"/>
                <w:color w:val="auto"/>
                <w:szCs w:val="21"/>
              </w:rPr>
              <w:t>2</w:t>
            </w:r>
            <w:bookmarkEnd w:id="69"/>
            <w:bookmarkEnd w:id="70"/>
            <w:bookmarkEnd w:id="71"/>
            <w:bookmarkEnd w:id="72"/>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vAlign w:val="center"/>
          </w:tcPr>
          <w:p>
            <w:pPr>
              <w:adjustRightInd w:val="0"/>
              <w:snapToGrid w:val="0"/>
              <w:spacing w:line="300" w:lineRule="auto"/>
              <w:jc w:val="center"/>
              <w:outlineLvl w:val="0"/>
              <w:rPr>
                <w:rFonts w:ascii="宋体" w:hAnsi="宋体" w:cs="宋体"/>
                <w:color w:val="auto"/>
                <w:szCs w:val="21"/>
              </w:rPr>
            </w:pPr>
          </w:p>
        </w:tc>
        <w:tc>
          <w:tcPr>
            <w:tcW w:w="1469"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73" w:name="_Toc291581948"/>
            <w:bookmarkStart w:id="74" w:name="_Toc322959193"/>
            <w:bookmarkStart w:id="75" w:name="_Toc388450319"/>
            <w:bookmarkStart w:id="76" w:name="_Toc488673062"/>
            <w:r>
              <w:rPr>
                <w:rFonts w:hint="eastAsia" w:ascii="宋体" w:hAnsi="宋体" w:cs="宋体"/>
                <w:color w:val="auto"/>
                <w:szCs w:val="21"/>
              </w:rPr>
              <w:t>3</w:t>
            </w:r>
            <w:bookmarkEnd w:id="73"/>
            <w:bookmarkEnd w:id="74"/>
            <w:bookmarkEnd w:id="75"/>
            <w:bookmarkEnd w:id="76"/>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vAlign w:val="center"/>
          </w:tcPr>
          <w:p>
            <w:pPr>
              <w:adjustRightInd w:val="0"/>
              <w:snapToGrid w:val="0"/>
              <w:spacing w:line="300" w:lineRule="auto"/>
              <w:jc w:val="center"/>
              <w:outlineLvl w:val="0"/>
              <w:rPr>
                <w:rFonts w:ascii="宋体" w:hAnsi="宋体" w:cs="宋体"/>
                <w:color w:val="auto"/>
                <w:szCs w:val="21"/>
              </w:rPr>
            </w:pPr>
          </w:p>
        </w:tc>
        <w:tc>
          <w:tcPr>
            <w:tcW w:w="1469"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77" w:name="_Toc291581949"/>
            <w:bookmarkStart w:id="78" w:name="_Toc322959194"/>
            <w:bookmarkStart w:id="79" w:name="_Toc388450320"/>
            <w:bookmarkStart w:id="80" w:name="_Toc488673063"/>
            <w:r>
              <w:rPr>
                <w:rFonts w:hint="eastAsia" w:ascii="宋体" w:hAnsi="宋体" w:cs="宋体"/>
                <w:color w:val="auto"/>
                <w:szCs w:val="21"/>
              </w:rPr>
              <w:t>4</w:t>
            </w:r>
            <w:bookmarkEnd w:id="77"/>
            <w:bookmarkEnd w:id="78"/>
            <w:bookmarkEnd w:id="79"/>
            <w:bookmarkEnd w:id="80"/>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vAlign w:val="center"/>
          </w:tcPr>
          <w:p>
            <w:pPr>
              <w:adjustRightInd w:val="0"/>
              <w:snapToGrid w:val="0"/>
              <w:spacing w:line="300" w:lineRule="auto"/>
              <w:jc w:val="center"/>
              <w:outlineLvl w:val="0"/>
              <w:rPr>
                <w:rFonts w:ascii="宋体" w:hAnsi="宋体" w:cs="宋体"/>
                <w:color w:val="auto"/>
                <w:szCs w:val="21"/>
              </w:rPr>
            </w:pPr>
          </w:p>
        </w:tc>
        <w:tc>
          <w:tcPr>
            <w:tcW w:w="1469"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81" w:name="_Toc488673064"/>
            <w:bookmarkStart w:id="82" w:name="_Toc322959195"/>
            <w:bookmarkStart w:id="83" w:name="_Toc388450321"/>
            <w:bookmarkStart w:id="84" w:name="_Toc291581950"/>
            <w:r>
              <w:rPr>
                <w:rFonts w:hint="eastAsia" w:ascii="宋体" w:hAnsi="宋体" w:cs="宋体"/>
                <w:color w:val="auto"/>
                <w:szCs w:val="21"/>
              </w:rPr>
              <w:t>5</w:t>
            </w:r>
            <w:bookmarkEnd w:id="81"/>
            <w:bookmarkEnd w:id="82"/>
            <w:bookmarkEnd w:id="83"/>
            <w:bookmarkEnd w:id="84"/>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vAlign w:val="center"/>
          </w:tcPr>
          <w:p>
            <w:pPr>
              <w:adjustRightInd w:val="0"/>
              <w:snapToGrid w:val="0"/>
              <w:spacing w:line="300" w:lineRule="auto"/>
              <w:jc w:val="center"/>
              <w:outlineLvl w:val="0"/>
              <w:rPr>
                <w:rFonts w:ascii="宋体" w:hAnsi="宋体" w:cs="宋体"/>
                <w:color w:val="auto"/>
                <w:szCs w:val="21"/>
              </w:rPr>
            </w:pPr>
          </w:p>
        </w:tc>
        <w:tc>
          <w:tcPr>
            <w:tcW w:w="1469"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41" w:type="dxa"/>
            <w:vAlign w:val="center"/>
          </w:tcPr>
          <w:p>
            <w:pPr>
              <w:adjustRightInd w:val="0"/>
              <w:snapToGrid w:val="0"/>
              <w:spacing w:line="300" w:lineRule="auto"/>
              <w:jc w:val="center"/>
              <w:outlineLvl w:val="0"/>
              <w:rPr>
                <w:rFonts w:ascii="宋体" w:hAnsi="宋体" w:cs="宋体"/>
                <w:color w:val="auto"/>
                <w:szCs w:val="21"/>
              </w:rPr>
            </w:pPr>
            <w:bookmarkStart w:id="85" w:name="_Toc322959196"/>
            <w:bookmarkStart w:id="86" w:name="_Toc488673065"/>
            <w:bookmarkStart w:id="87" w:name="_Toc291581951"/>
            <w:bookmarkStart w:id="88" w:name="_Toc388450322"/>
            <w:r>
              <w:rPr>
                <w:rFonts w:hint="eastAsia" w:ascii="宋体" w:hAnsi="宋体" w:cs="宋体"/>
                <w:color w:val="auto"/>
                <w:szCs w:val="21"/>
              </w:rPr>
              <w:t>…</w:t>
            </w:r>
            <w:bookmarkEnd w:id="85"/>
            <w:bookmarkEnd w:id="86"/>
            <w:bookmarkEnd w:id="87"/>
            <w:bookmarkEnd w:id="88"/>
          </w:p>
        </w:tc>
        <w:tc>
          <w:tcPr>
            <w:tcW w:w="2843" w:type="dxa"/>
            <w:vAlign w:val="center"/>
          </w:tcPr>
          <w:p>
            <w:pPr>
              <w:adjustRightInd w:val="0"/>
              <w:snapToGrid w:val="0"/>
              <w:spacing w:line="300" w:lineRule="auto"/>
              <w:jc w:val="center"/>
              <w:outlineLvl w:val="0"/>
              <w:rPr>
                <w:rFonts w:ascii="宋体" w:hAnsi="宋体" w:cs="宋体"/>
                <w:color w:val="auto"/>
                <w:szCs w:val="21"/>
              </w:rPr>
            </w:pPr>
          </w:p>
        </w:tc>
        <w:tc>
          <w:tcPr>
            <w:tcW w:w="3178" w:type="dxa"/>
            <w:vAlign w:val="center"/>
          </w:tcPr>
          <w:p>
            <w:pPr>
              <w:adjustRightInd w:val="0"/>
              <w:snapToGrid w:val="0"/>
              <w:spacing w:line="300" w:lineRule="auto"/>
              <w:jc w:val="center"/>
              <w:outlineLvl w:val="0"/>
              <w:rPr>
                <w:rFonts w:ascii="宋体" w:hAnsi="宋体" w:cs="宋体"/>
                <w:color w:val="auto"/>
                <w:szCs w:val="21"/>
              </w:rPr>
            </w:pPr>
          </w:p>
        </w:tc>
        <w:tc>
          <w:tcPr>
            <w:tcW w:w="1580" w:type="dxa"/>
            <w:tcBorders>
              <w:right w:val="single" w:color="auto" w:sz="4" w:space="0"/>
            </w:tcBorders>
            <w:vAlign w:val="center"/>
          </w:tcPr>
          <w:p>
            <w:pPr>
              <w:adjustRightInd w:val="0"/>
              <w:snapToGrid w:val="0"/>
              <w:spacing w:line="300" w:lineRule="auto"/>
              <w:jc w:val="center"/>
              <w:outlineLvl w:val="0"/>
              <w:rPr>
                <w:rFonts w:ascii="宋体" w:hAnsi="宋体" w:cs="宋体"/>
                <w:color w:val="auto"/>
                <w:szCs w:val="21"/>
              </w:rPr>
            </w:pPr>
          </w:p>
        </w:tc>
        <w:tc>
          <w:tcPr>
            <w:tcW w:w="1469" w:type="dxa"/>
            <w:tcBorders>
              <w:left w:val="single" w:color="auto" w:sz="4" w:space="0"/>
            </w:tcBorders>
            <w:vAlign w:val="center"/>
          </w:tcPr>
          <w:p>
            <w:pPr>
              <w:adjustRightInd w:val="0"/>
              <w:snapToGrid w:val="0"/>
              <w:spacing w:line="300" w:lineRule="auto"/>
              <w:jc w:val="center"/>
              <w:outlineLvl w:val="0"/>
              <w:rPr>
                <w:rFonts w:ascii="宋体" w:hAnsi="宋体" w:cs="宋体"/>
                <w:color w:val="auto"/>
                <w:szCs w:val="21"/>
              </w:rPr>
            </w:pPr>
          </w:p>
        </w:tc>
      </w:tr>
    </w:tbl>
    <w:p>
      <w:pPr>
        <w:pStyle w:val="20"/>
        <w:spacing w:line="500" w:lineRule="exact"/>
        <w:ind w:firstLine="0"/>
        <w:rPr>
          <w:rFonts w:hAnsi="宋体" w:cs="宋体"/>
          <w:color w:val="auto"/>
          <w:sz w:val="21"/>
          <w:szCs w:val="21"/>
        </w:rPr>
      </w:pPr>
      <w:r>
        <w:rPr>
          <w:rFonts w:hint="eastAsia" w:hAnsi="宋体" w:cs="宋体"/>
          <w:color w:val="auto"/>
          <w:sz w:val="21"/>
          <w:szCs w:val="21"/>
        </w:rPr>
        <w:t>说明：应对照竞争性谈判文件“第三章 谈判采购技术规格、参数及要求”，逐条说明所提供货物和服务已对竞争性谈判文件的技术规格做出了实质性的响应，并申明与技术规格条文的响应和偏离。特别对有具体参数要求的指标，谈判供应商必须提供所供设备的具体参数值。如果仅注明“符合”、“满足”或简单复制竞争性谈判文件要求，将导致谈判被拒绝。</w:t>
      </w:r>
    </w:p>
    <w:p>
      <w:pPr>
        <w:pStyle w:val="26"/>
        <w:spacing w:line="300" w:lineRule="auto"/>
        <w:rPr>
          <w:rFonts w:hAnsi="宋体" w:cs="宋体"/>
          <w:color w:val="auto"/>
        </w:rPr>
      </w:pPr>
    </w:p>
    <w:p>
      <w:pPr>
        <w:pStyle w:val="26"/>
        <w:spacing w:line="300" w:lineRule="auto"/>
        <w:rPr>
          <w:rFonts w:hAnsi="宋体" w:cs="宋体"/>
          <w:color w:val="auto"/>
          <w:sz w:val="28"/>
          <w:szCs w:val="28"/>
        </w:rPr>
      </w:pPr>
    </w:p>
    <w:p>
      <w:pPr>
        <w:pStyle w:val="26"/>
        <w:spacing w:line="300" w:lineRule="auto"/>
        <w:rPr>
          <w:rFonts w:hAnsi="宋体" w:cs="宋体"/>
          <w:color w:val="auto"/>
          <w:sz w:val="28"/>
          <w:szCs w:val="28"/>
        </w:rPr>
      </w:pPr>
    </w:p>
    <w:p>
      <w:pPr>
        <w:pStyle w:val="26"/>
        <w:spacing w:line="360" w:lineRule="auto"/>
        <w:ind w:firstLine="3570" w:firstLineChars="1700"/>
        <w:rPr>
          <w:rFonts w:hAnsi="宋体" w:cs="宋体"/>
          <w:color w:val="auto"/>
        </w:rPr>
      </w:pPr>
      <w:r>
        <w:rPr>
          <w:rFonts w:hint="eastAsia" w:hAnsi="宋体" w:cs="宋体"/>
          <w:color w:val="auto"/>
        </w:rPr>
        <w:t>法定代表人或法定代表人授权代表签字:</w:t>
      </w:r>
      <w:r>
        <w:rPr>
          <w:rFonts w:hint="eastAsia" w:hAnsi="宋体" w:cs="宋体"/>
          <w:color w:val="auto"/>
          <w:u w:val="single"/>
        </w:rPr>
        <w:t xml:space="preserve">                </w:t>
      </w:r>
      <w:r>
        <w:rPr>
          <w:rFonts w:hint="eastAsia" w:hAnsi="宋体" w:cs="宋体"/>
          <w:color w:val="auto"/>
        </w:rPr>
        <w:t xml:space="preserve">  </w:t>
      </w:r>
    </w:p>
    <w:p>
      <w:pPr>
        <w:pStyle w:val="26"/>
        <w:spacing w:line="360" w:lineRule="auto"/>
        <w:ind w:firstLine="4935" w:firstLineChars="2350"/>
        <w:rPr>
          <w:rFonts w:hAnsi="宋体" w:cs="宋体"/>
          <w:color w:val="auto"/>
          <w:u w:val="single"/>
        </w:rPr>
      </w:pP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pPr>
        <w:spacing w:line="300" w:lineRule="auto"/>
        <w:rPr>
          <w:rFonts w:ascii="宋体" w:hAnsi="宋体" w:cs="宋体"/>
          <w:color w:val="auto"/>
          <w:sz w:val="28"/>
          <w:szCs w:val="28"/>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r>
        <w:rPr>
          <w:rFonts w:hint="eastAsia" w:ascii="宋体" w:hAnsi="宋体" w:cs="宋体"/>
          <w:color w:val="auto"/>
          <w:sz w:val="28"/>
          <w:szCs w:val="28"/>
          <w:u w:val="single"/>
        </w:rPr>
        <w:br w:type="page"/>
      </w:r>
    </w:p>
    <w:p>
      <w:pPr>
        <w:spacing w:line="300" w:lineRule="auto"/>
        <w:rPr>
          <w:rFonts w:ascii="宋体" w:hAnsi="宋体" w:cs="宋体"/>
          <w:b/>
          <w:color w:val="auto"/>
          <w:sz w:val="28"/>
          <w:szCs w:val="28"/>
        </w:rPr>
      </w:pPr>
      <w:r>
        <w:rPr>
          <w:rFonts w:hint="eastAsia" w:ascii="宋体" w:hAnsi="宋体" w:cs="宋体"/>
          <w:b/>
          <w:color w:val="auto"/>
          <w:sz w:val="28"/>
          <w:szCs w:val="28"/>
        </w:rPr>
        <w:t>附件六</w:t>
      </w:r>
    </w:p>
    <w:p>
      <w:pPr>
        <w:spacing w:line="300" w:lineRule="auto"/>
        <w:rPr>
          <w:rFonts w:ascii="宋体" w:hAnsi="宋体" w:cs="宋体"/>
          <w:b/>
          <w:color w:val="auto"/>
          <w:sz w:val="28"/>
          <w:szCs w:val="28"/>
        </w:rPr>
      </w:pPr>
    </w:p>
    <w:p>
      <w:pPr>
        <w:spacing w:line="300" w:lineRule="auto"/>
        <w:jc w:val="center"/>
        <w:rPr>
          <w:rFonts w:ascii="宋体" w:hAnsi="宋体" w:cs="宋体"/>
          <w:b/>
          <w:color w:val="auto"/>
          <w:sz w:val="28"/>
          <w:szCs w:val="28"/>
        </w:rPr>
      </w:pPr>
      <w:r>
        <w:rPr>
          <w:rFonts w:hint="eastAsia" w:ascii="宋体" w:hAnsi="宋体" w:cs="宋体"/>
          <w:b/>
          <w:color w:val="auto"/>
          <w:sz w:val="28"/>
          <w:szCs w:val="28"/>
        </w:rPr>
        <w:t>商务响应表</w:t>
      </w:r>
    </w:p>
    <w:p>
      <w:pPr>
        <w:spacing w:line="300" w:lineRule="auto"/>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pPr>
        <w:spacing w:line="300" w:lineRule="auto"/>
        <w:rPr>
          <w:rFonts w:ascii="宋体" w:hAnsi="宋体" w:cs="宋体"/>
          <w:color w:val="auto"/>
          <w:szCs w:val="21"/>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pPr>
        <w:spacing w:line="300" w:lineRule="auto"/>
        <w:rPr>
          <w:rFonts w:ascii="宋体" w:hAnsi="宋体" w:cs="宋体"/>
          <w:color w:val="auto"/>
          <w:szCs w:val="21"/>
        </w:rPr>
      </w:pPr>
      <w:r>
        <w:rPr>
          <w:rFonts w:hint="eastAsia" w:ascii="宋体" w:hAnsi="宋体" w:cs="宋体"/>
          <w:b/>
          <w:color w:val="auto"/>
          <w:szCs w:val="21"/>
          <w:u w:val="single"/>
        </w:rPr>
        <w:t xml:space="preserve">      </w:t>
      </w:r>
      <w:r>
        <w:rPr>
          <w:rFonts w:hint="eastAsia" w:ascii="宋体" w:hAnsi="宋体" w:cs="宋体"/>
          <w:b/>
          <w:color w:val="auto"/>
          <w:szCs w:val="21"/>
        </w:rPr>
        <w:t>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417"/>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b/>
                <w:color w:val="auto"/>
                <w:szCs w:val="21"/>
              </w:rPr>
            </w:pPr>
            <w:r>
              <w:rPr>
                <w:rFonts w:hint="eastAsia" w:ascii="宋体" w:hAnsi="宋体" w:cs="宋体"/>
                <w:b/>
                <w:color w:val="auto"/>
                <w:szCs w:val="21"/>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b/>
                <w:color w:val="auto"/>
                <w:szCs w:val="21"/>
              </w:rPr>
            </w:pPr>
            <w:r>
              <w:rPr>
                <w:rFonts w:hint="eastAsia" w:ascii="宋体" w:hAnsi="宋体" w:cs="宋体"/>
                <w:b/>
                <w:color w:val="auto"/>
                <w:szCs w:val="21"/>
              </w:rPr>
              <w:t>谈判文件要求</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b/>
                <w:color w:val="auto"/>
                <w:szCs w:val="21"/>
              </w:rPr>
            </w:pPr>
            <w:r>
              <w:rPr>
                <w:rFonts w:hint="eastAsia" w:ascii="宋体" w:hAnsi="宋体" w:cs="宋体"/>
                <w:b/>
                <w:color w:val="auto"/>
                <w:szCs w:val="21"/>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b/>
                <w:color w:val="auto"/>
                <w:szCs w:val="21"/>
              </w:rPr>
            </w:pPr>
            <w:r>
              <w:rPr>
                <w:rFonts w:hint="eastAsia" w:ascii="宋体" w:hAnsi="宋体" w:cs="宋体"/>
                <w:b/>
                <w:color w:val="auto"/>
                <w:szCs w:val="21"/>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质保期</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售后技术服务要求</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交货时间及地点</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r>
              <w:rPr>
                <w:rFonts w:hint="eastAsia" w:ascii="宋体" w:hAnsi="宋体" w:cs="宋体"/>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jc w:val="center"/>
              <w:rPr>
                <w:rFonts w:ascii="宋体" w:hAnsi="宋体" w:cs="宋体"/>
                <w:color w:val="auto"/>
                <w:szCs w:val="21"/>
              </w:rPr>
            </w:pPr>
          </w:p>
        </w:tc>
      </w:tr>
    </w:tbl>
    <w:p>
      <w:pPr>
        <w:snapToGrid w:val="0"/>
        <w:spacing w:before="50" w:after="50"/>
        <w:rPr>
          <w:rFonts w:ascii="宋体" w:hAnsi="宋体" w:cs="宋体"/>
          <w:color w:val="auto"/>
          <w:spacing w:val="20"/>
          <w:szCs w:val="21"/>
        </w:rPr>
      </w:pPr>
    </w:p>
    <w:p>
      <w:pPr>
        <w:snapToGrid w:val="0"/>
        <w:spacing w:before="50" w:after="50"/>
        <w:rPr>
          <w:rFonts w:ascii="宋体" w:hAnsi="宋体" w:cs="宋体"/>
          <w:color w:val="auto"/>
          <w:spacing w:val="20"/>
          <w:szCs w:val="21"/>
          <w:u w:val="single"/>
        </w:rPr>
      </w:pPr>
      <w:r>
        <w:rPr>
          <w:rFonts w:hint="eastAsia" w:ascii="宋体" w:hAnsi="宋体" w:cs="宋体"/>
          <w:color w:val="auto"/>
          <w:spacing w:val="20"/>
          <w:szCs w:val="21"/>
        </w:rPr>
        <w:t>授权代表签名：</w:t>
      </w:r>
      <w:r>
        <w:rPr>
          <w:rFonts w:hint="eastAsia" w:ascii="宋体" w:hAnsi="宋体" w:cs="宋体"/>
          <w:color w:val="auto"/>
          <w:spacing w:val="20"/>
          <w:szCs w:val="21"/>
          <w:u w:val="single"/>
        </w:rPr>
        <w:t xml:space="preserve">        </w:t>
      </w:r>
    </w:p>
    <w:p>
      <w:pPr>
        <w:spacing w:line="300" w:lineRule="auto"/>
        <w:rPr>
          <w:rFonts w:ascii="宋体" w:hAnsi="宋体" w:cs="宋体"/>
          <w:b/>
          <w:color w:val="auto"/>
          <w:sz w:val="28"/>
          <w:szCs w:val="28"/>
        </w:rPr>
      </w:pPr>
      <w:r>
        <w:rPr>
          <w:rFonts w:hint="eastAsia" w:ascii="宋体" w:hAnsi="宋体" w:cs="宋体"/>
          <w:color w:val="auto"/>
          <w:spacing w:val="20"/>
          <w:szCs w:val="21"/>
        </w:rPr>
        <w:t>竞标人盖章：</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 xml:space="preserve">              日  期：</w:t>
      </w:r>
      <w:r>
        <w:rPr>
          <w:rFonts w:hint="eastAsia" w:ascii="宋体" w:hAnsi="宋体" w:cs="宋体"/>
          <w:color w:val="auto"/>
          <w:spacing w:val="20"/>
          <w:szCs w:val="21"/>
          <w:u w:val="single"/>
        </w:rPr>
        <w:t xml:space="preserve">          </w:t>
      </w:r>
    </w:p>
    <w:p>
      <w:pPr>
        <w:adjustRightInd w:val="0"/>
        <w:snapToGrid w:val="0"/>
        <w:spacing w:line="300" w:lineRule="auto"/>
        <w:rPr>
          <w:rFonts w:ascii="宋体" w:hAnsi="宋体" w:cs="宋体"/>
          <w:color w:val="auto"/>
          <w:sz w:val="28"/>
          <w:szCs w:val="28"/>
          <w:u w:val="single"/>
        </w:rPr>
      </w:pPr>
    </w:p>
    <w:p>
      <w:pPr>
        <w:adjustRightInd w:val="0"/>
        <w:snapToGrid w:val="0"/>
        <w:spacing w:line="300" w:lineRule="auto"/>
        <w:rPr>
          <w:rFonts w:ascii="宋体" w:hAnsi="宋体" w:cs="宋体"/>
          <w:color w:val="auto"/>
          <w:sz w:val="28"/>
          <w:szCs w:val="28"/>
          <w:u w:val="single"/>
        </w:rPr>
      </w:pPr>
      <w:r>
        <w:rPr>
          <w:rFonts w:hint="eastAsia" w:ascii="宋体" w:hAnsi="宋体" w:cs="宋体"/>
          <w:color w:val="auto"/>
          <w:sz w:val="28"/>
          <w:szCs w:val="28"/>
          <w:u w:val="single"/>
        </w:rPr>
        <w:br w:type="page"/>
      </w:r>
    </w:p>
    <w:p>
      <w:pPr>
        <w:spacing w:line="300" w:lineRule="auto"/>
        <w:rPr>
          <w:rFonts w:ascii="宋体" w:hAnsi="宋体" w:cs="宋体"/>
          <w:b/>
          <w:color w:val="auto"/>
          <w:sz w:val="28"/>
          <w:szCs w:val="28"/>
        </w:rPr>
      </w:pPr>
      <w:r>
        <w:rPr>
          <w:rFonts w:hint="eastAsia" w:ascii="宋体" w:hAnsi="宋体" w:cs="宋体"/>
          <w:b/>
          <w:color w:val="auto"/>
          <w:sz w:val="28"/>
          <w:szCs w:val="28"/>
        </w:rPr>
        <w:t>附件七</w:t>
      </w:r>
    </w:p>
    <w:p>
      <w:pPr>
        <w:adjustRightInd w:val="0"/>
        <w:snapToGrid w:val="0"/>
        <w:spacing w:line="300" w:lineRule="auto"/>
        <w:jc w:val="center"/>
        <w:rPr>
          <w:rFonts w:ascii="宋体" w:hAnsi="宋体" w:cs="宋体"/>
          <w:b/>
          <w:color w:val="auto"/>
          <w:sz w:val="28"/>
          <w:szCs w:val="28"/>
        </w:rPr>
      </w:pPr>
      <w:r>
        <w:rPr>
          <w:rFonts w:hint="eastAsia" w:ascii="宋体" w:hAnsi="宋体" w:cs="宋体"/>
          <w:b/>
          <w:color w:val="auto"/>
          <w:sz w:val="28"/>
          <w:szCs w:val="28"/>
        </w:rPr>
        <w:t>法定代表人授权书</w:t>
      </w:r>
    </w:p>
    <w:p>
      <w:pPr>
        <w:adjustRightInd w:val="0"/>
        <w:snapToGrid w:val="0"/>
        <w:spacing w:line="520" w:lineRule="exact"/>
        <w:rPr>
          <w:rFonts w:ascii="宋体" w:hAnsi="宋体" w:cs="宋体"/>
          <w:color w:val="auto"/>
          <w:sz w:val="28"/>
          <w:szCs w:val="28"/>
        </w:rPr>
      </w:pPr>
    </w:p>
    <w:p>
      <w:pPr>
        <w:spacing w:line="520" w:lineRule="exact"/>
        <w:rPr>
          <w:rFonts w:ascii="宋体" w:hAnsi="宋体" w:cs="宋体"/>
          <w:color w:val="auto"/>
          <w:szCs w:val="21"/>
        </w:rPr>
      </w:pPr>
      <w:r>
        <w:rPr>
          <w:rFonts w:hint="eastAsia" w:ascii="宋体" w:hAnsi="宋体" w:cs="宋体"/>
          <w:color w:val="auto"/>
          <w:szCs w:val="21"/>
          <w:u w:val="single"/>
        </w:rPr>
        <w:t>广西科联招标中心有限公司</w:t>
      </w:r>
      <w:r>
        <w:rPr>
          <w:rFonts w:hint="eastAsia" w:ascii="宋体" w:hAnsi="宋体" w:cs="宋体"/>
          <w:color w:val="auto"/>
          <w:szCs w:val="21"/>
        </w:rPr>
        <w:t>：</w:t>
      </w:r>
    </w:p>
    <w:p>
      <w:pPr>
        <w:spacing w:line="520" w:lineRule="exact"/>
        <w:ind w:firstLine="420" w:firstLineChars="200"/>
        <w:rPr>
          <w:rFonts w:ascii="宋体" w:hAnsi="宋体" w:cs="宋体"/>
          <w:color w:val="auto"/>
          <w:szCs w:val="21"/>
        </w:rPr>
      </w:pPr>
      <w:r>
        <w:rPr>
          <w:rFonts w:hint="eastAsia" w:ascii="宋体" w:hAnsi="宋体" w:cs="宋体"/>
          <w:color w:val="auto"/>
          <w:szCs w:val="21"/>
        </w:rPr>
        <w:t>兹授权</w:t>
      </w:r>
      <w:r>
        <w:rPr>
          <w:rFonts w:hint="eastAsia" w:ascii="宋体" w:hAnsi="宋体" w:cs="宋体"/>
          <w:color w:val="auto"/>
          <w:szCs w:val="21"/>
          <w:u w:val="single"/>
        </w:rPr>
        <w:t xml:space="preserve">      </w:t>
      </w:r>
      <w:r>
        <w:rPr>
          <w:rFonts w:hint="eastAsia" w:ascii="宋体" w:hAnsi="宋体" w:cs="宋体"/>
          <w:color w:val="auto"/>
          <w:szCs w:val="21"/>
        </w:rPr>
        <w:t>同志为我公司参加贵单位组织的</w:t>
      </w:r>
      <w:r>
        <w:rPr>
          <w:rFonts w:hint="eastAsia" w:ascii="宋体" w:hAnsi="宋体" w:cs="宋体"/>
          <w:color w:val="auto"/>
          <w:szCs w:val="18"/>
          <w:u w:val="single"/>
        </w:rPr>
        <w:t xml:space="preserve">             </w:t>
      </w:r>
      <w:r>
        <w:rPr>
          <w:rFonts w:hint="eastAsia" w:ascii="宋体" w:hAnsi="宋体" w:cs="宋体"/>
          <w:color w:val="auto"/>
        </w:rPr>
        <w:t>项目(项目编号：</w:t>
      </w:r>
      <w:r>
        <w:rPr>
          <w:rFonts w:hint="eastAsia" w:ascii="宋体" w:hAnsi="宋体" w:cs="宋体"/>
          <w:color w:val="auto"/>
          <w:szCs w:val="18"/>
          <w:u w:val="single"/>
        </w:rPr>
        <w:t xml:space="preserve">             </w:t>
      </w:r>
      <w:r>
        <w:rPr>
          <w:rFonts w:hint="eastAsia" w:ascii="宋体" w:hAnsi="宋体" w:cs="宋体"/>
          <w:color w:val="auto"/>
        </w:rPr>
        <w:t>)</w:t>
      </w:r>
      <w:r>
        <w:rPr>
          <w:rFonts w:hint="eastAsia" w:ascii="宋体" w:hAnsi="宋体" w:cs="宋体"/>
          <w:color w:val="auto"/>
          <w:szCs w:val="21"/>
        </w:rPr>
        <w:t>竞标活动的竞标代表人，全权代表我公司处理在该项目竞标活动中的一切事宜。代理期限从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日止。 </w:t>
      </w:r>
    </w:p>
    <w:p>
      <w:pPr>
        <w:spacing w:line="520" w:lineRule="exact"/>
        <w:rPr>
          <w:rFonts w:ascii="宋体" w:hAnsi="宋体" w:cs="宋体"/>
          <w:color w:val="auto"/>
          <w:szCs w:val="21"/>
        </w:rPr>
      </w:pPr>
    </w:p>
    <w:p>
      <w:pPr>
        <w:spacing w:line="520" w:lineRule="exact"/>
        <w:rPr>
          <w:rFonts w:ascii="宋体" w:hAnsi="宋体" w:cs="宋体"/>
          <w:color w:val="auto"/>
          <w:szCs w:val="21"/>
        </w:rPr>
      </w:pPr>
      <w:r>
        <w:rPr>
          <w:rFonts w:hint="eastAsia" w:ascii="宋体" w:hAnsi="宋体" w:cs="宋体"/>
          <w:color w:val="auto"/>
          <w:szCs w:val="21"/>
        </w:rPr>
        <w:t>授权单位（盖章）：</w:t>
      </w:r>
      <w:r>
        <w:rPr>
          <w:rFonts w:hint="eastAsia" w:ascii="宋体" w:hAnsi="宋体" w:cs="宋体"/>
          <w:color w:val="auto"/>
          <w:szCs w:val="21"/>
          <w:u w:val="single"/>
        </w:rPr>
        <w:t xml:space="preserve">                         </w:t>
      </w:r>
    </w:p>
    <w:p>
      <w:pPr>
        <w:spacing w:line="520" w:lineRule="exact"/>
        <w:rPr>
          <w:rFonts w:ascii="宋体" w:hAnsi="宋体" w:cs="宋体"/>
          <w:color w:val="auto"/>
          <w:szCs w:val="21"/>
        </w:rPr>
      </w:pPr>
      <w:r>
        <w:rPr>
          <w:rFonts w:hint="eastAsia" w:ascii="宋体" w:hAnsi="宋体" w:cs="宋体"/>
          <w:color w:val="auto"/>
          <w:szCs w:val="21"/>
        </w:rPr>
        <w:t>法定代表人（签字或签章）：</w:t>
      </w:r>
      <w:r>
        <w:rPr>
          <w:rFonts w:hint="eastAsia" w:ascii="宋体" w:hAnsi="宋体" w:cs="宋体"/>
          <w:color w:val="auto"/>
          <w:szCs w:val="21"/>
          <w:u w:val="single"/>
        </w:rPr>
        <w:t xml:space="preserve">                 </w:t>
      </w:r>
    </w:p>
    <w:p>
      <w:pPr>
        <w:spacing w:line="520" w:lineRule="exact"/>
        <w:rPr>
          <w:rFonts w:ascii="宋体" w:hAnsi="宋体" w:cs="宋体"/>
          <w:color w:val="auto"/>
          <w:szCs w:val="21"/>
        </w:rPr>
      </w:pPr>
      <w:r>
        <w:rPr>
          <w:rFonts w:hint="eastAsia" w:ascii="宋体" w:hAnsi="宋体" w:cs="宋体"/>
          <w:color w:val="auto"/>
          <w:szCs w:val="21"/>
        </w:rPr>
        <w:t>签发日期：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520" w:lineRule="exact"/>
        <w:rPr>
          <w:rFonts w:ascii="宋体" w:hAnsi="宋体" w:cs="宋体"/>
          <w:color w:val="auto"/>
          <w:szCs w:val="21"/>
        </w:rPr>
      </w:pPr>
    </w:p>
    <w:p>
      <w:pPr>
        <w:spacing w:line="520" w:lineRule="exact"/>
        <w:ind w:firstLine="420" w:firstLineChars="200"/>
        <w:rPr>
          <w:rFonts w:ascii="宋体" w:hAnsi="宋体" w:cs="宋体"/>
          <w:color w:val="auto"/>
          <w:szCs w:val="21"/>
        </w:rPr>
      </w:pPr>
      <w:r>
        <w:rPr>
          <w:rFonts w:hint="eastAsia" w:ascii="宋体" w:hAnsi="宋体" w:cs="宋体"/>
          <w:color w:val="auto"/>
          <w:szCs w:val="21"/>
        </w:rPr>
        <w:t>附：代理人工作单位：</w:t>
      </w:r>
      <w:r>
        <w:rPr>
          <w:rFonts w:hint="eastAsia" w:ascii="宋体" w:hAnsi="宋体" w:cs="宋体"/>
          <w:color w:val="auto"/>
          <w:szCs w:val="21"/>
          <w:u w:val="single"/>
        </w:rPr>
        <w:t xml:space="preserve">                     </w:t>
      </w:r>
    </w:p>
    <w:p>
      <w:pPr>
        <w:spacing w:line="520" w:lineRule="exact"/>
        <w:ind w:firstLine="420" w:firstLineChars="2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p>
    <w:p>
      <w:pPr>
        <w:adjustRightInd w:val="0"/>
        <w:snapToGrid w:val="0"/>
        <w:spacing w:line="520" w:lineRule="exact"/>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adjustRightInd w:val="0"/>
        <w:snapToGrid w:val="0"/>
        <w:spacing w:line="520" w:lineRule="exact"/>
        <w:ind w:firstLine="420" w:firstLineChars="200"/>
        <w:rPr>
          <w:rFonts w:ascii="宋体" w:hAnsi="宋体" w:cs="宋体"/>
          <w:color w:val="auto"/>
          <w:szCs w:val="21"/>
          <w:u w:val="single"/>
        </w:rPr>
      </w:pPr>
    </w:p>
    <w:p>
      <w:pPr>
        <w:adjustRightInd w:val="0"/>
        <w:snapToGrid w:val="0"/>
        <w:spacing w:line="520" w:lineRule="exact"/>
        <w:ind w:firstLine="420" w:firstLineChars="200"/>
        <w:rPr>
          <w:rFonts w:ascii="宋体" w:hAnsi="宋体" w:cs="宋体"/>
          <w:color w:val="auto"/>
          <w:szCs w:val="21"/>
          <w:u w:val="single"/>
        </w:rPr>
      </w:pPr>
    </w:p>
    <w:tbl>
      <w:tblPr>
        <w:tblStyle w:val="4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912" w:type="dxa"/>
          </w:tcPr>
          <w:p>
            <w:pPr>
              <w:spacing w:line="300" w:lineRule="auto"/>
              <w:rPr>
                <w:rFonts w:ascii="宋体" w:hAnsi="宋体" w:cs="宋体"/>
                <w:color w:val="auto"/>
                <w:szCs w:val="21"/>
              </w:rPr>
            </w:pPr>
            <w:r>
              <w:rPr>
                <w:rFonts w:hint="eastAsia" w:ascii="宋体" w:hAnsi="宋体" w:cs="宋体"/>
                <w:color w:val="auto"/>
                <w:szCs w:val="21"/>
              </w:rPr>
              <w:t>粘贴被授权人身份证（正反面复印件）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8912" w:type="dxa"/>
          </w:tcPr>
          <w:p>
            <w:pPr>
              <w:spacing w:line="300" w:lineRule="auto"/>
              <w:rPr>
                <w:rFonts w:ascii="宋体" w:hAnsi="宋体" w:cs="宋体"/>
                <w:color w:val="auto"/>
                <w:szCs w:val="21"/>
              </w:rPr>
            </w:pPr>
            <w:r>
              <w:rPr>
                <w:rFonts w:hint="eastAsia" w:ascii="宋体" w:hAnsi="宋体" w:cs="宋体"/>
                <w:color w:val="auto"/>
                <w:szCs w:val="21"/>
              </w:rPr>
              <w:t>粘贴法定代表人身份证（正反面复印件）</w:t>
            </w:r>
          </w:p>
        </w:tc>
      </w:tr>
    </w:tbl>
    <w:p>
      <w:pPr>
        <w:autoSpaceDE w:val="0"/>
        <w:autoSpaceDN w:val="0"/>
        <w:spacing w:line="300" w:lineRule="auto"/>
        <w:ind w:left="480" w:hanging="480"/>
        <w:rPr>
          <w:rFonts w:ascii="宋体" w:hAnsi="宋体" w:cs="宋体"/>
          <w:color w:val="auto"/>
          <w:szCs w:val="21"/>
        </w:rPr>
      </w:pPr>
    </w:p>
    <w:p>
      <w:pPr>
        <w:rPr>
          <w:rFonts w:ascii="宋体" w:hAnsi="宋体" w:cs="宋体"/>
          <w:b/>
          <w:color w:val="auto"/>
          <w:sz w:val="28"/>
          <w:szCs w:val="28"/>
        </w:rPr>
      </w:pPr>
      <w:r>
        <w:rPr>
          <w:rFonts w:hint="eastAsia" w:ascii="宋体" w:hAnsi="宋体" w:cs="宋体"/>
          <w:b/>
          <w:color w:val="auto"/>
          <w:sz w:val="28"/>
          <w:szCs w:val="28"/>
        </w:rPr>
        <w:t>附件八</w:t>
      </w:r>
    </w:p>
    <w:p>
      <w:pPr>
        <w:pStyle w:val="26"/>
        <w:spacing w:line="420" w:lineRule="exact"/>
        <w:jc w:val="center"/>
        <w:rPr>
          <w:rFonts w:hAnsi="宋体" w:cs="宋体"/>
          <w:b/>
          <w:color w:val="auto"/>
          <w:sz w:val="28"/>
          <w:szCs w:val="28"/>
        </w:rPr>
      </w:pPr>
      <w:r>
        <w:rPr>
          <w:rFonts w:hint="eastAsia" w:hAnsi="宋体" w:cs="宋体"/>
          <w:b/>
          <w:color w:val="auto"/>
          <w:sz w:val="28"/>
          <w:szCs w:val="28"/>
        </w:rPr>
        <w:t>信用声明函</w:t>
      </w:r>
    </w:p>
    <w:p>
      <w:pPr>
        <w:pStyle w:val="26"/>
        <w:spacing w:line="420" w:lineRule="exact"/>
        <w:jc w:val="center"/>
        <w:rPr>
          <w:rFonts w:hAnsi="宋体" w:cs="宋体"/>
          <w:b/>
          <w:color w:val="auto"/>
          <w:sz w:val="30"/>
          <w:szCs w:val="30"/>
        </w:rPr>
      </w:pPr>
    </w:p>
    <w:p>
      <w:pPr>
        <w:tabs>
          <w:tab w:val="left" w:pos="7200"/>
        </w:tabs>
        <w:spacing w:line="600" w:lineRule="exact"/>
        <w:rPr>
          <w:rFonts w:ascii="宋体" w:hAnsi="宋体" w:cs="宋体"/>
          <w:color w:val="auto"/>
        </w:rPr>
      </w:pPr>
      <w:r>
        <w:rPr>
          <w:rFonts w:hint="eastAsia" w:ascii="宋体" w:hAnsi="宋体" w:cs="宋体"/>
          <w:color w:val="auto"/>
        </w:rPr>
        <w:t>致：</w:t>
      </w:r>
      <w:r>
        <w:rPr>
          <w:rFonts w:hint="eastAsia" w:ascii="宋体" w:hAnsi="宋体" w:cs="宋体"/>
          <w:color w:val="auto"/>
          <w:u w:val="single"/>
        </w:rPr>
        <w:t xml:space="preserve">                      </w:t>
      </w:r>
      <w:r>
        <w:rPr>
          <w:rFonts w:hint="eastAsia" w:ascii="宋体" w:hAnsi="宋体" w:cs="宋体"/>
          <w:color w:val="auto"/>
        </w:rPr>
        <w:t>（采购代理机构名称）</w:t>
      </w:r>
    </w:p>
    <w:p>
      <w:pPr>
        <w:tabs>
          <w:tab w:val="left" w:pos="7200"/>
        </w:tabs>
        <w:spacing w:line="600" w:lineRule="exact"/>
        <w:ind w:firstLine="420" w:firstLineChars="200"/>
        <w:jc w:val="left"/>
        <w:rPr>
          <w:rFonts w:ascii="宋体" w:hAnsi="宋体" w:cs="宋体"/>
          <w:color w:val="auto"/>
        </w:rPr>
      </w:pPr>
    </w:p>
    <w:p>
      <w:pPr>
        <w:tabs>
          <w:tab w:val="left" w:pos="7200"/>
        </w:tabs>
        <w:spacing w:line="600" w:lineRule="exact"/>
        <w:ind w:firstLine="420" w:firstLineChars="200"/>
        <w:jc w:val="left"/>
        <w:rPr>
          <w:rFonts w:ascii="宋体" w:hAnsi="宋体" w:cs="宋体"/>
          <w:color w:val="auto"/>
        </w:rPr>
      </w:pPr>
      <w:r>
        <w:rPr>
          <w:rFonts w:hint="eastAsia" w:ascii="宋体" w:hAnsi="宋体" w:cs="宋体"/>
          <w:color w:val="auto"/>
        </w:rPr>
        <w:t>我方愿意参加贵方组织的</w:t>
      </w:r>
      <w:r>
        <w:rPr>
          <w:rFonts w:hint="eastAsia" w:ascii="宋体" w:hAnsi="宋体" w:cs="宋体"/>
          <w:color w:val="auto"/>
          <w:u w:val="single"/>
        </w:rPr>
        <w:t xml:space="preserve">     (项目名称)        </w:t>
      </w:r>
      <w:r>
        <w:rPr>
          <w:rFonts w:hint="eastAsia" w:ascii="宋体" w:hAnsi="宋体" w:cs="宋体"/>
          <w:color w:val="auto"/>
        </w:rPr>
        <w:t>（项目编号：</w:t>
      </w:r>
      <w:r>
        <w:rPr>
          <w:rFonts w:hint="eastAsia" w:ascii="宋体" w:hAnsi="宋体" w:cs="宋体"/>
          <w:color w:val="auto"/>
          <w:u w:val="single"/>
        </w:rPr>
        <w:t xml:space="preserve">          </w:t>
      </w:r>
      <w:r>
        <w:rPr>
          <w:rFonts w:hint="eastAsia" w:ascii="宋体" w:hAnsi="宋体" w:cs="宋体"/>
          <w:color w:val="auto"/>
        </w:rPr>
        <w:t>）项目的竞标，为便于贵方公正、择优地确定成交供应商及其竞标服务成果和服务，我方就本次竞标有关事项郑重声明如下：</w:t>
      </w:r>
    </w:p>
    <w:p>
      <w:pPr>
        <w:tabs>
          <w:tab w:val="left" w:pos="7200"/>
        </w:tabs>
        <w:spacing w:line="600" w:lineRule="exact"/>
        <w:ind w:firstLine="420" w:firstLineChars="200"/>
        <w:rPr>
          <w:rFonts w:ascii="宋体" w:hAnsi="宋体" w:cs="宋体"/>
          <w:color w:val="auto"/>
          <w:u w:val="single"/>
        </w:rPr>
      </w:pPr>
      <w:r>
        <w:rPr>
          <w:rFonts w:hint="eastAsia" w:ascii="宋体" w:hAnsi="宋体" w:cs="宋体"/>
          <w:color w:val="auto"/>
        </w:rPr>
        <w:t>1、经查询，在规定的查询时间内，“信用中国”和“中国政府采购网”网站我方未被列入失信被执行人、重大税收违法案件当事人名单、政府采购严重违法失信行为记录名单。</w:t>
      </w:r>
    </w:p>
    <w:p>
      <w:pPr>
        <w:tabs>
          <w:tab w:val="left" w:pos="7200"/>
        </w:tabs>
        <w:spacing w:line="600" w:lineRule="exact"/>
        <w:ind w:firstLine="420" w:firstLineChars="200"/>
        <w:rPr>
          <w:rFonts w:ascii="宋体" w:hAnsi="宋体" w:cs="宋体"/>
          <w:color w:val="auto"/>
        </w:rPr>
      </w:pPr>
      <w:r>
        <w:rPr>
          <w:rFonts w:hint="eastAsia" w:ascii="宋体" w:hAnsi="宋体" w:cs="宋体"/>
          <w:color w:val="auto"/>
        </w:rPr>
        <w:t>2、以上事项如有虚假或隐瞒，我方愿意承担一切后果，并不再寻求任何旨在减轻或免除法律责任的辩解。</w:t>
      </w:r>
    </w:p>
    <w:p>
      <w:pPr>
        <w:tabs>
          <w:tab w:val="left" w:pos="7200"/>
        </w:tabs>
        <w:spacing w:line="600" w:lineRule="exact"/>
        <w:rPr>
          <w:rFonts w:ascii="宋体" w:hAnsi="宋体" w:cs="宋体"/>
          <w:color w:val="auto"/>
        </w:rPr>
      </w:pPr>
    </w:p>
    <w:p>
      <w:pPr>
        <w:tabs>
          <w:tab w:val="left" w:pos="7200"/>
        </w:tabs>
        <w:spacing w:line="600" w:lineRule="exact"/>
        <w:rPr>
          <w:rFonts w:ascii="宋体" w:hAnsi="宋体" w:cs="宋体"/>
          <w:color w:val="auto"/>
        </w:rPr>
      </w:pPr>
      <w:r>
        <w:rPr>
          <w:rFonts w:hint="eastAsia" w:ascii="宋体" w:hAnsi="宋体" w:cs="宋体"/>
          <w:color w:val="auto"/>
        </w:rPr>
        <w:t>说明：</w:t>
      </w:r>
    </w:p>
    <w:p>
      <w:pPr>
        <w:spacing w:line="600" w:lineRule="exact"/>
        <w:ind w:firstLine="420" w:firstLineChars="200"/>
        <w:jc w:val="left"/>
        <w:rPr>
          <w:rFonts w:ascii="宋体" w:hAnsi="宋体" w:cs="宋体"/>
          <w:color w:val="auto"/>
        </w:rPr>
      </w:pPr>
      <w:r>
        <w:rPr>
          <w:rFonts w:hint="eastAsia" w:ascii="宋体" w:hAnsi="宋体" w:cs="宋体"/>
          <w:color w:val="auto"/>
        </w:rPr>
        <w:t>1、供应商应当通过 “信用中国”（www.creditchina.gov.cn）和“中国政府采购网”网站（www.ccgp.gov.cn）查询供应商相关主体的信用记录。查询时间为本项目竞标截止时间前5日至竞标截止时间中任意一天。对列入失信被执行人、重大税收违法案件当事人名单、政府采购严重违法失信行为记录名单的供应商，将被拒绝参与本项目政府采购活动。</w:t>
      </w:r>
    </w:p>
    <w:p>
      <w:pPr>
        <w:spacing w:line="600" w:lineRule="exact"/>
        <w:ind w:firstLine="420" w:firstLineChars="200"/>
        <w:jc w:val="left"/>
        <w:rPr>
          <w:rFonts w:ascii="宋体" w:hAnsi="宋体" w:cs="宋体"/>
          <w:color w:val="auto"/>
        </w:rPr>
      </w:pPr>
      <w:r>
        <w:rPr>
          <w:rFonts w:hint="eastAsia" w:ascii="宋体" w:hAnsi="宋体" w:cs="宋体"/>
          <w:color w:val="auto"/>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ind w:firstLine="420" w:firstLineChars="200"/>
        <w:jc w:val="left"/>
        <w:rPr>
          <w:rFonts w:ascii="宋体" w:hAnsi="宋体" w:cs="宋体"/>
          <w:color w:val="auto"/>
        </w:rPr>
      </w:pPr>
    </w:p>
    <w:p>
      <w:pPr>
        <w:tabs>
          <w:tab w:val="left" w:pos="7200"/>
        </w:tabs>
        <w:spacing w:line="600" w:lineRule="exact"/>
        <w:ind w:firstLine="839" w:firstLineChars="398"/>
        <w:rPr>
          <w:rFonts w:ascii="宋体" w:hAnsi="宋体" w:cs="宋体"/>
          <w:b/>
          <w:color w:val="auto"/>
          <w:u w:val="single"/>
        </w:rPr>
      </w:pPr>
      <w:r>
        <w:rPr>
          <w:rFonts w:hint="eastAsia" w:ascii="宋体" w:hAnsi="宋体" w:cs="宋体"/>
          <w:b/>
          <w:color w:val="auto"/>
        </w:rPr>
        <w:t xml:space="preserve">                              法定代表人或委托代理人签字：</w:t>
      </w:r>
      <w:r>
        <w:rPr>
          <w:rFonts w:hint="eastAsia" w:ascii="宋体" w:hAnsi="宋体" w:cs="宋体"/>
          <w:b/>
          <w:color w:val="auto"/>
          <w:u w:val="single"/>
        </w:rPr>
        <w:t xml:space="preserve">             </w:t>
      </w:r>
    </w:p>
    <w:p>
      <w:pPr>
        <w:tabs>
          <w:tab w:val="left" w:pos="7200"/>
        </w:tabs>
        <w:spacing w:line="600" w:lineRule="exact"/>
        <w:ind w:firstLine="3989" w:firstLineChars="1892"/>
        <w:jc w:val="left"/>
        <w:rPr>
          <w:rFonts w:ascii="宋体" w:hAnsi="宋体" w:cs="宋体"/>
          <w:b/>
          <w:color w:val="auto"/>
        </w:rPr>
      </w:pPr>
      <w:r>
        <w:rPr>
          <w:rFonts w:hint="eastAsia" w:ascii="宋体" w:hAnsi="宋体" w:cs="宋体"/>
          <w:b/>
          <w:color w:val="auto"/>
        </w:rPr>
        <w:t>供应商（盖章）：</w:t>
      </w:r>
      <w:r>
        <w:rPr>
          <w:rFonts w:hint="eastAsia" w:ascii="宋体" w:hAnsi="宋体" w:cs="宋体"/>
          <w:b/>
          <w:color w:val="auto"/>
          <w:u w:val="single"/>
        </w:rPr>
        <w:t xml:space="preserve">                          </w:t>
      </w:r>
    </w:p>
    <w:p>
      <w:pPr>
        <w:spacing w:line="600" w:lineRule="exact"/>
        <w:rPr>
          <w:rFonts w:ascii="宋体" w:hAnsi="宋体" w:cs="宋体"/>
          <w:b/>
          <w:color w:val="auto"/>
          <w:sz w:val="28"/>
          <w:szCs w:val="28"/>
        </w:rPr>
      </w:pPr>
      <w:r>
        <w:rPr>
          <w:rFonts w:hint="eastAsia" w:ascii="宋体" w:hAnsi="宋体" w:cs="宋体"/>
          <w:b/>
          <w:color w:val="auto"/>
        </w:rPr>
        <w:t xml:space="preserve">                                                                 年    月    日</w:t>
      </w:r>
    </w:p>
    <w:p>
      <w:pPr>
        <w:rPr>
          <w:rFonts w:ascii="宋体" w:hAnsi="宋体" w:cs="宋体"/>
          <w:b/>
          <w:color w:val="auto"/>
          <w:sz w:val="28"/>
          <w:szCs w:val="28"/>
        </w:rPr>
      </w:pPr>
    </w:p>
    <w:p>
      <w:pPr>
        <w:rPr>
          <w:rFonts w:ascii="宋体" w:hAnsi="宋体" w:cs="宋体"/>
          <w:b/>
          <w:bCs/>
          <w:color w:val="auto"/>
          <w:szCs w:val="21"/>
        </w:rPr>
      </w:pPr>
      <w:r>
        <w:rPr>
          <w:rFonts w:hint="eastAsia" w:ascii="宋体" w:hAnsi="宋体" w:cs="宋体"/>
          <w:b/>
          <w:color w:val="auto"/>
          <w:sz w:val="28"/>
          <w:szCs w:val="28"/>
        </w:rPr>
        <w:t>附件九</w:t>
      </w:r>
    </w:p>
    <w:p>
      <w:pPr>
        <w:rPr>
          <w:rFonts w:ascii="宋体" w:hAnsi="宋体" w:cs="宋体"/>
          <w:b/>
          <w:bCs/>
          <w:color w:val="auto"/>
          <w:szCs w:val="21"/>
        </w:rPr>
      </w:pPr>
    </w:p>
    <w:p>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中小企业声明函</w:t>
      </w:r>
    </w:p>
    <w:p>
      <w:pPr>
        <w:spacing w:line="588" w:lineRule="exact"/>
        <w:rPr>
          <w:rFonts w:ascii="宋体" w:hAnsi="宋体" w:cs="宋体"/>
          <w:b/>
          <w:color w:val="auto"/>
          <w:spacing w:val="6"/>
          <w:sz w:val="30"/>
          <w:szCs w:val="30"/>
        </w:rPr>
      </w:pP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89"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89"/>
      <w:r>
        <w:rPr>
          <w:rFonts w:hint="eastAsia" w:ascii="宋体" w:hAnsi="宋体" w:cs="宋体"/>
          <w:color w:val="auto"/>
          <w:spacing w:val="6"/>
          <w:szCs w:val="21"/>
        </w:rPr>
        <w:t>。即，本公司同时满足以下条件：</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本公司对上述声明的真实性负责。如有虚假，将依法承担相应责任。</w:t>
      </w:r>
    </w:p>
    <w:p>
      <w:pPr>
        <w:spacing w:line="588" w:lineRule="exact"/>
        <w:ind w:firstLine="444" w:firstLineChars="200"/>
        <w:rPr>
          <w:rFonts w:ascii="宋体" w:hAnsi="宋体" w:cs="宋体"/>
          <w:color w:val="auto"/>
          <w:spacing w:val="6"/>
          <w:szCs w:val="21"/>
        </w:rPr>
      </w:pPr>
    </w:p>
    <w:p>
      <w:pPr>
        <w:spacing w:line="588" w:lineRule="exact"/>
        <w:ind w:firstLine="444" w:firstLineChars="200"/>
        <w:rPr>
          <w:rFonts w:ascii="宋体" w:hAnsi="宋体" w:cs="宋体"/>
          <w:color w:val="auto"/>
          <w:spacing w:val="6"/>
          <w:szCs w:val="21"/>
        </w:rPr>
      </w:pPr>
    </w:p>
    <w:p>
      <w:pPr>
        <w:tabs>
          <w:tab w:val="left" w:pos="4860"/>
        </w:tabs>
        <w:spacing w:line="588" w:lineRule="exact"/>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企业名称（盖章）： </w:t>
      </w:r>
    </w:p>
    <w:p>
      <w:pPr>
        <w:tabs>
          <w:tab w:val="left" w:pos="4860"/>
        </w:tabs>
        <w:spacing w:line="588" w:lineRule="exact"/>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日  期：               </w:t>
      </w:r>
    </w:p>
    <w:p>
      <w:pPr>
        <w:tabs>
          <w:tab w:val="left" w:pos="4860"/>
        </w:tabs>
        <w:spacing w:line="588" w:lineRule="exact"/>
        <w:ind w:right="1560" w:firstLine="444" w:firstLineChars="200"/>
        <w:jc w:val="center"/>
        <w:rPr>
          <w:rFonts w:ascii="宋体" w:hAnsi="宋体" w:cs="宋体"/>
          <w:color w:val="auto"/>
          <w:spacing w:val="6"/>
          <w:szCs w:val="21"/>
        </w:rPr>
      </w:pPr>
      <w:r>
        <w:rPr>
          <w:rFonts w:hint="eastAsia" w:ascii="宋体" w:hAnsi="宋体" w:cs="宋体"/>
          <w:color w:val="auto"/>
          <w:spacing w:val="6"/>
          <w:szCs w:val="21"/>
        </w:rPr>
        <w:t xml:space="preserve"> </w:t>
      </w:r>
    </w:p>
    <w:p>
      <w:pPr>
        <w:rPr>
          <w:rFonts w:ascii="宋体" w:hAnsi="宋体" w:cs="宋体"/>
          <w:color w:val="auto"/>
          <w:spacing w:val="6"/>
          <w:szCs w:val="21"/>
        </w:rPr>
      </w:pPr>
    </w:p>
    <w:p>
      <w:pPr>
        <w:rPr>
          <w:rFonts w:ascii="宋体" w:hAnsi="宋体" w:cs="宋体"/>
          <w:b/>
          <w:bCs/>
          <w:color w:val="auto"/>
          <w:szCs w:val="21"/>
        </w:rPr>
      </w:pPr>
      <w:r>
        <w:rPr>
          <w:rFonts w:hint="eastAsia" w:ascii="宋体" w:hAnsi="宋体" w:cs="宋体"/>
          <w:color w:val="auto"/>
          <w:szCs w:val="21"/>
        </w:rPr>
        <w:br w:type="page"/>
      </w:r>
      <w:r>
        <w:rPr>
          <w:rFonts w:hint="eastAsia" w:ascii="宋体" w:hAnsi="宋体" w:cs="宋体"/>
          <w:b/>
          <w:color w:val="auto"/>
          <w:sz w:val="28"/>
          <w:szCs w:val="28"/>
        </w:rPr>
        <w:t>附件十</w:t>
      </w:r>
    </w:p>
    <w:p>
      <w:pPr>
        <w:widowControl/>
        <w:spacing w:before="100" w:beforeAutospacing="1" w:after="100" w:afterAutospacing="1" w:line="425" w:lineRule="atLeast"/>
        <w:jc w:val="center"/>
        <w:rPr>
          <w:rFonts w:ascii="宋体" w:hAnsi="宋体" w:cs="宋体"/>
          <w:color w:val="auto"/>
          <w:kern w:val="0"/>
          <w:sz w:val="28"/>
          <w:szCs w:val="28"/>
        </w:rPr>
      </w:pPr>
      <w:r>
        <w:rPr>
          <w:rFonts w:hint="eastAsia" w:ascii="宋体" w:hAnsi="宋体" w:cs="宋体"/>
          <w:color w:val="auto"/>
          <w:kern w:val="0"/>
          <w:sz w:val="24"/>
        </w:rPr>
        <w:t>　</w:t>
      </w:r>
      <w:r>
        <w:rPr>
          <w:rFonts w:hint="eastAsia" w:ascii="宋体" w:hAnsi="宋体" w:cs="宋体"/>
          <w:b/>
          <w:bCs/>
          <w:color w:val="auto"/>
          <w:kern w:val="0"/>
          <w:sz w:val="28"/>
          <w:szCs w:val="28"/>
        </w:rPr>
        <w:t>广西工业产品声明函</w:t>
      </w:r>
    </w:p>
    <w:p>
      <w:pPr>
        <w:widowControl/>
        <w:spacing w:before="100" w:beforeAutospacing="1" w:after="100" w:afterAutospacing="1" w:line="425" w:lineRule="atLeast"/>
        <w:jc w:val="left"/>
        <w:rPr>
          <w:rFonts w:ascii="宋体" w:hAnsi="宋体" w:cs="宋体"/>
          <w:color w:val="auto"/>
          <w:kern w:val="0"/>
          <w:szCs w:val="21"/>
        </w:rPr>
      </w:pPr>
      <w:r>
        <w:rPr>
          <w:rFonts w:hint="eastAsia" w:ascii="宋体" w:hAnsi="宋体" w:cs="宋体"/>
          <w:color w:val="auto"/>
          <w:kern w:val="0"/>
          <w:sz w:val="24"/>
        </w:rPr>
        <w:t>　　</w:t>
      </w:r>
      <w:r>
        <w:rPr>
          <w:rFonts w:hint="eastAsia" w:ascii="宋体" w:hAnsi="宋体" w:cs="宋体"/>
          <w:color w:val="auto"/>
          <w:kern w:val="0"/>
          <w:szCs w:val="21"/>
        </w:rPr>
        <w:t>本公司郑重声明，根据《招标采购促进广西工业产品产销对接实施细则》的规定，本公司在本次投标/投标中或者工程项目中提供的下述产品为广西工业产品，详情如下:</w:t>
      </w:r>
    </w:p>
    <w:tbl>
      <w:tblPr>
        <w:tblStyle w:val="48"/>
        <w:tblW w:w="0" w:type="auto"/>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2015" w:type="dxa"/>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广西工业产品</w:t>
            </w:r>
          </w:p>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合计价格：</w:t>
            </w:r>
          </w:p>
        </w:tc>
        <w:tc>
          <w:tcPr>
            <w:tcW w:w="2587" w:type="dxa"/>
            <w:gridSpan w:val="2"/>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s="宋体"/>
                <w:color w:val="auto"/>
                <w:kern w:val="0"/>
                <w:szCs w:val="21"/>
              </w:rPr>
            </w:pPr>
            <w:r>
              <w:rPr>
                <w:rFonts w:hint="eastAsia" w:ascii="宋体" w:hAnsi="宋体" w:cs="宋体"/>
                <w:color w:val="auto"/>
                <w:kern w:val="0"/>
                <w:szCs w:val="21"/>
              </w:rPr>
              <w:t> </w:t>
            </w:r>
          </w:p>
        </w:tc>
      </w:tr>
    </w:tbl>
    <w:p>
      <w:pPr>
        <w:widowControl/>
        <w:spacing w:before="100" w:beforeAutospacing="1" w:after="100" w:afterAutospacing="1" w:line="425" w:lineRule="atLeast"/>
        <w:jc w:val="left"/>
        <w:rPr>
          <w:rFonts w:ascii="宋体" w:hAnsi="宋体" w:cs="宋体"/>
          <w:color w:val="auto"/>
          <w:kern w:val="0"/>
          <w:szCs w:val="21"/>
        </w:rPr>
      </w:pPr>
      <w:r>
        <w:rPr>
          <w:rFonts w:hint="eastAsia" w:ascii="宋体" w:hAnsi="宋体" w:cs="宋体"/>
          <w:color w:val="auto"/>
          <w:kern w:val="0"/>
          <w:szCs w:val="21"/>
        </w:rPr>
        <w:t>　　本公司对上述声明的真实性负责。如有虚假,将依法承担相应责任。</w:t>
      </w:r>
    </w:p>
    <w:p>
      <w:pPr>
        <w:widowControl/>
        <w:spacing w:before="100" w:beforeAutospacing="1" w:after="100" w:afterAutospacing="1" w:line="425" w:lineRule="atLeast"/>
        <w:jc w:val="left"/>
        <w:rPr>
          <w:rFonts w:ascii="宋体" w:hAnsi="宋体" w:cs="宋体"/>
          <w:color w:val="auto"/>
          <w:kern w:val="0"/>
          <w:sz w:val="24"/>
        </w:rPr>
      </w:pPr>
      <w:r>
        <w:rPr>
          <w:rFonts w:hint="eastAsia" w:ascii="宋体" w:hAnsi="宋体" w:cs="宋体"/>
          <w:color w:val="auto"/>
          <w:kern w:val="0"/>
          <w:sz w:val="24"/>
        </w:rPr>
        <w:t xml:space="preserve">                                                                        </w:t>
      </w:r>
    </w:p>
    <w:p>
      <w:pPr>
        <w:widowControl/>
        <w:spacing w:before="100" w:beforeAutospacing="1" w:after="100" w:afterAutospacing="1" w:line="425" w:lineRule="atLeast"/>
        <w:ind w:firstLine="5280" w:firstLineChars="2200"/>
        <w:jc w:val="left"/>
        <w:rPr>
          <w:rFonts w:ascii="宋体" w:hAnsi="宋体" w:cs="宋体"/>
          <w:color w:val="auto"/>
          <w:kern w:val="0"/>
          <w:sz w:val="24"/>
        </w:rPr>
      </w:pPr>
      <w:r>
        <w:rPr>
          <w:rFonts w:hint="eastAsia" w:ascii="宋体" w:hAnsi="宋体" w:cs="宋体"/>
          <w:color w:val="auto"/>
          <w:kern w:val="0"/>
          <w:sz w:val="24"/>
        </w:rPr>
        <w:t xml:space="preserve">  企业名称(盖章):</w:t>
      </w:r>
    </w:p>
    <w:p>
      <w:pPr>
        <w:rPr>
          <w:rFonts w:ascii="宋体" w:hAnsi="宋体" w:cs="宋体"/>
          <w:color w:val="auto"/>
        </w:rPr>
      </w:pPr>
      <w:r>
        <w:rPr>
          <w:rFonts w:hint="eastAsia" w:ascii="宋体" w:hAnsi="宋体" w:cs="宋体"/>
          <w:color w:val="auto"/>
          <w:kern w:val="0"/>
          <w:sz w:val="24"/>
        </w:rPr>
        <w:t>                                                                           日 期:</w:t>
      </w:r>
    </w:p>
    <w:p>
      <w:pPr>
        <w:snapToGrid w:val="0"/>
        <w:spacing w:before="50" w:after="50" w:line="300" w:lineRule="exact"/>
        <w:ind w:firstLine="420" w:firstLineChars="200"/>
        <w:jc w:val="left"/>
        <w:rPr>
          <w:rFonts w:ascii="宋体" w:hAnsi="宋体" w:cs="宋体"/>
          <w:color w:val="auto"/>
          <w:szCs w:val="21"/>
        </w:rPr>
      </w:pPr>
    </w:p>
    <w:p>
      <w:pPr>
        <w:spacing w:line="360" w:lineRule="auto"/>
        <w:ind w:left="420"/>
        <w:rPr>
          <w:rFonts w:ascii="宋体" w:hAnsi="宋体" w:cs="宋体"/>
          <w:color w:val="auto"/>
          <w:szCs w:val="21"/>
          <w:u w:val="single"/>
        </w:rPr>
      </w:pPr>
    </w:p>
    <w:p>
      <w:pPr>
        <w:spacing w:line="360" w:lineRule="auto"/>
        <w:ind w:left="420"/>
        <w:rPr>
          <w:rFonts w:ascii="宋体" w:hAnsi="宋体" w:cs="宋体"/>
          <w:color w:val="auto"/>
          <w:szCs w:val="21"/>
          <w:u w:val="single"/>
        </w:rPr>
      </w:pPr>
    </w:p>
    <w:p>
      <w:pPr>
        <w:spacing w:line="360" w:lineRule="auto"/>
        <w:ind w:left="420"/>
        <w:rPr>
          <w:rFonts w:ascii="宋体" w:hAnsi="宋体" w:cs="宋体"/>
          <w:color w:val="auto"/>
          <w:szCs w:val="21"/>
          <w:u w:val="single"/>
        </w:rPr>
      </w:pPr>
    </w:p>
    <w:p>
      <w:pPr>
        <w:spacing w:line="360" w:lineRule="auto"/>
        <w:ind w:left="420"/>
        <w:rPr>
          <w:rFonts w:ascii="宋体" w:hAnsi="宋体" w:cs="宋体"/>
          <w:color w:val="auto"/>
          <w:szCs w:val="21"/>
          <w:u w:val="single"/>
        </w:rPr>
      </w:pPr>
    </w:p>
    <w:p>
      <w:pPr>
        <w:rPr>
          <w:rFonts w:ascii="宋体" w:hAnsi="宋体" w:cs="宋体"/>
          <w:b/>
          <w:bCs/>
          <w:color w:val="auto"/>
          <w:szCs w:val="21"/>
        </w:rPr>
      </w:pPr>
      <w:r>
        <w:rPr>
          <w:rFonts w:hint="eastAsia" w:ascii="宋体" w:hAnsi="宋体" w:cs="宋体"/>
          <w:color w:val="auto"/>
          <w:szCs w:val="21"/>
          <w:u w:val="single"/>
        </w:rPr>
        <w:br w:type="page"/>
      </w:r>
      <w:r>
        <w:rPr>
          <w:rFonts w:hint="eastAsia" w:ascii="宋体" w:hAnsi="宋体" w:cs="宋体"/>
          <w:b/>
          <w:color w:val="auto"/>
          <w:sz w:val="28"/>
          <w:szCs w:val="28"/>
        </w:rPr>
        <w:t>附件十一</w:t>
      </w:r>
    </w:p>
    <w:p>
      <w:pPr>
        <w:widowControl/>
        <w:spacing w:before="100" w:beforeAutospacing="1" w:after="100" w:afterAutospacing="1" w:line="425" w:lineRule="atLeast"/>
        <w:jc w:val="center"/>
        <w:rPr>
          <w:rFonts w:ascii="宋体" w:hAnsi="宋体" w:cs="宋体"/>
          <w:color w:val="auto"/>
          <w:kern w:val="0"/>
          <w:sz w:val="28"/>
          <w:szCs w:val="28"/>
        </w:rPr>
      </w:pPr>
      <w:r>
        <w:rPr>
          <w:rFonts w:hint="eastAsia" w:ascii="宋体" w:hAnsi="宋体" w:cs="宋体"/>
          <w:b/>
          <w:bCs/>
          <w:color w:val="auto"/>
          <w:kern w:val="0"/>
          <w:sz w:val="28"/>
          <w:szCs w:val="28"/>
        </w:rPr>
        <w:t>残疾人福利性单位声明函</w:t>
      </w:r>
    </w:p>
    <w:p>
      <w:pPr>
        <w:widowControl/>
        <w:spacing w:before="100" w:beforeAutospacing="1" w:after="100" w:afterAutospacing="1" w:line="425" w:lineRule="atLeast"/>
        <w:jc w:val="left"/>
        <w:rPr>
          <w:rFonts w:ascii="宋体" w:hAnsi="宋体" w:cs="宋体"/>
          <w:color w:val="auto"/>
          <w:kern w:val="0"/>
          <w:sz w:val="24"/>
        </w:rPr>
      </w:pPr>
    </w:p>
    <w:p>
      <w:pPr>
        <w:widowControl/>
        <w:spacing w:before="100" w:beforeAutospacing="1" w:after="100" w:afterAutospacing="1"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u w:val="single"/>
        </w:rPr>
        <w:t xml:space="preserve">             </w:t>
      </w:r>
      <w:r>
        <w:rPr>
          <w:rFonts w:hint="eastAsia" w:ascii="宋体" w:hAnsi="宋体" w:cs="宋体"/>
          <w:color w:val="auto"/>
          <w:kern w:val="0"/>
          <w:szCs w:val="21"/>
        </w:rPr>
        <w:t>单位的</w:t>
      </w:r>
      <w:r>
        <w:rPr>
          <w:rFonts w:hint="eastAsia" w:ascii="宋体" w:hAnsi="宋体" w:cs="宋体"/>
          <w:color w:val="auto"/>
          <w:kern w:val="0"/>
          <w:szCs w:val="21"/>
          <w:u w:val="single"/>
        </w:rPr>
        <w:t xml:space="preserve">                  </w:t>
      </w:r>
      <w:r>
        <w:rPr>
          <w:rFonts w:hint="eastAsia" w:ascii="宋体" w:hAnsi="宋体" w:cs="宋体"/>
          <w:color w:val="auto"/>
          <w:kern w:val="0"/>
          <w:szCs w:val="21"/>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widowControl/>
        <w:spacing w:before="100" w:beforeAutospacing="1" w:after="100" w:afterAutospacing="1" w:line="400" w:lineRule="exact"/>
        <w:jc w:val="left"/>
        <w:rPr>
          <w:rFonts w:ascii="宋体" w:hAnsi="宋体" w:cs="宋体"/>
          <w:color w:val="auto"/>
          <w:kern w:val="0"/>
          <w:szCs w:val="21"/>
        </w:rPr>
      </w:pPr>
    </w:p>
    <w:p>
      <w:pPr>
        <w:widowControl/>
        <w:spacing w:before="100" w:beforeAutospacing="1" w:after="100" w:afterAutospacing="1" w:line="400" w:lineRule="exact"/>
        <w:jc w:val="left"/>
        <w:rPr>
          <w:rFonts w:ascii="宋体" w:hAnsi="宋体" w:cs="宋体"/>
          <w:color w:val="auto"/>
          <w:kern w:val="0"/>
          <w:szCs w:val="21"/>
        </w:rPr>
      </w:pPr>
    </w:p>
    <w:p>
      <w:pPr>
        <w:widowControl/>
        <w:spacing w:before="100" w:beforeAutospacing="1" w:after="100" w:afterAutospacing="1" w:line="400" w:lineRule="exact"/>
        <w:jc w:val="left"/>
        <w:rPr>
          <w:rFonts w:ascii="宋体" w:hAnsi="宋体" w:cs="宋体"/>
          <w:color w:val="auto"/>
          <w:kern w:val="0"/>
          <w:szCs w:val="21"/>
        </w:rPr>
      </w:pPr>
      <w:r>
        <w:rPr>
          <w:rFonts w:hint="eastAsia" w:ascii="宋体" w:hAnsi="宋体" w:cs="宋体"/>
          <w:color w:val="auto"/>
          <w:kern w:val="0"/>
          <w:szCs w:val="21"/>
        </w:rPr>
        <w:t xml:space="preserve">                                                    单位名称（盖章）：</w:t>
      </w:r>
    </w:p>
    <w:p>
      <w:pPr>
        <w:widowControl/>
        <w:spacing w:before="100" w:beforeAutospacing="1" w:after="100" w:afterAutospacing="1" w:line="400" w:lineRule="exact"/>
        <w:jc w:val="left"/>
        <w:rPr>
          <w:rFonts w:ascii="宋体" w:hAnsi="宋体" w:cs="宋体"/>
          <w:color w:val="auto"/>
          <w:kern w:val="0"/>
          <w:szCs w:val="21"/>
        </w:rPr>
      </w:pPr>
      <w:r>
        <w:rPr>
          <w:rFonts w:hint="eastAsia" w:ascii="宋体" w:hAnsi="宋体" w:cs="宋体"/>
          <w:color w:val="auto"/>
          <w:kern w:val="0"/>
          <w:szCs w:val="21"/>
        </w:rPr>
        <w:t xml:space="preserve">                                                          日  期</w:t>
      </w:r>
    </w:p>
    <w:p>
      <w:pPr>
        <w:widowControl/>
        <w:spacing w:before="100" w:beforeAutospacing="1" w:after="100" w:afterAutospacing="1" w:line="400" w:lineRule="exact"/>
        <w:jc w:val="left"/>
        <w:rPr>
          <w:rFonts w:ascii="宋体" w:hAnsi="宋体" w:cs="宋体"/>
          <w:color w:val="auto"/>
          <w:kern w:val="0"/>
          <w:sz w:val="24"/>
        </w:rPr>
      </w:pPr>
    </w:p>
    <w:p>
      <w:pPr>
        <w:snapToGrid w:val="0"/>
        <w:spacing w:before="50" w:after="50" w:line="3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注：供应商如为残疾人福利性单位并提供本《残疾人福利性单位声明函》的，必须对声明的真实性负责。</w:t>
      </w:r>
    </w:p>
    <w:p>
      <w:pPr>
        <w:snapToGrid w:val="0"/>
        <w:spacing w:before="50" w:after="50" w:line="300" w:lineRule="exact"/>
        <w:ind w:firstLine="420" w:firstLineChars="200"/>
        <w:jc w:val="left"/>
        <w:rPr>
          <w:rFonts w:ascii="宋体" w:hAnsi="宋体" w:cs="宋体"/>
          <w:color w:val="auto"/>
          <w:kern w:val="0"/>
          <w:szCs w:val="21"/>
        </w:rPr>
      </w:pPr>
    </w:p>
    <w:p>
      <w:pPr>
        <w:snapToGrid w:val="0"/>
        <w:spacing w:before="50" w:after="50" w:line="300" w:lineRule="exact"/>
        <w:jc w:val="left"/>
        <w:rPr>
          <w:rFonts w:ascii="宋体" w:hAnsi="宋体" w:cs="宋体"/>
          <w:color w:val="auto"/>
          <w:szCs w:val="21"/>
          <w:u w:val="single"/>
        </w:rPr>
      </w:pPr>
      <w:r>
        <w:rPr>
          <w:rFonts w:hint="eastAsia" w:ascii="宋体" w:hAnsi="宋体" w:cs="宋体"/>
          <w:color w:val="auto"/>
          <w:szCs w:val="21"/>
        </w:rPr>
        <w:br w:type="page"/>
      </w:r>
    </w:p>
    <w:p>
      <w:pPr>
        <w:spacing w:line="360" w:lineRule="exact"/>
        <w:jc w:val="center"/>
        <w:outlineLvl w:val="0"/>
        <w:rPr>
          <w:rFonts w:ascii="宋体" w:hAnsi="宋体" w:cs="宋体"/>
          <w:b/>
          <w:color w:val="auto"/>
          <w:sz w:val="28"/>
          <w:szCs w:val="28"/>
        </w:rPr>
      </w:pPr>
      <w:bookmarkStart w:id="90" w:name="_Toc488673066"/>
      <w:r>
        <w:rPr>
          <w:rFonts w:hint="eastAsia" w:ascii="宋体" w:hAnsi="宋体" w:cs="宋体"/>
          <w:b/>
          <w:color w:val="auto"/>
          <w:sz w:val="28"/>
          <w:szCs w:val="28"/>
        </w:rPr>
        <w:t>第五章  合同主要条款</w:t>
      </w:r>
      <w:bookmarkEnd w:id="90"/>
    </w:p>
    <w:p>
      <w:pPr>
        <w:snapToGrid w:val="0"/>
        <w:spacing w:line="400" w:lineRule="exact"/>
        <w:jc w:val="center"/>
        <w:rPr>
          <w:rFonts w:ascii="宋体" w:hAnsi="宋体" w:cs="宋体"/>
          <w:b/>
          <w:bCs/>
          <w:color w:val="auto"/>
          <w:sz w:val="28"/>
          <w:szCs w:val="28"/>
        </w:rPr>
      </w:pPr>
    </w:p>
    <w:p>
      <w:pPr>
        <w:snapToGrid w:val="0"/>
        <w:spacing w:line="400" w:lineRule="exact"/>
        <w:jc w:val="center"/>
        <w:rPr>
          <w:rFonts w:ascii="宋体" w:hAnsi="宋体" w:cs="宋体"/>
          <w:b/>
          <w:bCs/>
          <w:color w:val="auto"/>
          <w:sz w:val="28"/>
          <w:szCs w:val="28"/>
        </w:rPr>
      </w:pPr>
      <w:r>
        <w:rPr>
          <w:rFonts w:hint="eastAsia" w:ascii="宋体" w:hAnsi="宋体" w:cs="宋体"/>
          <w:b/>
          <w:bCs/>
          <w:color w:val="auto"/>
          <w:sz w:val="28"/>
          <w:szCs w:val="28"/>
        </w:rPr>
        <w:t>广西壮族自治区政府采购合同</w:t>
      </w:r>
      <w:r>
        <w:rPr>
          <w:rFonts w:hint="eastAsia" w:ascii="宋体" w:hAnsi="宋体" w:cs="宋体"/>
          <w:b/>
          <w:color w:val="auto"/>
          <w:sz w:val="28"/>
          <w:szCs w:val="28"/>
        </w:rPr>
        <w:t>文本</w:t>
      </w:r>
    </w:p>
    <w:p>
      <w:pPr>
        <w:snapToGrid w:val="0"/>
        <w:spacing w:line="400" w:lineRule="exact"/>
        <w:ind w:right="270"/>
        <w:jc w:val="right"/>
        <w:rPr>
          <w:rFonts w:ascii="宋体" w:hAnsi="宋体" w:cs="宋体"/>
          <w:bCs/>
          <w:color w:val="auto"/>
          <w:szCs w:val="21"/>
          <w:u w:val="single"/>
        </w:rPr>
      </w:pPr>
      <w:r>
        <w:rPr>
          <w:rFonts w:hint="eastAsia" w:ascii="宋体" w:hAnsi="宋体" w:cs="宋体"/>
          <w:bCs/>
          <w:color w:val="auto"/>
          <w:szCs w:val="21"/>
        </w:rPr>
        <w:t>合同编号：FCZC2020-J1-10008-KLZB-</w:t>
      </w:r>
    </w:p>
    <w:p>
      <w:pPr>
        <w:wordWrap w:val="0"/>
        <w:snapToGrid w:val="0"/>
        <w:spacing w:line="400" w:lineRule="exact"/>
        <w:ind w:right="213" w:firstLine="5060" w:firstLineChars="2400"/>
        <w:jc w:val="right"/>
        <w:rPr>
          <w:rFonts w:ascii="宋体" w:hAnsi="宋体" w:cs="宋体"/>
          <w:b/>
          <w:color w:val="auto"/>
          <w:szCs w:val="21"/>
        </w:rPr>
      </w:pPr>
    </w:p>
    <w:p>
      <w:pPr>
        <w:snapToGrid w:val="0"/>
        <w:spacing w:line="340" w:lineRule="exact"/>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采购计划号：</w:t>
      </w:r>
      <w:r>
        <w:rPr>
          <w:rFonts w:hint="eastAsia" w:ascii="宋体" w:hAnsi="宋体" w:cs="宋体"/>
          <w:color w:val="auto"/>
          <w:szCs w:val="21"/>
          <w:u w:val="single"/>
        </w:rPr>
        <w:t xml:space="preserve">                        </w:t>
      </w:r>
    </w:p>
    <w:p>
      <w:pPr>
        <w:snapToGrid w:val="0"/>
        <w:spacing w:line="340" w:lineRule="exact"/>
        <w:rPr>
          <w:rFonts w:ascii="宋体" w:hAnsi="宋体" w:cs="宋体"/>
          <w:color w:val="auto"/>
          <w:szCs w:val="21"/>
        </w:rPr>
      </w:pPr>
      <w:r>
        <w:rPr>
          <w:rFonts w:hint="eastAsia" w:ascii="宋体" w:hAnsi="宋体" w:cs="宋体"/>
          <w:color w:val="auto"/>
          <w:szCs w:val="21"/>
        </w:rPr>
        <w:t>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40" w:lineRule="exact"/>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pPr>
        <w:snapToGrid w:val="0"/>
        <w:spacing w:line="340" w:lineRule="exact"/>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pPr>
        <w:snapToGrid w:val="0"/>
        <w:spacing w:line="340" w:lineRule="exact"/>
        <w:ind w:firstLine="420" w:firstLineChars="200"/>
        <w:rPr>
          <w:rFonts w:ascii="宋体" w:hAnsi="宋体" w:cs="宋体"/>
          <w:color w:val="auto"/>
          <w:szCs w:val="21"/>
        </w:rPr>
      </w:pP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根据《中华人民共和国政府采购法》、《中华人民共和国合同法》等法律、法规规定，按照竞争性谈判文件规定条款和成交供应商承诺，甲乙双方签订本合同。</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第一条　合同标的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1.供货一览表</w:t>
      </w:r>
    </w:p>
    <w:tbl>
      <w:tblPr>
        <w:tblStyle w:val="4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序号</w:t>
            </w:r>
          </w:p>
        </w:tc>
        <w:tc>
          <w:tcPr>
            <w:tcW w:w="1233"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产品名称</w:t>
            </w:r>
          </w:p>
        </w:tc>
        <w:tc>
          <w:tcPr>
            <w:tcW w:w="1059"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商标品牌</w:t>
            </w:r>
          </w:p>
        </w:tc>
        <w:tc>
          <w:tcPr>
            <w:tcW w:w="1233"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规格型号</w:t>
            </w:r>
          </w:p>
        </w:tc>
        <w:tc>
          <w:tcPr>
            <w:tcW w:w="1210"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生产厂家</w:t>
            </w:r>
          </w:p>
        </w:tc>
        <w:tc>
          <w:tcPr>
            <w:tcW w:w="737"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数量</w:t>
            </w:r>
          </w:p>
        </w:tc>
        <w:tc>
          <w:tcPr>
            <w:tcW w:w="735"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单位</w:t>
            </w:r>
          </w:p>
        </w:tc>
        <w:tc>
          <w:tcPr>
            <w:tcW w:w="1095"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单价（元）</w:t>
            </w:r>
          </w:p>
        </w:tc>
        <w:tc>
          <w:tcPr>
            <w:tcW w:w="1145"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1</w:t>
            </w:r>
          </w:p>
        </w:tc>
        <w:tc>
          <w:tcPr>
            <w:tcW w:w="1233" w:type="dxa"/>
            <w:vAlign w:val="center"/>
          </w:tcPr>
          <w:p>
            <w:pPr>
              <w:snapToGrid w:val="0"/>
              <w:spacing w:line="340" w:lineRule="exact"/>
              <w:jc w:val="center"/>
              <w:rPr>
                <w:rFonts w:ascii="宋体" w:hAnsi="宋体" w:cs="宋体"/>
                <w:color w:val="auto"/>
                <w:szCs w:val="21"/>
              </w:rPr>
            </w:pPr>
          </w:p>
        </w:tc>
        <w:tc>
          <w:tcPr>
            <w:tcW w:w="1059" w:type="dxa"/>
            <w:vAlign w:val="center"/>
          </w:tcPr>
          <w:p>
            <w:pPr>
              <w:snapToGrid w:val="0"/>
              <w:spacing w:line="340" w:lineRule="exact"/>
              <w:jc w:val="center"/>
              <w:rPr>
                <w:rFonts w:ascii="宋体" w:hAnsi="宋体" w:cs="宋体"/>
                <w:color w:val="auto"/>
                <w:szCs w:val="21"/>
              </w:rPr>
            </w:pPr>
          </w:p>
        </w:tc>
        <w:tc>
          <w:tcPr>
            <w:tcW w:w="1233" w:type="dxa"/>
            <w:vAlign w:val="center"/>
          </w:tcPr>
          <w:p>
            <w:pPr>
              <w:snapToGrid w:val="0"/>
              <w:spacing w:line="340" w:lineRule="exact"/>
              <w:jc w:val="center"/>
              <w:rPr>
                <w:rFonts w:ascii="宋体" w:hAnsi="宋体" w:cs="宋体"/>
                <w:color w:val="auto"/>
                <w:szCs w:val="21"/>
              </w:rPr>
            </w:pPr>
          </w:p>
        </w:tc>
        <w:tc>
          <w:tcPr>
            <w:tcW w:w="1210" w:type="dxa"/>
          </w:tcPr>
          <w:p>
            <w:pPr>
              <w:snapToGrid w:val="0"/>
              <w:spacing w:line="340" w:lineRule="exact"/>
              <w:jc w:val="center"/>
              <w:rPr>
                <w:rFonts w:ascii="宋体" w:hAnsi="宋体" w:cs="宋体"/>
                <w:color w:val="auto"/>
                <w:szCs w:val="21"/>
              </w:rPr>
            </w:pPr>
          </w:p>
        </w:tc>
        <w:tc>
          <w:tcPr>
            <w:tcW w:w="737" w:type="dxa"/>
          </w:tcPr>
          <w:p>
            <w:pPr>
              <w:snapToGrid w:val="0"/>
              <w:spacing w:line="340" w:lineRule="exact"/>
              <w:jc w:val="center"/>
              <w:rPr>
                <w:rFonts w:ascii="宋体" w:hAnsi="宋体" w:cs="宋体"/>
                <w:color w:val="auto"/>
                <w:szCs w:val="21"/>
              </w:rPr>
            </w:pPr>
          </w:p>
        </w:tc>
        <w:tc>
          <w:tcPr>
            <w:tcW w:w="735" w:type="dxa"/>
          </w:tcPr>
          <w:p>
            <w:pPr>
              <w:snapToGrid w:val="0"/>
              <w:spacing w:line="340" w:lineRule="exact"/>
              <w:jc w:val="center"/>
              <w:rPr>
                <w:rFonts w:ascii="宋体" w:hAnsi="宋体" w:cs="宋体"/>
                <w:color w:val="auto"/>
                <w:szCs w:val="21"/>
              </w:rPr>
            </w:pPr>
          </w:p>
        </w:tc>
        <w:tc>
          <w:tcPr>
            <w:tcW w:w="1095" w:type="dxa"/>
            <w:vAlign w:val="center"/>
          </w:tcPr>
          <w:p>
            <w:pPr>
              <w:snapToGrid w:val="0"/>
              <w:spacing w:line="340" w:lineRule="exact"/>
              <w:jc w:val="center"/>
              <w:rPr>
                <w:rFonts w:ascii="宋体" w:hAnsi="宋体" w:cs="宋体"/>
                <w:color w:val="auto"/>
                <w:szCs w:val="21"/>
              </w:rPr>
            </w:pPr>
          </w:p>
        </w:tc>
        <w:tc>
          <w:tcPr>
            <w:tcW w:w="1145" w:type="dxa"/>
            <w:vAlign w:val="center"/>
          </w:tcPr>
          <w:p>
            <w:pPr>
              <w:snapToGrid w:val="0"/>
              <w:spacing w:line="3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2</w:t>
            </w:r>
          </w:p>
        </w:tc>
        <w:tc>
          <w:tcPr>
            <w:tcW w:w="1233" w:type="dxa"/>
            <w:vAlign w:val="center"/>
          </w:tcPr>
          <w:p>
            <w:pPr>
              <w:snapToGrid w:val="0"/>
              <w:spacing w:line="340" w:lineRule="exact"/>
              <w:jc w:val="center"/>
              <w:rPr>
                <w:rFonts w:ascii="宋体" w:hAnsi="宋体" w:cs="宋体"/>
                <w:color w:val="auto"/>
                <w:szCs w:val="21"/>
              </w:rPr>
            </w:pPr>
          </w:p>
        </w:tc>
        <w:tc>
          <w:tcPr>
            <w:tcW w:w="1059" w:type="dxa"/>
            <w:vAlign w:val="center"/>
          </w:tcPr>
          <w:p>
            <w:pPr>
              <w:snapToGrid w:val="0"/>
              <w:spacing w:line="340" w:lineRule="exact"/>
              <w:jc w:val="center"/>
              <w:rPr>
                <w:rFonts w:ascii="宋体" w:hAnsi="宋体" w:cs="宋体"/>
                <w:color w:val="auto"/>
                <w:szCs w:val="21"/>
              </w:rPr>
            </w:pPr>
          </w:p>
        </w:tc>
        <w:tc>
          <w:tcPr>
            <w:tcW w:w="1233" w:type="dxa"/>
            <w:vAlign w:val="center"/>
          </w:tcPr>
          <w:p>
            <w:pPr>
              <w:snapToGrid w:val="0"/>
              <w:spacing w:line="340" w:lineRule="exact"/>
              <w:jc w:val="center"/>
              <w:rPr>
                <w:rFonts w:ascii="宋体" w:hAnsi="宋体" w:cs="宋体"/>
                <w:color w:val="auto"/>
                <w:szCs w:val="21"/>
              </w:rPr>
            </w:pPr>
          </w:p>
        </w:tc>
        <w:tc>
          <w:tcPr>
            <w:tcW w:w="1210" w:type="dxa"/>
          </w:tcPr>
          <w:p>
            <w:pPr>
              <w:snapToGrid w:val="0"/>
              <w:spacing w:line="340" w:lineRule="exact"/>
              <w:jc w:val="center"/>
              <w:rPr>
                <w:rFonts w:ascii="宋体" w:hAnsi="宋体" w:cs="宋体"/>
                <w:color w:val="auto"/>
                <w:szCs w:val="21"/>
              </w:rPr>
            </w:pPr>
          </w:p>
        </w:tc>
        <w:tc>
          <w:tcPr>
            <w:tcW w:w="737" w:type="dxa"/>
          </w:tcPr>
          <w:p>
            <w:pPr>
              <w:snapToGrid w:val="0"/>
              <w:spacing w:line="340" w:lineRule="exact"/>
              <w:jc w:val="center"/>
              <w:rPr>
                <w:rFonts w:ascii="宋体" w:hAnsi="宋体" w:cs="宋体"/>
                <w:color w:val="auto"/>
                <w:szCs w:val="21"/>
              </w:rPr>
            </w:pPr>
          </w:p>
        </w:tc>
        <w:tc>
          <w:tcPr>
            <w:tcW w:w="735" w:type="dxa"/>
          </w:tcPr>
          <w:p>
            <w:pPr>
              <w:snapToGrid w:val="0"/>
              <w:spacing w:line="340" w:lineRule="exact"/>
              <w:jc w:val="center"/>
              <w:rPr>
                <w:rFonts w:ascii="宋体" w:hAnsi="宋体" w:cs="宋体"/>
                <w:color w:val="auto"/>
                <w:szCs w:val="21"/>
              </w:rPr>
            </w:pPr>
          </w:p>
        </w:tc>
        <w:tc>
          <w:tcPr>
            <w:tcW w:w="1095" w:type="dxa"/>
            <w:vAlign w:val="center"/>
          </w:tcPr>
          <w:p>
            <w:pPr>
              <w:snapToGrid w:val="0"/>
              <w:spacing w:line="340" w:lineRule="exact"/>
              <w:jc w:val="center"/>
              <w:rPr>
                <w:rFonts w:ascii="宋体" w:hAnsi="宋体" w:cs="宋体"/>
                <w:color w:val="auto"/>
                <w:szCs w:val="21"/>
              </w:rPr>
            </w:pPr>
          </w:p>
        </w:tc>
        <w:tc>
          <w:tcPr>
            <w:tcW w:w="1145" w:type="dxa"/>
            <w:vAlign w:val="center"/>
          </w:tcPr>
          <w:p>
            <w:pPr>
              <w:snapToGrid w:val="0"/>
              <w:spacing w:line="3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40" w:lineRule="exact"/>
              <w:jc w:val="center"/>
              <w:rPr>
                <w:rFonts w:ascii="宋体" w:hAnsi="宋体" w:cs="宋体"/>
                <w:color w:val="auto"/>
                <w:szCs w:val="21"/>
              </w:rPr>
            </w:pPr>
            <w:r>
              <w:rPr>
                <w:rFonts w:hint="eastAsia" w:ascii="宋体" w:hAnsi="宋体" w:cs="宋体"/>
                <w:color w:val="auto"/>
                <w:szCs w:val="21"/>
              </w:rPr>
              <w:t>3</w:t>
            </w:r>
          </w:p>
        </w:tc>
        <w:tc>
          <w:tcPr>
            <w:tcW w:w="1233" w:type="dxa"/>
            <w:vAlign w:val="center"/>
          </w:tcPr>
          <w:p>
            <w:pPr>
              <w:snapToGrid w:val="0"/>
              <w:spacing w:line="340" w:lineRule="exact"/>
              <w:jc w:val="center"/>
              <w:rPr>
                <w:rFonts w:ascii="宋体" w:hAnsi="宋体" w:cs="宋体"/>
                <w:color w:val="auto"/>
                <w:szCs w:val="21"/>
              </w:rPr>
            </w:pPr>
          </w:p>
        </w:tc>
        <w:tc>
          <w:tcPr>
            <w:tcW w:w="1059" w:type="dxa"/>
            <w:vAlign w:val="center"/>
          </w:tcPr>
          <w:p>
            <w:pPr>
              <w:snapToGrid w:val="0"/>
              <w:spacing w:line="340" w:lineRule="exact"/>
              <w:jc w:val="center"/>
              <w:rPr>
                <w:rFonts w:ascii="宋体" w:hAnsi="宋体" w:cs="宋体"/>
                <w:color w:val="auto"/>
                <w:szCs w:val="21"/>
              </w:rPr>
            </w:pPr>
          </w:p>
        </w:tc>
        <w:tc>
          <w:tcPr>
            <w:tcW w:w="1233" w:type="dxa"/>
            <w:vAlign w:val="center"/>
          </w:tcPr>
          <w:p>
            <w:pPr>
              <w:snapToGrid w:val="0"/>
              <w:spacing w:line="340" w:lineRule="exact"/>
              <w:jc w:val="center"/>
              <w:rPr>
                <w:rFonts w:ascii="宋体" w:hAnsi="宋体" w:cs="宋体"/>
                <w:color w:val="auto"/>
                <w:szCs w:val="21"/>
              </w:rPr>
            </w:pPr>
          </w:p>
        </w:tc>
        <w:tc>
          <w:tcPr>
            <w:tcW w:w="1210" w:type="dxa"/>
          </w:tcPr>
          <w:p>
            <w:pPr>
              <w:snapToGrid w:val="0"/>
              <w:spacing w:line="340" w:lineRule="exact"/>
              <w:jc w:val="center"/>
              <w:rPr>
                <w:rFonts w:ascii="宋体" w:hAnsi="宋体" w:cs="宋体"/>
                <w:color w:val="auto"/>
                <w:szCs w:val="21"/>
              </w:rPr>
            </w:pPr>
          </w:p>
        </w:tc>
        <w:tc>
          <w:tcPr>
            <w:tcW w:w="737" w:type="dxa"/>
          </w:tcPr>
          <w:p>
            <w:pPr>
              <w:snapToGrid w:val="0"/>
              <w:spacing w:line="340" w:lineRule="exact"/>
              <w:jc w:val="center"/>
              <w:rPr>
                <w:rFonts w:ascii="宋体" w:hAnsi="宋体" w:cs="宋体"/>
                <w:color w:val="auto"/>
                <w:szCs w:val="21"/>
              </w:rPr>
            </w:pPr>
          </w:p>
        </w:tc>
        <w:tc>
          <w:tcPr>
            <w:tcW w:w="735" w:type="dxa"/>
          </w:tcPr>
          <w:p>
            <w:pPr>
              <w:snapToGrid w:val="0"/>
              <w:spacing w:line="340" w:lineRule="exact"/>
              <w:jc w:val="center"/>
              <w:rPr>
                <w:rFonts w:ascii="宋体" w:hAnsi="宋体" w:cs="宋体"/>
                <w:color w:val="auto"/>
                <w:szCs w:val="21"/>
              </w:rPr>
            </w:pPr>
          </w:p>
        </w:tc>
        <w:tc>
          <w:tcPr>
            <w:tcW w:w="1095" w:type="dxa"/>
            <w:vAlign w:val="center"/>
          </w:tcPr>
          <w:p>
            <w:pPr>
              <w:snapToGrid w:val="0"/>
              <w:spacing w:line="340" w:lineRule="exact"/>
              <w:jc w:val="center"/>
              <w:rPr>
                <w:rFonts w:ascii="宋体" w:hAnsi="宋体" w:cs="宋体"/>
                <w:color w:val="auto"/>
                <w:szCs w:val="21"/>
              </w:rPr>
            </w:pPr>
          </w:p>
        </w:tc>
        <w:tc>
          <w:tcPr>
            <w:tcW w:w="1145" w:type="dxa"/>
            <w:vAlign w:val="center"/>
          </w:tcPr>
          <w:p>
            <w:pPr>
              <w:snapToGrid w:val="0"/>
              <w:spacing w:line="34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40" w:lineRule="exact"/>
              <w:rPr>
                <w:rFonts w:ascii="宋体" w:hAnsi="宋体" w:cs="宋体"/>
                <w:color w:val="auto"/>
                <w:szCs w:val="21"/>
              </w:rPr>
            </w:pPr>
            <w:r>
              <w:rPr>
                <w:rFonts w:hint="eastAsia" w:ascii="宋体" w:hAnsi="宋体" w:cs="宋体"/>
                <w:color w:val="auto"/>
                <w:szCs w:val="21"/>
              </w:rPr>
              <w:t xml:space="preserve">人民币合计金额（大写）                          （小写）                 </w:t>
            </w:r>
          </w:p>
        </w:tc>
      </w:tr>
    </w:tbl>
    <w:p>
      <w:pPr>
        <w:snapToGrid w:val="0"/>
        <w:spacing w:line="440" w:lineRule="exact"/>
        <w:ind w:right="420" w:firstLine="420" w:firstLineChars="200"/>
        <w:rPr>
          <w:rFonts w:ascii="宋体" w:hAnsi="宋体" w:cs="宋体"/>
          <w:color w:val="auto"/>
          <w:szCs w:val="21"/>
        </w:rPr>
      </w:pPr>
      <w:r>
        <w:rPr>
          <w:rFonts w:hint="eastAsia" w:ascii="宋体" w:hAnsi="宋体" w:cs="宋体"/>
          <w:color w:val="auto"/>
          <w:szCs w:val="21"/>
        </w:rPr>
        <w:t>2. 合同合计金额包括竞标货物（包括备品备件、专用工具等）的价格，竞标货物运输（含保险）、安装（如有）、调试、检验、技术服务、培训和竞争性谈判文件要求提供的所有伴随服务、工程等费用和税费。</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第二条　质量要求</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2.乙方所提供的货物必须是全新、未使用的原装产品，且在正常安装、使用和保养条件下，其使用寿命期内各项指标均达到竞争性谈判文件规定或响应文件承诺的质量要求。</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第三条　权利保证</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2.乙方应按竞争性谈判文件规定或响应文件承诺的时间向甲方提供使用货物的有关技术资料。</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4.乙方保证将要交付的货物的所有权完全属于乙方且无任何抵押、质押、查封等产权瑕疵。</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第四条　包装和运输</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1.乙方提供的货物均应按竞争性谈判文件规定或响应文件承诺的要求的包装材料、包装标准、包装方式进行包装，每一包装单元内应附详细的装箱单和质量合格证。</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2.货物的运输方式：</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3.乙方负责货物运输，货物运输合理损耗及计算方法：</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第五条　交付和验收</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1.交付时间：</w:t>
      </w:r>
      <w:r>
        <w:rPr>
          <w:rFonts w:hint="eastAsia" w:ascii="宋体" w:hAnsi="宋体" w:cs="宋体"/>
          <w:color w:val="auto"/>
          <w:szCs w:val="21"/>
          <w:u w:val="single"/>
        </w:rPr>
        <w:t xml:space="preserve">                 </w:t>
      </w:r>
      <w:r>
        <w:rPr>
          <w:rFonts w:hint="eastAsia" w:ascii="宋体" w:hAnsi="宋体" w:cs="宋体"/>
          <w:color w:val="auto"/>
          <w:szCs w:val="21"/>
        </w:rPr>
        <w:t>；交付地点：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2.乙方提供不符合竞争性谈判文件规定或响应文件承诺的和本合同规定的货物，甲方有权拒绝接受。</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4.甲方应当在到货（安装、调试完）后七个工作日内进行验收，逾期不验收的，乙方可视同验收合格。验收合格后由甲乙双方签署货物验收单并加盖甲方公章，甲乙双方各执一份。</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    </w:t>
      </w:r>
      <w:r>
        <w:rPr>
          <w:rFonts w:hint="eastAsia" w:ascii="宋体" w:hAnsi="宋体" w:cs="宋体"/>
          <w:color w:val="auto"/>
          <w:szCs w:val="21"/>
        </w:rPr>
        <w:t>日内及时予以解决。</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第六条　安装和培训</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2.乙方响应文件承诺负责甲方有关人员的培训。培训时间、地点：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第七条  售后服务、质保期</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1.乙方应按照国家有关法律法规和“三包”规定以及本合同所附的《服务承诺》，为甲方提供售后服务。</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2.货物质保期：</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t>3.乙方提供的服务承诺和售后服务及保修期责任等其它具体约定事项。（见合同附件）</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第八条　付款方式</w:t>
      </w:r>
    </w:p>
    <w:p>
      <w:pPr>
        <w:snapToGrid w:val="0"/>
        <w:spacing w:line="440" w:lineRule="exact"/>
        <w:ind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.当采购数量与实际使用数量不一致时，乙方应根据实际使用量供货，合同的最终结算金额按实际使用量乘以成交单价进行计算，但不得超出合同价的10%。</w:t>
      </w:r>
    </w:p>
    <w:p>
      <w:pPr>
        <w:snapToGrid w:val="0"/>
        <w:spacing w:line="440" w:lineRule="exact"/>
        <w:ind w:firstLine="420" w:firstLineChars="200"/>
        <w:rPr>
          <w:rFonts w:ascii="宋体" w:hAnsi="宋体"/>
          <w:color w:val="auto"/>
          <w:kern w:val="0"/>
          <w:szCs w:val="21"/>
        </w:rPr>
      </w:pPr>
      <w:r>
        <w:rPr>
          <w:rFonts w:hint="eastAsia" w:ascii="宋体" w:hAnsi="宋体" w:cs="宋体"/>
          <w:bCs/>
          <w:color w:val="auto"/>
          <w:kern w:val="0"/>
          <w:szCs w:val="21"/>
        </w:rPr>
        <w:t>2.</w:t>
      </w:r>
      <w:r>
        <w:rPr>
          <w:rFonts w:hint="eastAsia" w:ascii="宋体" w:hAnsi="宋体" w:cs="宋体"/>
          <w:color w:val="auto"/>
          <w:kern w:val="0"/>
          <w:szCs w:val="21"/>
        </w:rPr>
        <w:t>付款方式：采用分期付款方式，自合同签订后及项目具备实施条件后供应商开具货款全额发票给采购人，采购人在收到发票15个工作日内支付合同总金额的95%给成交人，余款总额5%在一年内付清（不计息）。</w:t>
      </w:r>
    </w:p>
    <w:p>
      <w:pPr>
        <w:snapToGrid w:val="0"/>
        <w:spacing w:line="440" w:lineRule="exact"/>
        <w:ind w:firstLine="402" w:firstLineChars="200"/>
        <w:rPr>
          <w:rFonts w:ascii="宋体" w:hAnsi="宋体" w:cs="宋体"/>
          <w:b/>
          <w:color w:val="auto"/>
          <w:kern w:val="0"/>
          <w:sz w:val="20"/>
          <w:szCs w:val="21"/>
        </w:rPr>
      </w:pPr>
      <w:r>
        <w:rPr>
          <w:rFonts w:hint="eastAsia" w:ascii="宋体" w:hAnsi="宋体" w:cs="宋体"/>
          <w:b/>
          <w:color w:val="auto"/>
          <w:kern w:val="0"/>
          <w:sz w:val="20"/>
          <w:szCs w:val="21"/>
        </w:rPr>
        <w:t>第九条　履约保证金</w:t>
      </w:r>
    </w:p>
    <w:p>
      <w:pPr>
        <w:autoSpaceDE w:val="0"/>
        <w:autoSpaceDN w:val="0"/>
        <w:snapToGrid w:val="0"/>
        <w:spacing w:line="440" w:lineRule="exact"/>
        <w:ind w:firstLine="424" w:firstLineChars="202"/>
        <w:textAlignment w:val="bottom"/>
        <w:rPr>
          <w:rFonts w:ascii="宋体" w:hAnsi="宋体" w:cs="宋体"/>
          <w:color w:val="auto"/>
          <w:szCs w:val="21"/>
        </w:rPr>
      </w:pPr>
      <w:r>
        <w:rPr>
          <w:rFonts w:hint="eastAsia" w:ascii="宋体" w:hAnsi="宋体" w:cs="宋体"/>
          <w:color w:val="auto"/>
          <w:szCs w:val="21"/>
        </w:rPr>
        <w:t>履约保证金金额：</w:t>
      </w:r>
      <w:r>
        <w:rPr>
          <w:rFonts w:hint="eastAsia" w:ascii="宋体" w:hAnsi="宋体" w:cs="宋体"/>
          <w:color w:val="auto"/>
          <w:szCs w:val="21"/>
          <w:u w:val="single"/>
        </w:rPr>
        <w:t xml:space="preserve">                       </w:t>
      </w:r>
    </w:p>
    <w:p>
      <w:pPr>
        <w:snapToGrid w:val="0"/>
        <w:spacing w:line="440" w:lineRule="exact"/>
        <w:ind w:left="-61" w:firstLine="514"/>
        <w:rPr>
          <w:rFonts w:ascii="宋体" w:hAnsi="宋体" w:cs="宋体"/>
          <w:b/>
          <w:color w:val="auto"/>
          <w:szCs w:val="21"/>
        </w:rPr>
      </w:pPr>
      <w:r>
        <w:rPr>
          <w:rFonts w:hint="eastAsia" w:ascii="宋体" w:hAnsi="宋体" w:cs="宋体"/>
          <w:b/>
          <w:color w:val="auto"/>
          <w:szCs w:val="21"/>
        </w:rPr>
        <w:t>第十条  税费</w:t>
      </w:r>
    </w:p>
    <w:p>
      <w:pPr>
        <w:snapToGrid w:val="0"/>
        <w:spacing w:line="440" w:lineRule="exact"/>
        <w:ind w:left="-61" w:firstLine="514"/>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pPr>
        <w:snapToGrid w:val="0"/>
        <w:spacing w:line="440" w:lineRule="exact"/>
        <w:ind w:left="-61" w:firstLine="514"/>
        <w:rPr>
          <w:rFonts w:ascii="宋体" w:hAnsi="宋体" w:cs="宋体"/>
          <w:color w:val="auto"/>
          <w:szCs w:val="21"/>
        </w:rPr>
      </w:pPr>
      <w:r>
        <w:rPr>
          <w:rFonts w:hint="eastAsia" w:ascii="宋体" w:hAnsi="宋体" w:cs="宋体"/>
          <w:b/>
          <w:color w:val="auto"/>
          <w:szCs w:val="21"/>
        </w:rPr>
        <w:t>第十一条  质量保证及售后服务</w:t>
      </w:r>
    </w:p>
    <w:p>
      <w:pPr>
        <w:snapToGrid w:val="0"/>
        <w:spacing w:line="440" w:lineRule="exact"/>
        <w:ind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乙方应按竞争性谈判文件规定的产品名称、商标品牌、生产厂家、规格型号、技术参数、质量标准向甲方提供未经使用的全新产品。不符合要求的，根据实际情况，经双方协商，可按以下办法处理：</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⑴更换：由乙方承担所发生的全部费用。</w:t>
      </w:r>
    </w:p>
    <w:p>
      <w:pPr>
        <w:snapToGrid w:val="0"/>
        <w:spacing w:line="440" w:lineRule="exact"/>
        <w:ind w:firstLine="420"/>
        <w:rPr>
          <w:rFonts w:ascii="宋体" w:hAnsi="宋体" w:cs="宋体"/>
          <w:color w:val="auto"/>
          <w:kern w:val="0"/>
          <w:szCs w:val="21"/>
        </w:rPr>
      </w:pPr>
      <w:r>
        <w:rPr>
          <w:rFonts w:hint="eastAsia" w:ascii="宋体" w:hAnsi="宋体" w:cs="宋体"/>
          <w:color w:val="auto"/>
          <w:kern w:val="0"/>
          <w:szCs w:val="21"/>
        </w:rPr>
        <w:t>⑵贬值处理：由甲乙双方合议定价。</w:t>
      </w:r>
    </w:p>
    <w:p>
      <w:pPr>
        <w:snapToGrid w:val="0"/>
        <w:spacing w:line="440" w:lineRule="exact"/>
        <w:ind w:firstLine="420"/>
        <w:rPr>
          <w:rFonts w:ascii="宋体" w:hAnsi="宋体" w:cs="宋体"/>
          <w:color w:val="auto"/>
          <w:kern w:val="0"/>
          <w:szCs w:val="21"/>
        </w:rPr>
      </w:pPr>
      <w:r>
        <w:rPr>
          <w:rFonts w:hint="eastAsia" w:ascii="宋体" w:hAnsi="宋体" w:cs="宋体"/>
          <w:color w:val="auto"/>
          <w:kern w:val="0"/>
          <w:szCs w:val="21"/>
        </w:rPr>
        <w:t>⑶退货处理：乙方应退还甲方支付的合同款，同时应承担该货物的直接费用（运输、保险、检验、货款利息及银行手续费等）。</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2.如在使用过程中发生质量问题，乙方在接到甲方通知后到达甲方现场处理的时间（</w:t>
      </w:r>
      <w:r>
        <w:rPr>
          <w:rFonts w:hint="eastAsia" w:ascii="宋体" w:hAnsi="宋体" w:cs="宋体"/>
          <w:color w:val="auto"/>
          <w:kern w:val="0"/>
          <w:szCs w:val="21"/>
          <w:u w:val="single"/>
        </w:rPr>
        <w:t>按响应文件承诺的数据填写</w:t>
      </w:r>
      <w:r>
        <w:rPr>
          <w:rFonts w:hint="eastAsia" w:ascii="宋体" w:hAnsi="宋体" w:cs="宋体"/>
          <w:color w:val="auto"/>
          <w:kern w:val="0"/>
          <w:szCs w:val="21"/>
        </w:rPr>
        <w:t>）小时内。</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3.在质保期内，乙方应对货物出现的质量及安全问题负责处理解决并承担一切费用。</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4.上述的货物质保期为</w:t>
      </w:r>
      <w:r>
        <w:rPr>
          <w:rFonts w:hint="eastAsia" w:ascii="宋体" w:hAnsi="宋体" w:cs="宋体"/>
          <w:color w:val="auto"/>
          <w:szCs w:val="21"/>
          <w:u w:val="single"/>
        </w:rPr>
        <w:t xml:space="preserve">     </w:t>
      </w:r>
      <w:r>
        <w:rPr>
          <w:rFonts w:hint="eastAsia" w:ascii="宋体" w:hAnsi="宋体" w:cs="宋体"/>
          <w:color w:val="auto"/>
          <w:szCs w:val="21"/>
        </w:rPr>
        <w:t>年，因人为因素出现的故障不在免费保修范围内。超过保修期的机器设备，终生维修，维修时只收部件成本费。</w:t>
      </w:r>
    </w:p>
    <w:p>
      <w:pPr>
        <w:snapToGrid w:val="0"/>
        <w:spacing w:line="440" w:lineRule="exact"/>
        <w:ind w:left="-61" w:firstLine="514"/>
        <w:rPr>
          <w:rFonts w:ascii="宋体" w:hAnsi="宋体" w:cs="宋体"/>
          <w:color w:val="auto"/>
          <w:szCs w:val="21"/>
        </w:rPr>
      </w:pPr>
      <w:r>
        <w:rPr>
          <w:rFonts w:hint="eastAsia" w:ascii="宋体" w:hAnsi="宋体" w:cs="宋体"/>
          <w:b/>
          <w:color w:val="auto"/>
          <w:szCs w:val="21"/>
        </w:rPr>
        <w:t>第十二条  调试和验收（本条款适用于甲方自行验收，委托第三方验收的另行规定）</w:t>
      </w:r>
    </w:p>
    <w:p>
      <w:pPr>
        <w:snapToGrid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2.乙方交货前应对产品作出全面检查和对验收文件进行整理，并列出清单，作为甲方收货验收和使用的技术条件依据，检验的结果应随货物交甲方。</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3.甲方对乙方提供的货物在使用前进行调试时，乙方需负责安装并培训甲方的使用操作人员，并协助甲方一起调试，直到符合技术要求，甲方才做最终验收。</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4.对技术复杂的货物，甲方应请国家认可的专业检测机构参与初步验收及最终验收，并由其出具质量检测报告。</w:t>
      </w:r>
    </w:p>
    <w:p>
      <w:pPr>
        <w:snapToGrid w:val="0"/>
        <w:spacing w:line="440" w:lineRule="exact"/>
        <w:ind w:left="-61" w:firstLine="514"/>
        <w:rPr>
          <w:rFonts w:ascii="宋体" w:hAnsi="宋体" w:cs="宋体"/>
          <w:color w:val="auto"/>
          <w:szCs w:val="21"/>
        </w:rPr>
      </w:pPr>
      <w:r>
        <w:rPr>
          <w:rFonts w:hint="eastAsia" w:ascii="宋体" w:hAnsi="宋体" w:cs="宋体"/>
          <w:color w:val="auto"/>
          <w:szCs w:val="21"/>
        </w:rPr>
        <w:t>5.验收时乙方必须在现场，验收完毕后作出验收结果报告；验收费用按竞争性谈判文件约定承担方负责。</w:t>
      </w:r>
    </w:p>
    <w:p>
      <w:pPr>
        <w:snapToGrid w:val="0"/>
        <w:spacing w:line="440" w:lineRule="exact"/>
        <w:ind w:firstLine="413" w:firstLineChars="196"/>
        <w:rPr>
          <w:rFonts w:ascii="宋体" w:hAnsi="宋体" w:cs="宋体"/>
          <w:b/>
          <w:color w:val="auto"/>
          <w:kern w:val="0"/>
          <w:szCs w:val="21"/>
        </w:rPr>
      </w:pPr>
      <w:r>
        <w:rPr>
          <w:rFonts w:hint="eastAsia" w:ascii="宋体" w:hAnsi="宋体" w:cs="宋体"/>
          <w:b/>
          <w:color w:val="auto"/>
          <w:kern w:val="0"/>
          <w:szCs w:val="21"/>
        </w:rPr>
        <w:t>第十三条  货物包装、发运及运输</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1.乙方应在货物发运前对其进行满足运输距离、防潮、防震、防锈和防破损装卸等要求包装，以保证货物安全运达甲方指定地点。</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2.使用说明书（货物属于进口产品的，供货时应同时附上中文使用说明书）、质量检验证明书、随配附件和工具以及清单一并附于货物内。</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3.乙方在货物发运手续办理完毕后二十四小时内或货到甲方四十八小时前通知甲方，以准备接货。</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4.货物在交付甲方前发生的风险均由乙方负责。</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5.货物在规定的交付期限内由乙方送达甲方指定的地点视为交付，乙方同时需通知甲方货物已送达。</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第十四条　违约责任</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2.乙方提供的货物如侵犯了第三方合法权益而引发的任何纠纷或诉讼，均由乙方负责交涉并承担全部责任。</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3.因包装、运输引起的货物损坏，按质量不合格处罚。</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4.甲方无故延期接收货物、乙方逾期交货的，每天向对方偿付违约货款额3‰违约金，但违约金累计不得超过违约货款额5%，超过</w:t>
      </w:r>
      <w:r>
        <w:rPr>
          <w:rFonts w:hint="eastAsia" w:ascii="宋体" w:hAnsi="宋体" w:cs="宋体"/>
          <w:color w:val="auto"/>
          <w:kern w:val="0"/>
          <w:szCs w:val="21"/>
          <w:u w:val="single"/>
        </w:rPr>
        <w:t xml:space="preserve">   </w:t>
      </w:r>
      <w:r>
        <w:rPr>
          <w:rFonts w:hint="eastAsia" w:ascii="宋体" w:hAnsi="宋体" w:cs="宋体"/>
          <w:color w:val="auto"/>
          <w:kern w:val="0"/>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5.乙方未按本合同和响应文件中规定的服务承诺提供售后服务的，乙方应按本合同合计金额 5%向甲方支付违约金。</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6.乙方提供的货物在质量保证期内，因设计、工艺或材料的缺陷和其它质量原因造成的问题，由乙方负责，费用从余款或履约保证金中扣除，不足另补。</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7.甲乙双方有其它违约行为的，由违约方向对方支付违约内容涉及货款额的5%，违约内容涉及货款额的5%不足以赔偿经济损失的按实际赔偿。</w:t>
      </w:r>
    </w:p>
    <w:p>
      <w:pPr>
        <w:snapToGrid w:val="0"/>
        <w:spacing w:line="440" w:lineRule="exact"/>
        <w:ind w:firstLine="413" w:firstLineChars="196"/>
        <w:rPr>
          <w:rFonts w:ascii="宋体" w:hAnsi="宋体" w:cs="宋体"/>
          <w:b/>
          <w:color w:val="auto"/>
          <w:kern w:val="0"/>
          <w:szCs w:val="21"/>
        </w:rPr>
      </w:pPr>
      <w:r>
        <w:rPr>
          <w:rFonts w:hint="eastAsia" w:ascii="宋体" w:hAnsi="宋体" w:cs="宋体"/>
          <w:b/>
          <w:color w:val="auto"/>
          <w:kern w:val="0"/>
          <w:szCs w:val="21"/>
        </w:rPr>
        <w:t>第十五条  不可抗力事件处理</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1.在合同有效期内，任何一方因不可抗力事件导致不能履行合同，则合同履行期可延长，其延长期与不可抗力影响期相同。</w:t>
      </w:r>
    </w:p>
    <w:p>
      <w:pPr>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2.不可抗力事件发生后，应立即通知对方，并寄送有关权威机构出具的证明。</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napToGrid w:val="0"/>
        <w:spacing w:line="440" w:lineRule="exact"/>
        <w:ind w:firstLine="422" w:firstLineChars="200"/>
        <w:rPr>
          <w:rFonts w:ascii="宋体" w:hAnsi="宋体" w:cs="宋体"/>
          <w:color w:val="auto"/>
          <w:szCs w:val="21"/>
        </w:rPr>
      </w:pPr>
      <w:r>
        <w:rPr>
          <w:rFonts w:hint="eastAsia" w:ascii="宋体" w:hAnsi="宋体" w:cs="宋体"/>
          <w:b/>
          <w:color w:val="auto"/>
          <w:szCs w:val="21"/>
        </w:rPr>
        <w:t>第十六条  合同争议解决</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2.因履行本合同引起的或与本合同有关的争议，甲乙双方应首先通过友好协商解决，如果协商不能解决，可向仲裁委员会申请仲裁或向人民法院提起诉讼。</w:t>
      </w:r>
    </w:p>
    <w:p>
      <w:pPr>
        <w:snapToGrid w:val="0"/>
        <w:spacing w:line="440" w:lineRule="exact"/>
        <w:ind w:left="-61" w:firstLine="514"/>
        <w:rPr>
          <w:rFonts w:ascii="宋体" w:hAnsi="宋体" w:cs="宋体"/>
          <w:color w:val="auto"/>
          <w:szCs w:val="21"/>
        </w:rPr>
      </w:pPr>
      <w:r>
        <w:rPr>
          <w:rFonts w:hint="eastAsia" w:ascii="宋体" w:hAnsi="宋体" w:cs="宋体"/>
          <w:color w:val="auto"/>
          <w:szCs w:val="21"/>
        </w:rPr>
        <w:t>3.诉讼期间，本合同继续履行。</w:t>
      </w:r>
    </w:p>
    <w:p>
      <w:pPr>
        <w:snapToGrid w:val="0"/>
        <w:spacing w:line="440" w:lineRule="exact"/>
        <w:ind w:firstLine="413" w:firstLineChars="196"/>
        <w:rPr>
          <w:rFonts w:ascii="宋体" w:hAnsi="宋体" w:cs="宋体"/>
          <w:b/>
          <w:color w:val="auto"/>
          <w:kern w:val="0"/>
          <w:szCs w:val="21"/>
        </w:rPr>
      </w:pPr>
      <w:r>
        <w:rPr>
          <w:rFonts w:hint="eastAsia" w:ascii="宋体" w:hAnsi="宋体" w:cs="宋体"/>
          <w:b/>
          <w:color w:val="auto"/>
          <w:kern w:val="0"/>
          <w:szCs w:val="21"/>
        </w:rPr>
        <w:t>第十七条  诉讼</w:t>
      </w:r>
    </w:p>
    <w:p>
      <w:pPr>
        <w:snapToGrid w:val="0"/>
        <w:spacing w:line="440" w:lineRule="exact"/>
        <w:ind w:left="-61" w:firstLine="514"/>
        <w:rPr>
          <w:rFonts w:ascii="宋体" w:hAnsi="宋体" w:cs="宋体"/>
          <w:color w:val="auto"/>
          <w:szCs w:val="21"/>
        </w:rPr>
      </w:pPr>
      <w:r>
        <w:rPr>
          <w:rFonts w:hint="eastAsia" w:ascii="宋体" w:hAnsi="宋体" w:cs="宋体"/>
          <w:color w:val="auto"/>
          <w:szCs w:val="21"/>
        </w:rPr>
        <w:t>双方在执行合同中所发生的一切争议，应通过协商解决。如协商不能解决，可向甲方所在地仲裁委员会申请仲裁或人民法院提起诉讼。</w:t>
      </w:r>
    </w:p>
    <w:p>
      <w:pPr>
        <w:snapToGrid w:val="0"/>
        <w:spacing w:line="440" w:lineRule="exact"/>
        <w:ind w:firstLine="413" w:firstLineChars="196"/>
        <w:rPr>
          <w:rFonts w:ascii="宋体" w:hAnsi="宋体" w:cs="宋体"/>
          <w:b/>
          <w:color w:val="auto"/>
          <w:kern w:val="0"/>
          <w:szCs w:val="21"/>
        </w:rPr>
      </w:pPr>
      <w:r>
        <w:rPr>
          <w:rFonts w:hint="eastAsia" w:ascii="宋体" w:hAnsi="宋体" w:cs="宋体"/>
          <w:b/>
          <w:color w:val="auto"/>
          <w:kern w:val="0"/>
          <w:szCs w:val="21"/>
        </w:rPr>
        <w:t>第十八条  合同生效及其它</w:t>
      </w:r>
    </w:p>
    <w:p>
      <w:pPr>
        <w:snapToGrid w:val="0"/>
        <w:spacing w:line="440" w:lineRule="exact"/>
        <w:ind w:firstLine="422" w:firstLineChars="200"/>
        <w:rPr>
          <w:rFonts w:ascii="宋体" w:hAnsi="宋体" w:cs="宋体"/>
          <w:b/>
          <w:color w:val="auto"/>
          <w:kern w:val="0"/>
          <w:szCs w:val="21"/>
        </w:rPr>
      </w:pPr>
      <w:r>
        <w:rPr>
          <w:rFonts w:hint="eastAsia" w:ascii="宋体" w:hAnsi="宋体" w:cs="宋体"/>
          <w:b/>
          <w:color w:val="auto"/>
          <w:kern w:val="0"/>
          <w:szCs w:val="21"/>
        </w:rPr>
        <w:t>1. 合同经双方法定代表人（负责人或自然人）或委托代理人签字并加盖单位公章后生效（委托代理人签字的需后附法定代表人授权委托书，格式自拟）。</w:t>
      </w:r>
    </w:p>
    <w:p>
      <w:pPr>
        <w:snapToGrid w:val="0"/>
        <w:spacing w:line="440" w:lineRule="exact"/>
        <w:ind w:firstLine="422" w:firstLineChars="200"/>
        <w:rPr>
          <w:rFonts w:ascii="宋体" w:hAnsi="宋体" w:cs="宋体"/>
          <w:b/>
          <w:color w:val="auto"/>
          <w:kern w:val="0"/>
          <w:szCs w:val="21"/>
        </w:rPr>
      </w:pPr>
      <w:r>
        <w:rPr>
          <w:rFonts w:hint="eastAsia" w:ascii="宋体" w:hAnsi="宋体" w:cs="宋体"/>
          <w:b/>
          <w:color w:val="auto"/>
          <w:kern w:val="0"/>
          <w:szCs w:val="21"/>
        </w:rPr>
        <w:t>2.合同执行中涉及采购资金和采购内容修改或补充的，须经财政部门审批，并签书面补充协议报财政部门备案，方可作为主合同不可分割的一部分。</w:t>
      </w:r>
    </w:p>
    <w:p>
      <w:pPr>
        <w:snapToGrid w:val="0"/>
        <w:spacing w:line="440" w:lineRule="exact"/>
        <w:ind w:left="420" w:leftChars="200"/>
        <w:rPr>
          <w:rFonts w:ascii="宋体" w:hAnsi="宋体" w:cs="宋体"/>
          <w:b/>
          <w:color w:val="auto"/>
          <w:kern w:val="0"/>
          <w:szCs w:val="21"/>
        </w:rPr>
      </w:pPr>
      <w:r>
        <w:rPr>
          <w:rFonts w:hint="eastAsia" w:ascii="宋体" w:hAnsi="宋体" w:cs="宋体"/>
          <w:b/>
          <w:color w:val="auto"/>
          <w:kern w:val="0"/>
          <w:szCs w:val="21"/>
        </w:rPr>
        <w:t>3.本合同未尽事宜，遵照《合同法》有关条文执行。</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第十九条　合同的变更、终止与转让</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napToGrid w:val="0"/>
        <w:spacing w:line="440" w:lineRule="exact"/>
        <w:ind w:left="-61" w:firstLine="514"/>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napToGrid w:val="0"/>
        <w:spacing w:line="440" w:lineRule="exact"/>
        <w:ind w:firstLine="422" w:firstLineChars="200"/>
        <w:rPr>
          <w:rFonts w:ascii="宋体" w:hAnsi="宋体" w:cs="宋体"/>
          <w:b/>
          <w:color w:val="auto"/>
          <w:szCs w:val="21"/>
        </w:rPr>
      </w:pPr>
      <w:r>
        <w:rPr>
          <w:rFonts w:hint="eastAsia" w:ascii="宋体" w:hAnsi="宋体" w:cs="宋体"/>
          <w:b/>
          <w:color w:val="auto"/>
          <w:szCs w:val="21"/>
        </w:rPr>
        <w:t>第二十条　</w:t>
      </w:r>
      <w:r>
        <w:rPr>
          <w:rFonts w:hint="eastAsia" w:ascii="宋体" w:hAnsi="宋体" w:cs="宋体"/>
          <w:b/>
          <w:bCs/>
          <w:color w:val="auto"/>
          <w:kern w:val="0"/>
          <w:szCs w:val="21"/>
        </w:rPr>
        <w:t>本合同书与下列文件一起构成合同文件</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1.成交通知书；</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2.竞标声明书；</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3.商务条款偏离表和技术需求偏离表；</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4.采购需求；</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5.竞标报价表；</w:t>
      </w:r>
    </w:p>
    <w:p>
      <w:pPr>
        <w:snapToGrid w:val="0"/>
        <w:spacing w:line="440" w:lineRule="exact"/>
        <w:ind w:left="420" w:leftChars="200"/>
        <w:rPr>
          <w:rFonts w:ascii="宋体" w:hAnsi="宋体" w:cs="宋体"/>
          <w:color w:val="auto"/>
          <w:kern w:val="0"/>
          <w:szCs w:val="21"/>
        </w:rPr>
      </w:pPr>
      <w:r>
        <w:rPr>
          <w:rFonts w:hint="eastAsia" w:ascii="宋体" w:hAnsi="宋体" w:cs="宋体"/>
          <w:color w:val="auto"/>
          <w:kern w:val="0"/>
          <w:szCs w:val="21"/>
        </w:rPr>
        <w:t>6.其他合同文件。</w:t>
      </w:r>
    </w:p>
    <w:p>
      <w:pPr>
        <w:snapToGrid w:val="0"/>
        <w:spacing w:line="440" w:lineRule="exact"/>
        <w:ind w:firstLine="420" w:firstLineChars="200"/>
        <w:rPr>
          <w:rFonts w:ascii="宋体" w:hAnsi="宋体" w:cs="宋体"/>
          <w:b/>
          <w:color w:val="auto"/>
          <w:kern w:val="0"/>
          <w:szCs w:val="21"/>
        </w:rPr>
      </w:pPr>
      <w:r>
        <w:rPr>
          <w:rFonts w:hint="eastAsia" w:ascii="宋体" w:hAnsi="宋体" w:cs="宋体"/>
          <w:color w:val="auto"/>
          <w:kern w:val="0"/>
          <w:szCs w:val="21"/>
        </w:rPr>
        <w:t>7.上述合同文件互相补充和解释。如果合同文件之间存在矛盾或不一致之处，以上述文件的排列顺序在先者为准。</w:t>
      </w:r>
    </w:p>
    <w:p>
      <w:pPr>
        <w:snapToGrid w:val="0"/>
        <w:spacing w:line="440" w:lineRule="exact"/>
        <w:ind w:firstLine="422" w:firstLineChars="200"/>
        <w:rPr>
          <w:rFonts w:ascii="宋体" w:hAnsi="宋体" w:cs="宋体"/>
          <w:b/>
          <w:bCs/>
          <w:color w:val="auto"/>
          <w:szCs w:val="21"/>
        </w:rPr>
      </w:pPr>
      <w:r>
        <w:rPr>
          <w:rFonts w:hint="eastAsia" w:ascii="宋体" w:hAnsi="宋体" w:cs="宋体"/>
          <w:b/>
          <w:color w:val="auto"/>
          <w:szCs w:val="21"/>
        </w:rPr>
        <w:t>第二十一条　</w:t>
      </w:r>
      <w:r>
        <w:rPr>
          <w:rFonts w:hint="eastAsia" w:ascii="宋体" w:hAnsi="宋体" w:cs="宋体"/>
          <w:b/>
          <w:bCs/>
          <w:color w:val="auto"/>
          <w:szCs w:val="21"/>
        </w:rPr>
        <w:t>本合同一式三份，具有同等法律效力，采购代理机构一份，甲乙双方各一份（可根据需要另增加）。</w:t>
      </w:r>
    </w:p>
    <w:p>
      <w:pPr>
        <w:snapToGrid w:val="0"/>
        <w:spacing w:line="440" w:lineRule="exact"/>
        <w:ind w:left="-61" w:firstLine="514"/>
        <w:rPr>
          <w:rFonts w:ascii="宋体" w:hAnsi="宋体" w:cs="宋体"/>
          <w:b/>
          <w:bCs/>
          <w:color w:val="auto"/>
          <w:szCs w:val="21"/>
        </w:rPr>
      </w:pPr>
      <w:r>
        <w:rPr>
          <w:rFonts w:hint="eastAsia" w:ascii="宋体" w:hAnsi="宋体" w:cs="宋体"/>
          <w:b/>
          <w:bCs/>
          <w:color w:val="auto"/>
          <w:szCs w:val="21"/>
        </w:rPr>
        <w:t>第二十二条  本合同甲乙双方签字盖章后生效。</w:t>
      </w:r>
    </w:p>
    <w:p>
      <w:pPr>
        <w:snapToGrid w:val="0"/>
        <w:spacing w:line="440" w:lineRule="exact"/>
        <w:ind w:left="-61" w:firstLine="514"/>
        <w:rPr>
          <w:rFonts w:ascii="宋体" w:hAnsi="宋体" w:cs="宋体"/>
          <w:b/>
          <w:bCs/>
          <w:color w:val="auto"/>
          <w:szCs w:val="21"/>
        </w:rPr>
      </w:pPr>
      <w:r>
        <w:rPr>
          <w:rFonts w:hint="eastAsia" w:ascii="宋体" w:hAnsi="宋体" w:cs="宋体"/>
          <w:b/>
          <w:bCs/>
          <w:color w:val="auto"/>
          <w:szCs w:val="21"/>
        </w:rPr>
        <w:t>第二十三条  自签订之日起七个工作日内，采购人或采购代理机构应当将合同副本报同级财政部门备案。</w:t>
      </w:r>
    </w:p>
    <w:p>
      <w:pPr>
        <w:snapToGrid w:val="0"/>
        <w:spacing w:line="440" w:lineRule="exact"/>
        <w:rPr>
          <w:rFonts w:ascii="宋体" w:hAnsi="宋体" w:cs="宋体"/>
          <w:color w:val="auto"/>
          <w:szCs w:val="21"/>
        </w:rPr>
      </w:pPr>
    </w:p>
    <w:p>
      <w:pPr>
        <w:snapToGrid w:val="0"/>
        <w:spacing w:line="440" w:lineRule="exact"/>
        <w:rPr>
          <w:rFonts w:ascii="宋体" w:hAnsi="宋体" w:cs="宋体"/>
          <w:color w:val="auto"/>
          <w:szCs w:val="21"/>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 xml:space="preserve">甲方（章）           </w:t>
            </w:r>
          </w:p>
          <w:p>
            <w:pPr>
              <w:snapToGrid w:val="0"/>
              <w:spacing w:line="340" w:lineRule="exact"/>
              <w:rPr>
                <w:rFonts w:ascii="宋体" w:hAnsi="宋体" w:cs="宋体"/>
                <w:color w:val="auto"/>
                <w:szCs w:val="21"/>
              </w:rPr>
            </w:pPr>
          </w:p>
          <w:p>
            <w:pPr>
              <w:snapToGrid w:val="0"/>
              <w:spacing w:line="340" w:lineRule="exact"/>
              <w:rPr>
                <w:rFonts w:ascii="宋体" w:hAnsi="宋体" w:cs="宋体"/>
                <w:color w:val="auto"/>
                <w:szCs w:val="21"/>
              </w:rPr>
            </w:pPr>
          </w:p>
          <w:p>
            <w:pPr>
              <w:snapToGrid w:val="0"/>
              <w:spacing w:line="340" w:lineRule="exact"/>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 xml:space="preserve">乙方（章）              </w:t>
            </w:r>
          </w:p>
          <w:p>
            <w:pPr>
              <w:snapToGrid w:val="0"/>
              <w:spacing w:line="340" w:lineRule="exact"/>
              <w:rPr>
                <w:rFonts w:ascii="宋体" w:hAnsi="宋体" w:cs="宋体"/>
                <w:color w:val="auto"/>
                <w:szCs w:val="21"/>
              </w:rPr>
            </w:pPr>
          </w:p>
          <w:p>
            <w:pPr>
              <w:snapToGrid w:val="0"/>
              <w:spacing w:line="340" w:lineRule="exact"/>
              <w:rPr>
                <w:rFonts w:ascii="宋体" w:hAnsi="宋体" w:cs="宋体"/>
                <w:color w:val="auto"/>
                <w:szCs w:val="21"/>
              </w:rPr>
            </w:pPr>
          </w:p>
          <w:p>
            <w:pPr>
              <w:snapToGrid w:val="0"/>
              <w:spacing w:line="340" w:lineRule="exact"/>
              <w:jc w:val="right"/>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单位地址：</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tcPr>
          <w:p>
            <w:pPr>
              <w:snapToGrid w:val="0"/>
              <w:spacing w:line="340" w:lineRule="exact"/>
              <w:rPr>
                <w:rFonts w:ascii="宋体" w:hAnsi="宋体" w:cs="宋体"/>
                <w:color w:val="auto"/>
                <w:szCs w:val="21"/>
              </w:rPr>
            </w:pPr>
            <w:r>
              <w:rPr>
                <w:rFonts w:hint="eastAsia" w:ascii="宋体" w:hAnsi="宋体" w:cs="宋体"/>
                <w:color w:val="auto"/>
                <w:szCs w:val="21"/>
              </w:rPr>
              <w:t>法定代表人（负责人或自然人）或委托代理人：</w:t>
            </w:r>
          </w:p>
          <w:p>
            <w:pPr>
              <w:snapToGrid w:val="0"/>
              <w:spacing w:line="340" w:lineRule="exact"/>
              <w:rPr>
                <w:rFonts w:ascii="宋体" w:hAnsi="宋体" w:cs="宋体"/>
                <w:color w:val="auto"/>
                <w:szCs w:val="21"/>
              </w:rPr>
            </w:pPr>
          </w:p>
        </w:tc>
        <w:tc>
          <w:tcPr>
            <w:tcW w:w="0" w:type="auto"/>
          </w:tcPr>
          <w:p>
            <w:pPr>
              <w:snapToGrid w:val="0"/>
              <w:spacing w:line="340" w:lineRule="exact"/>
              <w:rPr>
                <w:rFonts w:ascii="宋体" w:hAnsi="宋体" w:cs="宋体"/>
                <w:color w:val="auto"/>
                <w:szCs w:val="21"/>
              </w:rPr>
            </w:pPr>
            <w:r>
              <w:rPr>
                <w:rFonts w:hint="eastAsia" w:ascii="宋体" w:hAnsi="宋体" w:cs="宋体"/>
                <w:color w:val="auto"/>
                <w:szCs w:val="21"/>
              </w:rPr>
              <w:t>法定代表人（负责人或自然人）或委托代理人：</w:t>
            </w:r>
          </w:p>
          <w:p>
            <w:pPr>
              <w:snapToGrid w:val="0"/>
              <w:spacing w:line="3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电话：</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电子邮箱：</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开户银行：</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账号：</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邮政编码：</w:t>
            </w:r>
          </w:p>
        </w:tc>
        <w:tc>
          <w:tcPr>
            <w:tcW w:w="0" w:type="auto"/>
            <w:vAlign w:val="center"/>
          </w:tcPr>
          <w:p>
            <w:pPr>
              <w:snapToGrid w:val="0"/>
              <w:spacing w:line="340" w:lineRule="exact"/>
              <w:rPr>
                <w:rFonts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0" w:type="auto"/>
            <w:gridSpan w:val="2"/>
          </w:tcPr>
          <w:p>
            <w:pPr>
              <w:snapToGrid w:val="0"/>
              <w:spacing w:line="340" w:lineRule="exact"/>
              <w:rPr>
                <w:rFonts w:ascii="宋体" w:hAnsi="宋体" w:cs="宋体"/>
                <w:color w:val="auto"/>
                <w:szCs w:val="21"/>
              </w:rPr>
            </w:pPr>
            <w:r>
              <w:rPr>
                <w:rFonts w:hint="eastAsia" w:ascii="宋体" w:hAnsi="宋体" w:cs="宋体"/>
                <w:color w:val="auto"/>
                <w:szCs w:val="21"/>
              </w:rPr>
              <w:t>经办人：</w:t>
            </w:r>
          </w:p>
          <w:p>
            <w:pPr>
              <w:snapToGrid w:val="0"/>
              <w:spacing w:line="340" w:lineRule="exact"/>
              <w:rPr>
                <w:rFonts w:ascii="宋体" w:hAnsi="宋体" w:cs="宋体"/>
                <w:color w:val="auto"/>
                <w:szCs w:val="21"/>
              </w:rPr>
            </w:pPr>
          </w:p>
          <w:p>
            <w:pPr>
              <w:snapToGrid w:val="0"/>
              <w:spacing w:line="340" w:lineRule="exact"/>
              <w:ind w:firstLine="630" w:firstLineChars="300"/>
              <w:jc w:val="right"/>
              <w:rPr>
                <w:rFonts w:ascii="宋体" w:hAnsi="宋体" w:cs="宋体"/>
                <w:color w:val="auto"/>
                <w:szCs w:val="21"/>
              </w:rPr>
            </w:pPr>
            <w:r>
              <w:rPr>
                <w:rFonts w:hint="eastAsia" w:ascii="宋体" w:hAnsi="宋体" w:cs="宋体"/>
                <w:color w:val="auto"/>
                <w:szCs w:val="21"/>
              </w:rPr>
              <w:t>年    月    日</w:t>
            </w:r>
          </w:p>
        </w:tc>
      </w:tr>
    </w:tbl>
    <w:p>
      <w:pPr>
        <w:snapToGrid w:val="0"/>
        <w:spacing w:line="340" w:lineRule="exact"/>
        <w:ind w:left="420" w:hanging="420" w:hangingChars="200"/>
        <w:rPr>
          <w:rFonts w:ascii="宋体" w:hAnsi="宋体"/>
          <w:color w:val="auto"/>
          <w:szCs w:val="21"/>
        </w:rPr>
      </w:pPr>
    </w:p>
    <w:p>
      <w:pPr>
        <w:snapToGrid w:val="0"/>
        <w:spacing w:line="340" w:lineRule="exact"/>
        <w:jc w:val="center"/>
        <w:rPr>
          <w:rFonts w:ascii="宋体" w:hAnsi="宋体"/>
          <w:b/>
          <w:color w:val="auto"/>
          <w:sz w:val="28"/>
          <w:szCs w:val="28"/>
        </w:rPr>
      </w:pPr>
      <w:r>
        <w:rPr>
          <w:rFonts w:ascii="宋体" w:hAnsi="宋体"/>
          <w:b/>
          <w:color w:val="auto"/>
          <w:sz w:val="28"/>
          <w:szCs w:val="28"/>
        </w:rPr>
        <w:br w:type="page"/>
      </w:r>
      <w:r>
        <w:rPr>
          <w:rFonts w:hint="eastAsia" w:ascii="宋体" w:hAnsi="宋体"/>
          <w:b/>
          <w:color w:val="auto"/>
          <w:sz w:val="32"/>
          <w:szCs w:val="32"/>
        </w:rPr>
        <w:t>合 同 附 件</w:t>
      </w:r>
    </w:p>
    <w:p>
      <w:pPr>
        <w:snapToGrid w:val="0"/>
        <w:spacing w:line="340" w:lineRule="exact"/>
        <w:rPr>
          <w:rFonts w:ascii="宋体" w:hAnsi="宋体"/>
          <w:color w:val="auto"/>
          <w:szCs w:val="21"/>
        </w:rPr>
      </w:pPr>
    </w:p>
    <w:tbl>
      <w:tblPr>
        <w:tblStyle w:val="48"/>
        <w:tblW w:w="0" w:type="auto"/>
        <w:jc w:val="center"/>
        <w:tblLayout w:type="fixed"/>
        <w:tblCellMar>
          <w:top w:w="0" w:type="dxa"/>
          <w:left w:w="108" w:type="dxa"/>
          <w:bottom w:w="0" w:type="dxa"/>
          <w:right w:w="108" w:type="dxa"/>
        </w:tblCellMar>
      </w:tblPr>
      <w:tblGrid>
        <w:gridCol w:w="4288"/>
        <w:gridCol w:w="4284"/>
      </w:tblGrid>
      <w:tr>
        <w:tblPrEx>
          <w:tblCellMar>
            <w:top w:w="0" w:type="dxa"/>
            <w:left w:w="108" w:type="dxa"/>
            <w:bottom w:w="0" w:type="dxa"/>
            <w:right w:w="108" w:type="dxa"/>
          </w:tblCellMar>
        </w:tblPrEx>
        <w:trPr>
          <w:trHeight w:val="1634" w:hRule="atLeast"/>
          <w:jc w:val="center"/>
        </w:trPr>
        <w:tc>
          <w:tcPr>
            <w:tcW w:w="857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auto"/>
                <w:szCs w:val="21"/>
              </w:rPr>
            </w:pPr>
            <w:r>
              <w:rPr>
                <w:rFonts w:hint="eastAsia" w:ascii="宋体" w:hAnsi="宋体"/>
                <w:b/>
                <w:color w:val="auto"/>
                <w:szCs w:val="21"/>
              </w:rPr>
              <w:t>1. 供应商承诺具体事项：</w:t>
            </w:r>
          </w:p>
        </w:tc>
      </w:tr>
      <w:tr>
        <w:tblPrEx>
          <w:tblCellMar>
            <w:top w:w="0" w:type="dxa"/>
            <w:left w:w="108" w:type="dxa"/>
            <w:bottom w:w="0" w:type="dxa"/>
            <w:right w:w="108" w:type="dxa"/>
          </w:tblCellMar>
        </w:tblPrEx>
        <w:trPr>
          <w:trHeight w:val="1636" w:hRule="atLeast"/>
          <w:jc w:val="center"/>
        </w:trPr>
        <w:tc>
          <w:tcPr>
            <w:tcW w:w="857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auto"/>
                <w:szCs w:val="21"/>
              </w:rPr>
            </w:pPr>
            <w:r>
              <w:rPr>
                <w:rFonts w:hint="eastAsia" w:ascii="宋体" w:hAnsi="宋体"/>
                <w:b/>
                <w:color w:val="auto"/>
                <w:szCs w:val="21"/>
              </w:rPr>
              <w:t>2. 售后服务具体事项：</w:t>
            </w:r>
          </w:p>
        </w:tc>
      </w:tr>
      <w:tr>
        <w:tblPrEx>
          <w:tblCellMar>
            <w:top w:w="0" w:type="dxa"/>
            <w:left w:w="108" w:type="dxa"/>
            <w:bottom w:w="0" w:type="dxa"/>
            <w:right w:w="108" w:type="dxa"/>
          </w:tblCellMar>
        </w:tblPrEx>
        <w:trPr>
          <w:trHeight w:val="1450" w:hRule="atLeast"/>
          <w:jc w:val="center"/>
        </w:trPr>
        <w:tc>
          <w:tcPr>
            <w:tcW w:w="857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auto"/>
                <w:szCs w:val="21"/>
              </w:rPr>
            </w:pPr>
            <w:r>
              <w:rPr>
                <w:rFonts w:hint="eastAsia" w:ascii="宋体" w:hAnsi="宋体"/>
                <w:b/>
                <w:color w:val="auto"/>
                <w:szCs w:val="21"/>
              </w:rPr>
              <w:t>3. 保修期责任：</w:t>
            </w:r>
          </w:p>
        </w:tc>
      </w:tr>
      <w:tr>
        <w:tblPrEx>
          <w:tblCellMar>
            <w:top w:w="0" w:type="dxa"/>
            <w:left w:w="108" w:type="dxa"/>
            <w:bottom w:w="0" w:type="dxa"/>
            <w:right w:w="108" w:type="dxa"/>
          </w:tblCellMar>
        </w:tblPrEx>
        <w:trPr>
          <w:trHeight w:val="1812" w:hRule="atLeast"/>
          <w:jc w:val="center"/>
        </w:trPr>
        <w:tc>
          <w:tcPr>
            <w:tcW w:w="8572" w:type="dxa"/>
            <w:gridSpan w:val="2"/>
            <w:tcBorders>
              <w:top w:val="single" w:color="auto" w:sz="4" w:space="0"/>
              <w:left w:val="single" w:color="auto" w:sz="4" w:space="0"/>
              <w:right w:val="single" w:color="auto" w:sz="4" w:space="0"/>
            </w:tcBorders>
          </w:tcPr>
          <w:p>
            <w:pPr>
              <w:snapToGrid w:val="0"/>
              <w:spacing w:line="340" w:lineRule="exact"/>
              <w:rPr>
                <w:rFonts w:ascii="宋体" w:hAnsi="宋体"/>
                <w:b/>
                <w:color w:val="auto"/>
                <w:szCs w:val="21"/>
              </w:rPr>
            </w:pPr>
            <w:r>
              <w:rPr>
                <w:rFonts w:hint="eastAsia" w:ascii="宋体" w:hAnsi="宋体"/>
                <w:b/>
                <w:color w:val="auto"/>
                <w:szCs w:val="21"/>
              </w:rPr>
              <w:t>4. 其他具体事项：</w:t>
            </w:r>
          </w:p>
        </w:tc>
      </w:tr>
      <w:tr>
        <w:tblPrEx>
          <w:tblCellMar>
            <w:top w:w="0" w:type="dxa"/>
            <w:left w:w="108" w:type="dxa"/>
            <w:bottom w:w="0" w:type="dxa"/>
            <w:right w:w="108" w:type="dxa"/>
          </w:tblCellMar>
        </w:tblPrEx>
        <w:trPr>
          <w:trHeight w:val="2269" w:hRule="atLeast"/>
          <w:jc w:val="center"/>
        </w:trPr>
        <w:tc>
          <w:tcPr>
            <w:tcW w:w="428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b/>
                <w:color w:val="auto"/>
                <w:szCs w:val="21"/>
              </w:rPr>
            </w:pPr>
            <w:r>
              <w:rPr>
                <w:rFonts w:hint="eastAsia" w:ascii="宋体" w:hAnsi="宋体"/>
                <w:b/>
                <w:color w:val="auto"/>
                <w:szCs w:val="21"/>
              </w:rPr>
              <w:t>甲方（章）</w:t>
            </w:r>
          </w:p>
          <w:p>
            <w:pPr>
              <w:snapToGrid w:val="0"/>
              <w:spacing w:line="340" w:lineRule="exact"/>
              <w:ind w:firstLine="422" w:firstLineChars="200"/>
              <w:rPr>
                <w:rFonts w:ascii="宋体" w:hAnsi="宋体"/>
                <w:b/>
                <w:color w:val="auto"/>
                <w:szCs w:val="21"/>
              </w:rPr>
            </w:pPr>
          </w:p>
          <w:p>
            <w:pPr>
              <w:snapToGrid w:val="0"/>
              <w:spacing w:line="340" w:lineRule="exact"/>
              <w:rPr>
                <w:rFonts w:ascii="宋体" w:hAnsi="宋体"/>
                <w:b/>
                <w:color w:val="auto"/>
                <w:szCs w:val="21"/>
              </w:rPr>
            </w:pPr>
          </w:p>
          <w:p>
            <w:pPr>
              <w:snapToGrid w:val="0"/>
              <w:spacing w:line="340" w:lineRule="exact"/>
              <w:ind w:firstLine="422" w:firstLineChars="200"/>
              <w:rPr>
                <w:rFonts w:ascii="宋体" w:hAnsi="宋体"/>
                <w:b/>
                <w:color w:val="auto"/>
                <w:szCs w:val="21"/>
              </w:rPr>
            </w:pPr>
            <w:r>
              <w:rPr>
                <w:rFonts w:hint="eastAsia" w:ascii="宋体" w:hAnsi="宋体"/>
                <w:b/>
                <w:color w:val="auto"/>
                <w:szCs w:val="21"/>
              </w:rPr>
              <w:t xml:space="preserve">                      年   月   日 </w:t>
            </w:r>
          </w:p>
        </w:tc>
        <w:tc>
          <w:tcPr>
            <w:tcW w:w="428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b/>
                <w:color w:val="auto"/>
                <w:szCs w:val="21"/>
              </w:rPr>
            </w:pPr>
            <w:r>
              <w:rPr>
                <w:rFonts w:hint="eastAsia" w:ascii="宋体" w:hAnsi="宋体"/>
                <w:b/>
                <w:color w:val="auto"/>
                <w:szCs w:val="21"/>
              </w:rPr>
              <w:t>乙方（章）</w:t>
            </w:r>
          </w:p>
          <w:p>
            <w:pPr>
              <w:snapToGrid w:val="0"/>
              <w:spacing w:line="340" w:lineRule="exact"/>
              <w:ind w:firstLine="422" w:firstLineChars="200"/>
              <w:rPr>
                <w:rFonts w:ascii="宋体" w:hAnsi="宋体"/>
                <w:b/>
                <w:color w:val="auto"/>
                <w:szCs w:val="21"/>
              </w:rPr>
            </w:pPr>
          </w:p>
          <w:p>
            <w:pPr>
              <w:snapToGrid w:val="0"/>
              <w:spacing w:line="340" w:lineRule="exact"/>
              <w:rPr>
                <w:rFonts w:ascii="宋体" w:hAnsi="宋体"/>
                <w:b/>
                <w:color w:val="auto"/>
                <w:szCs w:val="21"/>
              </w:rPr>
            </w:pPr>
          </w:p>
          <w:p>
            <w:pPr>
              <w:snapToGrid w:val="0"/>
              <w:spacing w:line="340" w:lineRule="exact"/>
              <w:ind w:firstLine="422" w:firstLineChars="200"/>
              <w:rPr>
                <w:rFonts w:ascii="宋体" w:hAnsi="宋体"/>
                <w:b/>
                <w:color w:val="auto"/>
                <w:szCs w:val="21"/>
              </w:rPr>
            </w:pPr>
            <w:r>
              <w:rPr>
                <w:rFonts w:hint="eastAsia" w:ascii="宋体" w:hAnsi="宋体"/>
                <w:b/>
                <w:color w:val="auto"/>
                <w:szCs w:val="21"/>
              </w:rPr>
              <w:t xml:space="preserve">                      年   月   日</w:t>
            </w:r>
          </w:p>
        </w:tc>
      </w:tr>
    </w:tbl>
    <w:p>
      <w:pPr>
        <w:snapToGrid w:val="0"/>
        <w:spacing w:line="340" w:lineRule="exact"/>
        <w:jc w:val="left"/>
        <w:rPr>
          <w:rFonts w:ascii="宋体" w:hAnsi="宋体"/>
          <w:color w:val="auto"/>
          <w:szCs w:val="21"/>
        </w:rPr>
      </w:pPr>
      <w:r>
        <w:rPr>
          <w:rFonts w:hint="eastAsia" w:ascii="宋体" w:hAnsi="宋体"/>
          <w:color w:val="auto"/>
        </w:rPr>
        <w:t xml:space="preserve">  </w:t>
      </w:r>
      <w:r>
        <w:rPr>
          <w:rFonts w:hint="eastAsia" w:ascii="宋体" w:hAnsi="宋体"/>
          <w:color w:val="auto"/>
          <w:szCs w:val="21"/>
        </w:rPr>
        <w:t xml:space="preserve"> 注：售后服务事项填不下时可另加附页</w:t>
      </w:r>
    </w:p>
    <w:p>
      <w:pPr>
        <w:snapToGrid w:val="0"/>
        <w:jc w:val="left"/>
        <w:rPr>
          <w:rFonts w:ascii="宋体" w:hAnsi="宋体"/>
          <w:color w:val="auto"/>
          <w:szCs w:val="21"/>
        </w:rPr>
      </w:pPr>
    </w:p>
    <w:p>
      <w:pPr>
        <w:snapToGrid w:val="0"/>
        <w:spacing w:line="360" w:lineRule="auto"/>
        <w:jc w:val="center"/>
        <w:rPr>
          <w:rFonts w:ascii="宋体" w:hAnsi="宋体" w:cs="宋体"/>
          <w:color w:val="auto"/>
          <w:szCs w:val="21"/>
        </w:rPr>
      </w:pPr>
    </w:p>
    <w:p>
      <w:pPr>
        <w:pStyle w:val="69"/>
        <w:rPr>
          <w:color w:val="auto"/>
        </w:rPr>
      </w:pPr>
      <w:r>
        <w:rPr>
          <w:color w:val="auto"/>
        </w:rPr>
        <w:br w:type="page"/>
      </w:r>
    </w:p>
    <w:p>
      <w:pPr>
        <w:spacing w:line="360" w:lineRule="exact"/>
        <w:jc w:val="center"/>
        <w:outlineLvl w:val="0"/>
        <w:rPr>
          <w:rFonts w:ascii="宋体" w:hAnsi="宋体" w:cs="宋体"/>
          <w:b/>
          <w:color w:val="auto"/>
          <w:sz w:val="28"/>
          <w:szCs w:val="28"/>
        </w:rPr>
      </w:pPr>
      <w:bookmarkStart w:id="91" w:name="_Toc488673067"/>
      <w:r>
        <w:rPr>
          <w:rFonts w:hint="eastAsia" w:ascii="宋体" w:hAnsi="宋体" w:cs="宋体"/>
          <w:b/>
          <w:color w:val="auto"/>
          <w:sz w:val="28"/>
          <w:szCs w:val="28"/>
        </w:rPr>
        <w:t>第六章   评审标准</w:t>
      </w:r>
      <w:bookmarkEnd w:id="91"/>
    </w:p>
    <w:p>
      <w:pPr>
        <w:spacing w:line="410" w:lineRule="exact"/>
        <w:jc w:val="center"/>
        <w:rPr>
          <w:rFonts w:ascii="宋体" w:hAnsi="宋体" w:cs="宋体"/>
          <w:b/>
          <w:color w:val="auto"/>
          <w:sz w:val="28"/>
        </w:rPr>
      </w:pPr>
    </w:p>
    <w:p>
      <w:pPr>
        <w:spacing w:line="420" w:lineRule="exact"/>
        <w:rPr>
          <w:rFonts w:ascii="宋体" w:hAnsi="宋体" w:cs="宋体"/>
          <w:b/>
          <w:bCs/>
          <w:color w:val="auto"/>
          <w:szCs w:val="21"/>
        </w:rPr>
      </w:pPr>
      <w:r>
        <w:rPr>
          <w:rFonts w:hint="eastAsia" w:ascii="宋体" w:hAnsi="宋体" w:cs="宋体"/>
          <w:b/>
          <w:bCs/>
          <w:color w:val="auto"/>
          <w:szCs w:val="21"/>
        </w:rPr>
        <w:t>一、评审原则</w:t>
      </w:r>
    </w:p>
    <w:p>
      <w:pPr>
        <w:spacing w:line="420" w:lineRule="exact"/>
        <w:ind w:firstLine="420" w:firstLineChars="200"/>
        <w:rPr>
          <w:rFonts w:ascii="宋体" w:hAnsi="宋体" w:cs="宋体"/>
          <w:color w:val="auto"/>
          <w:szCs w:val="21"/>
        </w:rPr>
      </w:pPr>
      <w:r>
        <w:rPr>
          <w:rFonts w:hint="eastAsia" w:ascii="宋体" w:hAnsi="宋体" w:cs="宋体"/>
          <w:color w:val="auto"/>
          <w:szCs w:val="21"/>
        </w:rPr>
        <w:t>（一) 谈判小组构成：本采购项目的谈判小组分别由依法组成的评审专家、采购人代表等三人以上单数组成，其中专家人数不少于成员总数的三分之二。</w:t>
      </w:r>
    </w:p>
    <w:p>
      <w:pPr>
        <w:spacing w:line="420" w:lineRule="exact"/>
        <w:ind w:firstLine="420" w:firstLineChars="200"/>
        <w:rPr>
          <w:rFonts w:ascii="宋体" w:hAnsi="宋体" w:cs="宋体"/>
          <w:color w:val="auto"/>
          <w:szCs w:val="21"/>
        </w:rPr>
      </w:pPr>
      <w:r>
        <w:rPr>
          <w:rFonts w:hint="eastAsia" w:ascii="宋体" w:hAnsi="宋体" w:cs="宋体"/>
          <w:color w:val="auto"/>
          <w:szCs w:val="21"/>
        </w:rPr>
        <w:t>（二）评审依据：谈判小组将以谈判文件、响应文件为评审依据。</w:t>
      </w:r>
    </w:p>
    <w:p>
      <w:pPr>
        <w:spacing w:line="420" w:lineRule="exact"/>
        <w:ind w:firstLine="420" w:firstLineChars="200"/>
        <w:rPr>
          <w:rFonts w:ascii="宋体" w:hAnsi="宋体" w:cs="宋体"/>
          <w:color w:val="auto"/>
          <w:szCs w:val="21"/>
        </w:rPr>
      </w:pPr>
      <w:r>
        <w:rPr>
          <w:rFonts w:hint="eastAsia" w:ascii="宋体" w:hAnsi="宋体" w:cs="宋体"/>
          <w:color w:val="auto"/>
          <w:szCs w:val="21"/>
        </w:rPr>
        <w:t>（三）评审方法：采用最低评标价法。</w:t>
      </w:r>
    </w:p>
    <w:p>
      <w:pPr>
        <w:spacing w:line="420" w:lineRule="exact"/>
        <w:ind w:firstLine="420" w:firstLineChars="200"/>
        <w:rPr>
          <w:rFonts w:ascii="宋体" w:hAnsi="宋体" w:cs="宋体"/>
          <w:color w:val="auto"/>
          <w:szCs w:val="21"/>
        </w:rPr>
      </w:pPr>
      <w:r>
        <w:rPr>
          <w:rFonts w:hint="eastAsia" w:ascii="宋体" w:hAnsi="宋体" w:cs="宋体"/>
          <w:color w:val="auto"/>
          <w:szCs w:val="21"/>
        </w:rPr>
        <w:t>（四）按照《政府采购促进中小企业发展暂行办法》（财库[2011]181号），竞标单位认定为小型和微型企业的（以竞标文件提供的符合规定的有关证明材料为准），并提供本企业制造的货物，由本企业承担工程、提供服务，或者提供其他小型、微型企业制造的货物的（不包括使用大型企业注册商标的货物），对竞标价给予10%的扣除，扣除后的价格为评标报价，即评标报价=竞标价×（1-10%）；</w:t>
      </w:r>
    </w:p>
    <w:p>
      <w:pPr>
        <w:spacing w:line="420" w:lineRule="exact"/>
        <w:ind w:firstLine="420" w:firstLineChars="200"/>
        <w:rPr>
          <w:rFonts w:ascii="宋体" w:hAnsi="宋体" w:cs="宋体"/>
          <w:color w:val="auto"/>
          <w:szCs w:val="21"/>
        </w:rPr>
      </w:pPr>
      <w:r>
        <w:rPr>
          <w:rFonts w:hint="eastAsia" w:ascii="宋体" w:hAnsi="宋体" w:cs="宋体"/>
          <w:color w:val="auto"/>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cs="宋体"/>
          <w:color w:val="auto"/>
          <w:szCs w:val="21"/>
        </w:rPr>
      </w:pPr>
      <w:r>
        <w:rPr>
          <w:rFonts w:hint="eastAsia" w:ascii="宋体" w:hAnsi="宋体" w:cs="宋体"/>
          <w:color w:val="auto"/>
          <w:szCs w:val="21"/>
        </w:rPr>
        <w:t>竞标人及其竞标产品提供单位按《关于促进残疾人就业政府采购政策的通知》(</w:t>
      </w:r>
      <w:bookmarkStart w:id="92" w:name="sendNo"/>
      <w:r>
        <w:rPr>
          <w:rFonts w:hint="eastAsia" w:ascii="宋体" w:hAnsi="宋体" w:cs="宋体"/>
          <w:color w:val="auto"/>
          <w:szCs w:val="21"/>
        </w:rPr>
        <w:t>财库〔</w:t>
      </w:r>
      <w:bookmarkEnd w:id="92"/>
      <w:r>
        <w:rPr>
          <w:rFonts w:hint="eastAsia" w:ascii="宋体" w:hAnsi="宋体" w:cs="宋体"/>
          <w:color w:val="auto"/>
          <w:szCs w:val="21"/>
        </w:rPr>
        <w:t>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pacing w:line="420" w:lineRule="exact"/>
        <w:ind w:firstLine="420" w:firstLineChars="200"/>
        <w:rPr>
          <w:rFonts w:ascii="宋体" w:hAnsi="宋体" w:cs="宋体"/>
          <w:b/>
          <w:bCs/>
          <w:color w:val="auto"/>
          <w:szCs w:val="20"/>
        </w:rPr>
      </w:pPr>
      <w:r>
        <w:rPr>
          <w:rFonts w:hint="eastAsia" w:ascii="宋体" w:hAnsi="宋体" w:cs="宋体"/>
          <w:color w:val="auto"/>
          <w:szCs w:val="21"/>
        </w:rPr>
        <w:t>除上述情况外，评标报价=竞标价。</w:t>
      </w:r>
    </w:p>
    <w:p>
      <w:pPr>
        <w:spacing w:line="420" w:lineRule="exact"/>
        <w:rPr>
          <w:rFonts w:ascii="宋体" w:hAnsi="宋体" w:cs="宋体"/>
          <w:b/>
          <w:bCs/>
          <w:color w:val="auto"/>
          <w:szCs w:val="20"/>
        </w:rPr>
      </w:pPr>
      <w:r>
        <w:rPr>
          <w:rFonts w:hint="eastAsia" w:ascii="宋体" w:hAnsi="宋体" w:cs="宋体"/>
          <w:b/>
          <w:bCs/>
          <w:color w:val="auto"/>
          <w:szCs w:val="20"/>
        </w:rPr>
        <w:t>二、评定成交的标准：</w:t>
      </w:r>
    </w:p>
    <w:p>
      <w:pPr>
        <w:spacing w:line="420" w:lineRule="exact"/>
        <w:ind w:firstLine="411" w:firstLineChars="196"/>
        <w:rPr>
          <w:rFonts w:ascii="宋体" w:hAnsi="宋体" w:cs="宋体"/>
          <w:b/>
          <w:bCs/>
          <w:color w:val="auto"/>
          <w:szCs w:val="20"/>
        </w:rPr>
      </w:pPr>
      <w:r>
        <w:rPr>
          <w:rFonts w:hint="eastAsia" w:ascii="宋体" w:hAnsi="宋体" w:cs="宋体"/>
          <w:bCs/>
          <w:color w:val="auto"/>
        </w:rPr>
        <w:t>实质上响应采购条件书要求，评审认为具备履行合同能力，</w:t>
      </w:r>
      <w:r>
        <w:rPr>
          <w:rFonts w:hint="eastAsia" w:ascii="宋体" w:hAnsi="宋体" w:cs="宋体"/>
          <w:color w:val="auto"/>
        </w:rPr>
        <w:t>谈判小组从质量和服务均能满足采购文件实质性响应要求的供应商中，按照最后评标报价由低到高的顺</w:t>
      </w:r>
      <w:r>
        <w:rPr>
          <w:rFonts w:hint="eastAsia" w:ascii="宋体" w:hAnsi="宋体" w:cs="宋体"/>
          <w:bCs/>
          <w:color w:val="auto"/>
        </w:rPr>
        <w:t>序提出3名以上成</w:t>
      </w:r>
      <w:r>
        <w:rPr>
          <w:rFonts w:hint="eastAsia" w:ascii="宋体" w:hAnsi="宋体" w:cs="宋体"/>
          <w:color w:val="auto"/>
        </w:rPr>
        <w:t>交候选人（最后评标报价相同时，依次最后竞标报价低优先、关键技术指标高优先、质量保证期长优先、</w:t>
      </w:r>
      <w:r>
        <w:rPr>
          <w:rFonts w:hint="eastAsia" w:ascii="宋体" w:hAnsi="宋体" w:cs="宋体"/>
          <w:bCs/>
          <w:color w:val="auto"/>
        </w:rPr>
        <w:t>交货期</w:t>
      </w:r>
      <w:r>
        <w:rPr>
          <w:rFonts w:hint="eastAsia" w:ascii="宋体" w:hAnsi="宋体" w:cs="宋体"/>
          <w:color w:val="auto"/>
        </w:rPr>
        <w:t>短优先、故障处理时间短优先的顺序排列）。</w:t>
      </w:r>
    </w:p>
    <w:p>
      <w:pPr>
        <w:spacing w:line="420" w:lineRule="exact"/>
        <w:rPr>
          <w:rFonts w:ascii="宋体" w:hAnsi="宋体" w:cs="宋体"/>
          <w:b/>
          <w:bCs/>
          <w:color w:val="auto"/>
          <w:szCs w:val="20"/>
        </w:rPr>
      </w:pPr>
      <w:r>
        <w:rPr>
          <w:rFonts w:hint="eastAsia" w:ascii="宋体" w:hAnsi="宋体" w:cs="宋体"/>
          <w:b/>
          <w:bCs/>
          <w:color w:val="auto"/>
          <w:szCs w:val="20"/>
        </w:rPr>
        <w:t>三、确定成交供应商</w:t>
      </w:r>
    </w:p>
    <w:p>
      <w:pPr>
        <w:spacing w:line="420" w:lineRule="exact"/>
        <w:ind w:firstLine="420" w:firstLineChars="200"/>
        <w:rPr>
          <w:rFonts w:ascii="宋体" w:hAnsi="宋体" w:cs="宋体"/>
          <w:color w:val="auto"/>
          <w:szCs w:val="21"/>
        </w:rPr>
      </w:pPr>
      <w:r>
        <w:rPr>
          <w:rFonts w:hint="eastAsia" w:ascii="宋体" w:hAnsi="宋体" w:cs="宋体"/>
          <w:color w:val="auto"/>
          <w:shd w:val="clear" w:color="auto" w:fill="FFFFFF"/>
        </w:rPr>
        <w:t>采购人应当确定排名第一的成交候选人为成交人</w:t>
      </w:r>
      <w:r>
        <w:rPr>
          <w:rFonts w:hint="eastAsia" w:ascii="宋体" w:hAnsi="宋体" w:cs="宋体"/>
          <w:bCs/>
          <w:color w:val="auto"/>
        </w:rPr>
        <w:t>。</w:t>
      </w:r>
      <w:r>
        <w:rPr>
          <w:rFonts w:hint="eastAsia" w:ascii="宋体" w:hAnsi="宋体" w:cs="宋体"/>
          <w:color w:val="auto"/>
          <w:shd w:val="clear" w:color="auto" w:fill="FFFFFF"/>
        </w:rPr>
        <w:t>除非有法定事由，如排名第一的成交候选人放弃成交、因不可抗力不能履行合同、不按照谈判文件要求提交履约保证金，或者被查实存在影响成交结果的违法行为等情形，不符合成交条件的。该等情况下，采购人可以按照谈判小组提出的成交候选人名单排序依次确定其他成交候选人为成交人，也可以重新采购。</w:t>
      </w:r>
    </w:p>
    <w:p>
      <w:pPr>
        <w:spacing w:line="420" w:lineRule="exact"/>
        <w:rPr>
          <w:rFonts w:ascii="宋体" w:hAnsi="宋体" w:cs="宋体"/>
          <w:b/>
          <w:bCs/>
          <w:color w:val="auto"/>
          <w:szCs w:val="20"/>
        </w:rPr>
      </w:pPr>
      <w:r>
        <w:rPr>
          <w:rFonts w:hint="eastAsia" w:ascii="宋体" w:hAnsi="宋体" w:cs="宋体"/>
          <w:b/>
          <w:bCs/>
          <w:color w:val="auto"/>
          <w:szCs w:val="20"/>
        </w:rPr>
        <w:t>四、特别说明</w:t>
      </w:r>
    </w:p>
    <w:p>
      <w:pPr>
        <w:spacing w:line="500" w:lineRule="exact"/>
        <w:ind w:firstLine="420" w:firstLineChars="200"/>
        <w:rPr>
          <w:rFonts w:ascii="宋体" w:hAnsi="宋体" w:cs="宋体"/>
          <w:b/>
          <w:color w:val="auto"/>
          <w:szCs w:val="21"/>
        </w:rPr>
      </w:pPr>
      <w:r>
        <w:rPr>
          <w:rFonts w:hint="eastAsia" w:ascii="宋体" w:hAnsi="宋体" w:cs="宋体"/>
          <w:color w:val="auto"/>
        </w:rPr>
        <w:t>谈判小组认为竞标人的最后竞标报价明显低于其他通过符合性审查竞标人的最后竞标报价，有可能影响产品质量或者不能诚信履约的，应当要求其在评标现场合理的时间内提供书面说明，必要时提交相关证明材料；竞标人不能证明其最后竞标报价合理性的，谈判小组应当将其作为无效竞标处理。</w:t>
      </w:r>
    </w:p>
    <w:sectPr>
      <w:headerReference r:id="rId4" w:type="first"/>
      <w:headerReference r:id="rId3" w:type="default"/>
      <w:footerReference r:id="rId5" w:type="default"/>
      <w:footerReference r:id="rId6" w:type="even"/>
      <w:type w:val="continuous"/>
      <w:pgSz w:w="11906" w:h="16838"/>
      <w:pgMar w:top="1134" w:right="1077" w:bottom="1134" w:left="1134" w:header="680" w:footer="68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创艺简黑体">
    <w:altName w:val="Times New Roman"/>
    <w:panose1 w:val="00000000000000000000"/>
    <w:charset w:val="00"/>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62"/>
      <w:jc w:val="center"/>
      <w:rPr>
        <w:rStyle w:val="52"/>
        <w:sz w:val="21"/>
      </w:rPr>
    </w:pPr>
    <w:r>
      <w:rPr>
        <w:sz w:val="21"/>
      </w:rPr>
      <w:fldChar w:fldCharType="begin"/>
    </w:r>
    <w:r>
      <w:rPr>
        <w:rStyle w:val="52"/>
        <w:sz w:val="21"/>
      </w:rPr>
      <w:instrText xml:space="preserve">PAGE  </w:instrText>
    </w:r>
    <w:r>
      <w:rPr>
        <w:sz w:val="21"/>
      </w:rPr>
      <w:fldChar w:fldCharType="separate"/>
    </w:r>
    <w:r>
      <w:rPr>
        <w:rStyle w:val="52"/>
        <w:sz w:val="21"/>
      </w:rPr>
      <w:t>1</w:t>
    </w:r>
    <w:r>
      <w:rPr>
        <w:sz w:val="21"/>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ordWrap w:val="0"/>
      <w:jc w:val="right"/>
      <w:rPr>
        <w:rFonts w:hAnsi="宋体"/>
        <w:szCs w:val="18"/>
      </w:rPr>
    </w:pPr>
    <w:r>
      <w:rPr>
        <w:rFonts w:hint="eastAsia" w:hAnsi="宋体"/>
        <w:szCs w:val="18"/>
      </w:rPr>
      <w:t>防城港市中医医院康复设备采购（FCZC2020-J1-10008-KLZB）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5907"/>
    <w:multiLevelType w:val="multilevel"/>
    <w:tmpl w:val="40065907"/>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276593"/>
    <w:multiLevelType w:val="multilevel"/>
    <w:tmpl w:val="5D276593"/>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3"/>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7"/>
    <w:rsid w:val="000023A6"/>
    <w:rsid w:val="000025EF"/>
    <w:rsid w:val="00002A63"/>
    <w:rsid w:val="000049B3"/>
    <w:rsid w:val="00005591"/>
    <w:rsid w:val="00005B2B"/>
    <w:rsid w:val="00006667"/>
    <w:rsid w:val="000070E1"/>
    <w:rsid w:val="00007111"/>
    <w:rsid w:val="0000790C"/>
    <w:rsid w:val="00010168"/>
    <w:rsid w:val="000104C4"/>
    <w:rsid w:val="000104D1"/>
    <w:rsid w:val="00010791"/>
    <w:rsid w:val="00010844"/>
    <w:rsid w:val="00011118"/>
    <w:rsid w:val="000111A6"/>
    <w:rsid w:val="00011834"/>
    <w:rsid w:val="0001317F"/>
    <w:rsid w:val="000146C0"/>
    <w:rsid w:val="000151C2"/>
    <w:rsid w:val="0001577C"/>
    <w:rsid w:val="0001682E"/>
    <w:rsid w:val="00016DA3"/>
    <w:rsid w:val="00017DA0"/>
    <w:rsid w:val="0002006A"/>
    <w:rsid w:val="0002014F"/>
    <w:rsid w:val="00020439"/>
    <w:rsid w:val="0002085E"/>
    <w:rsid w:val="00020908"/>
    <w:rsid w:val="00020DE0"/>
    <w:rsid w:val="0002169E"/>
    <w:rsid w:val="00021FAC"/>
    <w:rsid w:val="000226A0"/>
    <w:rsid w:val="00022746"/>
    <w:rsid w:val="00022988"/>
    <w:rsid w:val="00023483"/>
    <w:rsid w:val="0002371F"/>
    <w:rsid w:val="00024A0F"/>
    <w:rsid w:val="00024C4B"/>
    <w:rsid w:val="000256C8"/>
    <w:rsid w:val="00027774"/>
    <w:rsid w:val="0002792A"/>
    <w:rsid w:val="000279F4"/>
    <w:rsid w:val="0003048E"/>
    <w:rsid w:val="00030D5B"/>
    <w:rsid w:val="00031253"/>
    <w:rsid w:val="000313E8"/>
    <w:rsid w:val="00031F0A"/>
    <w:rsid w:val="00031F5B"/>
    <w:rsid w:val="000324A3"/>
    <w:rsid w:val="00032850"/>
    <w:rsid w:val="00032867"/>
    <w:rsid w:val="000331F9"/>
    <w:rsid w:val="00033475"/>
    <w:rsid w:val="00033DC0"/>
    <w:rsid w:val="00034192"/>
    <w:rsid w:val="00034636"/>
    <w:rsid w:val="00034710"/>
    <w:rsid w:val="00035DB5"/>
    <w:rsid w:val="000361F8"/>
    <w:rsid w:val="000361FE"/>
    <w:rsid w:val="000363E8"/>
    <w:rsid w:val="0003651E"/>
    <w:rsid w:val="00036889"/>
    <w:rsid w:val="00036E7B"/>
    <w:rsid w:val="00037EBA"/>
    <w:rsid w:val="00040A92"/>
    <w:rsid w:val="00041101"/>
    <w:rsid w:val="00041106"/>
    <w:rsid w:val="0004130B"/>
    <w:rsid w:val="00042240"/>
    <w:rsid w:val="00042F12"/>
    <w:rsid w:val="00043613"/>
    <w:rsid w:val="000437FB"/>
    <w:rsid w:val="00043B23"/>
    <w:rsid w:val="00043EC2"/>
    <w:rsid w:val="00043F87"/>
    <w:rsid w:val="00043FD3"/>
    <w:rsid w:val="00044285"/>
    <w:rsid w:val="0004431F"/>
    <w:rsid w:val="000444DF"/>
    <w:rsid w:val="000446FE"/>
    <w:rsid w:val="00044CB2"/>
    <w:rsid w:val="000452C2"/>
    <w:rsid w:val="00045887"/>
    <w:rsid w:val="00045AC7"/>
    <w:rsid w:val="00045BDB"/>
    <w:rsid w:val="0004792F"/>
    <w:rsid w:val="000500FE"/>
    <w:rsid w:val="00050CE6"/>
    <w:rsid w:val="000511A6"/>
    <w:rsid w:val="000514ED"/>
    <w:rsid w:val="000516E8"/>
    <w:rsid w:val="00052234"/>
    <w:rsid w:val="00052A45"/>
    <w:rsid w:val="00052A65"/>
    <w:rsid w:val="000531B7"/>
    <w:rsid w:val="000531F4"/>
    <w:rsid w:val="000532D8"/>
    <w:rsid w:val="000535E0"/>
    <w:rsid w:val="00054846"/>
    <w:rsid w:val="00056992"/>
    <w:rsid w:val="000571A7"/>
    <w:rsid w:val="00057E76"/>
    <w:rsid w:val="00061176"/>
    <w:rsid w:val="0006124B"/>
    <w:rsid w:val="000621C2"/>
    <w:rsid w:val="00062412"/>
    <w:rsid w:val="0006299E"/>
    <w:rsid w:val="00062DAE"/>
    <w:rsid w:val="0006369E"/>
    <w:rsid w:val="00064D20"/>
    <w:rsid w:val="00065CC3"/>
    <w:rsid w:val="0006638A"/>
    <w:rsid w:val="000663B7"/>
    <w:rsid w:val="00066FCB"/>
    <w:rsid w:val="000672C7"/>
    <w:rsid w:val="000676E6"/>
    <w:rsid w:val="00067AD1"/>
    <w:rsid w:val="00067C70"/>
    <w:rsid w:val="00070552"/>
    <w:rsid w:val="00070594"/>
    <w:rsid w:val="0007062F"/>
    <w:rsid w:val="00071490"/>
    <w:rsid w:val="00071646"/>
    <w:rsid w:val="00071767"/>
    <w:rsid w:val="00071D48"/>
    <w:rsid w:val="00072247"/>
    <w:rsid w:val="0007354B"/>
    <w:rsid w:val="00074120"/>
    <w:rsid w:val="00075C2A"/>
    <w:rsid w:val="00075EAD"/>
    <w:rsid w:val="000766E1"/>
    <w:rsid w:val="00076BA0"/>
    <w:rsid w:val="00077C2A"/>
    <w:rsid w:val="00077F46"/>
    <w:rsid w:val="00080FFB"/>
    <w:rsid w:val="00081EFA"/>
    <w:rsid w:val="00081FCC"/>
    <w:rsid w:val="00082470"/>
    <w:rsid w:val="0008255D"/>
    <w:rsid w:val="000837C2"/>
    <w:rsid w:val="00083B6F"/>
    <w:rsid w:val="00084273"/>
    <w:rsid w:val="00084405"/>
    <w:rsid w:val="000844A3"/>
    <w:rsid w:val="00084864"/>
    <w:rsid w:val="00084982"/>
    <w:rsid w:val="00084B44"/>
    <w:rsid w:val="00084B75"/>
    <w:rsid w:val="00086465"/>
    <w:rsid w:val="000875D7"/>
    <w:rsid w:val="00087B0E"/>
    <w:rsid w:val="000903BD"/>
    <w:rsid w:val="0009073B"/>
    <w:rsid w:val="00091584"/>
    <w:rsid w:val="00093090"/>
    <w:rsid w:val="0009378F"/>
    <w:rsid w:val="00093A34"/>
    <w:rsid w:val="00093F1B"/>
    <w:rsid w:val="00094642"/>
    <w:rsid w:val="000949F5"/>
    <w:rsid w:val="0009528D"/>
    <w:rsid w:val="00095560"/>
    <w:rsid w:val="00096B5D"/>
    <w:rsid w:val="000A021D"/>
    <w:rsid w:val="000A0227"/>
    <w:rsid w:val="000A078B"/>
    <w:rsid w:val="000A094C"/>
    <w:rsid w:val="000A2692"/>
    <w:rsid w:val="000A28AD"/>
    <w:rsid w:val="000A29FA"/>
    <w:rsid w:val="000A32AD"/>
    <w:rsid w:val="000A46E1"/>
    <w:rsid w:val="000A5181"/>
    <w:rsid w:val="000A561F"/>
    <w:rsid w:val="000A580D"/>
    <w:rsid w:val="000A595C"/>
    <w:rsid w:val="000A6177"/>
    <w:rsid w:val="000A688D"/>
    <w:rsid w:val="000A75C1"/>
    <w:rsid w:val="000A7F96"/>
    <w:rsid w:val="000A7F9B"/>
    <w:rsid w:val="000B0359"/>
    <w:rsid w:val="000B0688"/>
    <w:rsid w:val="000B1119"/>
    <w:rsid w:val="000B2116"/>
    <w:rsid w:val="000B24AD"/>
    <w:rsid w:val="000B273E"/>
    <w:rsid w:val="000B2A8C"/>
    <w:rsid w:val="000B495A"/>
    <w:rsid w:val="000B4D77"/>
    <w:rsid w:val="000B6123"/>
    <w:rsid w:val="000B6861"/>
    <w:rsid w:val="000B6C91"/>
    <w:rsid w:val="000B6E2F"/>
    <w:rsid w:val="000B7CEC"/>
    <w:rsid w:val="000B7FD9"/>
    <w:rsid w:val="000C0AF7"/>
    <w:rsid w:val="000C0CE4"/>
    <w:rsid w:val="000C0D3A"/>
    <w:rsid w:val="000C172B"/>
    <w:rsid w:val="000C1806"/>
    <w:rsid w:val="000C1D3E"/>
    <w:rsid w:val="000C2178"/>
    <w:rsid w:val="000C3E70"/>
    <w:rsid w:val="000C4341"/>
    <w:rsid w:val="000C6041"/>
    <w:rsid w:val="000C6979"/>
    <w:rsid w:val="000C6A8C"/>
    <w:rsid w:val="000C6CFC"/>
    <w:rsid w:val="000C6DE0"/>
    <w:rsid w:val="000C7C76"/>
    <w:rsid w:val="000D1F80"/>
    <w:rsid w:val="000D2874"/>
    <w:rsid w:val="000D2A89"/>
    <w:rsid w:val="000D32F8"/>
    <w:rsid w:val="000D36CE"/>
    <w:rsid w:val="000D37A7"/>
    <w:rsid w:val="000D37DC"/>
    <w:rsid w:val="000D3C6A"/>
    <w:rsid w:val="000D3CA5"/>
    <w:rsid w:val="000D3FD5"/>
    <w:rsid w:val="000D4CD4"/>
    <w:rsid w:val="000D52B0"/>
    <w:rsid w:val="000D5689"/>
    <w:rsid w:val="000D56EE"/>
    <w:rsid w:val="000D6030"/>
    <w:rsid w:val="000D7001"/>
    <w:rsid w:val="000D72BD"/>
    <w:rsid w:val="000E00E9"/>
    <w:rsid w:val="000E0B8D"/>
    <w:rsid w:val="000E0E8A"/>
    <w:rsid w:val="000E1610"/>
    <w:rsid w:val="000E1DB0"/>
    <w:rsid w:val="000E2BA2"/>
    <w:rsid w:val="000E2C30"/>
    <w:rsid w:val="000E2C49"/>
    <w:rsid w:val="000E3102"/>
    <w:rsid w:val="000E45BF"/>
    <w:rsid w:val="000E4D46"/>
    <w:rsid w:val="000E5795"/>
    <w:rsid w:val="000E583D"/>
    <w:rsid w:val="000E59D3"/>
    <w:rsid w:val="000E66FB"/>
    <w:rsid w:val="000E720D"/>
    <w:rsid w:val="000E7546"/>
    <w:rsid w:val="000F014C"/>
    <w:rsid w:val="000F2392"/>
    <w:rsid w:val="000F32C5"/>
    <w:rsid w:val="000F37FC"/>
    <w:rsid w:val="000F42BF"/>
    <w:rsid w:val="000F4768"/>
    <w:rsid w:val="000F4A2B"/>
    <w:rsid w:val="000F4C95"/>
    <w:rsid w:val="000F4E4D"/>
    <w:rsid w:val="000F5561"/>
    <w:rsid w:val="000F5EBE"/>
    <w:rsid w:val="000F687A"/>
    <w:rsid w:val="000F68FF"/>
    <w:rsid w:val="000F6EC9"/>
    <w:rsid w:val="000F7860"/>
    <w:rsid w:val="000F7A90"/>
    <w:rsid w:val="000F7C74"/>
    <w:rsid w:val="00101931"/>
    <w:rsid w:val="00102550"/>
    <w:rsid w:val="0010284F"/>
    <w:rsid w:val="00102895"/>
    <w:rsid w:val="001028FC"/>
    <w:rsid w:val="00102990"/>
    <w:rsid w:val="00102CBD"/>
    <w:rsid w:val="00102D82"/>
    <w:rsid w:val="001030DD"/>
    <w:rsid w:val="0010310B"/>
    <w:rsid w:val="0010435F"/>
    <w:rsid w:val="001043D8"/>
    <w:rsid w:val="001050AE"/>
    <w:rsid w:val="0010593A"/>
    <w:rsid w:val="00107586"/>
    <w:rsid w:val="00110764"/>
    <w:rsid w:val="00110890"/>
    <w:rsid w:val="00110E98"/>
    <w:rsid w:val="0011197D"/>
    <w:rsid w:val="00112028"/>
    <w:rsid w:val="001126C9"/>
    <w:rsid w:val="00112BE0"/>
    <w:rsid w:val="001139AC"/>
    <w:rsid w:val="001144DF"/>
    <w:rsid w:val="0011482F"/>
    <w:rsid w:val="0011498B"/>
    <w:rsid w:val="00114B2E"/>
    <w:rsid w:val="00115115"/>
    <w:rsid w:val="001151AB"/>
    <w:rsid w:val="00116639"/>
    <w:rsid w:val="001169DC"/>
    <w:rsid w:val="00116F95"/>
    <w:rsid w:val="001172C1"/>
    <w:rsid w:val="0011767E"/>
    <w:rsid w:val="0011775A"/>
    <w:rsid w:val="00117CFF"/>
    <w:rsid w:val="0012022F"/>
    <w:rsid w:val="001207C6"/>
    <w:rsid w:val="00121365"/>
    <w:rsid w:val="00121515"/>
    <w:rsid w:val="001218BA"/>
    <w:rsid w:val="00121AC2"/>
    <w:rsid w:val="00122022"/>
    <w:rsid w:val="001222FD"/>
    <w:rsid w:val="0012236C"/>
    <w:rsid w:val="00122A48"/>
    <w:rsid w:val="00122BB0"/>
    <w:rsid w:val="00123272"/>
    <w:rsid w:val="00123F80"/>
    <w:rsid w:val="001249C3"/>
    <w:rsid w:val="00124EA4"/>
    <w:rsid w:val="00125357"/>
    <w:rsid w:val="001262D6"/>
    <w:rsid w:val="0012647A"/>
    <w:rsid w:val="001264D9"/>
    <w:rsid w:val="0012651B"/>
    <w:rsid w:val="001268AA"/>
    <w:rsid w:val="00126BAD"/>
    <w:rsid w:val="00126C4C"/>
    <w:rsid w:val="00126E60"/>
    <w:rsid w:val="00126F0D"/>
    <w:rsid w:val="00126F59"/>
    <w:rsid w:val="00127A1F"/>
    <w:rsid w:val="0013017D"/>
    <w:rsid w:val="0013047D"/>
    <w:rsid w:val="00130D07"/>
    <w:rsid w:val="0013288C"/>
    <w:rsid w:val="00132E97"/>
    <w:rsid w:val="001333AB"/>
    <w:rsid w:val="00133BBF"/>
    <w:rsid w:val="00133C6C"/>
    <w:rsid w:val="00135338"/>
    <w:rsid w:val="0013694D"/>
    <w:rsid w:val="00136F62"/>
    <w:rsid w:val="00137642"/>
    <w:rsid w:val="00140349"/>
    <w:rsid w:val="0014236C"/>
    <w:rsid w:val="00143229"/>
    <w:rsid w:val="00143D6C"/>
    <w:rsid w:val="00143E73"/>
    <w:rsid w:val="001447C0"/>
    <w:rsid w:val="00144EE2"/>
    <w:rsid w:val="00145521"/>
    <w:rsid w:val="00145C81"/>
    <w:rsid w:val="0014702F"/>
    <w:rsid w:val="001473EE"/>
    <w:rsid w:val="00147800"/>
    <w:rsid w:val="001478A1"/>
    <w:rsid w:val="00147E5C"/>
    <w:rsid w:val="0015095D"/>
    <w:rsid w:val="00150BA0"/>
    <w:rsid w:val="00150F9D"/>
    <w:rsid w:val="001511CA"/>
    <w:rsid w:val="00151F78"/>
    <w:rsid w:val="0015203C"/>
    <w:rsid w:val="00153A87"/>
    <w:rsid w:val="00153CA1"/>
    <w:rsid w:val="00154440"/>
    <w:rsid w:val="00155025"/>
    <w:rsid w:val="00155515"/>
    <w:rsid w:val="00156033"/>
    <w:rsid w:val="00156589"/>
    <w:rsid w:val="001569A0"/>
    <w:rsid w:val="00156E02"/>
    <w:rsid w:val="00157387"/>
    <w:rsid w:val="001573EF"/>
    <w:rsid w:val="00157C23"/>
    <w:rsid w:val="00157D48"/>
    <w:rsid w:val="00160AC9"/>
    <w:rsid w:val="00160B59"/>
    <w:rsid w:val="00160E2D"/>
    <w:rsid w:val="00161E28"/>
    <w:rsid w:val="001631FE"/>
    <w:rsid w:val="00163594"/>
    <w:rsid w:val="00163C58"/>
    <w:rsid w:val="00163F82"/>
    <w:rsid w:val="00164A40"/>
    <w:rsid w:val="00164B90"/>
    <w:rsid w:val="0016552B"/>
    <w:rsid w:val="00165A24"/>
    <w:rsid w:val="00166278"/>
    <w:rsid w:val="00166B67"/>
    <w:rsid w:val="00167674"/>
    <w:rsid w:val="00170B82"/>
    <w:rsid w:val="00170D9C"/>
    <w:rsid w:val="00171892"/>
    <w:rsid w:val="001718E6"/>
    <w:rsid w:val="00172860"/>
    <w:rsid w:val="00172A27"/>
    <w:rsid w:val="00172B69"/>
    <w:rsid w:val="00175040"/>
    <w:rsid w:val="0017528F"/>
    <w:rsid w:val="00175BE5"/>
    <w:rsid w:val="00176988"/>
    <w:rsid w:val="00176D33"/>
    <w:rsid w:val="00177682"/>
    <w:rsid w:val="00177B0F"/>
    <w:rsid w:val="00177EB8"/>
    <w:rsid w:val="001803AC"/>
    <w:rsid w:val="001819D8"/>
    <w:rsid w:val="00181BD3"/>
    <w:rsid w:val="00182B09"/>
    <w:rsid w:val="001832D3"/>
    <w:rsid w:val="001834E9"/>
    <w:rsid w:val="0018466D"/>
    <w:rsid w:val="00184AB3"/>
    <w:rsid w:val="00184CB8"/>
    <w:rsid w:val="00185CC3"/>
    <w:rsid w:val="001862C7"/>
    <w:rsid w:val="001869BE"/>
    <w:rsid w:val="00186C6F"/>
    <w:rsid w:val="00187420"/>
    <w:rsid w:val="0019163E"/>
    <w:rsid w:val="00191EBD"/>
    <w:rsid w:val="0019203E"/>
    <w:rsid w:val="001921A4"/>
    <w:rsid w:val="00193B88"/>
    <w:rsid w:val="00194A8E"/>
    <w:rsid w:val="00194CEB"/>
    <w:rsid w:val="0019604C"/>
    <w:rsid w:val="001962B2"/>
    <w:rsid w:val="001968AF"/>
    <w:rsid w:val="00196A3A"/>
    <w:rsid w:val="00196B72"/>
    <w:rsid w:val="00196C55"/>
    <w:rsid w:val="00196C9E"/>
    <w:rsid w:val="00196D9F"/>
    <w:rsid w:val="00196F54"/>
    <w:rsid w:val="001971E0"/>
    <w:rsid w:val="001972E4"/>
    <w:rsid w:val="001975AC"/>
    <w:rsid w:val="00197644"/>
    <w:rsid w:val="00197E65"/>
    <w:rsid w:val="001A032B"/>
    <w:rsid w:val="001A09EE"/>
    <w:rsid w:val="001A0B4A"/>
    <w:rsid w:val="001A1073"/>
    <w:rsid w:val="001A1391"/>
    <w:rsid w:val="001A13AB"/>
    <w:rsid w:val="001A20BB"/>
    <w:rsid w:val="001A2CF8"/>
    <w:rsid w:val="001A47D3"/>
    <w:rsid w:val="001A5522"/>
    <w:rsid w:val="001A5567"/>
    <w:rsid w:val="001A59ED"/>
    <w:rsid w:val="001A5C9A"/>
    <w:rsid w:val="001A60CA"/>
    <w:rsid w:val="001A6D62"/>
    <w:rsid w:val="001A7019"/>
    <w:rsid w:val="001A7350"/>
    <w:rsid w:val="001B000E"/>
    <w:rsid w:val="001B0934"/>
    <w:rsid w:val="001B110C"/>
    <w:rsid w:val="001B14D7"/>
    <w:rsid w:val="001B1E78"/>
    <w:rsid w:val="001B54B7"/>
    <w:rsid w:val="001B585A"/>
    <w:rsid w:val="001B60BB"/>
    <w:rsid w:val="001B7CA3"/>
    <w:rsid w:val="001C0096"/>
    <w:rsid w:val="001C0532"/>
    <w:rsid w:val="001C08A6"/>
    <w:rsid w:val="001C0938"/>
    <w:rsid w:val="001C0B26"/>
    <w:rsid w:val="001C1868"/>
    <w:rsid w:val="001C1B15"/>
    <w:rsid w:val="001C1BFA"/>
    <w:rsid w:val="001C21F0"/>
    <w:rsid w:val="001C2DBE"/>
    <w:rsid w:val="001C31CA"/>
    <w:rsid w:val="001C35BC"/>
    <w:rsid w:val="001C3B74"/>
    <w:rsid w:val="001C4251"/>
    <w:rsid w:val="001C4AB0"/>
    <w:rsid w:val="001C52FF"/>
    <w:rsid w:val="001C53C8"/>
    <w:rsid w:val="001C5930"/>
    <w:rsid w:val="001C6635"/>
    <w:rsid w:val="001C7240"/>
    <w:rsid w:val="001C73A8"/>
    <w:rsid w:val="001C7894"/>
    <w:rsid w:val="001D06F6"/>
    <w:rsid w:val="001D0D13"/>
    <w:rsid w:val="001D183E"/>
    <w:rsid w:val="001D1BF8"/>
    <w:rsid w:val="001D2370"/>
    <w:rsid w:val="001D2AD7"/>
    <w:rsid w:val="001D3387"/>
    <w:rsid w:val="001D3DC9"/>
    <w:rsid w:val="001D3F44"/>
    <w:rsid w:val="001D440F"/>
    <w:rsid w:val="001D4643"/>
    <w:rsid w:val="001D49EA"/>
    <w:rsid w:val="001D4C31"/>
    <w:rsid w:val="001D4C81"/>
    <w:rsid w:val="001D4F32"/>
    <w:rsid w:val="001D5A04"/>
    <w:rsid w:val="001D5B2E"/>
    <w:rsid w:val="001D7302"/>
    <w:rsid w:val="001D73C7"/>
    <w:rsid w:val="001D79B6"/>
    <w:rsid w:val="001E0811"/>
    <w:rsid w:val="001E195A"/>
    <w:rsid w:val="001E2C4A"/>
    <w:rsid w:val="001E3426"/>
    <w:rsid w:val="001E3A25"/>
    <w:rsid w:val="001E3E63"/>
    <w:rsid w:val="001E3ED2"/>
    <w:rsid w:val="001E4089"/>
    <w:rsid w:val="001E6003"/>
    <w:rsid w:val="001E6ADB"/>
    <w:rsid w:val="001E6CE4"/>
    <w:rsid w:val="001E6ED3"/>
    <w:rsid w:val="001F14A7"/>
    <w:rsid w:val="001F1909"/>
    <w:rsid w:val="001F1D4D"/>
    <w:rsid w:val="001F26D8"/>
    <w:rsid w:val="001F3797"/>
    <w:rsid w:val="001F3859"/>
    <w:rsid w:val="001F3E68"/>
    <w:rsid w:val="001F430E"/>
    <w:rsid w:val="001F4643"/>
    <w:rsid w:val="001F46DF"/>
    <w:rsid w:val="001F4E67"/>
    <w:rsid w:val="001F56C9"/>
    <w:rsid w:val="001F5CFA"/>
    <w:rsid w:val="001F5E7D"/>
    <w:rsid w:val="001F60E1"/>
    <w:rsid w:val="001F65B7"/>
    <w:rsid w:val="002011D5"/>
    <w:rsid w:val="002032C8"/>
    <w:rsid w:val="0020362F"/>
    <w:rsid w:val="002037B3"/>
    <w:rsid w:val="00203C37"/>
    <w:rsid w:val="00204E27"/>
    <w:rsid w:val="00204E4E"/>
    <w:rsid w:val="002058BC"/>
    <w:rsid w:val="00206233"/>
    <w:rsid w:val="0020642F"/>
    <w:rsid w:val="002073B1"/>
    <w:rsid w:val="00210A7A"/>
    <w:rsid w:val="002122A8"/>
    <w:rsid w:val="00212422"/>
    <w:rsid w:val="00212C94"/>
    <w:rsid w:val="0021424D"/>
    <w:rsid w:val="002142F0"/>
    <w:rsid w:val="0021438B"/>
    <w:rsid w:val="00215685"/>
    <w:rsid w:val="00215B16"/>
    <w:rsid w:val="0021634B"/>
    <w:rsid w:val="00216B4C"/>
    <w:rsid w:val="00216F6F"/>
    <w:rsid w:val="00217266"/>
    <w:rsid w:val="00217691"/>
    <w:rsid w:val="002178CE"/>
    <w:rsid w:val="00220404"/>
    <w:rsid w:val="0022041F"/>
    <w:rsid w:val="002211FE"/>
    <w:rsid w:val="00221273"/>
    <w:rsid w:val="002224D8"/>
    <w:rsid w:val="002225C2"/>
    <w:rsid w:val="00222BB0"/>
    <w:rsid w:val="00222DC3"/>
    <w:rsid w:val="00222F04"/>
    <w:rsid w:val="00223681"/>
    <w:rsid w:val="002239D9"/>
    <w:rsid w:val="002246E4"/>
    <w:rsid w:val="00224E72"/>
    <w:rsid w:val="002254BF"/>
    <w:rsid w:val="00226614"/>
    <w:rsid w:val="0022702F"/>
    <w:rsid w:val="00232081"/>
    <w:rsid w:val="002321DE"/>
    <w:rsid w:val="0023356C"/>
    <w:rsid w:val="00233AD9"/>
    <w:rsid w:val="00233B9A"/>
    <w:rsid w:val="00234682"/>
    <w:rsid w:val="0023558C"/>
    <w:rsid w:val="002364F5"/>
    <w:rsid w:val="00237732"/>
    <w:rsid w:val="00240211"/>
    <w:rsid w:val="00240AE6"/>
    <w:rsid w:val="00241AAC"/>
    <w:rsid w:val="00241E34"/>
    <w:rsid w:val="002425E2"/>
    <w:rsid w:val="00243685"/>
    <w:rsid w:val="002444DA"/>
    <w:rsid w:val="00244E17"/>
    <w:rsid w:val="00246A24"/>
    <w:rsid w:val="00247042"/>
    <w:rsid w:val="002476F4"/>
    <w:rsid w:val="002477C2"/>
    <w:rsid w:val="00247BA1"/>
    <w:rsid w:val="002501FB"/>
    <w:rsid w:val="0025132E"/>
    <w:rsid w:val="0025190A"/>
    <w:rsid w:val="00251938"/>
    <w:rsid w:val="00252430"/>
    <w:rsid w:val="00252742"/>
    <w:rsid w:val="00252750"/>
    <w:rsid w:val="0025278A"/>
    <w:rsid w:val="00252A7A"/>
    <w:rsid w:val="00252AF8"/>
    <w:rsid w:val="00252DBF"/>
    <w:rsid w:val="00253A4E"/>
    <w:rsid w:val="00254B3B"/>
    <w:rsid w:val="00254DA6"/>
    <w:rsid w:val="00254F21"/>
    <w:rsid w:val="00254FA3"/>
    <w:rsid w:val="00255133"/>
    <w:rsid w:val="002555CD"/>
    <w:rsid w:val="00256051"/>
    <w:rsid w:val="0025658D"/>
    <w:rsid w:val="00260810"/>
    <w:rsid w:val="00260913"/>
    <w:rsid w:val="002614AA"/>
    <w:rsid w:val="00261C8E"/>
    <w:rsid w:val="0026210F"/>
    <w:rsid w:val="00262164"/>
    <w:rsid w:val="00263957"/>
    <w:rsid w:val="00264B99"/>
    <w:rsid w:val="0026588D"/>
    <w:rsid w:val="00266818"/>
    <w:rsid w:val="002672F6"/>
    <w:rsid w:val="002705F6"/>
    <w:rsid w:val="00270C05"/>
    <w:rsid w:val="0027107D"/>
    <w:rsid w:val="0027162D"/>
    <w:rsid w:val="00271AD5"/>
    <w:rsid w:val="002725AD"/>
    <w:rsid w:val="00272BBC"/>
    <w:rsid w:val="00273216"/>
    <w:rsid w:val="00274B53"/>
    <w:rsid w:val="00275479"/>
    <w:rsid w:val="00275725"/>
    <w:rsid w:val="00276350"/>
    <w:rsid w:val="0027667E"/>
    <w:rsid w:val="00276E16"/>
    <w:rsid w:val="00276F88"/>
    <w:rsid w:val="00277141"/>
    <w:rsid w:val="00277E3F"/>
    <w:rsid w:val="00280262"/>
    <w:rsid w:val="002814FD"/>
    <w:rsid w:val="002821A1"/>
    <w:rsid w:val="002831AC"/>
    <w:rsid w:val="00283B33"/>
    <w:rsid w:val="002841B1"/>
    <w:rsid w:val="0028435A"/>
    <w:rsid w:val="002844FC"/>
    <w:rsid w:val="0028450F"/>
    <w:rsid w:val="00285C7D"/>
    <w:rsid w:val="00287B90"/>
    <w:rsid w:val="00287BCB"/>
    <w:rsid w:val="00287F29"/>
    <w:rsid w:val="00287F76"/>
    <w:rsid w:val="00290920"/>
    <w:rsid w:val="00290D04"/>
    <w:rsid w:val="002914AF"/>
    <w:rsid w:val="002915EC"/>
    <w:rsid w:val="0029262E"/>
    <w:rsid w:val="00292B75"/>
    <w:rsid w:val="002944BD"/>
    <w:rsid w:val="00294663"/>
    <w:rsid w:val="0029475C"/>
    <w:rsid w:val="0029539C"/>
    <w:rsid w:val="0029632B"/>
    <w:rsid w:val="00296CCE"/>
    <w:rsid w:val="00297585"/>
    <w:rsid w:val="00297973"/>
    <w:rsid w:val="00297AAF"/>
    <w:rsid w:val="002A0021"/>
    <w:rsid w:val="002A1218"/>
    <w:rsid w:val="002A122D"/>
    <w:rsid w:val="002A165F"/>
    <w:rsid w:val="002A244D"/>
    <w:rsid w:val="002A3005"/>
    <w:rsid w:val="002A388C"/>
    <w:rsid w:val="002A4369"/>
    <w:rsid w:val="002A4459"/>
    <w:rsid w:val="002A449A"/>
    <w:rsid w:val="002A48B7"/>
    <w:rsid w:val="002A4BBD"/>
    <w:rsid w:val="002A4DEB"/>
    <w:rsid w:val="002A526D"/>
    <w:rsid w:val="002A5293"/>
    <w:rsid w:val="002A5F39"/>
    <w:rsid w:val="002A6544"/>
    <w:rsid w:val="002A66B9"/>
    <w:rsid w:val="002A66DB"/>
    <w:rsid w:val="002A7484"/>
    <w:rsid w:val="002A7FFD"/>
    <w:rsid w:val="002B0639"/>
    <w:rsid w:val="002B0CAF"/>
    <w:rsid w:val="002B127E"/>
    <w:rsid w:val="002B12DA"/>
    <w:rsid w:val="002B197D"/>
    <w:rsid w:val="002B23D7"/>
    <w:rsid w:val="002B2445"/>
    <w:rsid w:val="002B2539"/>
    <w:rsid w:val="002B2E09"/>
    <w:rsid w:val="002B2E48"/>
    <w:rsid w:val="002B3872"/>
    <w:rsid w:val="002B4D1B"/>
    <w:rsid w:val="002B5017"/>
    <w:rsid w:val="002B61DE"/>
    <w:rsid w:val="002B6342"/>
    <w:rsid w:val="002B691D"/>
    <w:rsid w:val="002B6ABE"/>
    <w:rsid w:val="002B7321"/>
    <w:rsid w:val="002B738B"/>
    <w:rsid w:val="002B7981"/>
    <w:rsid w:val="002B7A9C"/>
    <w:rsid w:val="002C00A7"/>
    <w:rsid w:val="002C0840"/>
    <w:rsid w:val="002C0E57"/>
    <w:rsid w:val="002C254C"/>
    <w:rsid w:val="002C2BFA"/>
    <w:rsid w:val="002C2D2E"/>
    <w:rsid w:val="002C3018"/>
    <w:rsid w:val="002C3078"/>
    <w:rsid w:val="002C396F"/>
    <w:rsid w:val="002C46EB"/>
    <w:rsid w:val="002C5D5D"/>
    <w:rsid w:val="002C64C4"/>
    <w:rsid w:val="002C6EF1"/>
    <w:rsid w:val="002C71A6"/>
    <w:rsid w:val="002C71B6"/>
    <w:rsid w:val="002C743E"/>
    <w:rsid w:val="002C7F06"/>
    <w:rsid w:val="002C7F34"/>
    <w:rsid w:val="002D0507"/>
    <w:rsid w:val="002D0A4C"/>
    <w:rsid w:val="002D0BD6"/>
    <w:rsid w:val="002D0F94"/>
    <w:rsid w:val="002D1214"/>
    <w:rsid w:val="002D1BDF"/>
    <w:rsid w:val="002D24E4"/>
    <w:rsid w:val="002D27EF"/>
    <w:rsid w:val="002D2ECA"/>
    <w:rsid w:val="002D4801"/>
    <w:rsid w:val="002D4BB5"/>
    <w:rsid w:val="002D4ECF"/>
    <w:rsid w:val="002D543A"/>
    <w:rsid w:val="002D5FE3"/>
    <w:rsid w:val="002D6291"/>
    <w:rsid w:val="002D6525"/>
    <w:rsid w:val="002D6AE2"/>
    <w:rsid w:val="002D7B6B"/>
    <w:rsid w:val="002D7C30"/>
    <w:rsid w:val="002E0F11"/>
    <w:rsid w:val="002E2045"/>
    <w:rsid w:val="002E205F"/>
    <w:rsid w:val="002E239E"/>
    <w:rsid w:val="002E32CA"/>
    <w:rsid w:val="002E3B12"/>
    <w:rsid w:val="002E454E"/>
    <w:rsid w:val="002E4BF1"/>
    <w:rsid w:val="002E7245"/>
    <w:rsid w:val="002E7304"/>
    <w:rsid w:val="002E7E64"/>
    <w:rsid w:val="002F007E"/>
    <w:rsid w:val="002F0528"/>
    <w:rsid w:val="002F0C8B"/>
    <w:rsid w:val="002F0E43"/>
    <w:rsid w:val="002F0F70"/>
    <w:rsid w:val="002F20CD"/>
    <w:rsid w:val="002F20DE"/>
    <w:rsid w:val="002F352C"/>
    <w:rsid w:val="002F35C3"/>
    <w:rsid w:val="002F3F84"/>
    <w:rsid w:val="002F44C6"/>
    <w:rsid w:val="002F4977"/>
    <w:rsid w:val="002F4BD6"/>
    <w:rsid w:val="002F4E86"/>
    <w:rsid w:val="002F5035"/>
    <w:rsid w:val="002F5B23"/>
    <w:rsid w:val="002F6E7E"/>
    <w:rsid w:val="002F73CC"/>
    <w:rsid w:val="00300266"/>
    <w:rsid w:val="0030042A"/>
    <w:rsid w:val="003006F9"/>
    <w:rsid w:val="00301D59"/>
    <w:rsid w:val="00301D60"/>
    <w:rsid w:val="00302010"/>
    <w:rsid w:val="00302540"/>
    <w:rsid w:val="00302658"/>
    <w:rsid w:val="00302A86"/>
    <w:rsid w:val="00302B18"/>
    <w:rsid w:val="00302D96"/>
    <w:rsid w:val="00304E2C"/>
    <w:rsid w:val="00304EC1"/>
    <w:rsid w:val="0030566F"/>
    <w:rsid w:val="00306D4C"/>
    <w:rsid w:val="00310FF2"/>
    <w:rsid w:val="0031165F"/>
    <w:rsid w:val="00311894"/>
    <w:rsid w:val="0031200D"/>
    <w:rsid w:val="0031243C"/>
    <w:rsid w:val="00313BF7"/>
    <w:rsid w:val="003146A3"/>
    <w:rsid w:val="0031497A"/>
    <w:rsid w:val="00314D6E"/>
    <w:rsid w:val="003159C4"/>
    <w:rsid w:val="00315C9F"/>
    <w:rsid w:val="00316FEA"/>
    <w:rsid w:val="003172D5"/>
    <w:rsid w:val="00320DF6"/>
    <w:rsid w:val="003211ED"/>
    <w:rsid w:val="0032121C"/>
    <w:rsid w:val="003226F3"/>
    <w:rsid w:val="00323AF1"/>
    <w:rsid w:val="0032446E"/>
    <w:rsid w:val="003244E9"/>
    <w:rsid w:val="003247AE"/>
    <w:rsid w:val="00324CBE"/>
    <w:rsid w:val="00324D26"/>
    <w:rsid w:val="00324F00"/>
    <w:rsid w:val="0032556D"/>
    <w:rsid w:val="00325A2D"/>
    <w:rsid w:val="00325CC5"/>
    <w:rsid w:val="003262F7"/>
    <w:rsid w:val="0032679B"/>
    <w:rsid w:val="0033064A"/>
    <w:rsid w:val="00330DA8"/>
    <w:rsid w:val="00331484"/>
    <w:rsid w:val="00331501"/>
    <w:rsid w:val="00331598"/>
    <w:rsid w:val="00332656"/>
    <w:rsid w:val="00333741"/>
    <w:rsid w:val="00334BF5"/>
    <w:rsid w:val="00334F66"/>
    <w:rsid w:val="00334F98"/>
    <w:rsid w:val="003353A4"/>
    <w:rsid w:val="00336441"/>
    <w:rsid w:val="00336A4A"/>
    <w:rsid w:val="003378D8"/>
    <w:rsid w:val="00337A5F"/>
    <w:rsid w:val="00340643"/>
    <w:rsid w:val="00341823"/>
    <w:rsid w:val="00341DC7"/>
    <w:rsid w:val="003421CF"/>
    <w:rsid w:val="003425F7"/>
    <w:rsid w:val="00342702"/>
    <w:rsid w:val="00342E00"/>
    <w:rsid w:val="00343274"/>
    <w:rsid w:val="00343AB7"/>
    <w:rsid w:val="00344340"/>
    <w:rsid w:val="0034446E"/>
    <w:rsid w:val="003452E9"/>
    <w:rsid w:val="00345A08"/>
    <w:rsid w:val="00345ECA"/>
    <w:rsid w:val="00346D73"/>
    <w:rsid w:val="0035089D"/>
    <w:rsid w:val="0035198C"/>
    <w:rsid w:val="00351A1B"/>
    <w:rsid w:val="003522D6"/>
    <w:rsid w:val="00352614"/>
    <w:rsid w:val="003531E0"/>
    <w:rsid w:val="0035435C"/>
    <w:rsid w:val="00354943"/>
    <w:rsid w:val="00355D75"/>
    <w:rsid w:val="003567A4"/>
    <w:rsid w:val="003569A4"/>
    <w:rsid w:val="00356CC9"/>
    <w:rsid w:val="00357BAB"/>
    <w:rsid w:val="003602BB"/>
    <w:rsid w:val="003604AE"/>
    <w:rsid w:val="0036111E"/>
    <w:rsid w:val="003617C4"/>
    <w:rsid w:val="00362093"/>
    <w:rsid w:val="00362998"/>
    <w:rsid w:val="0036318E"/>
    <w:rsid w:val="0036376C"/>
    <w:rsid w:val="003639F0"/>
    <w:rsid w:val="0036480E"/>
    <w:rsid w:val="0036486B"/>
    <w:rsid w:val="00365432"/>
    <w:rsid w:val="00365E2D"/>
    <w:rsid w:val="00367D03"/>
    <w:rsid w:val="00370229"/>
    <w:rsid w:val="00370233"/>
    <w:rsid w:val="00370B32"/>
    <w:rsid w:val="00370D53"/>
    <w:rsid w:val="003715A0"/>
    <w:rsid w:val="00371814"/>
    <w:rsid w:val="0037192E"/>
    <w:rsid w:val="00371D38"/>
    <w:rsid w:val="00372CE5"/>
    <w:rsid w:val="0037361A"/>
    <w:rsid w:val="00373699"/>
    <w:rsid w:val="00374F75"/>
    <w:rsid w:val="003759AA"/>
    <w:rsid w:val="00375DE9"/>
    <w:rsid w:val="00376C83"/>
    <w:rsid w:val="00376C9A"/>
    <w:rsid w:val="00377552"/>
    <w:rsid w:val="00377823"/>
    <w:rsid w:val="0038015E"/>
    <w:rsid w:val="00380BA3"/>
    <w:rsid w:val="00380F2F"/>
    <w:rsid w:val="0038113E"/>
    <w:rsid w:val="003816A8"/>
    <w:rsid w:val="00381BDD"/>
    <w:rsid w:val="00382084"/>
    <w:rsid w:val="003827F3"/>
    <w:rsid w:val="00382B40"/>
    <w:rsid w:val="00382EF6"/>
    <w:rsid w:val="00382F41"/>
    <w:rsid w:val="00383A85"/>
    <w:rsid w:val="00384187"/>
    <w:rsid w:val="0038426F"/>
    <w:rsid w:val="003842F5"/>
    <w:rsid w:val="003846D0"/>
    <w:rsid w:val="00384AA0"/>
    <w:rsid w:val="00385445"/>
    <w:rsid w:val="00386471"/>
    <w:rsid w:val="00386B40"/>
    <w:rsid w:val="00387056"/>
    <w:rsid w:val="0038738B"/>
    <w:rsid w:val="00387B3C"/>
    <w:rsid w:val="00387CBF"/>
    <w:rsid w:val="00387CC2"/>
    <w:rsid w:val="00390496"/>
    <w:rsid w:val="00390EF7"/>
    <w:rsid w:val="003911F4"/>
    <w:rsid w:val="0039125B"/>
    <w:rsid w:val="003919A8"/>
    <w:rsid w:val="00392108"/>
    <w:rsid w:val="003926C5"/>
    <w:rsid w:val="0039392E"/>
    <w:rsid w:val="003939F0"/>
    <w:rsid w:val="00393D4E"/>
    <w:rsid w:val="00393E36"/>
    <w:rsid w:val="003948C9"/>
    <w:rsid w:val="00394B17"/>
    <w:rsid w:val="00394CA9"/>
    <w:rsid w:val="0039559F"/>
    <w:rsid w:val="00395C14"/>
    <w:rsid w:val="00395FD4"/>
    <w:rsid w:val="0039695D"/>
    <w:rsid w:val="00396E00"/>
    <w:rsid w:val="003972F5"/>
    <w:rsid w:val="003977BF"/>
    <w:rsid w:val="00397888"/>
    <w:rsid w:val="00397C8F"/>
    <w:rsid w:val="00397DC9"/>
    <w:rsid w:val="003A03B7"/>
    <w:rsid w:val="003A0CBD"/>
    <w:rsid w:val="003A1683"/>
    <w:rsid w:val="003A21F4"/>
    <w:rsid w:val="003A33D0"/>
    <w:rsid w:val="003A3F62"/>
    <w:rsid w:val="003A553B"/>
    <w:rsid w:val="003A6848"/>
    <w:rsid w:val="003A7011"/>
    <w:rsid w:val="003B0685"/>
    <w:rsid w:val="003B0A60"/>
    <w:rsid w:val="003B0AD3"/>
    <w:rsid w:val="003B12A7"/>
    <w:rsid w:val="003B14B2"/>
    <w:rsid w:val="003B18D7"/>
    <w:rsid w:val="003B18EA"/>
    <w:rsid w:val="003B2315"/>
    <w:rsid w:val="003B3B5C"/>
    <w:rsid w:val="003B4325"/>
    <w:rsid w:val="003B4C74"/>
    <w:rsid w:val="003B50AA"/>
    <w:rsid w:val="003B5C87"/>
    <w:rsid w:val="003B653D"/>
    <w:rsid w:val="003B6D12"/>
    <w:rsid w:val="003B6F0D"/>
    <w:rsid w:val="003B6F10"/>
    <w:rsid w:val="003C027C"/>
    <w:rsid w:val="003C0E4B"/>
    <w:rsid w:val="003C1AD5"/>
    <w:rsid w:val="003C1B20"/>
    <w:rsid w:val="003C1E18"/>
    <w:rsid w:val="003C2503"/>
    <w:rsid w:val="003C25B8"/>
    <w:rsid w:val="003C2688"/>
    <w:rsid w:val="003C2E37"/>
    <w:rsid w:val="003C2F07"/>
    <w:rsid w:val="003C35A7"/>
    <w:rsid w:val="003C3B23"/>
    <w:rsid w:val="003C401D"/>
    <w:rsid w:val="003C4425"/>
    <w:rsid w:val="003C4E66"/>
    <w:rsid w:val="003C5C88"/>
    <w:rsid w:val="003C64AF"/>
    <w:rsid w:val="003C6D29"/>
    <w:rsid w:val="003D028F"/>
    <w:rsid w:val="003D0703"/>
    <w:rsid w:val="003D0AE9"/>
    <w:rsid w:val="003D0EE5"/>
    <w:rsid w:val="003D10A8"/>
    <w:rsid w:val="003D1447"/>
    <w:rsid w:val="003D22B4"/>
    <w:rsid w:val="003D23E0"/>
    <w:rsid w:val="003D2548"/>
    <w:rsid w:val="003D27D0"/>
    <w:rsid w:val="003D2F6A"/>
    <w:rsid w:val="003D30CD"/>
    <w:rsid w:val="003D3674"/>
    <w:rsid w:val="003D3D87"/>
    <w:rsid w:val="003D4F6A"/>
    <w:rsid w:val="003D5163"/>
    <w:rsid w:val="003D5616"/>
    <w:rsid w:val="003D5AB0"/>
    <w:rsid w:val="003D5D92"/>
    <w:rsid w:val="003D625A"/>
    <w:rsid w:val="003D6452"/>
    <w:rsid w:val="003D6BE6"/>
    <w:rsid w:val="003D7321"/>
    <w:rsid w:val="003D7743"/>
    <w:rsid w:val="003D7843"/>
    <w:rsid w:val="003D794D"/>
    <w:rsid w:val="003D7D7B"/>
    <w:rsid w:val="003D7D9C"/>
    <w:rsid w:val="003E00F0"/>
    <w:rsid w:val="003E0B93"/>
    <w:rsid w:val="003E0CCE"/>
    <w:rsid w:val="003E0E17"/>
    <w:rsid w:val="003E1A4D"/>
    <w:rsid w:val="003E25A5"/>
    <w:rsid w:val="003E27D6"/>
    <w:rsid w:val="003E2EC9"/>
    <w:rsid w:val="003E3EB2"/>
    <w:rsid w:val="003E4996"/>
    <w:rsid w:val="003E5326"/>
    <w:rsid w:val="003E6417"/>
    <w:rsid w:val="003E6616"/>
    <w:rsid w:val="003E6F81"/>
    <w:rsid w:val="003E730C"/>
    <w:rsid w:val="003E7325"/>
    <w:rsid w:val="003E780E"/>
    <w:rsid w:val="003F028C"/>
    <w:rsid w:val="003F05C2"/>
    <w:rsid w:val="003F05DB"/>
    <w:rsid w:val="003F0F53"/>
    <w:rsid w:val="003F145E"/>
    <w:rsid w:val="003F17ED"/>
    <w:rsid w:val="003F2311"/>
    <w:rsid w:val="003F2C41"/>
    <w:rsid w:val="003F31DC"/>
    <w:rsid w:val="003F3387"/>
    <w:rsid w:val="003F4550"/>
    <w:rsid w:val="003F4AC6"/>
    <w:rsid w:val="003F6BE8"/>
    <w:rsid w:val="003F7E3C"/>
    <w:rsid w:val="0040013C"/>
    <w:rsid w:val="00400BEC"/>
    <w:rsid w:val="0040105C"/>
    <w:rsid w:val="0040129D"/>
    <w:rsid w:val="004018A9"/>
    <w:rsid w:val="00401B60"/>
    <w:rsid w:val="00401C05"/>
    <w:rsid w:val="004035CC"/>
    <w:rsid w:val="00403809"/>
    <w:rsid w:val="00403840"/>
    <w:rsid w:val="00403E29"/>
    <w:rsid w:val="004043A2"/>
    <w:rsid w:val="00404ABA"/>
    <w:rsid w:val="00404E98"/>
    <w:rsid w:val="00405A3E"/>
    <w:rsid w:val="00405CF7"/>
    <w:rsid w:val="004067AE"/>
    <w:rsid w:val="0040682A"/>
    <w:rsid w:val="00407E30"/>
    <w:rsid w:val="00410524"/>
    <w:rsid w:val="00412128"/>
    <w:rsid w:val="00412281"/>
    <w:rsid w:val="004127F1"/>
    <w:rsid w:val="0041331C"/>
    <w:rsid w:val="00413A42"/>
    <w:rsid w:val="00413B3E"/>
    <w:rsid w:val="00413EC4"/>
    <w:rsid w:val="004141F3"/>
    <w:rsid w:val="004149A8"/>
    <w:rsid w:val="00414E2E"/>
    <w:rsid w:val="00414EAC"/>
    <w:rsid w:val="004156E5"/>
    <w:rsid w:val="00415931"/>
    <w:rsid w:val="00416315"/>
    <w:rsid w:val="0041699E"/>
    <w:rsid w:val="00417023"/>
    <w:rsid w:val="004171C3"/>
    <w:rsid w:val="004173A8"/>
    <w:rsid w:val="00417A0D"/>
    <w:rsid w:val="00420F18"/>
    <w:rsid w:val="0042228B"/>
    <w:rsid w:val="00422FA2"/>
    <w:rsid w:val="004234D8"/>
    <w:rsid w:val="00423C1D"/>
    <w:rsid w:val="00423D23"/>
    <w:rsid w:val="00423DA3"/>
    <w:rsid w:val="00424830"/>
    <w:rsid w:val="00425058"/>
    <w:rsid w:val="004266FF"/>
    <w:rsid w:val="00426747"/>
    <w:rsid w:val="00426CB9"/>
    <w:rsid w:val="00430AA8"/>
    <w:rsid w:val="00430C02"/>
    <w:rsid w:val="0043126B"/>
    <w:rsid w:val="004313BC"/>
    <w:rsid w:val="00431CDC"/>
    <w:rsid w:val="00432A50"/>
    <w:rsid w:val="00432D2D"/>
    <w:rsid w:val="00433B85"/>
    <w:rsid w:val="00433F9A"/>
    <w:rsid w:val="00434949"/>
    <w:rsid w:val="00435325"/>
    <w:rsid w:val="00435342"/>
    <w:rsid w:val="00435B90"/>
    <w:rsid w:val="0043631A"/>
    <w:rsid w:val="00436A20"/>
    <w:rsid w:val="00436F95"/>
    <w:rsid w:val="004370D6"/>
    <w:rsid w:val="00440060"/>
    <w:rsid w:val="00440224"/>
    <w:rsid w:val="0044074E"/>
    <w:rsid w:val="00440951"/>
    <w:rsid w:val="00441297"/>
    <w:rsid w:val="00441460"/>
    <w:rsid w:val="00441B94"/>
    <w:rsid w:val="00441C10"/>
    <w:rsid w:val="00441F9B"/>
    <w:rsid w:val="00443176"/>
    <w:rsid w:val="00443CD0"/>
    <w:rsid w:val="0044417D"/>
    <w:rsid w:val="004446FB"/>
    <w:rsid w:val="00444C0C"/>
    <w:rsid w:val="0044500E"/>
    <w:rsid w:val="00445673"/>
    <w:rsid w:val="004462DB"/>
    <w:rsid w:val="0044638B"/>
    <w:rsid w:val="004465B7"/>
    <w:rsid w:val="00446A55"/>
    <w:rsid w:val="00446BEA"/>
    <w:rsid w:val="0044752C"/>
    <w:rsid w:val="0045039D"/>
    <w:rsid w:val="004505E4"/>
    <w:rsid w:val="00450C8E"/>
    <w:rsid w:val="00451450"/>
    <w:rsid w:val="00452147"/>
    <w:rsid w:val="00452B44"/>
    <w:rsid w:val="0045335D"/>
    <w:rsid w:val="004538E4"/>
    <w:rsid w:val="004539BD"/>
    <w:rsid w:val="00453D38"/>
    <w:rsid w:val="00454CBF"/>
    <w:rsid w:val="00454FBA"/>
    <w:rsid w:val="00455930"/>
    <w:rsid w:val="00455AF0"/>
    <w:rsid w:val="00455CFF"/>
    <w:rsid w:val="0045714C"/>
    <w:rsid w:val="004579C2"/>
    <w:rsid w:val="00460A63"/>
    <w:rsid w:val="00460E7D"/>
    <w:rsid w:val="0046123B"/>
    <w:rsid w:val="004620BA"/>
    <w:rsid w:val="004620C7"/>
    <w:rsid w:val="00462537"/>
    <w:rsid w:val="004625DE"/>
    <w:rsid w:val="00462B10"/>
    <w:rsid w:val="00462BEF"/>
    <w:rsid w:val="00464053"/>
    <w:rsid w:val="0046430F"/>
    <w:rsid w:val="004644C2"/>
    <w:rsid w:val="00464BBC"/>
    <w:rsid w:val="0046515F"/>
    <w:rsid w:val="004661CB"/>
    <w:rsid w:val="00466F70"/>
    <w:rsid w:val="0046708A"/>
    <w:rsid w:val="0046710D"/>
    <w:rsid w:val="0046737A"/>
    <w:rsid w:val="00470C45"/>
    <w:rsid w:val="0047131F"/>
    <w:rsid w:val="00471507"/>
    <w:rsid w:val="004719CA"/>
    <w:rsid w:val="00471A8D"/>
    <w:rsid w:val="00472D7B"/>
    <w:rsid w:val="00473039"/>
    <w:rsid w:val="00473993"/>
    <w:rsid w:val="00473D43"/>
    <w:rsid w:val="00473EAD"/>
    <w:rsid w:val="004756AA"/>
    <w:rsid w:val="00475B82"/>
    <w:rsid w:val="00476C18"/>
    <w:rsid w:val="004774BB"/>
    <w:rsid w:val="00477575"/>
    <w:rsid w:val="004775FF"/>
    <w:rsid w:val="0047775F"/>
    <w:rsid w:val="00480A51"/>
    <w:rsid w:val="00481141"/>
    <w:rsid w:val="00482518"/>
    <w:rsid w:val="00483CAB"/>
    <w:rsid w:val="00483DE4"/>
    <w:rsid w:val="00485815"/>
    <w:rsid w:val="00486127"/>
    <w:rsid w:val="004862E3"/>
    <w:rsid w:val="004869F2"/>
    <w:rsid w:val="00486D8C"/>
    <w:rsid w:val="00487458"/>
    <w:rsid w:val="00487DEE"/>
    <w:rsid w:val="00491A29"/>
    <w:rsid w:val="00492A76"/>
    <w:rsid w:val="00492E22"/>
    <w:rsid w:val="00495023"/>
    <w:rsid w:val="00495BE0"/>
    <w:rsid w:val="0049715C"/>
    <w:rsid w:val="0049762B"/>
    <w:rsid w:val="0049764D"/>
    <w:rsid w:val="004A01E6"/>
    <w:rsid w:val="004A06BD"/>
    <w:rsid w:val="004A08C5"/>
    <w:rsid w:val="004A0B3D"/>
    <w:rsid w:val="004A0BC6"/>
    <w:rsid w:val="004A1045"/>
    <w:rsid w:val="004A10A0"/>
    <w:rsid w:val="004A24C5"/>
    <w:rsid w:val="004A295A"/>
    <w:rsid w:val="004A2FD2"/>
    <w:rsid w:val="004A35C6"/>
    <w:rsid w:val="004A4BC5"/>
    <w:rsid w:val="004A56E9"/>
    <w:rsid w:val="004A67BE"/>
    <w:rsid w:val="004A74AB"/>
    <w:rsid w:val="004A7955"/>
    <w:rsid w:val="004B0BC1"/>
    <w:rsid w:val="004B13A3"/>
    <w:rsid w:val="004B152E"/>
    <w:rsid w:val="004B2A6E"/>
    <w:rsid w:val="004B2B94"/>
    <w:rsid w:val="004B3421"/>
    <w:rsid w:val="004B3F93"/>
    <w:rsid w:val="004B5D2D"/>
    <w:rsid w:val="004B5FD2"/>
    <w:rsid w:val="004B602F"/>
    <w:rsid w:val="004B6354"/>
    <w:rsid w:val="004B636C"/>
    <w:rsid w:val="004B6E80"/>
    <w:rsid w:val="004B720B"/>
    <w:rsid w:val="004C0375"/>
    <w:rsid w:val="004C09A3"/>
    <w:rsid w:val="004C0E65"/>
    <w:rsid w:val="004C1704"/>
    <w:rsid w:val="004C1EDC"/>
    <w:rsid w:val="004C2253"/>
    <w:rsid w:val="004C2A1E"/>
    <w:rsid w:val="004C3158"/>
    <w:rsid w:val="004C3992"/>
    <w:rsid w:val="004C420C"/>
    <w:rsid w:val="004C4453"/>
    <w:rsid w:val="004C4866"/>
    <w:rsid w:val="004C4A46"/>
    <w:rsid w:val="004C53BE"/>
    <w:rsid w:val="004C5421"/>
    <w:rsid w:val="004C5C1E"/>
    <w:rsid w:val="004C6602"/>
    <w:rsid w:val="004C7B72"/>
    <w:rsid w:val="004C7D4C"/>
    <w:rsid w:val="004D0134"/>
    <w:rsid w:val="004D0502"/>
    <w:rsid w:val="004D07DF"/>
    <w:rsid w:val="004D19F2"/>
    <w:rsid w:val="004D2185"/>
    <w:rsid w:val="004D26D4"/>
    <w:rsid w:val="004D3728"/>
    <w:rsid w:val="004D3B3A"/>
    <w:rsid w:val="004D3C79"/>
    <w:rsid w:val="004D4185"/>
    <w:rsid w:val="004D4640"/>
    <w:rsid w:val="004D4F7C"/>
    <w:rsid w:val="004D5491"/>
    <w:rsid w:val="004D651C"/>
    <w:rsid w:val="004D6A46"/>
    <w:rsid w:val="004D7B59"/>
    <w:rsid w:val="004E017C"/>
    <w:rsid w:val="004E035A"/>
    <w:rsid w:val="004E081C"/>
    <w:rsid w:val="004E10B5"/>
    <w:rsid w:val="004E1337"/>
    <w:rsid w:val="004E17C0"/>
    <w:rsid w:val="004E1A8B"/>
    <w:rsid w:val="004E1DE9"/>
    <w:rsid w:val="004E31F4"/>
    <w:rsid w:val="004E3951"/>
    <w:rsid w:val="004E3D03"/>
    <w:rsid w:val="004E40F1"/>
    <w:rsid w:val="004E4BDE"/>
    <w:rsid w:val="004E526A"/>
    <w:rsid w:val="004E5AA0"/>
    <w:rsid w:val="004E6192"/>
    <w:rsid w:val="004E642C"/>
    <w:rsid w:val="004E66D2"/>
    <w:rsid w:val="004E682B"/>
    <w:rsid w:val="004E7B57"/>
    <w:rsid w:val="004E7D26"/>
    <w:rsid w:val="004F0FAD"/>
    <w:rsid w:val="004F0FC5"/>
    <w:rsid w:val="004F1003"/>
    <w:rsid w:val="004F19C3"/>
    <w:rsid w:val="004F213C"/>
    <w:rsid w:val="004F2344"/>
    <w:rsid w:val="004F2C27"/>
    <w:rsid w:val="004F3CDD"/>
    <w:rsid w:val="004F3D31"/>
    <w:rsid w:val="004F3FC3"/>
    <w:rsid w:val="004F436B"/>
    <w:rsid w:val="004F5F9D"/>
    <w:rsid w:val="004F64A8"/>
    <w:rsid w:val="004F673E"/>
    <w:rsid w:val="004F7458"/>
    <w:rsid w:val="004F752B"/>
    <w:rsid w:val="00502A8B"/>
    <w:rsid w:val="00502D97"/>
    <w:rsid w:val="0050317A"/>
    <w:rsid w:val="005031F7"/>
    <w:rsid w:val="00503620"/>
    <w:rsid w:val="005048D3"/>
    <w:rsid w:val="00504C82"/>
    <w:rsid w:val="00505BCA"/>
    <w:rsid w:val="00506572"/>
    <w:rsid w:val="00506669"/>
    <w:rsid w:val="00506A36"/>
    <w:rsid w:val="0050708F"/>
    <w:rsid w:val="005079E9"/>
    <w:rsid w:val="005106A3"/>
    <w:rsid w:val="00510BDA"/>
    <w:rsid w:val="00510C5C"/>
    <w:rsid w:val="0051111B"/>
    <w:rsid w:val="00512F4C"/>
    <w:rsid w:val="00514D66"/>
    <w:rsid w:val="00515362"/>
    <w:rsid w:val="0051549C"/>
    <w:rsid w:val="0051608C"/>
    <w:rsid w:val="005161F2"/>
    <w:rsid w:val="00517989"/>
    <w:rsid w:val="00517C41"/>
    <w:rsid w:val="00517E38"/>
    <w:rsid w:val="0052027E"/>
    <w:rsid w:val="00520403"/>
    <w:rsid w:val="00520634"/>
    <w:rsid w:val="00520BCE"/>
    <w:rsid w:val="00520CDF"/>
    <w:rsid w:val="00521F2A"/>
    <w:rsid w:val="00522DBD"/>
    <w:rsid w:val="0052414D"/>
    <w:rsid w:val="00524FA9"/>
    <w:rsid w:val="00525C22"/>
    <w:rsid w:val="00525EE2"/>
    <w:rsid w:val="00527035"/>
    <w:rsid w:val="0052711F"/>
    <w:rsid w:val="005271FB"/>
    <w:rsid w:val="0052753B"/>
    <w:rsid w:val="0053116C"/>
    <w:rsid w:val="005311C7"/>
    <w:rsid w:val="00531BCC"/>
    <w:rsid w:val="00533013"/>
    <w:rsid w:val="0053428E"/>
    <w:rsid w:val="00534C4E"/>
    <w:rsid w:val="00535744"/>
    <w:rsid w:val="005365EE"/>
    <w:rsid w:val="00536AD8"/>
    <w:rsid w:val="005405C8"/>
    <w:rsid w:val="005410FD"/>
    <w:rsid w:val="00541787"/>
    <w:rsid w:val="00541BB6"/>
    <w:rsid w:val="00541BEC"/>
    <w:rsid w:val="0054221B"/>
    <w:rsid w:val="00542597"/>
    <w:rsid w:val="00543643"/>
    <w:rsid w:val="0054376B"/>
    <w:rsid w:val="00543D82"/>
    <w:rsid w:val="0054400B"/>
    <w:rsid w:val="005444D2"/>
    <w:rsid w:val="00544809"/>
    <w:rsid w:val="0054498A"/>
    <w:rsid w:val="00544BF7"/>
    <w:rsid w:val="00545EBC"/>
    <w:rsid w:val="005461E0"/>
    <w:rsid w:val="00547263"/>
    <w:rsid w:val="00547CBE"/>
    <w:rsid w:val="00547D84"/>
    <w:rsid w:val="00547EC0"/>
    <w:rsid w:val="005505D3"/>
    <w:rsid w:val="00550E62"/>
    <w:rsid w:val="005519D0"/>
    <w:rsid w:val="0055221A"/>
    <w:rsid w:val="005523A5"/>
    <w:rsid w:val="005531D4"/>
    <w:rsid w:val="0055369C"/>
    <w:rsid w:val="00553B2F"/>
    <w:rsid w:val="00554DD1"/>
    <w:rsid w:val="0055725F"/>
    <w:rsid w:val="00557565"/>
    <w:rsid w:val="0055776B"/>
    <w:rsid w:val="005579B4"/>
    <w:rsid w:val="00560153"/>
    <w:rsid w:val="00560293"/>
    <w:rsid w:val="00561298"/>
    <w:rsid w:val="0056208C"/>
    <w:rsid w:val="00562151"/>
    <w:rsid w:val="00562489"/>
    <w:rsid w:val="00562F87"/>
    <w:rsid w:val="005637A0"/>
    <w:rsid w:val="005640A1"/>
    <w:rsid w:val="00564DCB"/>
    <w:rsid w:val="0056522D"/>
    <w:rsid w:val="00565A9F"/>
    <w:rsid w:val="00565E5C"/>
    <w:rsid w:val="0057003D"/>
    <w:rsid w:val="0057120D"/>
    <w:rsid w:val="00571392"/>
    <w:rsid w:val="00571667"/>
    <w:rsid w:val="005719D3"/>
    <w:rsid w:val="00571C65"/>
    <w:rsid w:val="00571DAB"/>
    <w:rsid w:val="0057240C"/>
    <w:rsid w:val="00572469"/>
    <w:rsid w:val="00572879"/>
    <w:rsid w:val="00572A92"/>
    <w:rsid w:val="00573692"/>
    <w:rsid w:val="00573F48"/>
    <w:rsid w:val="005740CE"/>
    <w:rsid w:val="00574AC3"/>
    <w:rsid w:val="00574F2B"/>
    <w:rsid w:val="005751D6"/>
    <w:rsid w:val="00575532"/>
    <w:rsid w:val="00575862"/>
    <w:rsid w:val="00575CA5"/>
    <w:rsid w:val="0057641A"/>
    <w:rsid w:val="005765A1"/>
    <w:rsid w:val="0057674E"/>
    <w:rsid w:val="00576C93"/>
    <w:rsid w:val="00577023"/>
    <w:rsid w:val="00577371"/>
    <w:rsid w:val="00577748"/>
    <w:rsid w:val="00577C02"/>
    <w:rsid w:val="00580A67"/>
    <w:rsid w:val="005823ED"/>
    <w:rsid w:val="00583F2D"/>
    <w:rsid w:val="00584441"/>
    <w:rsid w:val="00584C11"/>
    <w:rsid w:val="0058519B"/>
    <w:rsid w:val="00585CB0"/>
    <w:rsid w:val="00585E13"/>
    <w:rsid w:val="00585FA4"/>
    <w:rsid w:val="00585FC9"/>
    <w:rsid w:val="00586482"/>
    <w:rsid w:val="0058658A"/>
    <w:rsid w:val="00586821"/>
    <w:rsid w:val="00586A7B"/>
    <w:rsid w:val="00587A1F"/>
    <w:rsid w:val="00587DA0"/>
    <w:rsid w:val="005908A2"/>
    <w:rsid w:val="00591324"/>
    <w:rsid w:val="005916BA"/>
    <w:rsid w:val="005917C5"/>
    <w:rsid w:val="005930C0"/>
    <w:rsid w:val="00593C58"/>
    <w:rsid w:val="005943C3"/>
    <w:rsid w:val="00594F04"/>
    <w:rsid w:val="00594FFB"/>
    <w:rsid w:val="00595BB8"/>
    <w:rsid w:val="005968A6"/>
    <w:rsid w:val="0059776F"/>
    <w:rsid w:val="00597833"/>
    <w:rsid w:val="005A0044"/>
    <w:rsid w:val="005A03E7"/>
    <w:rsid w:val="005A0CD1"/>
    <w:rsid w:val="005A109F"/>
    <w:rsid w:val="005A10A5"/>
    <w:rsid w:val="005A16FC"/>
    <w:rsid w:val="005A1AD3"/>
    <w:rsid w:val="005A1E7B"/>
    <w:rsid w:val="005A2B0A"/>
    <w:rsid w:val="005A2D61"/>
    <w:rsid w:val="005A3E7E"/>
    <w:rsid w:val="005A55D8"/>
    <w:rsid w:val="005A57FC"/>
    <w:rsid w:val="005A67C6"/>
    <w:rsid w:val="005A70CA"/>
    <w:rsid w:val="005A7433"/>
    <w:rsid w:val="005B0F48"/>
    <w:rsid w:val="005B1142"/>
    <w:rsid w:val="005B16D2"/>
    <w:rsid w:val="005B18CD"/>
    <w:rsid w:val="005B1E6B"/>
    <w:rsid w:val="005B2696"/>
    <w:rsid w:val="005B2AE0"/>
    <w:rsid w:val="005B3DB8"/>
    <w:rsid w:val="005B54E1"/>
    <w:rsid w:val="005B67D8"/>
    <w:rsid w:val="005B725D"/>
    <w:rsid w:val="005B731D"/>
    <w:rsid w:val="005B75CD"/>
    <w:rsid w:val="005B7B7B"/>
    <w:rsid w:val="005C0742"/>
    <w:rsid w:val="005C15D3"/>
    <w:rsid w:val="005C16A9"/>
    <w:rsid w:val="005C1A40"/>
    <w:rsid w:val="005C1C30"/>
    <w:rsid w:val="005C1DE1"/>
    <w:rsid w:val="005C1DF3"/>
    <w:rsid w:val="005C1F96"/>
    <w:rsid w:val="005C219B"/>
    <w:rsid w:val="005C262C"/>
    <w:rsid w:val="005C27A7"/>
    <w:rsid w:val="005C28E5"/>
    <w:rsid w:val="005C2DAF"/>
    <w:rsid w:val="005C3F0B"/>
    <w:rsid w:val="005C449B"/>
    <w:rsid w:val="005C4B1E"/>
    <w:rsid w:val="005C4C36"/>
    <w:rsid w:val="005C4E8E"/>
    <w:rsid w:val="005C56F6"/>
    <w:rsid w:val="005C64F8"/>
    <w:rsid w:val="005C6646"/>
    <w:rsid w:val="005C721F"/>
    <w:rsid w:val="005C72A5"/>
    <w:rsid w:val="005C73C9"/>
    <w:rsid w:val="005C73ED"/>
    <w:rsid w:val="005C75E6"/>
    <w:rsid w:val="005C765B"/>
    <w:rsid w:val="005C7900"/>
    <w:rsid w:val="005C797D"/>
    <w:rsid w:val="005C7F7A"/>
    <w:rsid w:val="005D0079"/>
    <w:rsid w:val="005D02B7"/>
    <w:rsid w:val="005D0C52"/>
    <w:rsid w:val="005D176C"/>
    <w:rsid w:val="005D1904"/>
    <w:rsid w:val="005D2792"/>
    <w:rsid w:val="005D282B"/>
    <w:rsid w:val="005D2DF2"/>
    <w:rsid w:val="005D3576"/>
    <w:rsid w:val="005D43E6"/>
    <w:rsid w:val="005D46D3"/>
    <w:rsid w:val="005D48FF"/>
    <w:rsid w:val="005D4E22"/>
    <w:rsid w:val="005D6076"/>
    <w:rsid w:val="005D615C"/>
    <w:rsid w:val="005D6891"/>
    <w:rsid w:val="005D6F49"/>
    <w:rsid w:val="005D7D21"/>
    <w:rsid w:val="005E0E3C"/>
    <w:rsid w:val="005E13A5"/>
    <w:rsid w:val="005E1BFA"/>
    <w:rsid w:val="005E2127"/>
    <w:rsid w:val="005E21B2"/>
    <w:rsid w:val="005E2200"/>
    <w:rsid w:val="005E31E0"/>
    <w:rsid w:val="005E4787"/>
    <w:rsid w:val="005E49F0"/>
    <w:rsid w:val="005E4E18"/>
    <w:rsid w:val="005E5391"/>
    <w:rsid w:val="005E5458"/>
    <w:rsid w:val="005E5FA2"/>
    <w:rsid w:val="005E6688"/>
    <w:rsid w:val="005E6B28"/>
    <w:rsid w:val="005E6F83"/>
    <w:rsid w:val="005E758C"/>
    <w:rsid w:val="005E76D6"/>
    <w:rsid w:val="005E77B0"/>
    <w:rsid w:val="005E78FF"/>
    <w:rsid w:val="005E7B37"/>
    <w:rsid w:val="005F017B"/>
    <w:rsid w:val="005F0615"/>
    <w:rsid w:val="005F0829"/>
    <w:rsid w:val="005F0B50"/>
    <w:rsid w:val="005F1593"/>
    <w:rsid w:val="005F3B00"/>
    <w:rsid w:val="005F48A7"/>
    <w:rsid w:val="005F4F70"/>
    <w:rsid w:val="005F5100"/>
    <w:rsid w:val="005F56AD"/>
    <w:rsid w:val="005F5B06"/>
    <w:rsid w:val="005F6DCC"/>
    <w:rsid w:val="005F712E"/>
    <w:rsid w:val="005F73B6"/>
    <w:rsid w:val="005F7D61"/>
    <w:rsid w:val="005F7DC8"/>
    <w:rsid w:val="00600174"/>
    <w:rsid w:val="006004F7"/>
    <w:rsid w:val="006010C9"/>
    <w:rsid w:val="00601AA5"/>
    <w:rsid w:val="00601E12"/>
    <w:rsid w:val="00602B0F"/>
    <w:rsid w:val="00602BB1"/>
    <w:rsid w:val="006030EF"/>
    <w:rsid w:val="00603312"/>
    <w:rsid w:val="006033B2"/>
    <w:rsid w:val="006033CB"/>
    <w:rsid w:val="00603AE8"/>
    <w:rsid w:val="00603B35"/>
    <w:rsid w:val="00604D5C"/>
    <w:rsid w:val="0060569A"/>
    <w:rsid w:val="0060577E"/>
    <w:rsid w:val="00605910"/>
    <w:rsid w:val="006059D3"/>
    <w:rsid w:val="00606945"/>
    <w:rsid w:val="00606AD4"/>
    <w:rsid w:val="00606BDA"/>
    <w:rsid w:val="006077BD"/>
    <w:rsid w:val="00607CE4"/>
    <w:rsid w:val="00610166"/>
    <w:rsid w:val="00611E35"/>
    <w:rsid w:val="00612044"/>
    <w:rsid w:val="0061287F"/>
    <w:rsid w:val="006129F4"/>
    <w:rsid w:val="00613045"/>
    <w:rsid w:val="0061317E"/>
    <w:rsid w:val="00613383"/>
    <w:rsid w:val="006135EE"/>
    <w:rsid w:val="006144C8"/>
    <w:rsid w:val="00614601"/>
    <w:rsid w:val="00615396"/>
    <w:rsid w:val="00616D9C"/>
    <w:rsid w:val="0061795E"/>
    <w:rsid w:val="00617F19"/>
    <w:rsid w:val="006201A0"/>
    <w:rsid w:val="006202D7"/>
    <w:rsid w:val="00621623"/>
    <w:rsid w:val="00621D02"/>
    <w:rsid w:val="00623F7E"/>
    <w:rsid w:val="00624439"/>
    <w:rsid w:val="00624DE1"/>
    <w:rsid w:val="006259D8"/>
    <w:rsid w:val="0062661A"/>
    <w:rsid w:val="00626BAF"/>
    <w:rsid w:val="00626D52"/>
    <w:rsid w:val="00627980"/>
    <w:rsid w:val="0062798F"/>
    <w:rsid w:val="00630397"/>
    <w:rsid w:val="006314D8"/>
    <w:rsid w:val="006315E5"/>
    <w:rsid w:val="006319AE"/>
    <w:rsid w:val="00631A94"/>
    <w:rsid w:val="006326E3"/>
    <w:rsid w:val="00632E63"/>
    <w:rsid w:val="006330E0"/>
    <w:rsid w:val="00634929"/>
    <w:rsid w:val="00634B03"/>
    <w:rsid w:val="00634C6D"/>
    <w:rsid w:val="00634DCE"/>
    <w:rsid w:val="00634E5D"/>
    <w:rsid w:val="00635565"/>
    <w:rsid w:val="00635D82"/>
    <w:rsid w:val="00635E3A"/>
    <w:rsid w:val="00636B4E"/>
    <w:rsid w:val="00637012"/>
    <w:rsid w:val="0063767A"/>
    <w:rsid w:val="00637D79"/>
    <w:rsid w:val="00637F5F"/>
    <w:rsid w:val="006404B3"/>
    <w:rsid w:val="0064117F"/>
    <w:rsid w:val="00641740"/>
    <w:rsid w:val="00641A84"/>
    <w:rsid w:val="00641BEE"/>
    <w:rsid w:val="00641ED7"/>
    <w:rsid w:val="006424D3"/>
    <w:rsid w:val="00642E1A"/>
    <w:rsid w:val="0064364C"/>
    <w:rsid w:val="00643D22"/>
    <w:rsid w:val="006460DA"/>
    <w:rsid w:val="00646A12"/>
    <w:rsid w:val="00646E64"/>
    <w:rsid w:val="0064795A"/>
    <w:rsid w:val="00647BAB"/>
    <w:rsid w:val="00647C57"/>
    <w:rsid w:val="00647D71"/>
    <w:rsid w:val="006500CB"/>
    <w:rsid w:val="006502A7"/>
    <w:rsid w:val="006509EC"/>
    <w:rsid w:val="00651098"/>
    <w:rsid w:val="00651A22"/>
    <w:rsid w:val="00651F0A"/>
    <w:rsid w:val="00652EE1"/>
    <w:rsid w:val="00652FF7"/>
    <w:rsid w:val="00653AD4"/>
    <w:rsid w:val="00653BFC"/>
    <w:rsid w:val="00653CBD"/>
    <w:rsid w:val="00653EC7"/>
    <w:rsid w:val="0065412F"/>
    <w:rsid w:val="00654C56"/>
    <w:rsid w:val="00655293"/>
    <w:rsid w:val="0065572F"/>
    <w:rsid w:val="0065592F"/>
    <w:rsid w:val="006563F0"/>
    <w:rsid w:val="00656CF5"/>
    <w:rsid w:val="006573E0"/>
    <w:rsid w:val="006574AC"/>
    <w:rsid w:val="0066101C"/>
    <w:rsid w:val="00662389"/>
    <w:rsid w:val="00662420"/>
    <w:rsid w:val="006630E4"/>
    <w:rsid w:val="00663C30"/>
    <w:rsid w:val="00663E12"/>
    <w:rsid w:val="00664894"/>
    <w:rsid w:val="00664DA9"/>
    <w:rsid w:val="00665469"/>
    <w:rsid w:val="00665EC1"/>
    <w:rsid w:val="0066606E"/>
    <w:rsid w:val="006660EA"/>
    <w:rsid w:val="00666BE0"/>
    <w:rsid w:val="00667D1A"/>
    <w:rsid w:val="0067102A"/>
    <w:rsid w:val="006713DB"/>
    <w:rsid w:val="00671C76"/>
    <w:rsid w:val="00671D89"/>
    <w:rsid w:val="00672076"/>
    <w:rsid w:val="0067212E"/>
    <w:rsid w:val="00672781"/>
    <w:rsid w:val="00672893"/>
    <w:rsid w:val="00672B9C"/>
    <w:rsid w:val="00672D18"/>
    <w:rsid w:val="00672F11"/>
    <w:rsid w:val="0067305E"/>
    <w:rsid w:val="006733E3"/>
    <w:rsid w:val="006736D3"/>
    <w:rsid w:val="00673711"/>
    <w:rsid w:val="00673A93"/>
    <w:rsid w:val="00673D6F"/>
    <w:rsid w:val="00674298"/>
    <w:rsid w:val="006743F0"/>
    <w:rsid w:val="00674FD2"/>
    <w:rsid w:val="00676322"/>
    <w:rsid w:val="00676607"/>
    <w:rsid w:val="00676CD5"/>
    <w:rsid w:val="00676CEC"/>
    <w:rsid w:val="00677CC6"/>
    <w:rsid w:val="00677FAD"/>
    <w:rsid w:val="006805E6"/>
    <w:rsid w:val="00680986"/>
    <w:rsid w:val="0068135F"/>
    <w:rsid w:val="006827E0"/>
    <w:rsid w:val="0068294E"/>
    <w:rsid w:val="00683ECD"/>
    <w:rsid w:val="0068531C"/>
    <w:rsid w:val="00685579"/>
    <w:rsid w:val="006855A6"/>
    <w:rsid w:val="006858DD"/>
    <w:rsid w:val="00685F72"/>
    <w:rsid w:val="00686401"/>
    <w:rsid w:val="006870B0"/>
    <w:rsid w:val="00690548"/>
    <w:rsid w:val="00690CA3"/>
    <w:rsid w:val="00691D90"/>
    <w:rsid w:val="0069268F"/>
    <w:rsid w:val="00693189"/>
    <w:rsid w:val="00693734"/>
    <w:rsid w:val="006941D8"/>
    <w:rsid w:val="00695625"/>
    <w:rsid w:val="006956D1"/>
    <w:rsid w:val="00695DBA"/>
    <w:rsid w:val="006963C4"/>
    <w:rsid w:val="00696A63"/>
    <w:rsid w:val="00696CE5"/>
    <w:rsid w:val="00697F8E"/>
    <w:rsid w:val="006A00EF"/>
    <w:rsid w:val="006A0101"/>
    <w:rsid w:val="006A021A"/>
    <w:rsid w:val="006A0B77"/>
    <w:rsid w:val="006A1575"/>
    <w:rsid w:val="006A2969"/>
    <w:rsid w:val="006A2AE9"/>
    <w:rsid w:val="006A32B2"/>
    <w:rsid w:val="006A3D4F"/>
    <w:rsid w:val="006A3D93"/>
    <w:rsid w:val="006A4351"/>
    <w:rsid w:val="006A6697"/>
    <w:rsid w:val="006A6772"/>
    <w:rsid w:val="006A717A"/>
    <w:rsid w:val="006A77C4"/>
    <w:rsid w:val="006B01B9"/>
    <w:rsid w:val="006B066A"/>
    <w:rsid w:val="006B28D5"/>
    <w:rsid w:val="006B2995"/>
    <w:rsid w:val="006B2E0B"/>
    <w:rsid w:val="006B3005"/>
    <w:rsid w:val="006B3362"/>
    <w:rsid w:val="006B3445"/>
    <w:rsid w:val="006B39B0"/>
    <w:rsid w:val="006B4002"/>
    <w:rsid w:val="006B53BA"/>
    <w:rsid w:val="006B56C0"/>
    <w:rsid w:val="006B5E45"/>
    <w:rsid w:val="006B608C"/>
    <w:rsid w:val="006B69AC"/>
    <w:rsid w:val="006B6A9F"/>
    <w:rsid w:val="006B6E88"/>
    <w:rsid w:val="006B7827"/>
    <w:rsid w:val="006B7F1D"/>
    <w:rsid w:val="006C0A6A"/>
    <w:rsid w:val="006C0F52"/>
    <w:rsid w:val="006C272C"/>
    <w:rsid w:val="006C2AFA"/>
    <w:rsid w:val="006C2ED8"/>
    <w:rsid w:val="006C30BC"/>
    <w:rsid w:val="006C3CEC"/>
    <w:rsid w:val="006C3FE9"/>
    <w:rsid w:val="006C4A6B"/>
    <w:rsid w:val="006C4BC2"/>
    <w:rsid w:val="006C6013"/>
    <w:rsid w:val="006C61B8"/>
    <w:rsid w:val="006C7188"/>
    <w:rsid w:val="006C7D57"/>
    <w:rsid w:val="006D025D"/>
    <w:rsid w:val="006D0C29"/>
    <w:rsid w:val="006D1203"/>
    <w:rsid w:val="006D1C61"/>
    <w:rsid w:val="006D20A3"/>
    <w:rsid w:val="006D2203"/>
    <w:rsid w:val="006D2E5B"/>
    <w:rsid w:val="006D3EB8"/>
    <w:rsid w:val="006D40EB"/>
    <w:rsid w:val="006D4870"/>
    <w:rsid w:val="006D56B4"/>
    <w:rsid w:val="006D6547"/>
    <w:rsid w:val="006D6A34"/>
    <w:rsid w:val="006E0477"/>
    <w:rsid w:val="006E076D"/>
    <w:rsid w:val="006E0E1F"/>
    <w:rsid w:val="006E1ECE"/>
    <w:rsid w:val="006E25D1"/>
    <w:rsid w:val="006E2781"/>
    <w:rsid w:val="006E2A0C"/>
    <w:rsid w:val="006E3606"/>
    <w:rsid w:val="006E39E3"/>
    <w:rsid w:val="006E43F3"/>
    <w:rsid w:val="006E47F2"/>
    <w:rsid w:val="006E497E"/>
    <w:rsid w:val="006E4A8F"/>
    <w:rsid w:val="006E4C46"/>
    <w:rsid w:val="006E59C7"/>
    <w:rsid w:val="006E5C82"/>
    <w:rsid w:val="006E5CF2"/>
    <w:rsid w:val="006E6173"/>
    <w:rsid w:val="006E6C04"/>
    <w:rsid w:val="006E6C10"/>
    <w:rsid w:val="006E6F09"/>
    <w:rsid w:val="006E75ED"/>
    <w:rsid w:val="006E78E7"/>
    <w:rsid w:val="006F0866"/>
    <w:rsid w:val="006F0D85"/>
    <w:rsid w:val="006F0F52"/>
    <w:rsid w:val="006F12D7"/>
    <w:rsid w:val="006F1654"/>
    <w:rsid w:val="006F1AA2"/>
    <w:rsid w:val="006F209E"/>
    <w:rsid w:val="006F20F4"/>
    <w:rsid w:val="006F2805"/>
    <w:rsid w:val="006F2ACE"/>
    <w:rsid w:val="006F3064"/>
    <w:rsid w:val="006F37F8"/>
    <w:rsid w:val="006F3A43"/>
    <w:rsid w:val="006F5566"/>
    <w:rsid w:val="006F5980"/>
    <w:rsid w:val="006F5F50"/>
    <w:rsid w:val="006F613B"/>
    <w:rsid w:val="006F6144"/>
    <w:rsid w:val="006F782F"/>
    <w:rsid w:val="006F7B77"/>
    <w:rsid w:val="006F7FE7"/>
    <w:rsid w:val="00700108"/>
    <w:rsid w:val="00701226"/>
    <w:rsid w:val="00702217"/>
    <w:rsid w:val="0070300D"/>
    <w:rsid w:val="0070362E"/>
    <w:rsid w:val="00704318"/>
    <w:rsid w:val="00704643"/>
    <w:rsid w:val="0070464B"/>
    <w:rsid w:val="00704CBC"/>
    <w:rsid w:val="00704DD9"/>
    <w:rsid w:val="00705347"/>
    <w:rsid w:val="0070583B"/>
    <w:rsid w:val="00705FDE"/>
    <w:rsid w:val="00706359"/>
    <w:rsid w:val="00706E8B"/>
    <w:rsid w:val="007074DF"/>
    <w:rsid w:val="00710A02"/>
    <w:rsid w:val="007114D8"/>
    <w:rsid w:val="00711930"/>
    <w:rsid w:val="00711D97"/>
    <w:rsid w:val="00711F9E"/>
    <w:rsid w:val="007121FF"/>
    <w:rsid w:val="00712B29"/>
    <w:rsid w:val="00713002"/>
    <w:rsid w:val="007134F0"/>
    <w:rsid w:val="00713BC8"/>
    <w:rsid w:val="007149BE"/>
    <w:rsid w:val="00715D62"/>
    <w:rsid w:val="00715E1D"/>
    <w:rsid w:val="00716079"/>
    <w:rsid w:val="00716350"/>
    <w:rsid w:val="00716D59"/>
    <w:rsid w:val="007175ED"/>
    <w:rsid w:val="007178AC"/>
    <w:rsid w:val="00717A38"/>
    <w:rsid w:val="00720777"/>
    <w:rsid w:val="00720AB8"/>
    <w:rsid w:val="00720F01"/>
    <w:rsid w:val="007223A9"/>
    <w:rsid w:val="00723727"/>
    <w:rsid w:val="00723906"/>
    <w:rsid w:val="00723EA7"/>
    <w:rsid w:val="007244A8"/>
    <w:rsid w:val="00724BDC"/>
    <w:rsid w:val="0072548E"/>
    <w:rsid w:val="00725637"/>
    <w:rsid w:val="00725B4F"/>
    <w:rsid w:val="00726458"/>
    <w:rsid w:val="0073035E"/>
    <w:rsid w:val="00731E25"/>
    <w:rsid w:val="00732ACC"/>
    <w:rsid w:val="00732E2D"/>
    <w:rsid w:val="0073304E"/>
    <w:rsid w:val="00733941"/>
    <w:rsid w:val="0073405A"/>
    <w:rsid w:val="00734353"/>
    <w:rsid w:val="007343CF"/>
    <w:rsid w:val="00734DD8"/>
    <w:rsid w:val="007350FB"/>
    <w:rsid w:val="00735967"/>
    <w:rsid w:val="007365AC"/>
    <w:rsid w:val="007367B1"/>
    <w:rsid w:val="00736998"/>
    <w:rsid w:val="00736EAB"/>
    <w:rsid w:val="00737E30"/>
    <w:rsid w:val="00740442"/>
    <w:rsid w:val="00740BC2"/>
    <w:rsid w:val="00741A26"/>
    <w:rsid w:val="00741B8A"/>
    <w:rsid w:val="00741D15"/>
    <w:rsid w:val="00742C94"/>
    <w:rsid w:val="00742E05"/>
    <w:rsid w:val="0074442F"/>
    <w:rsid w:val="00744621"/>
    <w:rsid w:val="00744C15"/>
    <w:rsid w:val="00744CCF"/>
    <w:rsid w:val="00745582"/>
    <w:rsid w:val="00745B86"/>
    <w:rsid w:val="00746A0B"/>
    <w:rsid w:val="00746E7C"/>
    <w:rsid w:val="007479D1"/>
    <w:rsid w:val="00750397"/>
    <w:rsid w:val="00750846"/>
    <w:rsid w:val="007509ED"/>
    <w:rsid w:val="00750AFA"/>
    <w:rsid w:val="00751C0D"/>
    <w:rsid w:val="007524A9"/>
    <w:rsid w:val="00752BE9"/>
    <w:rsid w:val="00752C31"/>
    <w:rsid w:val="007537AB"/>
    <w:rsid w:val="00753DCD"/>
    <w:rsid w:val="00753E1D"/>
    <w:rsid w:val="00753F4E"/>
    <w:rsid w:val="00754965"/>
    <w:rsid w:val="00755414"/>
    <w:rsid w:val="00755A23"/>
    <w:rsid w:val="00755F65"/>
    <w:rsid w:val="007565C5"/>
    <w:rsid w:val="00756FE3"/>
    <w:rsid w:val="00757D50"/>
    <w:rsid w:val="0076111E"/>
    <w:rsid w:val="0076133D"/>
    <w:rsid w:val="007616A5"/>
    <w:rsid w:val="007618D2"/>
    <w:rsid w:val="00761A81"/>
    <w:rsid w:val="00763065"/>
    <w:rsid w:val="0076319A"/>
    <w:rsid w:val="0076339C"/>
    <w:rsid w:val="007636F8"/>
    <w:rsid w:val="007643EE"/>
    <w:rsid w:val="00766191"/>
    <w:rsid w:val="007663EB"/>
    <w:rsid w:val="007664E7"/>
    <w:rsid w:val="0076695E"/>
    <w:rsid w:val="00766E0B"/>
    <w:rsid w:val="00766FC2"/>
    <w:rsid w:val="0076734B"/>
    <w:rsid w:val="00770530"/>
    <w:rsid w:val="00772301"/>
    <w:rsid w:val="007725F6"/>
    <w:rsid w:val="00772A85"/>
    <w:rsid w:val="00772A8A"/>
    <w:rsid w:val="00772B70"/>
    <w:rsid w:val="00773295"/>
    <w:rsid w:val="00773420"/>
    <w:rsid w:val="007735C7"/>
    <w:rsid w:val="00773BF2"/>
    <w:rsid w:val="00774364"/>
    <w:rsid w:val="007747E6"/>
    <w:rsid w:val="00774CA3"/>
    <w:rsid w:val="00774E25"/>
    <w:rsid w:val="0077587B"/>
    <w:rsid w:val="007759D6"/>
    <w:rsid w:val="00775C7A"/>
    <w:rsid w:val="00777ADB"/>
    <w:rsid w:val="007808EB"/>
    <w:rsid w:val="00780D42"/>
    <w:rsid w:val="00782110"/>
    <w:rsid w:val="007822ED"/>
    <w:rsid w:val="007839A4"/>
    <w:rsid w:val="007848E8"/>
    <w:rsid w:val="007864F4"/>
    <w:rsid w:val="0078654B"/>
    <w:rsid w:val="00786B8F"/>
    <w:rsid w:val="007871DF"/>
    <w:rsid w:val="00790B62"/>
    <w:rsid w:val="00790F51"/>
    <w:rsid w:val="0079226E"/>
    <w:rsid w:val="00792923"/>
    <w:rsid w:val="00794F00"/>
    <w:rsid w:val="007952F0"/>
    <w:rsid w:val="007957A9"/>
    <w:rsid w:val="00796085"/>
    <w:rsid w:val="00796F45"/>
    <w:rsid w:val="00797256"/>
    <w:rsid w:val="00797648"/>
    <w:rsid w:val="00797A65"/>
    <w:rsid w:val="00797C3A"/>
    <w:rsid w:val="00797F35"/>
    <w:rsid w:val="007A0087"/>
    <w:rsid w:val="007A0F63"/>
    <w:rsid w:val="007A1251"/>
    <w:rsid w:val="007A18A3"/>
    <w:rsid w:val="007A1D53"/>
    <w:rsid w:val="007A1F1A"/>
    <w:rsid w:val="007A2576"/>
    <w:rsid w:val="007A2B8B"/>
    <w:rsid w:val="007A2FF9"/>
    <w:rsid w:val="007A4DD3"/>
    <w:rsid w:val="007A540E"/>
    <w:rsid w:val="007A5599"/>
    <w:rsid w:val="007A6EDF"/>
    <w:rsid w:val="007A7854"/>
    <w:rsid w:val="007B0FAB"/>
    <w:rsid w:val="007B1C2A"/>
    <w:rsid w:val="007B1D47"/>
    <w:rsid w:val="007B25B3"/>
    <w:rsid w:val="007B34ED"/>
    <w:rsid w:val="007B41F3"/>
    <w:rsid w:val="007B559E"/>
    <w:rsid w:val="007B654C"/>
    <w:rsid w:val="007B6B3C"/>
    <w:rsid w:val="007B6D00"/>
    <w:rsid w:val="007B797E"/>
    <w:rsid w:val="007C0126"/>
    <w:rsid w:val="007C1502"/>
    <w:rsid w:val="007C20D7"/>
    <w:rsid w:val="007C28F8"/>
    <w:rsid w:val="007C2B22"/>
    <w:rsid w:val="007C32C8"/>
    <w:rsid w:val="007C3450"/>
    <w:rsid w:val="007C365D"/>
    <w:rsid w:val="007C3EC3"/>
    <w:rsid w:val="007C4729"/>
    <w:rsid w:val="007C54ED"/>
    <w:rsid w:val="007C6F3A"/>
    <w:rsid w:val="007C740D"/>
    <w:rsid w:val="007C789D"/>
    <w:rsid w:val="007C796A"/>
    <w:rsid w:val="007D057B"/>
    <w:rsid w:val="007D08E4"/>
    <w:rsid w:val="007D1040"/>
    <w:rsid w:val="007D12B9"/>
    <w:rsid w:val="007D13C1"/>
    <w:rsid w:val="007D16B9"/>
    <w:rsid w:val="007D1931"/>
    <w:rsid w:val="007D1AE4"/>
    <w:rsid w:val="007D1DD8"/>
    <w:rsid w:val="007D3007"/>
    <w:rsid w:val="007D33B5"/>
    <w:rsid w:val="007D36C0"/>
    <w:rsid w:val="007D3B71"/>
    <w:rsid w:val="007D3C47"/>
    <w:rsid w:val="007D3C8B"/>
    <w:rsid w:val="007D4B18"/>
    <w:rsid w:val="007D4BBA"/>
    <w:rsid w:val="007D50C1"/>
    <w:rsid w:val="007D510C"/>
    <w:rsid w:val="007D5636"/>
    <w:rsid w:val="007D5F81"/>
    <w:rsid w:val="007D635E"/>
    <w:rsid w:val="007D6D4F"/>
    <w:rsid w:val="007D7054"/>
    <w:rsid w:val="007D79B0"/>
    <w:rsid w:val="007D79CB"/>
    <w:rsid w:val="007E13EF"/>
    <w:rsid w:val="007E1D2A"/>
    <w:rsid w:val="007E2287"/>
    <w:rsid w:val="007E2B27"/>
    <w:rsid w:val="007E389D"/>
    <w:rsid w:val="007E3A38"/>
    <w:rsid w:val="007E4369"/>
    <w:rsid w:val="007E46EC"/>
    <w:rsid w:val="007E4F2F"/>
    <w:rsid w:val="007E5C21"/>
    <w:rsid w:val="007E6872"/>
    <w:rsid w:val="007E7032"/>
    <w:rsid w:val="007E782B"/>
    <w:rsid w:val="007F071E"/>
    <w:rsid w:val="007F09E6"/>
    <w:rsid w:val="007F0A0A"/>
    <w:rsid w:val="007F0AA7"/>
    <w:rsid w:val="007F0DDD"/>
    <w:rsid w:val="007F14FE"/>
    <w:rsid w:val="007F177F"/>
    <w:rsid w:val="007F1A2E"/>
    <w:rsid w:val="007F2A33"/>
    <w:rsid w:val="007F3799"/>
    <w:rsid w:val="007F3E95"/>
    <w:rsid w:val="007F40EE"/>
    <w:rsid w:val="007F42FC"/>
    <w:rsid w:val="007F501C"/>
    <w:rsid w:val="007F51BB"/>
    <w:rsid w:val="007F58A5"/>
    <w:rsid w:val="007F58BF"/>
    <w:rsid w:val="007F59B8"/>
    <w:rsid w:val="007F6111"/>
    <w:rsid w:val="007F6711"/>
    <w:rsid w:val="007F67ED"/>
    <w:rsid w:val="007F68A5"/>
    <w:rsid w:val="007F69FB"/>
    <w:rsid w:val="007F6A9F"/>
    <w:rsid w:val="007F7177"/>
    <w:rsid w:val="007F746A"/>
    <w:rsid w:val="007F7A15"/>
    <w:rsid w:val="007F7CEE"/>
    <w:rsid w:val="007F7E79"/>
    <w:rsid w:val="007F7EBF"/>
    <w:rsid w:val="00800D40"/>
    <w:rsid w:val="00801B59"/>
    <w:rsid w:val="00801EE6"/>
    <w:rsid w:val="008023AE"/>
    <w:rsid w:val="008038BA"/>
    <w:rsid w:val="00803DF7"/>
    <w:rsid w:val="00803E10"/>
    <w:rsid w:val="00803EBE"/>
    <w:rsid w:val="00803FA2"/>
    <w:rsid w:val="0080401C"/>
    <w:rsid w:val="008042EF"/>
    <w:rsid w:val="008046B0"/>
    <w:rsid w:val="0080537C"/>
    <w:rsid w:val="008061A5"/>
    <w:rsid w:val="008066AC"/>
    <w:rsid w:val="00807063"/>
    <w:rsid w:val="008104D5"/>
    <w:rsid w:val="00810B69"/>
    <w:rsid w:val="00810BB6"/>
    <w:rsid w:val="0081127C"/>
    <w:rsid w:val="00812709"/>
    <w:rsid w:val="00813480"/>
    <w:rsid w:val="008143A9"/>
    <w:rsid w:val="00814959"/>
    <w:rsid w:val="00815525"/>
    <w:rsid w:val="00815CE5"/>
    <w:rsid w:val="00815DD6"/>
    <w:rsid w:val="00815ED0"/>
    <w:rsid w:val="008178CD"/>
    <w:rsid w:val="00817B9B"/>
    <w:rsid w:val="00820236"/>
    <w:rsid w:val="00821A41"/>
    <w:rsid w:val="00822E4F"/>
    <w:rsid w:val="008232DD"/>
    <w:rsid w:val="008233DE"/>
    <w:rsid w:val="008239F5"/>
    <w:rsid w:val="00823AF1"/>
    <w:rsid w:val="00823FA3"/>
    <w:rsid w:val="008244E0"/>
    <w:rsid w:val="0082481B"/>
    <w:rsid w:val="00824BD5"/>
    <w:rsid w:val="00825462"/>
    <w:rsid w:val="0082680B"/>
    <w:rsid w:val="00826D17"/>
    <w:rsid w:val="00827173"/>
    <w:rsid w:val="008274EB"/>
    <w:rsid w:val="0083028B"/>
    <w:rsid w:val="00831923"/>
    <w:rsid w:val="00831995"/>
    <w:rsid w:val="0083213E"/>
    <w:rsid w:val="0083295C"/>
    <w:rsid w:val="0083367D"/>
    <w:rsid w:val="00833950"/>
    <w:rsid w:val="00833E13"/>
    <w:rsid w:val="00834213"/>
    <w:rsid w:val="00834524"/>
    <w:rsid w:val="00834A23"/>
    <w:rsid w:val="00834C61"/>
    <w:rsid w:val="008358CC"/>
    <w:rsid w:val="008360D1"/>
    <w:rsid w:val="008362A1"/>
    <w:rsid w:val="00836F03"/>
    <w:rsid w:val="00836F55"/>
    <w:rsid w:val="00837566"/>
    <w:rsid w:val="00837C83"/>
    <w:rsid w:val="00837CD0"/>
    <w:rsid w:val="00837CEA"/>
    <w:rsid w:val="00837E36"/>
    <w:rsid w:val="0084087B"/>
    <w:rsid w:val="00840A56"/>
    <w:rsid w:val="0084108E"/>
    <w:rsid w:val="008423BC"/>
    <w:rsid w:val="00842A4A"/>
    <w:rsid w:val="00842E68"/>
    <w:rsid w:val="00843266"/>
    <w:rsid w:val="00844067"/>
    <w:rsid w:val="0084495C"/>
    <w:rsid w:val="00844E71"/>
    <w:rsid w:val="00845534"/>
    <w:rsid w:val="00845843"/>
    <w:rsid w:val="00846870"/>
    <w:rsid w:val="008469BF"/>
    <w:rsid w:val="008473B2"/>
    <w:rsid w:val="0084791E"/>
    <w:rsid w:val="00850AC6"/>
    <w:rsid w:val="008532F7"/>
    <w:rsid w:val="00853C23"/>
    <w:rsid w:val="0085411F"/>
    <w:rsid w:val="00854174"/>
    <w:rsid w:val="0085438B"/>
    <w:rsid w:val="008549A5"/>
    <w:rsid w:val="00855E67"/>
    <w:rsid w:val="00855FB2"/>
    <w:rsid w:val="00856067"/>
    <w:rsid w:val="00856135"/>
    <w:rsid w:val="0085626D"/>
    <w:rsid w:val="00856FE8"/>
    <w:rsid w:val="00857024"/>
    <w:rsid w:val="0085753D"/>
    <w:rsid w:val="00860E47"/>
    <w:rsid w:val="0086164F"/>
    <w:rsid w:val="00861BAC"/>
    <w:rsid w:val="00861E06"/>
    <w:rsid w:val="00862045"/>
    <w:rsid w:val="0086284F"/>
    <w:rsid w:val="00862D44"/>
    <w:rsid w:val="008631DD"/>
    <w:rsid w:val="0086335F"/>
    <w:rsid w:val="008634A9"/>
    <w:rsid w:val="00863A0D"/>
    <w:rsid w:val="00865DA3"/>
    <w:rsid w:val="008668E9"/>
    <w:rsid w:val="00866E55"/>
    <w:rsid w:val="00866EA2"/>
    <w:rsid w:val="00867155"/>
    <w:rsid w:val="00867BA8"/>
    <w:rsid w:val="00870C91"/>
    <w:rsid w:val="00871774"/>
    <w:rsid w:val="00872AAF"/>
    <w:rsid w:val="00872F0E"/>
    <w:rsid w:val="0087308C"/>
    <w:rsid w:val="00873AB7"/>
    <w:rsid w:val="00874CA9"/>
    <w:rsid w:val="00874E37"/>
    <w:rsid w:val="008754DE"/>
    <w:rsid w:val="0087575C"/>
    <w:rsid w:val="00875E36"/>
    <w:rsid w:val="0087622F"/>
    <w:rsid w:val="008762A8"/>
    <w:rsid w:val="00876ACB"/>
    <w:rsid w:val="00876FCE"/>
    <w:rsid w:val="00877246"/>
    <w:rsid w:val="00877D59"/>
    <w:rsid w:val="0088052B"/>
    <w:rsid w:val="00880A57"/>
    <w:rsid w:val="00880F9B"/>
    <w:rsid w:val="00881197"/>
    <w:rsid w:val="00881288"/>
    <w:rsid w:val="00881396"/>
    <w:rsid w:val="008813F3"/>
    <w:rsid w:val="00882206"/>
    <w:rsid w:val="00882E76"/>
    <w:rsid w:val="0088327A"/>
    <w:rsid w:val="008836EC"/>
    <w:rsid w:val="008846B6"/>
    <w:rsid w:val="008849E6"/>
    <w:rsid w:val="0088555C"/>
    <w:rsid w:val="00885862"/>
    <w:rsid w:val="00885E92"/>
    <w:rsid w:val="008866F7"/>
    <w:rsid w:val="008867E4"/>
    <w:rsid w:val="00886AAF"/>
    <w:rsid w:val="008870CB"/>
    <w:rsid w:val="00887DBE"/>
    <w:rsid w:val="00890ABB"/>
    <w:rsid w:val="008931FC"/>
    <w:rsid w:val="008933B4"/>
    <w:rsid w:val="00893B31"/>
    <w:rsid w:val="00893C80"/>
    <w:rsid w:val="00893EA0"/>
    <w:rsid w:val="00894040"/>
    <w:rsid w:val="00895540"/>
    <w:rsid w:val="00895756"/>
    <w:rsid w:val="00895A5E"/>
    <w:rsid w:val="008961AA"/>
    <w:rsid w:val="008962B7"/>
    <w:rsid w:val="0089690A"/>
    <w:rsid w:val="00896A29"/>
    <w:rsid w:val="00896E5C"/>
    <w:rsid w:val="00897A6B"/>
    <w:rsid w:val="008A0FD3"/>
    <w:rsid w:val="008A119E"/>
    <w:rsid w:val="008A15BF"/>
    <w:rsid w:val="008A15CF"/>
    <w:rsid w:val="008A1795"/>
    <w:rsid w:val="008A195A"/>
    <w:rsid w:val="008A3517"/>
    <w:rsid w:val="008A3766"/>
    <w:rsid w:val="008A379F"/>
    <w:rsid w:val="008A406F"/>
    <w:rsid w:val="008A4108"/>
    <w:rsid w:val="008A4B7D"/>
    <w:rsid w:val="008A4F5F"/>
    <w:rsid w:val="008A54A2"/>
    <w:rsid w:val="008A592E"/>
    <w:rsid w:val="008A5BC8"/>
    <w:rsid w:val="008A608F"/>
    <w:rsid w:val="008A6B38"/>
    <w:rsid w:val="008A6D81"/>
    <w:rsid w:val="008A70C3"/>
    <w:rsid w:val="008A7C36"/>
    <w:rsid w:val="008A7D75"/>
    <w:rsid w:val="008B14EB"/>
    <w:rsid w:val="008B15EE"/>
    <w:rsid w:val="008B3A19"/>
    <w:rsid w:val="008B41AA"/>
    <w:rsid w:val="008B47F8"/>
    <w:rsid w:val="008B5231"/>
    <w:rsid w:val="008B6FA8"/>
    <w:rsid w:val="008B7A46"/>
    <w:rsid w:val="008B7CD6"/>
    <w:rsid w:val="008C1796"/>
    <w:rsid w:val="008C31C1"/>
    <w:rsid w:val="008C31CF"/>
    <w:rsid w:val="008C4309"/>
    <w:rsid w:val="008C4ADA"/>
    <w:rsid w:val="008C57C5"/>
    <w:rsid w:val="008C5CB5"/>
    <w:rsid w:val="008C6D8C"/>
    <w:rsid w:val="008C7022"/>
    <w:rsid w:val="008C7065"/>
    <w:rsid w:val="008C792D"/>
    <w:rsid w:val="008C79AC"/>
    <w:rsid w:val="008C7B4E"/>
    <w:rsid w:val="008C7F38"/>
    <w:rsid w:val="008D031A"/>
    <w:rsid w:val="008D0E87"/>
    <w:rsid w:val="008D184A"/>
    <w:rsid w:val="008D197D"/>
    <w:rsid w:val="008D23A4"/>
    <w:rsid w:val="008D23FA"/>
    <w:rsid w:val="008D25F5"/>
    <w:rsid w:val="008D2C18"/>
    <w:rsid w:val="008D3756"/>
    <w:rsid w:val="008D4328"/>
    <w:rsid w:val="008D5D5C"/>
    <w:rsid w:val="008D6C9F"/>
    <w:rsid w:val="008D78EC"/>
    <w:rsid w:val="008E0751"/>
    <w:rsid w:val="008E087F"/>
    <w:rsid w:val="008E0BAA"/>
    <w:rsid w:val="008E1A33"/>
    <w:rsid w:val="008E2454"/>
    <w:rsid w:val="008E360A"/>
    <w:rsid w:val="008E3AFB"/>
    <w:rsid w:val="008E4E0E"/>
    <w:rsid w:val="008E5245"/>
    <w:rsid w:val="008E5247"/>
    <w:rsid w:val="008E53C8"/>
    <w:rsid w:val="008E5D88"/>
    <w:rsid w:val="008E618F"/>
    <w:rsid w:val="008E6439"/>
    <w:rsid w:val="008E69D7"/>
    <w:rsid w:val="008E6E95"/>
    <w:rsid w:val="008E7616"/>
    <w:rsid w:val="008F05DD"/>
    <w:rsid w:val="008F0B76"/>
    <w:rsid w:val="008F0BC1"/>
    <w:rsid w:val="008F0D41"/>
    <w:rsid w:val="008F109B"/>
    <w:rsid w:val="008F2499"/>
    <w:rsid w:val="008F2BED"/>
    <w:rsid w:val="008F2EA6"/>
    <w:rsid w:val="008F2F9E"/>
    <w:rsid w:val="008F389A"/>
    <w:rsid w:val="008F4731"/>
    <w:rsid w:val="008F5C27"/>
    <w:rsid w:val="008F5CA7"/>
    <w:rsid w:val="008F5D7B"/>
    <w:rsid w:val="008F5E83"/>
    <w:rsid w:val="008F608F"/>
    <w:rsid w:val="008F618C"/>
    <w:rsid w:val="008F66BF"/>
    <w:rsid w:val="008F6761"/>
    <w:rsid w:val="008F6894"/>
    <w:rsid w:val="008F6958"/>
    <w:rsid w:val="008F6BDC"/>
    <w:rsid w:val="008F74BC"/>
    <w:rsid w:val="008F7F29"/>
    <w:rsid w:val="00900429"/>
    <w:rsid w:val="009008FF"/>
    <w:rsid w:val="00900A25"/>
    <w:rsid w:val="00900E73"/>
    <w:rsid w:val="00900FA3"/>
    <w:rsid w:val="009011BA"/>
    <w:rsid w:val="0090187B"/>
    <w:rsid w:val="00901978"/>
    <w:rsid w:val="00901FD2"/>
    <w:rsid w:val="00902483"/>
    <w:rsid w:val="0090286D"/>
    <w:rsid w:val="00903A39"/>
    <w:rsid w:val="00903B06"/>
    <w:rsid w:val="009049E3"/>
    <w:rsid w:val="009059C9"/>
    <w:rsid w:val="00905C25"/>
    <w:rsid w:val="00905C6A"/>
    <w:rsid w:val="009060C3"/>
    <w:rsid w:val="00906864"/>
    <w:rsid w:val="00906D51"/>
    <w:rsid w:val="00906D54"/>
    <w:rsid w:val="009075A6"/>
    <w:rsid w:val="00907E5A"/>
    <w:rsid w:val="00910650"/>
    <w:rsid w:val="00910DB6"/>
    <w:rsid w:val="00910F3C"/>
    <w:rsid w:val="00911400"/>
    <w:rsid w:val="0091167F"/>
    <w:rsid w:val="009119B6"/>
    <w:rsid w:val="00911FCD"/>
    <w:rsid w:val="00912233"/>
    <w:rsid w:val="0091277C"/>
    <w:rsid w:val="00912B33"/>
    <w:rsid w:val="009132E7"/>
    <w:rsid w:val="00913515"/>
    <w:rsid w:val="00914208"/>
    <w:rsid w:val="00914249"/>
    <w:rsid w:val="009148AF"/>
    <w:rsid w:val="00914DF6"/>
    <w:rsid w:val="00915326"/>
    <w:rsid w:val="009155C6"/>
    <w:rsid w:val="0091594E"/>
    <w:rsid w:val="00915AE0"/>
    <w:rsid w:val="009161EC"/>
    <w:rsid w:val="0091626E"/>
    <w:rsid w:val="00916742"/>
    <w:rsid w:val="00916BAB"/>
    <w:rsid w:val="00916CD8"/>
    <w:rsid w:val="00917593"/>
    <w:rsid w:val="00920381"/>
    <w:rsid w:val="00920536"/>
    <w:rsid w:val="00921A67"/>
    <w:rsid w:val="00922772"/>
    <w:rsid w:val="00922D33"/>
    <w:rsid w:val="00924DEE"/>
    <w:rsid w:val="00925CD7"/>
    <w:rsid w:val="00926AB7"/>
    <w:rsid w:val="00926DC8"/>
    <w:rsid w:val="00927167"/>
    <w:rsid w:val="0092784F"/>
    <w:rsid w:val="009278FC"/>
    <w:rsid w:val="009304A9"/>
    <w:rsid w:val="009307D4"/>
    <w:rsid w:val="0093140C"/>
    <w:rsid w:val="009320C1"/>
    <w:rsid w:val="00932A10"/>
    <w:rsid w:val="00932E81"/>
    <w:rsid w:val="00934CC4"/>
    <w:rsid w:val="0093578E"/>
    <w:rsid w:val="009359C9"/>
    <w:rsid w:val="00935C7F"/>
    <w:rsid w:val="00936A14"/>
    <w:rsid w:val="00936BB1"/>
    <w:rsid w:val="00937A2C"/>
    <w:rsid w:val="0094015F"/>
    <w:rsid w:val="0094049E"/>
    <w:rsid w:val="00941BF4"/>
    <w:rsid w:val="00941D30"/>
    <w:rsid w:val="00942AC1"/>
    <w:rsid w:val="00942F95"/>
    <w:rsid w:val="00943313"/>
    <w:rsid w:val="0094413F"/>
    <w:rsid w:val="00944230"/>
    <w:rsid w:val="00944641"/>
    <w:rsid w:val="009451D1"/>
    <w:rsid w:val="00945AE2"/>
    <w:rsid w:val="00945ECA"/>
    <w:rsid w:val="00946085"/>
    <w:rsid w:val="009463D1"/>
    <w:rsid w:val="009504FB"/>
    <w:rsid w:val="009509B7"/>
    <w:rsid w:val="00950A2E"/>
    <w:rsid w:val="00951A6C"/>
    <w:rsid w:val="00951B67"/>
    <w:rsid w:val="00952890"/>
    <w:rsid w:val="009528AF"/>
    <w:rsid w:val="00952B43"/>
    <w:rsid w:val="009533EA"/>
    <w:rsid w:val="00953F27"/>
    <w:rsid w:val="009542EA"/>
    <w:rsid w:val="009546D1"/>
    <w:rsid w:val="009547D1"/>
    <w:rsid w:val="00954947"/>
    <w:rsid w:val="009549AE"/>
    <w:rsid w:val="00954AF9"/>
    <w:rsid w:val="00954C81"/>
    <w:rsid w:val="00954F4A"/>
    <w:rsid w:val="009550A7"/>
    <w:rsid w:val="009561C4"/>
    <w:rsid w:val="009578F6"/>
    <w:rsid w:val="00957999"/>
    <w:rsid w:val="00957F7A"/>
    <w:rsid w:val="009605B1"/>
    <w:rsid w:val="009618DD"/>
    <w:rsid w:val="009621D9"/>
    <w:rsid w:val="009624DE"/>
    <w:rsid w:val="009628B2"/>
    <w:rsid w:val="009628C3"/>
    <w:rsid w:val="009630AE"/>
    <w:rsid w:val="009639F6"/>
    <w:rsid w:val="009642E2"/>
    <w:rsid w:val="00964662"/>
    <w:rsid w:val="009646CD"/>
    <w:rsid w:val="009648F6"/>
    <w:rsid w:val="00964E4D"/>
    <w:rsid w:val="00965CAF"/>
    <w:rsid w:val="00966150"/>
    <w:rsid w:val="009667A0"/>
    <w:rsid w:val="009670F3"/>
    <w:rsid w:val="00967320"/>
    <w:rsid w:val="009677AC"/>
    <w:rsid w:val="00967ABB"/>
    <w:rsid w:val="00970AF9"/>
    <w:rsid w:val="009710E5"/>
    <w:rsid w:val="009712BE"/>
    <w:rsid w:val="009717EA"/>
    <w:rsid w:val="0097188F"/>
    <w:rsid w:val="00971BD6"/>
    <w:rsid w:val="00972761"/>
    <w:rsid w:val="009732EE"/>
    <w:rsid w:val="0097440B"/>
    <w:rsid w:val="009744C0"/>
    <w:rsid w:val="00974605"/>
    <w:rsid w:val="0097466C"/>
    <w:rsid w:val="00974794"/>
    <w:rsid w:val="009748CC"/>
    <w:rsid w:val="00974E65"/>
    <w:rsid w:val="009753EA"/>
    <w:rsid w:val="00975AD2"/>
    <w:rsid w:val="00976020"/>
    <w:rsid w:val="0097604D"/>
    <w:rsid w:val="00976C8E"/>
    <w:rsid w:val="009774CF"/>
    <w:rsid w:val="00977BA7"/>
    <w:rsid w:val="00981409"/>
    <w:rsid w:val="0098201C"/>
    <w:rsid w:val="00982439"/>
    <w:rsid w:val="0098261A"/>
    <w:rsid w:val="009831D4"/>
    <w:rsid w:val="00983E18"/>
    <w:rsid w:val="009844EE"/>
    <w:rsid w:val="00984DDF"/>
    <w:rsid w:val="00984EAB"/>
    <w:rsid w:val="0098689A"/>
    <w:rsid w:val="00987010"/>
    <w:rsid w:val="0098791D"/>
    <w:rsid w:val="009902CB"/>
    <w:rsid w:val="00990D71"/>
    <w:rsid w:val="0099127F"/>
    <w:rsid w:val="00991330"/>
    <w:rsid w:val="00991FEE"/>
    <w:rsid w:val="00992773"/>
    <w:rsid w:val="00992AA1"/>
    <w:rsid w:val="00993C28"/>
    <w:rsid w:val="00993C32"/>
    <w:rsid w:val="00993C78"/>
    <w:rsid w:val="00993EF9"/>
    <w:rsid w:val="0099448A"/>
    <w:rsid w:val="009949B6"/>
    <w:rsid w:val="00995BF1"/>
    <w:rsid w:val="00995DEC"/>
    <w:rsid w:val="00995F96"/>
    <w:rsid w:val="00996175"/>
    <w:rsid w:val="0099764E"/>
    <w:rsid w:val="00997A51"/>
    <w:rsid w:val="00997E55"/>
    <w:rsid w:val="009A0C1F"/>
    <w:rsid w:val="009A13EA"/>
    <w:rsid w:val="009A1ECD"/>
    <w:rsid w:val="009A29DA"/>
    <w:rsid w:val="009A2D31"/>
    <w:rsid w:val="009A3135"/>
    <w:rsid w:val="009A31C8"/>
    <w:rsid w:val="009A3654"/>
    <w:rsid w:val="009A3AD9"/>
    <w:rsid w:val="009A3ADD"/>
    <w:rsid w:val="009A40DC"/>
    <w:rsid w:val="009A4401"/>
    <w:rsid w:val="009A54F0"/>
    <w:rsid w:val="009A5896"/>
    <w:rsid w:val="009A5C64"/>
    <w:rsid w:val="009A5D15"/>
    <w:rsid w:val="009A6E6A"/>
    <w:rsid w:val="009A6F56"/>
    <w:rsid w:val="009B014B"/>
    <w:rsid w:val="009B1051"/>
    <w:rsid w:val="009B10A8"/>
    <w:rsid w:val="009B1ABA"/>
    <w:rsid w:val="009B4765"/>
    <w:rsid w:val="009B4BA8"/>
    <w:rsid w:val="009B4C00"/>
    <w:rsid w:val="009B4FBF"/>
    <w:rsid w:val="009B58AE"/>
    <w:rsid w:val="009B58EE"/>
    <w:rsid w:val="009B6786"/>
    <w:rsid w:val="009B6790"/>
    <w:rsid w:val="009B6E5B"/>
    <w:rsid w:val="009B7322"/>
    <w:rsid w:val="009B7615"/>
    <w:rsid w:val="009B762F"/>
    <w:rsid w:val="009B77AD"/>
    <w:rsid w:val="009B793A"/>
    <w:rsid w:val="009B7C23"/>
    <w:rsid w:val="009C0329"/>
    <w:rsid w:val="009C1078"/>
    <w:rsid w:val="009C1A17"/>
    <w:rsid w:val="009C1E93"/>
    <w:rsid w:val="009C2110"/>
    <w:rsid w:val="009C2332"/>
    <w:rsid w:val="009C3B90"/>
    <w:rsid w:val="009C5C46"/>
    <w:rsid w:val="009C6731"/>
    <w:rsid w:val="009C7023"/>
    <w:rsid w:val="009C7AAF"/>
    <w:rsid w:val="009D0633"/>
    <w:rsid w:val="009D07A6"/>
    <w:rsid w:val="009D0C38"/>
    <w:rsid w:val="009D0DC9"/>
    <w:rsid w:val="009D0E2F"/>
    <w:rsid w:val="009D11B8"/>
    <w:rsid w:val="009D15CB"/>
    <w:rsid w:val="009D1F2D"/>
    <w:rsid w:val="009D2121"/>
    <w:rsid w:val="009D2689"/>
    <w:rsid w:val="009D268E"/>
    <w:rsid w:val="009D55F2"/>
    <w:rsid w:val="009D5EB3"/>
    <w:rsid w:val="009D6768"/>
    <w:rsid w:val="009D6BA8"/>
    <w:rsid w:val="009D710E"/>
    <w:rsid w:val="009D714E"/>
    <w:rsid w:val="009D7A52"/>
    <w:rsid w:val="009E0B8E"/>
    <w:rsid w:val="009E0F1E"/>
    <w:rsid w:val="009E1352"/>
    <w:rsid w:val="009E19AC"/>
    <w:rsid w:val="009E2158"/>
    <w:rsid w:val="009E27F1"/>
    <w:rsid w:val="009E2A73"/>
    <w:rsid w:val="009E30CD"/>
    <w:rsid w:val="009E5668"/>
    <w:rsid w:val="009E5714"/>
    <w:rsid w:val="009E5E13"/>
    <w:rsid w:val="009E5E95"/>
    <w:rsid w:val="009E6663"/>
    <w:rsid w:val="009E68F5"/>
    <w:rsid w:val="009E6AFD"/>
    <w:rsid w:val="009E7638"/>
    <w:rsid w:val="009E7FB8"/>
    <w:rsid w:val="009F02A7"/>
    <w:rsid w:val="009F0815"/>
    <w:rsid w:val="009F10FF"/>
    <w:rsid w:val="009F1269"/>
    <w:rsid w:val="009F320B"/>
    <w:rsid w:val="009F3795"/>
    <w:rsid w:val="009F3A85"/>
    <w:rsid w:val="009F414F"/>
    <w:rsid w:val="009F47E3"/>
    <w:rsid w:val="009F4F3C"/>
    <w:rsid w:val="009F53EB"/>
    <w:rsid w:val="009F5BC0"/>
    <w:rsid w:val="009F5ED5"/>
    <w:rsid w:val="009F5F56"/>
    <w:rsid w:val="009F62DE"/>
    <w:rsid w:val="009F6353"/>
    <w:rsid w:val="009F7D7B"/>
    <w:rsid w:val="00A00CA2"/>
    <w:rsid w:val="00A012FE"/>
    <w:rsid w:val="00A01C63"/>
    <w:rsid w:val="00A024DB"/>
    <w:rsid w:val="00A02A2A"/>
    <w:rsid w:val="00A035CE"/>
    <w:rsid w:val="00A03AA8"/>
    <w:rsid w:val="00A049D5"/>
    <w:rsid w:val="00A04DEC"/>
    <w:rsid w:val="00A0515F"/>
    <w:rsid w:val="00A060BC"/>
    <w:rsid w:val="00A071C2"/>
    <w:rsid w:val="00A0751C"/>
    <w:rsid w:val="00A079E3"/>
    <w:rsid w:val="00A10298"/>
    <w:rsid w:val="00A111A8"/>
    <w:rsid w:val="00A1128C"/>
    <w:rsid w:val="00A1141A"/>
    <w:rsid w:val="00A11993"/>
    <w:rsid w:val="00A12299"/>
    <w:rsid w:val="00A1265E"/>
    <w:rsid w:val="00A137DB"/>
    <w:rsid w:val="00A137ED"/>
    <w:rsid w:val="00A13F66"/>
    <w:rsid w:val="00A14393"/>
    <w:rsid w:val="00A1469C"/>
    <w:rsid w:val="00A14EC2"/>
    <w:rsid w:val="00A157F8"/>
    <w:rsid w:val="00A15DAA"/>
    <w:rsid w:val="00A17125"/>
    <w:rsid w:val="00A17363"/>
    <w:rsid w:val="00A17998"/>
    <w:rsid w:val="00A179EB"/>
    <w:rsid w:val="00A17C0C"/>
    <w:rsid w:val="00A20053"/>
    <w:rsid w:val="00A2056B"/>
    <w:rsid w:val="00A20ED7"/>
    <w:rsid w:val="00A21615"/>
    <w:rsid w:val="00A22E04"/>
    <w:rsid w:val="00A233E5"/>
    <w:rsid w:val="00A24123"/>
    <w:rsid w:val="00A2443E"/>
    <w:rsid w:val="00A25236"/>
    <w:rsid w:val="00A252A9"/>
    <w:rsid w:val="00A25A78"/>
    <w:rsid w:val="00A26253"/>
    <w:rsid w:val="00A26519"/>
    <w:rsid w:val="00A26545"/>
    <w:rsid w:val="00A270FF"/>
    <w:rsid w:val="00A2734B"/>
    <w:rsid w:val="00A300E3"/>
    <w:rsid w:val="00A3109E"/>
    <w:rsid w:val="00A3131C"/>
    <w:rsid w:val="00A3144B"/>
    <w:rsid w:val="00A31A77"/>
    <w:rsid w:val="00A31F4C"/>
    <w:rsid w:val="00A32BC1"/>
    <w:rsid w:val="00A33681"/>
    <w:rsid w:val="00A336D0"/>
    <w:rsid w:val="00A3475C"/>
    <w:rsid w:val="00A347F6"/>
    <w:rsid w:val="00A34D6E"/>
    <w:rsid w:val="00A34F0F"/>
    <w:rsid w:val="00A3543B"/>
    <w:rsid w:val="00A35897"/>
    <w:rsid w:val="00A363E5"/>
    <w:rsid w:val="00A36626"/>
    <w:rsid w:val="00A366D7"/>
    <w:rsid w:val="00A36D99"/>
    <w:rsid w:val="00A36EB6"/>
    <w:rsid w:val="00A36F2A"/>
    <w:rsid w:val="00A372A2"/>
    <w:rsid w:val="00A3747A"/>
    <w:rsid w:val="00A37858"/>
    <w:rsid w:val="00A37C25"/>
    <w:rsid w:val="00A4081D"/>
    <w:rsid w:val="00A40E70"/>
    <w:rsid w:val="00A424BC"/>
    <w:rsid w:val="00A44FF4"/>
    <w:rsid w:val="00A452FE"/>
    <w:rsid w:val="00A4569F"/>
    <w:rsid w:val="00A46116"/>
    <w:rsid w:val="00A467D4"/>
    <w:rsid w:val="00A46968"/>
    <w:rsid w:val="00A46BFD"/>
    <w:rsid w:val="00A46D5B"/>
    <w:rsid w:val="00A509EA"/>
    <w:rsid w:val="00A514FC"/>
    <w:rsid w:val="00A518E5"/>
    <w:rsid w:val="00A5257C"/>
    <w:rsid w:val="00A526FD"/>
    <w:rsid w:val="00A5314C"/>
    <w:rsid w:val="00A53328"/>
    <w:rsid w:val="00A533DC"/>
    <w:rsid w:val="00A53A0A"/>
    <w:rsid w:val="00A53B3A"/>
    <w:rsid w:val="00A54832"/>
    <w:rsid w:val="00A54A5A"/>
    <w:rsid w:val="00A54E30"/>
    <w:rsid w:val="00A55030"/>
    <w:rsid w:val="00A55CB3"/>
    <w:rsid w:val="00A56496"/>
    <w:rsid w:val="00A56BB2"/>
    <w:rsid w:val="00A5713B"/>
    <w:rsid w:val="00A57442"/>
    <w:rsid w:val="00A57458"/>
    <w:rsid w:val="00A57687"/>
    <w:rsid w:val="00A5777E"/>
    <w:rsid w:val="00A60966"/>
    <w:rsid w:val="00A618C5"/>
    <w:rsid w:val="00A61AEB"/>
    <w:rsid w:val="00A62A4B"/>
    <w:rsid w:val="00A62F90"/>
    <w:rsid w:val="00A63481"/>
    <w:rsid w:val="00A6375F"/>
    <w:rsid w:val="00A63DF3"/>
    <w:rsid w:val="00A642F7"/>
    <w:rsid w:val="00A644D3"/>
    <w:rsid w:val="00A644F4"/>
    <w:rsid w:val="00A656E5"/>
    <w:rsid w:val="00A675B3"/>
    <w:rsid w:val="00A6783C"/>
    <w:rsid w:val="00A70FFD"/>
    <w:rsid w:val="00A71104"/>
    <w:rsid w:val="00A71125"/>
    <w:rsid w:val="00A71831"/>
    <w:rsid w:val="00A719F6"/>
    <w:rsid w:val="00A71FFB"/>
    <w:rsid w:val="00A7307C"/>
    <w:rsid w:val="00A73C15"/>
    <w:rsid w:val="00A74238"/>
    <w:rsid w:val="00A7451E"/>
    <w:rsid w:val="00A7499E"/>
    <w:rsid w:val="00A75133"/>
    <w:rsid w:val="00A75404"/>
    <w:rsid w:val="00A75DE8"/>
    <w:rsid w:val="00A762E7"/>
    <w:rsid w:val="00A777F7"/>
    <w:rsid w:val="00A779DD"/>
    <w:rsid w:val="00A77DA2"/>
    <w:rsid w:val="00A81262"/>
    <w:rsid w:val="00A8153F"/>
    <w:rsid w:val="00A81867"/>
    <w:rsid w:val="00A82402"/>
    <w:rsid w:val="00A829C7"/>
    <w:rsid w:val="00A838AE"/>
    <w:rsid w:val="00A83F7A"/>
    <w:rsid w:val="00A84825"/>
    <w:rsid w:val="00A84EF7"/>
    <w:rsid w:val="00A862D0"/>
    <w:rsid w:val="00A86549"/>
    <w:rsid w:val="00A866A8"/>
    <w:rsid w:val="00A86B88"/>
    <w:rsid w:val="00A90486"/>
    <w:rsid w:val="00A905DA"/>
    <w:rsid w:val="00A9070B"/>
    <w:rsid w:val="00A90C7B"/>
    <w:rsid w:val="00A90CDF"/>
    <w:rsid w:val="00A90CF9"/>
    <w:rsid w:val="00A90EB0"/>
    <w:rsid w:val="00A91058"/>
    <w:rsid w:val="00A917CD"/>
    <w:rsid w:val="00A92786"/>
    <w:rsid w:val="00A92C09"/>
    <w:rsid w:val="00A92E7B"/>
    <w:rsid w:val="00A9393E"/>
    <w:rsid w:val="00A9419B"/>
    <w:rsid w:val="00A9438E"/>
    <w:rsid w:val="00A94925"/>
    <w:rsid w:val="00A95A7E"/>
    <w:rsid w:val="00A9632D"/>
    <w:rsid w:val="00A96E5A"/>
    <w:rsid w:val="00A9719E"/>
    <w:rsid w:val="00A974B6"/>
    <w:rsid w:val="00A97CB9"/>
    <w:rsid w:val="00A97EC1"/>
    <w:rsid w:val="00AA06A1"/>
    <w:rsid w:val="00AA076C"/>
    <w:rsid w:val="00AA0E0D"/>
    <w:rsid w:val="00AA2659"/>
    <w:rsid w:val="00AA2665"/>
    <w:rsid w:val="00AA2715"/>
    <w:rsid w:val="00AA27A9"/>
    <w:rsid w:val="00AA2BC7"/>
    <w:rsid w:val="00AA3927"/>
    <w:rsid w:val="00AA3C55"/>
    <w:rsid w:val="00AA3EB9"/>
    <w:rsid w:val="00AA5F77"/>
    <w:rsid w:val="00AA6330"/>
    <w:rsid w:val="00AA7830"/>
    <w:rsid w:val="00AB06DE"/>
    <w:rsid w:val="00AB1DD7"/>
    <w:rsid w:val="00AB2544"/>
    <w:rsid w:val="00AB362B"/>
    <w:rsid w:val="00AB3F37"/>
    <w:rsid w:val="00AB43B8"/>
    <w:rsid w:val="00AB51FA"/>
    <w:rsid w:val="00AB5CBE"/>
    <w:rsid w:val="00AB5F02"/>
    <w:rsid w:val="00AB610F"/>
    <w:rsid w:val="00AB75DB"/>
    <w:rsid w:val="00AC02E4"/>
    <w:rsid w:val="00AC09B7"/>
    <w:rsid w:val="00AC10FC"/>
    <w:rsid w:val="00AC14FB"/>
    <w:rsid w:val="00AC2610"/>
    <w:rsid w:val="00AC26E2"/>
    <w:rsid w:val="00AC36F8"/>
    <w:rsid w:val="00AC3B53"/>
    <w:rsid w:val="00AC3D3B"/>
    <w:rsid w:val="00AC3F34"/>
    <w:rsid w:val="00AC4E20"/>
    <w:rsid w:val="00AC514C"/>
    <w:rsid w:val="00AC68D6"/>
    <w:rsid w:val="00AC6CF5"/>
    <w:rsid w:val="00AC73D4"/>
    <w:rsid w:val="00AC7843"/>
    <w:rsid w:val="00AD0428"/>
    <w:rsid w:val="00AD0AE0"/>
    <w:rsid w:val="00AD1787"/>
    <w:rsid w:val="00AD1B70"/>
    <w:rsid w:val="00AD1B9A"/>
    <w:rsid w:val="00AD2ED8"/>
    <w:rsid w:val="00AD38AA"/>
    <w:rsid w:val="00AD38EB"/>
    <w:rsid w:val="00AD3EF3"/>
    <w:rsid w:val="00AD4328"/>
    <w:rsid w:val="00AD4EF0"/>
    <w:rsid w:val="00AD6514"/>
    <w:rsid w:val="00AD674F"/>
    <w:rsid w:val="00AD6F62"/>
    <w:rsid w:val="00AD7446"/>
    <w:rsid w:val="00AD7AA5"/>
    <w:rsid w:val="00AD7E85"/>
    <w:rsid w:val="00AE02F1"/>
    <w:rsid w:val="00AE0D84"/>
    <w:rsid w:val="00AE2BE4"/>
    <w:rsid w:val="00AE33C8"/>
    <w:rsid w:val="00AE3580"/>
    <w:rsid w:val="00AE4A65"/>
    <w:rsid w:val="00AE4D27"/>
    <w:rsid w:val="00AE5041"/>
    <w:rsid w:val="00AE649F"/>
    <w:rsid w:val="00AE6860"/>
    <w:rsid w:val="00AE6987"/>
    <w:rsid w:val="00AE6ABF"/>
    <w:rsid w:val="00AE73BE"/>
    <w:rsid w:val="00AF0160"/>
    <w:rsid w:val="00AF0291"/>
    <w:rsid w:val="00AF179F"/>
    <w:rsid w:val="00AF1D24"/>
    <w:rsid w:val="00AF1D37"/>
    <w:rsid w:val="00AF1E64"/>
    <w:rsid w:val="00AF2724"/>
    <w:rsid w:val="00AF3ACC"/>
    <w:rsid w:val="00AF48B0"/>
    <w:rsid w:val="00AF52D1"/>
    <w:rsid w:val="00AF5640"/>
    <w:rsid w:val="00AF5701"/>
    <w:rsid w:val="00AF59F9"/>
    <w:rsid w:val="00AF6D96"/>
    <w:rsid w:val="00AF712F"/>
    <w:rsid w:val="00AF7437"/>
    <w:rsid w:val="00AF7B41"/>
    <w:rsid w:val="00AF7C63"/>
    <w:rsid w:val="00AF7CE5"/>
    <w:rsid w:val="00AF7F38"/>
    <w:rsid w:val="00B00D65"/>
    <w:rsid w:val="00B00F5A"/>
    <w:rsid w:val="00B0164E"/>
    <w:rsid w:val="00B016FD"/>
    <w:rsid w:val="00B02C8A"/>
    <w:rsid w:val="00B02EF6"/>
    <w:rsid w:val="00B0332B"/>
    <w:rsid w:val="00B03516"/>
    <w:rsid w:val="00B0359C"/>
    <w:rsid w:val="00B043A0"/>
    <w:rsid w:val="00B050B0"/>
    <w:rsid w:val="00B05783"/>
    <w:rsid w:val="00B05CFE"/>
    <w:rsid w:val="00B07033"/>
    <w:rsid w:val="00B07264"/>
    <w:rsid w:val="00B07A50"/>
    <w:rsid w:val="00B07B93"/>
    <w:rsid w:val="00B10517"/>
    <w:rsid w:val="00B1068C"/>
    <w:rsid w:val="00B10A2A"/>
    <w:rsid w:val="00B122CB"/>
    <w:rsid w:val="00B13E4A"/>
    <w:rsid w:val="00B15056"/>
    <w:rsid w:val="00B151D2"/>
    <w:rsid w:val="00B15A2F"/>
    <w:rsid w:val="00B15DA1"/>
    <w:rsid w:val="00B163DE"/>
    <w:rsid w:val="00B1691C"/>
    <w:rsid w:val="00B17083"/>
    <w:rsid w:val="00B178C3"/>
    <w:rsid w:val="00B2000E"/>
    <w:rsid w:val="00B201C1"/>
    <w:rsid w:val="00B2054B"/>
    <w:rsid w:val="00B2071B"/>
    <w:rsid w:val="00B20C5E"/>
    <w:rsid w:val="00B20EE8"/>
    <w:rsid w:val="00B216E0"/>
    <w:rsid w:val="00B21B58"/>
    <w:rsid w:val="00B22350"/>
    <w:rsid w:val="00B23DC3"/>
    <w:rsid w:val="00B23EB6"/>
    <w:rsid w:val="00B240D9"/>
    <w:rsid w:val="00B25776"/>
    <w:rsid w:val="00B267B4"/>
    <w:rsid w:val="00B26C9F"/>
    <w:rsid w:val="00B27101"/>
    <w:rsid w:val="00B2729A"/>
    <w:rsid w:val="00B277F2"/>
    <w:rsid w:val="00B27A38"/>
    <w:rsid w:val="00B27C0D"/>
    <w:rsid w:val="00B27D40"/>
    <w:rsid w:val="00B3012D"/>
    <w:rsid w:val="00B30D4F"/>
    <w:rsid w:val="00B344EB"/>
    <w:rsid w:val="00B3463B"/>
    <w:rsid w:val="00B34672"/>
    <w:rsid w:val="00B34D55"/>
    <w:rsid w:val="00B35460"/>
    <w:rsid w:val="00B35F41"/>
    <w:rsid w:val="00B36072"/>
    <w:rsid w:val="00B3631F"/>
    <w:rsid w:val="00B3696F"/>
    <w:rsid w:val="00B372BA"/>
    <w:rsid w:val="00B3755F"/>
    <w:rsid w:val="00B377F6"/>
    <w:rsid w:val="00B37E82"/>
    <w:rsid w:val="00B37FA5"/>
    <w:rsid w:val="00B40398"/>
    <w:rsid w:val="00B4081A"/>
    <w:rsid w:val="00B41491"/>
    <w:rsid w:val="00B4157B"/>
    <w:rsid w:val="00B41B0E"/>
    <w:rsid w:val="00B41CFB"/>
    <w:rsid w:val="00B41DBA"/>
    <w:rsid w:val="00B4207F"/>
    <w:rsid w:val="00B42882"/>
    <w:rsid w:val="00B45A32"/>
    <w:rsid w:val="00B45D0C"/>
    <w:rsid w:val="00B4666D"/>
    <w:rsid w:val="00B46FB8"/>
    <w:rsid w:val="00B4710F"/>
    <w:rsid w:val="00B47173"/>
    <w:rsid w:val="00B4740F"/>
    <w:rsid w:val="00B47BCE"/>
    <w:rsid w:val="00B50892"/>
    <w:rsid w:val="00B50D88"/>
    <w:rsid w:val="00B50E4E"/>
    <w:rsid w:val="00B5118D"/>
    <w:rsid w:val="00B51965"/>
    <w:rsid w:val="00B52526"/>
    <w:rsid w:val="00B52DA2"/>
    <w:rsid w:val="00B5379B"/>
    <w:rsid w:val="00B537C5"/>
    <w:rsid w:val="00B53A50"/>
    <w:rsid w:val="00B5407F"/>
    <w:rsid w:val="00B54C08"/>
    <w:rsid w:val="00B54D13"/>
    <w:rsid w:val="00B55210"/>
    <w:rsid w:val="00B557FE"/>
    <w:rsid w:val="00B56376"/>
    <w:rsid w:val="00B5656E"/>
    <w:rsid w:val="00B56A82"/>
    <w:rsid w:val="00B57E8A"/>
    <w:rsid w:val="00B601AC"/>
    <w:rsid w:val="00B6079B"/>
    <w:rsid w:val="00B61DB5"/>
    <w:rsid w:val="00B62735"/>
    <w:rsid w:val="00B62EFF"/>
    <w:rsid w:val="00B63EFC"/>
    <w:rsid w:val="00B6448D"/>
    <w:rsid w:val="00B644F1"/>
    <w:rsid w:val="00B6467A"/>
    <w:rsid w:val="00B647D4"/>
    <w:rsid w:val="00B64868"/>
    <w:rsid w:val="00B648A0"/>
    <w:rsid w:val="00B656A8"/>
    <w:rsid w:val="00B65DEB"/>
    <w:rsid w:val="00B661B6"/>
    <w:rsid w:val="00B700BF"/>
    <w:rsid w:val="00B708A7"/>
    <w:rsid w:val="00B70CA9"/>
    <w:rsid w:val="00B713A9"/>
    <w:rsid w:val="00B71539"/>
    <w:rsid w:val="00B717CB"/>
    <w:rsid w:val="00B71C5D"/>
    <w:rsid w:val="00B72CFD"/>
    <w:rsid w:val="00B732E6"/>
    <w:rsid w:val="00B733E6"/>
    <w:rsid w:val="00B734BE"/>
    <w:rsid w:val="00B73822"/>
    <w:rsid w:val="00B752C2"/>
    <w:rsid w:val="00B752F3"/>
    <w:rsid w:val="00B75829"/>
    <w:rsid w:val="00B75B7C"/>
    <w:rsid w:val="00B75DBC"/>
    <w:rsid w:val="00B75DE2"/>
    <w:rsid w:val="00B801AB"/>
    <w:rsid w:val="00B808FA"/>
    <w:rsid w:val="00B80BB7"/>
    <w:rsid w:val="00B823AE"/>
    <w:rsid w:val="00B8305F"/>
    <w:rsid w:val="00B831DC"/>
    <w:rsid w:val="00B835B1"/>
    <w:rsid w:val="00B839DD"/>
    <w:rsid w:val="00B83ECF"/>
    <w:rsid w:val="00B83F30"/>
    <w:rsid w:val="00B83FFF"/>
    <w:rsid w:val="00B84038"/>
    <w:rsid w:val="00B845A5"/>
    <w:rsid w:val="00B84DE4"/>
    <w:rsid w:val="00B8702B"/>
    <w:rsid w:val="00B872F4"/>
    <w:rsid w:val="00B8732C"/>
    <w:rsid w:val="00B87570"/>
    <w:rsid w:val="00B87793"/>
    <w:rsid w:val="00B87EF3"/>
    <w:rsid w:val="00B902A1"/>
    <w:rsid w:val="00B90DCA"/>
    <w:rsid w:val="00B910FF"/>
    <w:rsid w:val="00B91BAD"/>
    <w:rsid w:val="00B9210B"/>
    <w:rsid w:val="00B922B2"/>
    <w:rsid w:val="00B92306"/>
    <w:rsid w:val="00B9262E"/>
    <w:rsid w:val="00B92B4A"/>
    <w:rsid w:val="00B937AD"/>
    <w:rsid w:val="00B94C73"/>
    <w:rsid w:val="00B94E93"/>
    <w:rsid w:val="00BA009B"/>
    <w:rsid w:val="00BA0759"/>
    <w:rsid w:val="00BA1A90"/>
    <w:rsid w:val="00BA3487"/>
    <w:rsid w:val="00BA3512"/>
    <w:rsid w:val="00BA3F58"/>
    <w:rsid w:val="00BA4216"/>
    <w:rsid w:val="00BA4235"/>
    <w:rsid w:val="00BA4A99"/>
    <w:rsid w:val="00BA4F1F"/>
    <w:rsid w:val="00BA4F93"/>
    <w:rsid w:val="00BA6702"/>
    <w:rsid w:val="00BA6953"/>
    <w:rsid w:val="00BA7384"/>
    <w:rsid w:val="00BA7932"/>
    <w:rsid w:val="00BA7AE8"/>
    <w:rsid w:val="00BA7EB2"/>
    <w:rsid w:val="00BB06BC"/>
    <w:rsid w:val="00BB0CBF"/>
    <w:rsid w:val="00BB0EBD"/>
    <w:rsid w:val="00BB11B0"/>
    <w:rsid w:val="00BB146F"/>
    <w:rsid w:val="00BB1D1A"/>
    <w:rsid w:val="00BB2A94"/>
    <w:rsid w:val="00BB3480"/>
    <w:rsid w:val="00BB3960"/>
    <w:rsid w:val="00BB65D4"/>
    <w:rsid w:val="00BB7260"/>
    <w:rsid w:val="00BB7544"/>
    <w:rsid w:val="00BB76D5"/>
    <w:rsid w:val="00BC0635"/>
    <w:rsid w:val="00BC1804"/>
    <w:rsid w:val="00BC29C2"/>
    <w:rsid w:val="00BC30C6"/>
    <w:rsid w:val="00BC30CD"/>
    <w:rsid w:val="00BC3111"/>
    <w:rsid w:val="00BC3410"/>
    <w:rsid w:val="00BC3522"/>
    <w:rsid w:val="00BC3B81"/>
    <w:rsid w:val="00BC531B"/>
    <w:rsid w:val="00BC5827"/>
    <w:rsid w:val="00BC5EB4"/>
    <w:rsid w:val="00BC61CB"/>
    <w:rsid w:val="00BC624B"/>
    <w:rsid w:val="00BC67BC"/>
    <w:rsid w:val="00BC690B"/>
    <w:rsid w:val="00BC6B74"/>
    <w:rsid w:val="00BC71DE"/>
    <w:rsid w:val="00BC7650"/>
    <w:rsid w:val="00BC7AD1"/>
    <w:rsid w:val="00BD0438"/>
    <w:rsid w:val="00BD05AC"/>
    <w:rsid w:val="00BD13AE"/>
    <w:rsid w:val="00BD21F7"/>
    <w:rsid w:val="00BD286F"/>
    <w:rsid w:val="00BD28C1"/>
    <w:rsid w:val="00BD2CB1"/>
    <w:rsid w:val="00BD347D"/>
    <w:rsid w:val="00BD3FCF"/>
    <w:rsid w:val="00BD4405"/>
    <w:rsid w:val="00BD4B42"/>
    <w:rsid w:val="00BD578C"/>
    <w:rsid w:val="00BD6C89"/>
    <w:rsid w:val="00BD71A8"/>
    <w:rsid w:val="00BD72CC"/>
    <w:rsid w:val="00BD735B"/>
    <w:rsid w:val="00BD76FF"/>
    <w:rsid w:val="00BD7E07"/>
    <w:rsid w:val="00BD7F58"/>
    <w:rsid w:val="00BE0870"/>
    <w:rsid w:val="00BE0B3D"/>
    <w:rsid w:val="00BE0B58"/>
    <w:rsid w:val="00BE1551"/>
    <w:rsid w:val="00BE179C"/>
    <w:rsid w:val="00BE23A9"/>
    <w:rsid w:val="00BE2CC3"/>
    <w:rsid w:val="00BE355E"/>
    <w:rsid w:val="00BE35C0"/>
    <w:rsid w:val="00BE3C05"/>
    <w:rsid w:val="00BE56AF"/>
    <w:rsid w:val="00BE58FD"/>
    <w:rsid w:val="00BE5942"/>
    <w:rsid w:val="00BE68EF"/>
    <w:rsid w:val="00BE6A8E"/>
    <w:rsid w:val="00BE76A4"/>
    <w:rsid w:val="00BE7860"/>
    <w:rsid w:val="00BE786F"/>
    <w:rsid w:val="00BE7C4A"/>
    <w:rsid w:val="00BF02EB"/>
    <w:rsid w:val="00BF03B3"/>
    <w:rsid w:val="00BF120E"/>
    <w:rsid w:val="00BF1444"/>
    <w:rsid w:val="00BF375A"/>
    <w:rsid w:val="00BF3A89"/>
    <w:rsid w:val="00BF45C5"/>
    <w:rsid w:val="00BF6012"/>
    <w:rsid w:val="00C00FA7"/>
    <w:rsid w:val="00C0238D"/>
    <w:rsid w:val="00C0270E"/>
    <w:rsid w:val="00C02B1D"/>
    <w:rsid w:val="00C03177"/>
    <w:rsid w:val="00C04164"/>
    <w:rsid w:val="00C05FFE"/>
    <w:rsid w:val="00C0619E"/>
    <w:rsid w:val="00C06564"/>
    <w:rsid w:val="00C06BB0"/>
    <w:rsid w:val="00C06EEE"/>
    <w:rsid w:val="00C1045C"/>
    <w:rsid w:val="00C10E1C"/>
    <w:rsid w:val="00C10F44"/>
    <w:rsid w:val="00C11D17"/>
    <w:rsid w:val="00C1474F"/>
    <w:rsid w:val="00C14B27"/>
    <w:rsid w:val="00C14F6A"/>
    <w:rsid w:val="00C150E3"/>
    <w:rsid w:val="00C15134"/>
    <w:rsid w:val="00C154BF"/>
    <w:rsid w:val="00C15684"/>
    <w:rsid w:val="00C15979"/>
    <w:rsid w:val="00C15F94"/>
    <w:rsid w:val="00C169CE"/>
    <w:rsid w:val="00C16D5D"/>
    <w:rsid w:val="00C1746E"/>
    <w:rsid w:val="00C17522"/>
    <w:rsid w:val="00C17AA5"/>
    <w:rsid w:val="00C17EAB"/>
    <w:rsid w:val="00C17F1E"/>
    <w:rsid w:val="00C20746"/>
    <w:rsid w:val="00C20AEA"/>
    <w:rsid w:val="00C20FC7"/>
    <w:rsid w:val="00C211D1"/>
    <w:rsid w:val="00C21709"/>
    <w:rsid w:val="00C21776"/>
    <w:rsid w:val="00C218EF"/>
    <w:rsid w:val="00C21A7E"/>
    <w:rsid w:val="00C21F00"/>
    <w:rsid w:val="00C2245F"/>
    <w:rsid w:val="00C2368F"/>
    <w:rsid w:val="00C240B6"/>
    <w:rsid w:val="00C240BE"/>
    <w:rsid w:val="00C24E62"/>
    <w:rsid w:val="00C260A3"/>
    <w:rsid w:val="00C26BA5"/>
    <w:rsid w:val="00C26DD3"/>
    <w:rsid w:val="00C271BC"/>
    <w:rsid w:val="00C302D5"/>
    <w:rsid w:val="00C30D17"/>
    <w:rsid w:val="00C30D33"/>
    <w:rsid w:val="00C31F4D"/>
    <w:rsid w:val="00C32E7D"/>
    <w:rsid w:val="00C33181"/>
    <w:rsid w:val="00C33381"/>
    <w:rsid w:val="00C33544"/>
    <w:rsid w:val="00C33721"/>
    <w:rsid w:val="00C33811"/>
    <w:rsid w:val="00C33C78"/>
    <w:rsid w:val="00C33C8F"/>
    <w:rsid w:val="00C33D05"/>
    <w:rsid w:val="00C33FBE"/>
    <w:rsid w:val="00C3477D"/>
    <w:rsid w:val="00C34ACB"/>
    <w:rsid w:val="00C367A1"/>
    <w:rsid w:val="00C36EF7"/>
    <w:rsid w:val="00C37287"/>
    <w:rsid w:val="00C3770B"/>
    <w:rsid w:val="00C37743"/>
    <w:rsid w:val="00C37C23"/>
    <w:rsid w:val="00C404DE"/>
    <w:rsid w:val="00C419B4"/>
    <w:rsid w:val="00C425D7"/>
    <w:rsid w:val="00C42A59"/>
    <w:rsid w:val="00C42D49"/>
    <w:rsid w:val="00C42E1D"/>
    <w:rsid w:val="00C43318"/>
    <w:rsid w:val="00C433A5"/>
    <w:rsid w:val="00C43475"/>
    <w:rsid w:val="00C44675"/>
    <w:rsid w:val="00C44CB7"/>
    <w:rsid w:val="00C453FD"/>
    <w:rsid w:val="00C45D13"/>
    <w:rsid w:val="00C45ECC"/>
    <w:rsid w:val="00C471B3"/>
    <w:rsid w:val="00C47418"/>
    <w:rsid w:val="00C4743E"/>
    <w:rsid w:val="00C4762E"/>
    <w:rsid w:val="00C500F0"/>
    <w:rsid w:val="00C50B3B"/>
    <w:rsid w:val="00C510A0"/>
    <w:rsid w:val="00C5136D"/>
    <w:rsid w:val="00C5160F"/>
    <w:rsid w:val="00C51A07"/>
    <w:rsid w:val="00C51E36"/>
    <w:rsid w:val="00C51F1A"/>
    <w:rsid w:val="00C52184"/>
    <w:rsid w:val="00C53DE1"/>
    <w:rsid w:val="00C54251"/>
    <w:rsid w:val="00C5427B"/>
    <w:rsid w:val="00C54658"/>
    <w:rsid w:val="00C55CAB"/>
    <w:rsid w:val="00C55E11"/>
    <w:rsid w:val="00C561EE"/>
    <w:rsid w:val="00C56F8F"/>
    <w:rsid w:val="00C57053"/>
    <w:rsid w:val="00C578AA"/>
    <w:rsid w:val="00C603A4"/>
    <w:rsid w:val="00C6064A"/>
    <w:rsid w:val="00C61F99"/>
    <w:rsid w:val="00C61FC9"/>
    <w:rsid w:val="00C6216D"/>
    <w:rsid w:val="00C627F8"/>
    <w:rsid w:val="00C63E26"/>
    <w:rsid w:val="00C64164"/>
    <w:rsid w:val="00C641D9"/>
    <w:rsid w:val="00C657F2"/>
    <w:rsid w:val="00C66004"/>
    <w:rsid w:val="00C6674C"/>
    <w:rsid w:val="00C66B13"/>
    <w:rsid w:val="00C66FA9"/>
    <w:rsid w:val="00C67495"/>
    <w:rsid w:val="00C675D3"/>
    <w:rsid w:val="00C70F3E"/>
    <w:rsid w:val="00C71DDA"/>
    <w:rsid w:val="00C7204E"/>
    <w:rsid w:val="00C724A4"/>
    <w:rsid w:val="00C736A4"/>
    <w:rsid w:val="00C75B5D"/>
    <w:rsid w:val="00C75C66"/>
    <w:rsid w:val="00C75DB0"/>
    <w:rsid w:val="00C76128"/>
    <w:rsid w:val="00C7665C"/>
    <w:rsid w:val="00C7697D"/>
    <w:rsid w:val="00C77983"/>
    <w:rsid w:val="00C77FF0"/>
    <w:rsid w:val="00C804C2"/>
    <w:rsid w:val="00C8083F"/>
    <w:rsid w:val="00C80932"/>
    <w:rsid w:val="00C809CA"/>
    <w:rsid w:val="00C80A15"/>
    <w:rsid w:val="00C80FF5"/>
    <w:rsid w:val="00C818C9"/>
    <w:rsid w:val="00C8231D"/>
    <w:rsid w:val="00C82597"/>
    <w:rsid w:val="00C82BBC"/>
    <w:rsid w:val="00C82CBF"/>
    <w:rsid w:val="00C83038"/>
    <w:rsid w:val="00C84DBA"/>
    <w:rsid w:val="00C84ECE"/>
    <w:rsid w:val="00C85219"/>
    <w:rsid w:val="00C8533A"/>
    <w:rsid w:val="00C855A4"/>
    <w:rsid w:val="00C868C2"/>
    <w:rsid w:val="00C87096"/>
    <w:rsid w:val="00C8745D"/>
    <w:rsid w:val="00C8752A"/>
    <w:rsid w:val="00C8753D"/>
    <w:rsid w:val="00C876D7"/>
    <w:rsid w:val="00C87FBB"/>
    <w:rsid w:val="00C909DE"/>
    <w:rsid w:val="00C91309"/>
    <w:rsid w:val="00C91398"/>
    <w:rsid w:val="00C91BE6"/>
    <w:rsid w:val="00C920B8"/>
    <w:rsid w:val="00C92165"/>
    <w:rsid w:val="00C92FD5"/>
    <w:rsid w:val="00C93364"/>
    <w:rsid w:val="00C9353F"/>
    <w:rsid w:val="00C940A9"/>
    <w:rsid w:val="00C94126"/>
    <w:rsid w:val="00C95253"/>
    <w:rsid w:val="00C95E6C"/>
    <w:rsid w:val="00C95EED"/>
    <w:rsid w:val="00C95F76"/>
    <w:rsid w:val="00C96178"/>
    <w:rsid w:val="00C96CCC"/>
    <w:rsid w:val="00C97360"/>
    <w:rsid w:val="00C973DA"/>
    <w:rsid w:val="00C9782C"/>
    <w:rsid w:val="00C97FD1"/>
    <w:rsid w:val="00CA01B4"/>
    <w:rsid w:val="00CA0917"/>
    <w:rsid w:val="00CA10A2"/>
    <w:rsid w:val="00CA2A0B"/>
    <w:rsid w:val="00CA2B8B"/>
    <w:rsid w:val="00CA3910"/>
    <w:rsid w:val="00CA4958"/>
    <w:rsid w:val="00CA52A7"/>
    <w:rsid w:val="00CA5890"/>
    <w:rsid w:val="00CA720C"/>
    <w:rsid w:val="00CA72CB"/>
    <w:rsid w:val="00CA7789"/>
    <w:rsid w:val="00CB004B"/>
    <w:rsid w:val="00CB0306"/>
    <w:rsid w:val="00CB0D4A"/>
    <w:rsid w:val="00CB1C3F"/>
    <w:rsid w:val="00CB1C61"/>
    <w:rsid w:val="00CB1E3A"/>
    <w:rsid w:val="00CB1EB0"/>
    <w:rsid w:val="00CB2F62"/>
    <w:rsid w:val="00CB309B"/>
    <w:rsid w:val="00CB3CED"/>
    <w:rsid w:val="00CB44D5"/>
    <w:rsid w:val="00CB48F2"/>
    <w:rsid w:val="00CB4A2A"/>
    <w:rsid w:val="00CB4EC0"/>
    <w:rsid w:val="00CB5049"/>
    <w:rsid w:val="00CB53FC"/>
    <w:rsid w:val="00CB5917"/>
    <w:rsid w:val="00CB5AFE"/>
    <w:rsid w:val="00CB5E15"/>
    <w:rsid w:val="00CB6DFD"/>
    <w:rsid w:val="00CB7614"/>
    <w:rsid w:val="00CB7728"/>
    <w:rsid w:val="00CB78BD"/>
    <w:rsid w:val="00CC074F"/>
    <w:rsid w:val="00CC0799"/>
    <w:rsid w:val="00CC11E6"/>
    <w:rsid w:val="00CC146B"/>
    <w:rsid w:val="00CC1581"/>
    <w:rsid w:val="00CC2897"/>
    <w:rsid w:val="00CC2DCB"/>
    <w:rsid w:val="00CC32ED"/>
    <w:rsid w:val="00CC333F"/>
    <w:rsid w:val="00CC334C"/>
    <w:rsid w:val="00CC3407"/>
    <w:rsid w:val="00CC498F"/>
    <w:rsid w:val="00CC4C7F"/>
    <w:rsid w:val="00CC5A76"/>
    <w:rsid w:val="00CC5D46"/>
    <w:rsid w:val="00CC5F1C"/>
    <w:rsid w:val="00CC6880"/>
    <w:rsid w:val="00CC7BF3"/>
    <w:rsid w:val="00CC7E0C"/>
    <w:rsid w:val="00CD09FE"/>
    <w:rsid w:val="00CD1A9A"/>
    <w:rsid w:val="00CD26B0"/>
    <w:rsid w:val="00CD282A"/>
    <w:rsid w:val="00CD2B54"/>
    <w:rsid w:val="00CD2E57"/>
    <w:rsid w:val="00CD2FA3"/>
    <w:rsid w:val="00CD35E8"/>
    <w:rsid w:val="00CD3C4C"/>
    <w:rsid w:val="00CD4873"/>
    <w:rsid w:val="00CD4A39"/>
    <w:rsid w:val="00CD5640"/>
    <w:rsid w:val="00CD5BD2"/>
    <w:rsid w:val="00CD5DBE"/>
    <w:rsid w:val="00CD61C5"/>
    <w:rsid w:val="00CD6271"/>
    <w:rsid w:val="00CD67FD"/>
    <w:rsid w:val="00CE0DA7"/>
    <w:rsid w:val="00CE180D"/>
    <w:rsid w:val="00CE30FE"/>
    <w:rsid w:val="00CE5393"/>
    <w:rsid w:val="00CE53B3"/>
    <w:rsid w:val="00CE5A3B"/>
    <w:rsid w:val="00CE5DF7"/>
    <w:rsid w:val="00CE5E4B"/>
    <w:rsid w:val="00CE605F"/>
    <w:rsid w:val="00CE628B"/>
    <w:rsid w:val="00CE7190"/>
    <w:rsid w:val="00CF0344"/>
    <w:rsid w:val="00CF0A7A"/>
    <w:rsid w:val="00CF0D09"/>
    <w:rsid w:val="00CF222D"/>
    <w:rsid w:val="00CF29E8"/>
    <w:rsid w:val="00CF35ED"/>
    <w:rsid w:val="00CF3C64"/>
    <w:rsid w:val="00CF3DF4"/>
    <w:rsid w:val="00CF3E6A"/>
    <w:rsid w:val="00CF4D55"/>
    <w:rsid w:val="00CF4E23"/>
    <w:rsid w:val="00CF4F54"/>
    <w:rsid w:val="00CF529A"/>
    <w:rsid w:val="00CF5BD0"/>
    <w:rsid w:val="00CF634B"/>
    <w:rsid w:val="00CF6361"/>
    <w:rsid w:val="00CF6B4B"/>
    <w:rsid w:val="00CF6F1A"/>
    <w:rsid w:val="00CF77A5"/>
    <w:rsid w:val="00D00C02"/>
    <w:rsid w:val="00D01198"/>
    <w:rsid w:val="00D01573"/>
    <w:rsid w:val="00D01616"/>
    <w:rsid w:val="00D018E3"/>
    <w:rsid w:val="00D02364"/>
    <w:rsid w:val="00D02371"/>
    <w:rsid w:val="00D02547"/>
    <w:rsid w:val="00D02770"/>
    <w:rsid w:val="00D02ECF"/>
    <w:rsid w:val="00D02F77"/>
    <w:rsid w:val="00D03285"/>
    <w:rsid w:val="00D03703"/>
    <w:rsid w:val="00D03B3F"/>
    <w:rsid w:val="00D03CD8"/>
    <w:rsid w:val="00D042F4"/>
    <w:rsid w:val="00D044C4"/>
    <w:rsid w:val="00D0463E"/>
    <w:rsid w:val="00D04AD7"/>
    <w:rsid w:val="00D04B5C"/>
    <w:rsid w:val="00D05153"/>
    <w:rsid w:val="00D055C7"/>
    <w:rsid w:val="00D06180"/>
    <w:rsid w:val="00D06863"/>
    <w:rsid w:val="00D06D2D"/>
    <w:rsid w:val="00D06D8B"/>
    <w:rsid w:val="00D06E89"/>
    <w:rsid w:val="00D06F47"/>
    <w:rsid w:val="00D10DB9"/>
    <w:rsid w:val="00D112AB"/>
    <w:rsid w:val="00D112F1"/>
    <w:rsid w:val="00D120DA"/>
    <w:rsid w:val="00D1289C"/>
    <w:rsid w:val="00D12915"/>
    <w:rsid w:val="00D12A09"/>
    <w:rsid w:val="00D12DC4"/>
    <w:rsid w:val="00D12EA7"/>
    <w:rsid w:val="00D12FA3"/>
    <w:rsid w:val="00D1366D"/>
    <w:rsid w:val="00D13B6D"/>
    <w:rsid w:val="00D1497D"/>
    <w:rsid w:val="00D14DA0"/>
    <w:rsid w:val="00D15143"/>
    <w:rsid w:val="00D151A8"/>
    <w:rsid w:val="00D158B4"/>
    <w:rsid w:val="00D15AF3"/>
    <w:rsid w:val="00D164DD"/>
    <w:rsid w:val="00D16553"/>
    <w:rsid w:val="00D1662B"/>
    <w:rsid w:val="00D16AFC"/>
    <w:rsid w:val="00D16BA7"/>
    <w:rsid w:val="00D16D52"/>
    <w:rsid w:val="00D173A4"/>
    <w:rsid w:val="00D17776"/>
    <w:rsid w:val="00D179CD"/>
    <w:rsid w:val="00D17CB9"/>
    <w:rsid w:val="00D17D62"/>
    <w:rsid w:val="00D20DAC"/>
    <w:rsid w:val="00D20F6F"/>
    <w:rsid w:val="00D231D2"/>
    <w:rsid w:val="00D23481"/>
    <w:rsid w:val="00D23505"/>
    <w:rsid w:val="00D23C48"/>
    <w:rsid w:val="00D24622"/>
    <w:rsid w:val="00D25F32"/>
    <w:rsid w:val="00D26171"/>
    <w:rsid w:val="00D267FE"/>
    <w:rsid w:val="00D26C20"/>
    <w:rsid w:val="00D27215"/>
    <w:rsid w:val="00D27F0C"/>
    <w:rsid w:val="00D303C1"/>
    <w:rsid w:val="00D31AD1"/>
    <w:rsid w:val="00D31C6B"/>
    <w:rsid w:val="00D321F3"/>
    <w:rsid w:val="00D34138"/>
    <w:rsid w:val="00D343D8"/>
    <w:rsid w:val="00D3473F"/>
    <w:rsid w:val="00D34E73"/>
    <w:rsid w:val="00D35C91"/>
    <w:rsid w:val="00D3634B"/>
    <w:rsid w:val="00D36D50"/>
    <w:rsid w:val="00D36EBA"/>
    <w:rsid w:val="00D37480"/>
    <w:rsid w:val="00D40366"/>
    <w:rsid w:val="00D40E8E"/>
    <w:rsid w:val="00D40E9E"/>
    <w:rsid w:val="00D40FA5"/>
    <w:rsid w:val="00D411D8"/>
    <w:rsid w:val="00D421E8"/>
    <w:rsid w:val="00D4264B"/>
    <w:rsid w:val="00D42BF5"/>
    <w:rsid w:val="00D42C22"/>
    <w:rsid w:val="00D43292"/>
    <w:rsid w:val="00D43865"/>
    <w:rsid w:val="00D438C9"/>
    <w:rsid w:val="00D44066"/>
    <w:rsid w:val="00D4412F"/>
    <w:rsid w:val="00D44ECA"/>
    <w:rsid w:val="00D455A3"/>
    <w:rsid w:val="00D4640B"/>
    <w:rsid w:val="00D5094B"/>
    <w:rsid w:val="00D50B04"/>
    <w:rsid w:val="00D5145A"/>
    <w:rsid w:val="00D521A6"/>
    <w:rsid w:val="00D526A8"/>
    <w:rsid w:val="00D52750"/>
    <w:rsid w:val="00D52968"/>
    <w:rsid w:val="00D54717"/>
    <w:rsid w:val="00D5555C"/>
    <w:rsid w:val="00D557F2"/>
    <w:rsid w:val="00D568C2"/>
    <w:rsid w:val="00D57710"/>
    <w:rsid w:val="00D57730"/>
    <w:rsid w:val="00D601CE"/>
    <w:rsid w:val="00D60A70"/>
    <w:rsid w:val="00D611E5"/>
    <w:rsid w:val="00D6125D"/>
    <w:rsid w:val="00D615CF"/>
    <w:rsid w:val="00D6238D"/>
    <w:rsid w:val="00D62D96"/>
    <w:rsid w:val="00D630BC"/>
    <w:rsid w:val="00D6338E"/>
    <w:rsid w:val="00D654EC"/>
    <w:rsid w:val="00D65BA0"/>
    <w:rsid w:val="00D65CCE"/>
    <w:rsid w:val="00D66D6B"/>
    <w:rsid w:val="00D66F12"/>
    <w:rsid w:val="00D67845"/>
    <w:rsid w:val="00D67EC4"/>
    <w:rsid w:val="00D71382"/>
    <w:rsid w:val="00D7195C"/>
    <w:rsid w:val="00D71B2C"/>
    <w:rsid w:val="00D7279A"/>
    <w:rsid w:val="00D72811"/>
    <w:rsid w:val="00D72E64"/>
    <w:rsid w:val="00D72FBD"/>
    <w:rsid w:val="00D7394F"/>
    <w:rsid w:val="00D73A82"/>
    <w:rsid w:val="00D7443E"/>
    <w:rsid w:val="00D752FF"/>
    <w:rsid w:val="00D768C1"/>
    <w:rsid w:val="00D77ACD"/>
    <w:rsid w:val="00D8065E"/>
    <w:rsid w:val="00D80EB2"/>
    <w:rsid w:val="00D81BA0"/>
    <w:rsid w:val="00D82126"/>
    <w:rsid w:val="00D8266D"/>
    <w:rsid w:val="00D82DAD"/>
    <w:rsid w:val="00D83316"/>
    <w:rsid w:val="00D8332E"/>
    <w:rsid w:val="00D8344D"/>
    <w:rsid w:val="00D84052"/>
    <w:rsid w:val="00D84392"/>
    <w:rsid w:val="00D84F99"/>
    <w:rsid w:val="00D85542"/>
    <w:rsid w:val="00D8566D"/>
    <w:rsid w:val="00D857D2"/>
    <w:rsid w:val="00D85814"/>
    <w:rsid w:val="00D86BB6"/>
    <w:rsid w:val="00D86BF9"/>
    <w:rsid w:val="00D8701D"/>
    <w:rsid w:val="00D87AED"/>
    <w:rsid w:val="00D9002C"/>
    <w:rsid w:val="00D90D0D"/>
    <w:rsid w:val="00D92065"/>
    <w:rsid w:val="00D92405"/>
    <w:rsid w:val="00D9314F"/>
    <w:rsid w:val="00D9345A"/>
    <w:rsid w:val="00D937B0"/>
    <w:rsid w:val="00D93F02"/>
    <w:rsid w:val="00D94447"/>
    <w:rsid w:val="00D94F80"/>
    <w:rsid w:val="00D94F8F"/>
    <w:rsid w:val="00D95A6C"/>
    <w:rsid w:val="00D95F68"/>
    <w:rsid w:val="00D962DD"/>
    <w:rsid w:val="00D96518"/>
    <w:rsid w:val="00D96767"/>
    <w:rsid w:val="00D96FB3"/>
    <w:rsid w:val="00D976DE"/>
    <w:rsid w:val="00D97A1D"/>
    <w:rsid w:val="00DA01B9"/>
    <w:rsid w:val="00DA1798"/>
    <w:rsid w:val="00DA17C5"/>
    <w:rsid w:val="00DA1DF9"/>
    <w:rsid w:val="00DA2218"/>
    <w:rsid w:val="00DA228C"/>
    <w:rsid w:val="00DA2DA4"/>
    <w:rsid w:val="00DA35B4"/>
    <w:rsid w:val="00DA3E31"/>
    <w:rsid w:val="00DA44E3"/>
    <w:rsid w:val="00DA478E"/>
    <w:rsid w:val="00DA4945"/>
    <w:rsid w:val="00DA4E29"/>
    <w:rsid w:val="00DA53D5"/>
    <w:rsid w:val="00DA544D"/>
    <w:rsid w:val="00DA54E7"/>
    <w:rsid w:val="00DA5AA5"/>
    <w:rsid w:val="00DA5D00"/>
    <w:rsid w:val="00DA682E"/>
    <w:rsid w:val="00DA7674"/>
    <w:rsid w:val="00DB0D32"/>
    <w:rsid w:val="00DB10E9"/>
    <w:rsid w:val="00DB13C7"/>
    <w:rsid w:val="00DB1B26"/>
    <w:rsid w:val="00DB22CC"/>
    <w:rsid w:val="00DB3259"/>
    <w:rsid w:val="00DB3AF3"/>
    <w:rsid w:val="00DB4393"/>
    <w:rsid w:val="00DB4D4D"/>
    <w:rsid w:val="00DB543C"/>
    <w:rsid w:val="00DB5587"/>
    <w:rsid w:val="00DB55AC"/>
    <w:rsid w:val="00DB6B40"/>
    <w:rsid w:val="00DB72BD"/>
    <w:rsid w:val="00DB7A52"/>
    <w:rsid w:val="00DB7B66"/>
    <w:rsid w:val="00DB7BB3"/>
    <w:rsid w:val="00DB7EA6"/>
    <w:rsid w:val="00DB7FCC"/>
    <w:rsid w:val="00DC05EB"/>
    <w:rsid w:val="00DC13A2"/>
    <w:rsid w:val="00DC19E7"/>
    <w:rsid w:val="00DC1E9D"/>
    <w:rsid w:val="00DC23DE"/>
    <w:rsid w:val="00DC3743"/>
    <w:rsid w:val="00DC40D3"/>
    <w:rsid w:val="00DC4329"/>
    <w:rsid w:val="00DC4A9C"/>
    <w:rsid w:val="00DC512C"/>
    <w:rsid w:val="00DC5941"/>
    <w:rsid w:val="00DC5C60"/>
    <w:rsid w:val="00DC6323"/>
    <w:rsid w:val="00DC6365"/>
    <w:rsid w:val="00DC6423"/>
    <w:rsid w:val="00DC64CC"/>
    <w:rsid w:val="00DC6871"/>
    <w:rsid w:val="00DC6DCE"/>
    <w:rsid w:val="00DC771A"/>
    <w:rsid w:val="00DC788E"/>
    <w:rsid w:val="00DC7AA3"/>
    <w:rsid w:val="00DC7F43"/>
    <w:rsid w:val="00DD0884"/>
    <w:rsid w:val="00DD0A74"/>
    <w:rsid w:val="00DD13F0"/>
    <w:rsid w:val="00DD1931"/>
    <w:rsid w:val="00DD2525"/>
    <w:rsid w:val="00DD27F5"/>
    <w:rsid w:val="00DD37F5"/>
    <w:rsid w:val="00DD416B"/>
    <w:rsid w:val="00DD61A3"/>
    <w:rsid w:val="00DD6471"/>
    <w:rsid w:val="00DD677C"/>
    <w:rsid w:val="00DD6D62"/>
    <w:rsid w:val="00DE020D"/>
    <w:rsid w:val="00DE0736"/>
    <w:rsid w:val="00DE0829"/>
    <w:rsid w:val="00DE0D49"/>
    <w:rsid w:val="00DE0EFD"/>
    <w:rsid w:val="00DE2B6D"/>
    <w:rsid w:val="00DE34EA"/>
    <w:rsid w:val="00DE35F6"/>
    <w:rsid w:val="00DE4E8A"/>
    <w:rsid w:val="00DE4F15"/>
    <w:rsid w:val="00DE5390"/>
    <w:rsid w:val="00DE6853"/>
    <w:rsid w:val="00DE6A9E"/>
    <w:rsid w:val="00DE73E1"/>
    <w:rsid w:val="00DE784C"/>
    <w:rsid w:val="00DE7B5D"/>
    <w:rsid w:val="00DF2E47"/>
    <w:rsid w:val="00DF52FC"/>
    <w:rsid w:val="00DF5317"/>
    <w:rsid w:val="00DF5E3C"/>
    <w:rsid w:val="00DF6BB5"/>
    <w:rsid w:val="00DF6DDC"/>
    <w:rsid w:val="00DF728A"/>
    <w:rsid w:val="00DF77A3"/>
    <w:rsid w:val="00E00157"/>
    <w:rsid w:val="00E00CE3"/>
    <w:rsid w:val="00E01FFB"/>
    <w:rsid w:val="00E02350"/>
    <w:rsid w:val="00E02546"/>
    <w:rsid w:val="00E0283A"/>
    <w:rsid w:val="00E02C8C"/>
    <w:rsid w:val="00E0301A"/>
    <w:rsid w:val="00E03194"/>
    <w:rsid w:val="00E034EA"/>
    <w:rsid w:val="00E04233"/>
    <w:rsid w:val="00E042F6"/>
    <w:rsid w:val="00E04D5A"/>
    <w:rsid w:val="00E04FA7"/>
    <w:rsid w:val="00E05576"/>
    <w:rsid w:val="00E060E3"/>
    <w:rsid w:val="00E06196"/>
    <w:rsid w:val="00E06F83"/>
    <w:rsid w:val="00E0741F"/>
    <w:rsid w:val="00E078CB"/>
    <w:rsid w:val="00E10452"/>
    <w:rsid w:val="00E10BF3"/>
    <w:rsid w:val="00E10ED6"/>
    <w:rsid w:val="00E11034"/>
    <w:rsid w:val="00E12CAE"/>
    <w:rsid w:val="00E133EF"/>
    <w:rsid w:val="00E13459"/>
    <w:rsid w:val="00E13872"/>
    <w:rsid w:val="00E1430B"/>
    <w:rsid w:val="00E148DA"/>
    <w:rsid w:val="00E15381"/>
    <w:rsid w:val="00E15D7E"/>
    <w:rsid w:val="00E15FAB"/>
    <w:rsid w:val="00E166AA"/>
    <w:rsid w:val="00E16A44"/>
    <w:rsid w:val="00E170B5"/>
    <w:rsid w:val="00E1736E"/>
    <w:rsid w:val="00E20460"/>
    <w:rsid w:val="00E20C98"/>
    <w:rsid w:val="00E21659"/>
    <w:rsid w:val="00E21F2B"/>
    <w:rsid w:val="00E2252E"/>
    <w:rsid w:val="00E22574"/>
    <w:rsid w:val="00E225E2"/>
    <w:rsid w:val="00E22997"/>
    <w:rsid w:val="00E2317C"/>
    <w:rsid w:val="00E246AC"/>
    <w:rsid w:val="00E25841"/>
    <w:rsid w:val="00E2586B"/>
    <w:rsid w:val="00E25D09"/>
    <w:rsid w:val="00E25DFF"/>
    <w:rsid w:val="00E2606E"/>
    <w:rsid w:val="00E26719"/>
    <w:rsid w:val="00E272A9"/>
    <w:rsid w:val="00E277A6"/>
    <w:rsid w:val="00E30001"/>
    <w:rsid w:val="00E30A04"/>
    <w:rsid w:val="00E30A08"/>
    <w:rsid w:val="00E30BAD"/>
    <w:rsid w:val="00E31AFD"/>
    <w:rsid w:val="00E31CDC"/>
    <w:rsid w:val="00E3338F"/>
    <w:rsid w:val="00E3347E"/>
    <w:rsid w:val="00E34A65"/>
    <w:rsid w:val="00E34CC8"/>
    <w:rsid w:val="00E35286"/>
    <w:rsid w:val="00E354A6"/>
    <w:rsid w:val="00E35621"/>
    <w:rsid w:val="00E358C7"/>
    <w:rsid w:val="00E35E46"/>
    <w:rsid w:val="00E35FAE"/>
    <w:rsid w:val="00E361F9"/>
    <w:rsid w:val="00E36470"/>
    <w:rsid w:val="00E365B1"/>
    <w:rsid w:val="00E3675B"/>
    <w:rsid w:val="00E3734A"/>
    <w:rsid w:val="00E379E7"/>
    <w:rsid w:val="00E37E47"/>
    <w:rsid w:val="00E40B25"/>
    <w:rsid w:val="00E411BE"/>
    <w:rsid w:val="00E4121A"/>
    <w:rsid w:val="00E419C8"/>
    <w:rsid w:val="00E4201E"/>
    <w:rsid w:val="00E4289D"/>
    <w:rsid w:val="00E42B8B"/>
    <w:rsid w:val="00E42BF3"/>
    <w:rsid w:val="00E42BF7"/>
    <w:rsid w:val="00E430FE"/>
    <w:rsid w:val="00E44699"/>
    <w:rsid w:val="00E45362"/>
    <w:rsid w:val="00E456D4"/>
    <w:rsid w:val="00E46840"/>
    <w:rsid w:val="00E46A2E"/>
    <w:rsid w:val="00E500B5"/>
    <w:rsid w:val="00E50283"/>
    <w:rsid w:val="00E50CD7"/>
    <w:rsid w:val="00E519BA"/>
    <w:rsid w:val="00E5232E"/>
    <w:rsid w:val="00E52605"/>
    <w:rsid w:val="00E5289C"/>
    <w:rsid w:val="00E52B4E"/>
    <w:rsid w:val="00E54A73"/>
    <w:rsid w:val="00E5503D"/>
    <w:rsid w:val="00E55B86"/>
    <w:rsid w:val="00E56526"/>
    <w:rsid w:val="00E56DFE"/>
    <w:rsid w:val="00E57342"/>
    <w:rsid w:val="00E5754D"/>
    <w:rsid w:val="00E60A78"/>
    <w:rsid w:val="00E60CCC"/>
    <w:rsid w:val="00E61CEC"/>
    <w:rsid w:val="00E6212D"/>
    <w:rsid w:val="00E635F7"/>
    <w:rsid w:val="00E637C7"/>
    <w:rsid w:val="00E63C18"/>
    <w:rsid w:val="00E646A4"/>
    <w:rsid w:val="00E6500E"/>
    <w:rsid w:val="00E65516"/>
    <w:rsid w:val="00E65C7E"/>
    <w:rsid w:val="00E65E1D"/>
    <w:rsid w:val="00E65EAC"/>
    <w:rsid w:val="00E66045"/>
    <w:rsid w:val="00E66968"/>
    <w:rsid w:val="00E70088"/>
    <w:rsid w:val="00E70176"/>
    <w:rsid w:val="00E703A0"/>
    <w:rsid w:val="00E708D2"/>
    <w:rsid w:val="00E710C8"/>
    <w:rsid w:val="00E715D9"/>
    <w:rsid w:val="00E720FB"/>
    <w:rsid w:val="00E725A2"/>
    <w:rsid w:val="00E736A4"/>
    <w:rsid w:val="00E74309"/>
    <w:rsid w:val="00E7457B"/>
    <w:rsid w:val="00E76A6B"/>
    <w:rsid w:val="00E7769A"/>
    <w:rsid w:val="00E7795F"/>
    <w:rsid w:val="00E77FC3"/>
    <w:rsid w:val="00E80191"/>
    <w:rsid w:val="00E805D0"/>
    <w:rsid w:val="00E8088A"/>
    <w:rsid w:val="00E82972"/>
    <w:rsid w:val="00E82D7C"/>
    <w:rsid w:val="00E82DE4"/>
    <w:rsid w:val="00E8337A"/>
    <w:rsid w:val="00E836AD"/>
    <w:rsid w:val="00E8463E"/>
    <w:rsid w:val="00E84AE0"/>
    <w:rsid w:val="00E858D1"/>
    <w:rsid w:val="00E86460"/>
    <w:rsid w:val="00E86747"/>
    <w:rsid w:val="00E8782C"/>
    <w:rsid w:val="00E87CC4"/>
    <w:rsid w:val="00E921E7"/>
    <w:rsid w:val="00E9233A"/>
    <w:rsid w:val="00E923EE"/>
    <w:rsid w:val="00E92B0B"/>
    <w:rsid w:val="00E92E67"/>
    <w:rsid w:val="00E94073"/>
    <w:rsid w:val="00E945C6"/>
    <w:rsid w:val="00E950CF"/>
    <w:rsid w:val="00E956B7"/>
    <w:rsid w:val="00E959F7"/>
    <w:rsid w:val="00E9625B"/>
    <w:rsid w:val="00E96777"/>
    <w:rsid w:val="00E96E1F"/>
    <w:rsid w:val="00E9725F"/>
    <w:rsid w:val="00E9778A"/>
    <w:rsid w:val="00EA0ACD"/>
    <w:rsid w:val="00EA0EAD"/>
    <w:rsid w:val="00EA1391"/>
    <w:rsid w:val="00EA1832"/>
    <w:rsid w:val="00EA1A2E"/>
    <w:rsid w:val="00EA1E45"/>
    <w:rsid w:val="00EA2276"/>
    <w:rsid w:val="00EA2350"/>
    <w:rsid w:val="00EA36D7"/>
    <w:rsid w:val="00EA3764"/>
    <w:rsid w:val="00EA3E9F"/>
    <w:rsid w:val="00EA4A35"/>
    <w:rsid w:val="00EA507F"/>
    <w:rsid w:val="00EA5276"/>
    <w:rsid w:val="00EA56F4"/>
    <w:rsid w:val="00EA5E81"/>
    <w:rsid w:val="00EA6662"/>
    <w:rsid w:val="00EA7037"/>
    <w:rsid w:val="00EA7513"/>
    <w:rsid w:val="00EA7686"/>
    <w:rsid w:val="00EA77BB"/>
    <w:rsid w:val="00EA7E26"/>
    <w:rsid w:val="00EB1FF6"/>
    <w:rsid w:val="00EB2294"/>
    <w:rsid w:val="00EB3385"/>
    <w:rsid w:val="00EB4541"/>
    <w:rsid w:val="00EB4E12"/>
    <w:rsid w:val="00EB53BF"/>
    <w:rsid w:val="00EB57A0"/>
    <w:rsid w:val="00EB60F5"/>
    <w:rsid w:val="00EB625B"/>
    <w:rsid w:val="00EB72E3"/>
    <w:rsid w:val="00EB74B3"/>
    <w:rsid w:val="00EB7D5D"/>
    <w:rsid w:val="00EB7D77"/>
    <w:rsid w:val="00EC01D5"/>
    <w:rsid w:val="00EC02E6"/>
    <w:rsid w:val="00EC1206"/>
    <w:rsid w:val="00EC1CAE"/>
    <w:rsid w:val="00EC2884"/>
    <w:rsid w:val="00EC2986"/>
    <w:rsid w:val="00EC3480"/>
    <w:rsid w:val="00EC3F53"/>
    <w:rsid w:val="00EC51D9"/>
    <w:rsid w:val="00EC5F85"/>
    <w:rsid w:val="00EC6051"/>
    <w:rsid w:val="00EC6FB4"/>
    <w:rsid w:val="00EC6FCE"/>
    <w:rsid w:val="00EC7299"/>
    <w:rsid w:val="00EC7AD3"/>
    <w:rsid w:val="00EC7D89"/>
    <w:rsid w:val="00EC7F7E"/>
    <w:rsid w:val="00ED0452"/>
    <w:rsid w:val="00ED05E9"/>
    <w:rsid w:val="00ED145D"/>
    <w:rsid w:val="00ED14F7"/>
    <w:rsid w:val="00ED17FC"/>
    <w:rsid w:val="00ED2122"/>
    <w:rsid w:val="00ED2451"/>
    <w:rsid w:val="00ED291A"/>
    <w:rsid w:val="00ED3AC5"/>
    <w:rsid w:val="00ED3DFC"/>
    <w:rsid w:val="00ED4128"/>
    <w:rsid w:val="00ED44B7"/>
    <w:rsid w:val="00ED526F"/>
    <w:rsid w:val="00ED5D5D"/>
    <w:rsid w:val="00ED5EA9"/>
    <w:rsid w:val="00ED64F6"/>
    <w:rsid w:val="00ED6E9D"/>
    <w:rsid w:val="00ED7A64"/>
    <w:rsid w:val="00EE0553"/>
    <w:rsid w:val="00EE0696"/>
    <w:rsid w:val="00EE0784"/>
    <w:rsid w:val="00EE1053"/>
    <w:rsid w:val="00EE175F"/>
    <w:rsid w:val="00EE1D12"/>
    <w:rsid w:val="00EE1DE0"/>
    <w:rsid w:val="00EE27A0"/>
    <w:rsid w:val="00EE2FB4"/>
    <w:rsid w:val="00EE3586"/>
    <w:rsid w:val="00EE38C9"/>
    <w:rsid w:val="00EE3D54"/>
    <w:rsid w:val="00EE3E41"/>
    <w:rsid w:val="00EE4731"/>
    <w:rsid w:val="00EE493C"/>
    <w:rsid w:val="00EE58A2"/>
    <w:rsid w:val="00EE5DB8"/>
    <w:rsid w:val="00EE5F28"/>
    <w:rsid w:val="00EE6580"/>
    <w:rsid w:val="00EE6D1B"/>
    <w:rsid w:val="00EE7029"/>
    <w:rsid w:val="00EE75F3"/>
    <w:rsid w:val="00EF0135"/>
    <w:rsid w:val="00EF1CCB"/>
    <w:rsid w:val="00EF1E08"/>
    <w:rsid w:val="00EF205E"/>
    <w:rsid w:val="00EF4024"/>
    <w:rsid w:val="00EF47DF"/>
    <w:rsid w:val="00EF4FBA"/>
    <w:rsid w:val="00EF56F8"/>
    <w:rsid w:val="00EF67AD"/>
    <w:rsid w:val="00EF7A1D"/>
    <w:rsid w:val="00EF7E27"/>
    <w:rsid w:val="00F008B1"/>
    <w:rsid w:val="00F015CE"/>
    <w:rsid w:val="00F02105"/>
    <w:rsid w:val="00F0230E"/>
    <w:rsid w:val="00F023E5"/>
    <w:rsid w:val="00F027B5"/>
    <w:rsid w:val="00F0298F"/>
    <w:rsid w:val="00F02E65"/>
    <w:rsid w:val="00F02ED0"/>
    <w:rsid w:val="00F03B56"/>
    <w:rsid w:val="00F04337"/>
    <w:rsid w:val="00F04B34"/>
    <w:rsid w:val="00F04B40"/>
    <w:rsid w:val="00F05346"/>
    <w:rsid w:val="00F0589A"/>
    <w:rsid w:val="00F05A17"/>
    <w:rsid w:val="00F06078"/>
    <w:rsid w:val="00F06ABE"/>
    <w:rsid w:val="00F06B4A"/>
    <w:rsid w:val="00F07063"/>
    <w:rsid w:val="00F07A1B"/>
    <w:rsid w:val="00F07A6F"/>
    <w:rsid w:val="00F07BD7"/>
    <w:rsid w:val="00F10375"/>
    <w:rsid w:val="00F107A0"/>
    <w:rsid w:val="00F11385"/>
    <w:rsid w:val="00F11778"/>
    <w:rsid w:val="00F11A70"/>
    <w:rsid w:val="00F11CD7"/>
    <w:rsid w:val="00F11FB7"/>
    <w:rsid w:val="00F12023"/>
    <w:rsid w:val="00F12CC0"/>
    <w:rsid w:val="00F14407"/>
    <w:rsid w:val="00F14852"/>
    <w:rsid w:val="00F1486E"/>
    <w:rsid w:val="00F14EBB"/>
    <w:rsid w:val="00F15290"/>
    <w:rsid w:val="00F15B8C"/>
    <w:rsid w:val="00F15D1E"/>
    <w:rsid w:val="00F16AAF"/>
    <w:rsid w:val="00F16AB7"/>
    <w:rsid w:val="00F17114"/>
    <w:rsid w:val="00F1766A"/>
    <w:rsid w:val="00F20300"/>
    <w:rsid w:val="00F20BCF"/>
    <w:rsid w:val="00F21206"/>
    <w:rsid w:val="00F21521"/>
    <w:rsid w:val="00F21951"/>
    <w:rsid w:val="00F21CDC"/>
    <w:rsid w:val="00F22356"/>
    <w:rsid w:val="00F2265E"/>
    <w:rsid w:val="00F2297D"/>
    <w:rsid w:val="00F22EC8"/>
    <w:rsid w:val="00F240B7"/>
    <w:rsid w:val="00F24161"/>
    <w:rsid w:val="00F24888"/>
    <w:rsid w:val="00F250AB"/>
    <w:rsid w:val="00F2534E"/>
    <w:rsid w:val="00F26AAF"/>
    <w:rsid w:val="00F272E2"/>
    <w:rsid w:val="00F27445"/>
    <w:rsid w:val="00F274FC"/>
    <w:rsid w:val="00F277BD"/>
    <w:rsid w:val="00F2799C"/>
    <w:rsid w:val="00F306B3"/>
    <w:rsid w:val="00F32607"/>
    <w:rsid w:val="00F33481"/>
    <w:rsid w:val="00F3567C"/>
    <w:rsid w:val="00F356A9"/>
    <w:rsid w:val="00F357FB"/>
    <w:rsid w:val="00F35821"/>
    <w:rsid w:val="00F358B8"/>
    <w:rsid w:val="00F35916"/>
    <w:rsid w:val="00F35BB9"/>
    <w:rsid w:val="00F35E6C"/>
    <w:rsid w:val="00F37765"/>
    <w:rsid w:val="00F377D1"/>
    <w:rsid w:val="00F409D8"/>
    <w:rsid w:val="00F41DB1"/>
    <w:rsid w:val="00F429EB"/>
    <w:rsid w:val="00F431ED"/>
    <w:rsid w:val="00F431FC"/>
    <w:rsid w:val="00F43575"/>
    <w:rsid w:val="00F43BBF"/>
    <w:rsid w:val="00F44C51"/>
    <w:rsid w:val="00F44F8B"/>
    <w:rsid w:val="00F4500E"/>
    <w:rsid w:val="00F455BE"/>
    <w:rsid w:val="00F45AFD"/>
    <w:rsid w:val="00F45D46"/>
    <w:rsid w:val="00F45E1A"/>
    <w:rsid w:val="00F4619A"/>
    <w:rsid w:val="00F4688F"/>
    <w:rsid w:val="00F50CC9"/>
    <w:rsid w:val="00F51746"/>
    <w:rsid w:val="00F5185B"/>
    <w:rsid w:val="00F5207E"/>
    <w:rsid w:val="00F52241"/>
    <w:rsid w:val="00F526BF"/>
    <w:rsid w:val="00F526CA"/>
    <w:rsid w:val="00F53572"/>
    <w:rsid w:val="00F53679"/>
    <w:rsid w:val="00F53C19"/>
    <w:rsid w:val="00F54548"/>
    <w:rsid w:val="00F54833"/>
    <w:rsid w:val="00F555C0"/>
    <w:rsid w:val="00F561BA"/>
    <w:rsid w:val="00F5710F"/>
    <w:rsid w:val="00F6012D"/>
    <w:rsid w:val="00F6032B"/>
    <w:rsid w:val="00F6051E"/>
    <w:rsid w:val="00F6090D"/>
    <w:rsid w:val="00F61741"/>
    <w:rsid w:val="00F61AF3"/>
    <w:rsid w:val="00F61F15"/>
    <w:rsid w:val="00F624A8"/>
    <w:rsid w:val="00F64249"/>
    <w:rsid w:val="00F64E59"/>
    <w:rsid w:val="00F65D0C"/>
    <w:rsid w:val="00F6607A"/>
    <w:rsid w:val="00F6626D"/>
    <w:rsid w:val="00F66434"/>
    <w:rsid w:val="00F6667D"/>
    <w:rsid w:val="00F66BCF"/>
    <w:rsid w:val="00F66C79"/>
    <w:rsid w:val="00F6721A"/>
    <w:rsid w:val="00F6729F"/>
    <w:rsid w:val="00F6749F"/>
    <w:rsid w:val="00F67611"/>
    <w:rsid w:val="00F701AB"/>
    <w:rsid w:val="00F70414"/>
    <w:rsid w:val="00F711D2"/>
    <w:rsid w:val="00F7196A"/>
    <w:rsid w:val="00F71976"/>
    <w:rsid w:val="00F725D4"/>
    <w:rsid w:val="00F72D4E"/>
    <w:rsid w:val="00F737CB"/>
    <w:rsid w:val="00F738EC"/>
    <w:rsid w:val="00F7433D"/>
    <w:rsid w:val="00F74741"/>
    <w:rsid w:val="00F76378"/>
    <w:rsid w:val="00F76527"/>
    <w:rsid w:val="00F76C6A"/>
    <w:rsid w:val="00F76E9B"/>
    <w:rsid w:val="00F770E9"/>
    <w:rsid w:val="00F77715"/>
    <w:rsid w:val="00F80798"/>
    <w:rsid w:val="00F816FE"/>
    <w:rsid w:val="00F81B51"/>
    <w:rsid w:val="00F82210"/>
    <w:rsid w:val="00F82971"/>
    <w:rsid w:val="00F82F8C"/>
    <w:rsid w:val="00F83C9A"/>
    <w:rsid w:val="00F842FE"/>
    <w:rsid w:val="00F85122"/>
    <w:rsid w:val="00F857A5"/>
    <w:rsid w:val="00F85A44"/>
    <w:rsid w:val="00F85A46"/>
    <w:rsid w:val="00F866A6"/>
    <w:rsid w:val="00F8709D"/>
    <w:rsid w:val="00F875B7"/>
    <w:rsid w:val="00F878CE"/>
    <w:rsid w:val="00F879DA"/>
    <w:rsid w:val="00F87ABE"/>
    <w:rsid w:val="00F902E4"/>
    <w:rsid w:val="00F90339"/>
    <w:rsid w:val="00F90D94"/>
    <w:rsid w:val="00F91287"/>
    <w:rsid w:val="00F917FF"/>
    <w:rsid w:val="00F91A2C"/>
    <w:rsid w:val="00F9203F"/>
    <w:rsid w:val="00F9237E"/>
    <w:rsid w:val="00F927FA"/>
    <w:rsid w:val="00F92FE0"/>
    <w:rsid w:val="00F93003"/>
    <w:rsid w:val="00F933F9"/>
    <w:rsid w:val="00F93422"/>
    <w:rsid w:val="00F937A9"/>
    <w:rsid w:val="00F93B84"/>
    <w:rsid w:val="00F93EC2"/>
    <w:rsid w:val="00F955A3"/>
    <w:rsid w:val="00F95955"/>
    <w:rsid w:val="00F96B42"/>
    <w:rsid w:val="00F9725C"/>
    <w:rsid w:val="00F972A3"/>
    <w:rsid w:val="00F97813"/>
    <w:rsid w:val="00FA00FE"/>
    <w:rsid w:val="00FA0CE3"/>
    <w:rsid w:val="00FA13D5"/>
    <w:rsid w:val="00FA15D2"/>
    <w:rsid w:val="00FA19D3"/>
    <w:rsid w:val="00FA1CB0"/>
    <w:rsid w:val="00FA2103"/>
    <w:rsid w:val="00FA3029"/>
    <w:rsid w:val="00FA43AA"/>
    <w:rsid w:val="00FA4543"/>
    <w:rsid w:val="00FA4A0C"/>
    <w:rsid w:val="00FA4D55"/>
    <w:rsid w:val="00FA501E"/>
    <w:rsid w:val="00FA560D"/>
    <w:rsid w:val="00FA5A67"/>
    <w:rsid w:val="00FA616E"/>
    <w:rsid w:val="00FA7198"/>
    <w:rsid w:val="00FB043E"/>
    <w:rsid w:val="00FB0616"/>
    <w:rsid w:val="00FB0E59"/>
    <w:rsid w:val="00FB11CF"/>
    <w:rsid w:val="00FB1459"/>
    <w:rsid w:val="00FB185B"/>
    <w:rsid w:val="00FB1D9D"/>
    <w:rsid w:val="00FB25C3"/>
    <w:rsid w:val="00FB379A"/>
    <w:rsid w:val="00FB3FBC"/>
    <w:rsid w:val="00FB40D1"/>
    <w:rsid w:val="00FB4A4F"/>
    <w:rsid w:val="00FB4E9A"/>
    <w:rsid w:val="00FB5942"/>
    <w:rsid w:val="00FB5ACB"/>
    <w:rsid w:val="00FB7936"/>
    <w:rsid w:val="00FB7BA9"/>
    <w:rsid w:val="00FC02DA"/>
    <w:rsid w:val="00FC063C"/>
    <w:rsid w:val="00FC0648"/>
    <w:rsid w:val="00FC0E8D"/>
    <w:rsid w:val="00FC0EC5"/>
    <w:rsid w:val="00FC0F9C"/>
    <w:rsid w:val="00FC1BD0"/>
    <w:rsid w:val="00FC1E3C"/>
    <w:rsid w:val="00FC1FF8"/>
    <w:rsid w:val="00FC2A43"/>
    <w:rsid w:val="00FC2EAA"/>
    <w:rsid w:val="00FC38A6"/>
    <w:rsid w:val="00FC4781"/>
    <w:rsid w:val="00FC5239"/>
    <w:rsid w:val="00FC5512"/>
    <w:rsid w:val="00FC6355"/>
    <w:rsid w:val="00FC6B9E"/>
    <w:rsid w:val="00FC6D42"/>
    <w:rsid w:val="00FC72D1"/>
    <w:rsid w:val="00FD04AF"/>
    <w:rsid w:val="00FD0504"/>
    <w:rsid w:val="00FD0A0F"/>
    <w:rsid w:val="00FD16EE"/>
    <w:rsid w:val="00FD16FC"/>
    <w:rsid w:val="00FD2DDF"/>
    <w:rsid w:val="00FD3657"/>
    <w:rsid w:val="00FD3845"/>
    <w:rsid w:val="00FD3858"/>
    <w:rsid w:val="00FD563F"/>
    <w:rsid w:val="00FD5D35"/>
    <w:rsid w:val="00FD6211"/>
    <w:rsid w:val="00FD7172"/>
    <w:rsid w:val="00FD75D5"/>
    <w:rsid w:val="00FE026D"/>
    <w:rsid w:val="00FE04A1"/>
    <w:rsid w:val="00FE0627"/>
    <w:rsid w:val="00FE16B7"/>
    <w:rsid w:val="00FE1A73"/>
    <w:rsid w:val="00FE1B5D"/>
    <w:rsid w:val="00FE24BA"/>
    <w:rsid w:val="00FE35FE"/>
    <w:rsid w:val="00FE3F3E"/>
    <w:rsid w:val="00FE4320"/>
    <w:rsid w:val="00FE604D"/>
    <w:rsid w:val="00FE77E5"/>
    <w:rsid w:val="00FE79C5"/>
    <w:rsid w:val="00FF0CD8"/>
    <w:rsid w:val="00FF1181"/>
    <w:rsid w:val="00FF136D"/>
    <w:rsid w:val="00FF1F76"/>
    <w:rsid w:val="00FF3C3D"/>
    <w:rsid w:val="00FF3DAF"/>
    <w:rsid w:val="00FF4299"/>
    <w:rsid w:val="00FF5252"/>
    <w:rsid w:val="00FF5359"/>
    <w:rsid w:val="00FF5737"/>
    <w:rsid w:val="00FF5A0B"/>
    <w:rsid w:val="00FF5C96"/>
    <w:rsid w:val="00FF5E07"/>
    <w:rsid w:val="00FF6145"/>
    <w:rsid w:val="00FF6592"/>
    <w:rsid w:val="00FF68DE"/>
    <w:rsid w:val="00FF6998"/>
    <w:rsid w:val="00FF6C65"/>
    <w:rsid w:val="00FF70BF"/>
    <w:rsid w:val="00FF72A9"/>
    <w:rsid w:val="02800382"/>
    <w:rsid w:val="03324737"/>
    <w:rsid w:val="0BEF655F"/>
    <w:rsid w:val="0C9C4472"/>
    <w:rsid w:val="105547F5"/>
    <w:rsid w:val="1074343B"/>
    <w:rsid w:val="10945C5E"/>
    <w:rsid w:val="11A12051"/>
    <w:rsid w:val="11AC19C7"/>
    <w:rsid w:val="120B3AE1"/>
    <w:rsid w:val="15F03432"/>
    <w:rsid w:val="1C1E4606"/>
    <w:rsid w:val="1C2979E1"/>
    <w:rsid w:val="1EE96C6D"/>
    <w:rsid w:val="1F0D7898"/>
    <w:rsid w:val="1FA3164D"/>
    <w:rsid w:val="206B6DF3"/>
    <w:rsid w:val="25121A4B"/>
    <w:rsid w:val="25850B68"/>
    <w:rsid w:val="274D196E"/>
    <w:rsid w:val="27820704"/>
    <w:rsid w:val="2B9955D9"/>
    <w:rsid w:val="2CB31344"/>
    <w:rsid w:val="2E6D27D9"/>
    <w:rsid w:val="2F8A0E11"/>
    <w:rsid w:val="348537AD"/>
    <w:rsid w:val="35685AC0"/>
    <w:rsid w:val="40451161"/>
    <w:rsid w:val="41157C8B"/>
    <w:rsid w:val="415677D7"/>
    <w:rsid w:val="41976188"/>
    <w:rsid w:val="44251820"/>
    <w:rsid w:val="46232E3F"/>
    <w:rsid w:val="47CE3D4F"/>
    <w:rsid w:val="47EB3589"/>
    <w:rsid w:val="4A347268"/>
    <w:rsid w:val="4C1667C0"/>
    <w:rsid w:val="4FA913BE"/>
    <w:rsid w:val="50DA5CA0"/>
    <w:rsid w:val="513D1C15"/>
    <w:rsid w:val="53857FD2"/>
    <w:rsid w:val="54A45E50"/>
    <w:rsid w:val="55301726"/>
    <w:rsid w:val="558C5A52"/>
    <w:rsid w:val="5BC65544"/>
    <w:rsid w:val="5C047017"/>
    <w:rsid w:val="5ECA5EF0"/>
    <w:rsid w:val="60560F95"/>
    <w:rsid w:val="61CD100B"/>
    <w:rsid w:val="631F428C"/>
    <w:rsid w:val="6A071C5A"/>
    <w:rsid w:val="6B2C1686"/>
    <w:rsid w:val="6E0D71EF"/>
    <w:rsid w:val="6E9B34D9"/>
    <w:rsid w:val="702E3CD0"/>
    <w:rsid w:val="705E4C89"/>
    <w:rsid w:val="71500185"/>
    <w:rsid w:val="72BB4A57"/>
    <w:rsid w:val="73AD7CF5"/>
    <w:rsid w:val="74F17A86"/>
    <w:rsid w:val="7653156C"/>
    <w:rsid w:val="765338C3"/>
    <w:rsid w:val="773B7F83"/>
    <w:rsid w:val="784E3200"/>
    <w:rsid w:val="78706DAC"/>
    <w:rsid w:val="793C5D2D"/>
    <w:rsid w:val="7A3275DC"/>
    <w:rsid w:val="7D107A25"/>
    <w:rsid w:val="7F1F2FCC"/>
    <w:rsid w:val="7F55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6"/>
    <w:qFormat/>
    <w:uiPriority w:val="0"/>
    <w:pPr>
      <w:keepNext/>
      <w:outlineLvl w:val="0"/>
    </w:pPr>
    <w:rPr>
      <w:b/>
    </w:rPr>
  </w:style>
  <w:style w:type="paragraph" w:styleId="4">
    <w:name w:val="heading 2"/>
    <w:basedOn w:val="1"/>
    <w:next w:val="1"/>
    <w:link w:val="291"/>
    <w:qFormat/>
    <w:uiPriority w:val="9"/>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99"/>
    <w:qFormat/>
    <w:uiPriority w:val="0"/>
    <w:pPr>
      <w:keepNext/>
      <w:keepLines/>
      <w:spacing w:before="260" w:after="260" w:line="416" w:lineRule="auto"/>
      <w:outlineLvl w:val="2"/>
    </w:pPr>
    <w:rPr>
      <w:b/>
      <w:bCs/>
      <w:sz w:val="32"/>
      <w:szCs w:val="32"/>
    </w:rPr>
  </w:style>
  <w:style w:type="paragraph" w:styleId="2">
    <w:name w:val="heading 4"/>
    <w:basedOn w:val="1"/>
    <w:next w:val="1"/>
    <w:link w:val="24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52"/>
    <w:qFormat/>
    <w:uiPriority w:val="0"/>
    <w:pPr>
      <w:keepNext/>
      <w:keepLines/>
      <w:spacing w:before="280" w:after="290" w:line="376" w:lineRule="auto"/>
      <w:outlineLvl w:val="4"/>
    </w:pPr>
    <w:rPr>
      <w:b/>
      <w:sz w:val="28"/>
      <w:szCs w:val="20"/>
    </w:rPr>
  </w:style>
  <w:style w:type="paragraph" w:styleId="8">
    <w:name w:val="heading 6"/>
    <w:basedOn w:val="1"/>
    <w:next w:val="7"/>
    <w:link w:val="27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261"/>
    <w:qFormat/>
    <w:uiPriority w:val="0"/>
    <w:pPr>
      <w:keepNext/>
      <w:keepLines/>
      <w:spacing w:before="240" w:after="64" w:line="320" w:lineRule="auto"/>
      <w:outlineLvl w:val="6"/>
    </w:pPr>
    <w:rPr>
      <w:b/>
      <w:sz w:val="24"/>
      <w:szCs w:val="20"/>
    </w:rPr>
  </w:style>
  <w:style w:type="paragraph" w:styleId="10">
    <w:name w:val="heading 8"/>
    <w:basedOn w:val="1"/>
    <w:next w:val="7"/>
    <w:link w:val="18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285"/>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36"/>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240"/>
    <w:unhideWhenUsed/>
    <w:qFormat/>
    <w:uiPriority w:val="0"/>
    <w:rPr>
      <w:rFonts w:ascii="宋体"/>
      <w:sz w:val="18"/>
      <w:szCs w:val="18"/>
    </w:rPr>
  </w:style>
  <w:style w:type="paragraph" w:styleId="16">
    <w:name w:val="annotation text"/>
    <w:basedOn w:val="1"/>
    <w:link w:val="242"/>
    <w:qFormat/>
    <w:uiPriority w:val="0"/>
    <w:pPr>
      <w:jc w:val="left"/>
    </w:pPr>
  </w:style>
  <w:style w:type="paragraph" w:styleId="17">
    <w:name w:val="Salutation"/>
    <w:basedOn w:val="1"/>
    <w:next w:val="1"/>
    <w:link w:val="283"/>
    <w:qFormat/>
    <w:uiPriority w:val="0"/>
    <w:rPr>
      <w:sz w:val="28"/>
    </w:rPr>
  </w:style>
  <w:style w:type="paragraph" w:styleId="18">
    <w:name w:val="Body Text 3"/>
    <w:basedOn w:val="1"/>
    <w:link w:val="205"/>
    <w:qFormat/>
    <w:uiPriority w:val="0"/>
    <w:pPr>
      <w:spacing w:line="500" w:lineRule="exact"/>
    </w:pPr>
    <w:rPr>
      <w:b/>
      <w:bCs/>
      <w:kern w:val="0"/>
      <w:sz w:val="24"/>
    </w:rPr>
  </w:style>
  <w:style w:type="paragraph" w:styleId="19">
    <w:name w:val="Body Text"/>
    <w:basedOn w:val="1"/>
    <w:link w:val="289"/>
    <w:qFormat/>
    <w:uiPriority w:val="0"/>
    <w:rPr>
      <w:rFonts w:ascii="金山简黑体" w:hAnsi="Courier New" w:eastAsia="金山简黑体"/>
      <w:b/>
      <w:spacing w:val="-8"/>
      <w:sz w:val="44"/>
      <w:szCs w:val="20"/>
    </w:rPr>
  </w:style>
  <w:style w:type="paragraph" w:styleId="20">
    <w:name w:val="Body Text Indent"/>
    <w:basedOn w:val="1"/>
    <w:link w:val="267"/>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tabs>
        <w:tab w:val="left" w:pos="360"/>
      </w:tabs>
      <w:ind w:left="36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840" w:leftChars="400"/>
    </w:pPr>
  </w:style>
  <w:style w:type="paragraph" w:styleId="26">
    <w:name w:val="Plain Text"/>
    <w:basedOn w:val="1"/>
    <w:link w:val="254"/>
    <w:qFormat/>
    <w:uiPriority w:val="0"/>
    <w:rPr>
      <w:rFonts w:ascii="宋体" w:hAnsi="Courier New"/>
      <w:szCs w:val="20"/>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269"/>
    <w:qFormat/>
    <w:uiPriority w:val="0"/>
    <w:pPr>
      <w:ind w:left="100" w:leftChars="2500"/>
    </w:pPr>
    <w:rPr>
      <w:rFonts w:ascii="宋体" w:hAnsi="Courier New"/>
      <w:bCs/>
      <w:sz w:val="24"/>
      <w:szCs w:val="20"/>
    </w:rPr>
  </w:style>
  <w:style w:type="paragraph" w:styleId="29">
    <w:name w:val="Body Text Indent 2"/>
    <w:basedOn w:val="1"/>
    <w:link w:val="265"/>
    <w:qFormat/>
    <w:uiPriority w:val="0"/>
    <w:pPr>
      <w:ind w:firstLine="412" w:firstLineChars="196"/>
    </w:pPr>
  </w:style>
  <w:style w:type="paragraph" w:styleId="30">
    <w:name w:val="endnote text"/>
    <w:basedOn w:val="1"/>
    <w:link w:val="292"/>
    <w:unhideWhenUsed/>
    <w:qFormat/>
    <w:uiPriority w:val="0"/>
    <w:pPr>
      <w:snapToGrid w:val="0"/>
      <w:jc w:val="left"/>
    </w:pPr>
    <w:rPr>
      <w:szCs w:val="22"/>
    </w:rPr>
  </w:style>
  <w:style w:type="paragraph" w:styleId="31">
    <w:name w:val="Balloon Text"/>
    <w:basedOn w:val="1"/>
    <w:link w:val="223"/>
    <w:qFormat/>
    <w:uiPriority w:val="99"/>
    <w:rPr>
      <w:sz w:val="18"/>
      <w:szCs w:val="18"/>
    </w:rPr>
  </w:style>
  <w:style w:type="paragraph" w:styleId="32">
    <w:name w:val="footer"/>
    <w:basedOn w:val="1"/>
    <w:link w:val="280"/>
    <w:qFormat/>
    <w:uiPriority w:val="99"/>
    <w:pPr>
      <w:tabs>
        <w:tab w:val="center" w:pos="4153"/>
        <w:tab w:val="right" w:pos="8306"/>
      </w:tabs>
      <w:snapToGrid w:val="0"/>
      <w:jc w:val="left"/>
    </w:pPr>
    <w:rPr>
      <w:rFonts w:ascii="宋体" w:hAnsi="Courier New"/>
      <w:sz w:val="18"/>
      <w:szCs w:val="20"/>
    </w:rPr>
  </w:style>
  <w:style w:type="paragraph" w:styleId="33">
    <w:name w:val="header"/>
    <w:basedOn w:val="1"/>
    <w:link w:val="25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34">
    <w:name w:val="toc 1"/>
    <w:basedOn w:val="1"/>
    <w:next w:val="1"/>
    <w:qFormat/>
    <w:uiPriority w:val="39"/>
    <w:pPr>
      <w:tabs>
        <w:tab w:val="right" w:leader="dot" w:pos="9628"/>
      </w:tabs>
    </w:pPr>
    <w:rPr>
      <w:rFonts w:ascii="黑体" w:eastAsia="黑体"/>
      <w:color w:val="000000"/>
      <w:sz w:val="32"/>
      <w:szCs w:val="32"/>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258"/>
    <w:qFormat/>
    <w:uiPriority w:val="0"/>
    <w:pPr>
      <w:spacing w:after="120"/>
      <w:ind w:left="420" w:leftChars="200"/>
    </w:pPr>
    <w:rPr>
      <w:kern w:val="0"/>
      <w:sz w:val="16"/>
      <w:szCs w:val="16"/>
    </w:rPr>
  </w:style>
  <w:style w:type="paragraph" w:styleId="40">
    <w:name w:val="toc 2"/>
    <w:basedOn w:val="1"/>
    <w:next w:val="1"/>
    <w:qFormat/>
    <w:uiPriority w:val="39"/>
    <w:rPr>
      <w:rFonts w:ascii="宋体" w:hAnsi="宋体" w:cs="Arial"/>
      <w:b/>
      <w:szCs w:val="21"/>
      <w:lang w:eastAsia="zh-Hans"/>
    </w:rPr>
  </w:style>
  <w:style w:type="paragraph" w:styleId="41">
    <w:name w:val="toc 9"/>
    <w:basedOn w:val="1"/>
    <w:next w:val="1"/>
    <w:qFormat/>
    <w:uiPriority w:val="0"/>
    <w:pPr>
      <w:ind w:left="3360" w:leftChars="1600"/>
    </w:pPr>
  </w:style>
  <w:style w:type="paragraph" w:styleId="42">
    <w:name w:val="Body Text 2"/>
    <w:basedOn w:val="1"/>
    <w:link w:val="279"/>
    <w:qFormat/>
    <w:uiPriority w:val="0"/>
    <w:pPr>
      <w:spacing w:after="120" w:line="480" w:lineRule="auto"/>
    </w:pPr>
    <w:rPr>
      <w:kern w:val="0"/>
      <w:sz w:val="20"/>
    </w:rPr>
  </w:style>
  <w:style w:type="paragraph" w:styleId="43">
    <w:name w:val="HTML Preformatted"/>
    <w:basedOn w:val="1"/>
    <w:link w:val="2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4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45">
    <w:name w:val="index 1"/>
    <w:basedOn w:val="1"/>
    <w:next w:val="1"/>
    <w:semiHidden/>
    <w:qFormat/>
    <w:uiPriority w:val="0"/>
    <w:pPr>
      <w:spacing w:line="360" w:lineRule="auto"/>
    </w:pPr>
    <w:rPr>
      <w:rFonts w:ascii="宋体" w:hAnsi="宋体"/>
      <w:bCs/>
      <w:szCs w:val="21"/>
    </w:rPr>
  </w:style>
  <w:style w:type="paragraph" w:styleId="46">
    <w:name w:val="Title"/>
    <w:basedOn w:val="1"/>
    <w:next w:val="1"/>
    <w:link w:val="208"/>
    <w:qFormat/>
    <w:uiPriority w:val="99"/>
    <w:pPr>
      <w:spacing w:before="240" w:after="60"/>
      <w:jc w:val="center"/>
      <w:outlineLvl w:val="0"/>
    </w:pPr>
    <w:rPr>
      <w:rFonts w:ascii="Arial" w:hAnsi="Arial"/>
      <w:b/>
      <w:bCs/>
      <w:sz w:val="32"/>
      <w:szCs w:val="32"/>
    </w:rPr>
  </w:style>
  <w:style w:type="paragraph" w:styleId="47">
    <w:name w:val="annotation subject"/>
    <w:basedOn w:val="16"/>
    <w:next w:val="16"/>
    <w:link w:val="214"/>
    <w:qFormat/>
    <w:uiPriority w:val="99"/>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99"/>
    <w:rPr>
      <w:color w:val="434242"/>
      <w:u w:val="none"/>
    </w:rPr>
  </w:style>
  <w:style w:type="character" w:styleId="54">
    <w:name w:val="Emphasis"/>
    <w:qFormat/>
    <w:uiPriority w:val="20"/>
    <w:rPr>
      <w:rFonts w:ascii="Arial Black" w:hAnsi="Arial Black" w:eastAsia="黑体"/>
      <w:bCs/>
    </w:rPr>
  </w:style>
  <w:style w:type="character" w:styleId="55">
    <w:name w:val="line number"/>
    <w:basedOn w:val="50"/>
    <w:qFormat/>
    <w:uiPriority w:val="0"/>
  </w:style>
  <w:style w:type="character" w:styleId="56">
    <w:name w:val="HTML Definition"/>
    <w:basedOn w:val="50"/>
    <w:semiHidden/>
    <w:unhideWhenUsed/>
    <w:qFormat/>
    <w:uiPriority w:val="99"/>
  </w:style>
  <w:style w:type="character" w:styleId="57">
    <w:name w:val="HTML Acronym"/>
    <w:basedOn w:val="50"/>
    <w:semiHidden/>
    <w:unhideWhenUsed/>
    <w:qFormat/>
    <w:uiPriority w:val="99"/>
  </w:style>
  <w:style w:type="character" w:styleId="58">
    <w:name w:val="HTML Variable"/>
    <w:basedOn w:val="50"/>
    <w:semiHidden/>
    <w:unhideWhenUsed/>
    <w:qFormat/>
    <w:uiPriority w:val="99"/>
  </w:style>
  <w:style w:type="character" w:styleId="59">
    <w:name w:val="Hyperlink"/>
    <w:basedOn w:val="50"/>
    <w:qFormat/>
    <w:uiPriority w:val="99"/>
    <w:rPr>
      <w:color w:val="434242"/>
      <w:u w:val="none"/>
    </w:rPr>
  </w:style>
  <w:style w:type="character" w:styleId="60">
    <w:name w:val="HTML Code"/>
    <w:basedOn w:val="50"/>
    <w:semiHidden/>
    <w:unhideWhenUsed/>
    <w:qFormat/>
    <w:uiPriority w:val="99"/>
    <w:rPr>
      <w:rFonts w:ascii="Courier New" w:hAnsi="Courier New"/>
      <w:sz w:val="20"/>
    </w:rPr>
  </w:style>
  <w:style w:type="character" w:styleId="61">
    <w:name w:val="annotation reference"/>
    <w:qFormat/>
    <w:uiPriority w:val="0"/>
    <w:rPr>
      <w:sz w:val="21"/>
      <w:szCs w:val="21"/>
    </w:rPr>
  </w:style>
  <w:style w:type="character" w:styleId="62">
    <w:name w:val="HTML Cite"/>
    <w:basedOn w:val="50"/>
    <w:semiHidden/>
    <w:unhideWhenUsed/>
    <w:qFormat/>
    <w:uiPriority w:val="99"/>
  </w:style>
  <w:style w:type="paragraph" w:customStyle="1" w:styleId="63">
    <w:name w:val="正文文本缩进 Char Char Char Char"/>
    <w:basedOn w:val="1"/>
    <w:qFormat/>
    <w:uiPriority w:val="0"/>
    <w:pPr>
      <w:ind w:firstLine="540"/>
    </w:pPr>
    <w:rPr>
      <w:rFonts w:hint="eastAsia" w:ascii="宋体" w:hAnsi="Courier New"/>
      <w:szCs w:val="20"/>
    </w:rPr>
  </w:style>
  <w:style w:type="paragraph" w:customStyle="1" w:styleId="64">
    <w:name w:val="font10"/>
    <w:basedOn w:val="1"/>
    <w:qFormat/>
    <w:uiPriority w:val="0"/>
    <w:pPr>
      <w:widowControl/>
      <w:spacing w:before="100" w:beforeAutospacing="1" w:after="100" w:afterAutospacing="1"/>
      <w:jc w:val="left"/>
    </w:pPr>
    <w:rPr>
      <w:rFonts w:ascii="Arial" w:hAnsi="Arial" w:cs="Arial"/>
      <w:kern w:val="0"/>
      <w:sz w:val="19"/>
      <w:szCs w:val="19"/>
    </w:rPr>
  </w:style>
  <w:style w:type="paragraph" w:customStyle="1" w:styleId="65">
    <w:name w:val="默认段落字体 Para Char"/>
    <w:basedOn w:val="1"/>
    <w:qFormat/>
    <w:uiPriority w:val="0"/>
  </w:style>
  <w:style w:type="paragraph" w:customStyle="1" w:styleId="66">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67">
    <w:name w:val="p16"/>
    <w:basedOn w:val="1"/>
    <w:qFormat/>
    <w:uiPriority w:val="0"/>
    <w:pPr>
      <w:widowControl/>
    </w:pPr>
    <w:rPr>
      <w:rFonts w:ascii="宋体" w:hAnsi="宋体" w:cs="宋体"/>
      <w:kern w:val="0"/>
      <w:szCs w:val="21"/>
    </w:rPr>
  </w:style>
  <w:style w:type="paragraph" w:customStyle="1" w:styleId="68">
    <w:name w:val="Char Char4"/>
    <w:basedOn w:val="1"/>
    <w:qFormat/>
    <w:uiPriority w:val="0"/>
    <w:pPr>
      <w:widowControl/>
      <w:spacing w:after="160" w:line="240" w:lineRule="exact"/>
      <w:jc w:val="left"/>
    </w:pPr>
    <w:rPr>
      <w:szCs w:val="20"/>
    </w:rPr>
  </w:style>
  <w:style w:type="paragraph" w:customStyle="1" w:styleId="69">
    <w:name w:val="表格文字"/>
    <w:basedOn w:val="1"/>
    <w:qFormat/>
    <w:uiPriority w:val="99"/>
    <w:pPr>
      <w:spacing w:before="25" w:after="25"/>
      <w:jc w:val="left"/>
    </w:pPr>
    <w:rPr>
      <w:bCs/>
      <w:spacing w:val="10"/>
      <w:kern w:val="0"/>
      <w:sz w:val="24"/>
    </w:rPr>
  </w:style>
  <w:style w:type="paragraph" w:customStyle="1" w:styleId="70">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73">
    <w:name w:val="节标题"/>
    <w:basedOn w:val="1"/>
    <w:next w:val="74"/>
    <w:qFormat/>
    <w:uiPriority w:val="0"/>
    <w:pPr>
      <w:widowControl/>
      <w:spacing w:line="289" w:lineRule="atLeast"/>
      <w:jc w:val="center"/>
      <w:textAlignment w:val="baseline"/>
    </w:pPr>
    <w:rPr>
      <w:color w:val="000000"/>
      <w:kern w:val="0"/>
      <w:sz w:val="28"/>
      <w:szCs w:val="20"/>
      <w:u w:color="000000"/>
    </w:rPr>
  </w:style>
  <w:style w:type="paragraph" w:customStyle="1" w:styleId="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7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76">
    <w:name w:val="Char Char1 Char Char Char Char"/>
    <w:basedOn w:val="15"/>
    <w:qFormat/>
    <w:uiPriority w:val="0"/>
    <w:pPr>
      <w:shd w:val="clear" w:color="auto" w:fill="000080"/>
    </w:pPr>
    <w:rPr>
      <w:rFonts w:ascii="Tahoma" w:hAnsi="Tahoma"/>
      <w:sz w:val="24"/>
      <w:szCs w:val="24"/>
    </w:rPr>
  </w:style>
  <w:style w:type="paragraph" w:customStyle="1" w:styleId="77">
    <w:name w:val="正文首行缩进两字符"/>
    <w:basedOn w:val="1"/>
    <w:qFormat/>
    <w:uiPriority w:val="0"/>
    <w:pPr>
      <w:spacing w:line="360" w:lineRule="auto"/>
      <w:ind w:firstLine="200" w:firstLineChars="200"/>
    </w:pPr>
  </w:style>
  <w:style w:type="paragraph" w:customStyle="1" w:styleId="78">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79">
    <w:name w:val="font9"/>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80">
    <w:name w:val="Char Char"/>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81">
    <w:name w:val="列出段落1"/>
    <w:basedOn w:val="1"/>
    <w:qFormat/>
    <w:uiPriority w:val="34"/>
    <w:pPr>
      <w:widowControl/>
      <w:spacing w:after="200" w:line="276" w:lineRule="auto"/>
      <w:ind w:left="720"/>
      <w:jc w:val="left"/>
    </w:pPr>
    <w:rPr>
      <w:rFonts w:ascii="Calibri" w:hAnsi="Calibri" w:cs="Calibri"/>
      <w:kern w:val="0"/>
      <w:sz w:val="22"/>
      <w:szCs w:val="22"/>
      <w:lang w:eastAsia="en-US" w:bidi="en-US"/>
    </w:rPr>
  </w:style>
  <w:style w:type="paragraph" w:customStyle="1" w:styleId="82">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83">
    <w:name w:val="样式 标题 2 + (西文) 宋体 非加粗 居中"/>
    <w:basedOn w:val="4"/>
    <w:qFormat/>
    <w:uiPriority w:val="0"/>
    <w:pPr>
      <w:adjustRightInd/>
      <w:spacing w:line="416" w:lineRule="auto"/>
      <w:jc w:val="center"/>
      <w:textAlignment w:val="auto"/>
    </w:pPr>
    <w:rPr>
      <w:rFonts w:ascii="宋体" w:hAnsi="宋体" w:cs="宋体"/>
      <w:b w:val="0"/>
      <w:spacing w:val="2"/>
      <w:sz w:val="28"/>
    </w:rPr>
  </w:style>
  <w:style w:type="paragraph" w:customStyle="1" w:styleId="84">
    <w:name w:val="p15"/>
    <w:basedOn w:val="1"/>
    <w:qFormat/>
    <w:uiPriority w:val="99"/>
    <w:pPr>
      <w:widowControl/>
    </w:pPr>
    <w:rPr>
      <w:rFonts w:ascii="宋体" w:hAnsi="宋体" w:cs="宋体"/>
      <w:kern w:val="0"/>
      <w:szCs w:val="21"/>
    </w:rPr>
  </w:style>
  <w:style w:type="paragraph" w:customStyle="1" w:styleId="8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89">
    <w:name w:val="纯文本1"/>
    <w:basedOn w:val="1"/>
    <w:link w:val="191"/>
    <w:qFormat/>
    <w:uiPriority w:val="0"/>
    <w:rPr>
      <w:rFonts w:ascii="宋体" w:hAnsi="Courier New"/>
      <w:kern w:val="0"/>
      <w:sz w:val="20"/>
      <w:szCs w:val="20"/>
    </w:rPr>
  </w:style>
  <w:style w:type="paragraph" w:customStyle="1" w:styleId="90">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sz w:val="28"/>
    </w:rPr>
  </w:style>
  <w:style w:type="paragraph" w:customStyle="1" w:styleId="91">
    <w:name w:val="Char Char Char1 Char"/>
    <w:basedOn w:val="1"/>
    <w:qFormat/>
    <w:uiPriority w:val="0"/>
    <w:rPr>
      <w:rFonts w:ascii="Tahoma" w:hAnsi="Tahoma"/>
      <w:sz w:val="24"/>
    </w:rPr>
  </w:style>
  <w:style w:type="paragraph" w:customStyle="1" w:styleId="92">
    <w:name w:val="样式 正文文字 + 小四 段后: 0 磅 行距: 1.5 倍行距"/>
    <w:basedOn w:val="19"/>
    <w:qFormat/>
    <w:uiPriority w:val="0"/>
    <w:pPr>
      <w:spacing w:line="360" w:lineRule="auto"/>
      <w:ind w:firstLine="480" w:firstLineChars="200"/>
    </w:pPr>
    <w:rPr>
      <w:rFonts w:ascii="Calibri" w:hAnsi="Calibri" w:eastAsia="宋体" w:cs="宋体"/>
      <w:b w:val="0"/>
      <w:spacing w:val="0"/>
      <w:kern w:val="0"/>
      <w:sz w:val="24"/>
    </w:rPr>
  </w:style>
  <w:style w:type="paragraph" w:customStyle="1" w:styleId="93">
    <w:name w:val="List Paragraph1"/>
    <w:basedOn w:val="1"/>
    <w:qFormat/>
    <w:uiPriority w:val="99"/>
    <w:pPr>
      <w:ind w:firstLine="420" w:firstLineChars="200"/>
    </w:pPr>
    <w:rPr>
      <w:sz w:val="24"/>
    </w:rPr>
  </w:style>
  <w:style w:type="paragraph" w:customStyle="1" w:styleId="94">
    <w:name w:val="Char Char2"/>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95">
    <w:name w:val="标题1"/>
    <w:basedOn w:val="3"/>
    <w:qFormat/>
    <w:uiPriority w:val="0"/>
    <w:pPr>
      <w:widowControl/>
      <w:pBdr>
        <w:bottom w:val="single" w:color="auto" w:sz="8" w:space="6"/>
      </w:pBdr>
      <w:tabs>
        <w:tab w:val="left" w:pos="0"/>
      </w:tabs>
      <w:spacing w:before="480" w:after="240" w:line="360" w:lineRule="auto"/>
      <w:ind w:left="567" w:hanging="567"/>
      <w:jc w:val="left"/>
    </w:pPr>
    <w:rPr>
      <w:rFonts w:ascii="宋体" w:hAnsi="宋体"/>
      <w:bCs/>
      <w:smallCaps/>
      <w:color w:val="000000"/>
      <w:spacing w:val="10"/>
      <w:kern w:val="20"/>
      <w:szCs w:val="21"/>
    </w:rPr>
  </w:style>
  <w:style w:type="paragraph" w:customStyle="1" w:styleId="9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正文1"/>
    <w:link w:val="230"/>
    <w:qFormat/>
    <w:uiPriority w:val="0"/>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paragraph" w:customStyle="1" w:styleId="99">
    <w:name w:val="2ji"/>
    <w:basedOn w:val="4"/>
    <w:qFormat/>
    <w:uiPriority w:val="0"/>
    <w:pPr>
      <w:spacing w:before="0" w:after="0" w:line="360" w:lineRule="auto"/>
    </w:pPr>
    <w:rPr>
      <w:rFonts w:ascii="宋体" w:hAnsi="宋体" w:eastAsia="宋体"/>
      <w:bCs/>
      <w:sz w:val="21"/>
      <w:szCs w:val="21"/>
    </w:rPr>
  </w:style>
  <w:style w:type="paragraph" w:customStyle="1" w:styleId="100">
    <w:name w:val="F2"/>
    <w:basedOn w:val="1"/>
    <w:qFormat/>
    <w:uiPriority w:val="0"/>
    <w:pPr>
      <w:autoSpaceDE w:val="0"/>
      <w:autoSpaceDN w:val="0"/>
      <w:adjustRightInd w:val="0"/>
      <w:ind w:firstLine="601"/>
    </w:pPr>
    <w:rPr>
      <w:kern w:val="0"/>
      <w:sz w:val="24"/>
      <w:szCs w:val="20"/>
    </w:rPr>
  </w:style>
  <w:style w:type="paragraph" w:customStyle="1" w:styleId="1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03">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04">
    <w:name w:val="标题3"/>
    <w:basedOn w:val="5"/>
    <w:qFormat/>
    <w:uiPriority w:val="0"/>
    <w:pPr>
      <w:keepLines w:val="0"/>
      <w:widowControl/>
      <w:tabs>
        <w:tab w:val="left" w:pos="1247"/>
      </w:tabs>
      <w:spacing w:before="240" w:after="120" w:line="360" w:lineRule="auto"/>
      <w:ind w:left="1247" w:hanging="1247"/>
      <w:jc w:val="left"/>
    </w:pPr>
    <w:rPr>
      <w:rFonts w:ascii="Arial" w:hAnsi="Arial"/>
      <w:kern w:val="0"/>
      <w:sz w:val="52"/>
      <w:szCs w:val="52"/>
    </w:rPr>
  </w:style>
  <w:style w:type="paragraph" w:customStyle="1" w:styleId="105">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06">
    <w:name w:val="自定义标题一"/>
    <w:basedOn w:val="3"/>
    <w:link w:val="212"/>
    <w:qFormat/>
    <w:uiPriority w:val="0"/>
    <w:pPr>
      <w:keepLines/>
      <w:pageBreakBefore/>
      <w:tabs>
        <w:tab w:val="left" w:pos="144"/>
      </w:tabs>
      <w:spacing w:line="360" w:lineRule="auto"/>
      <w:ind w:left="144" w:hanging="144"/>
      <w:jc w:val="center"/>
    </w:pPr>
    <w:rPr>
      <w:rFonts w:ascii="黑体" w:hAnsi="黑体" w:eastAsia="黑体"/>
      <w:bCs/>
      <w:kern w:val="44"/>
      <w:sz w:val="44"/>
      <w:szCs w:val="44"/>
      <w14:shadow w14:blurRad="50800" w14:dist="38100" w14:dir="2700000" w14:sx="100000" w14:sy="100000" w14:kx="0" w14:ky="0" w14:algn="tl">
        <w14:srgbClr w14:val="000000">
          <w14:alpha w14:val="60000"/>
        </w14:srgbClr>
      </w14:shadow>
    </w:rPr>
  </w:style>
  <w:style w:type="paragraph" w:styleId="107">
    <w:name w:val="No Spacing"/>
    <w:link w:val="20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Char Char8"/>
    <w:basedOn w:val="1"/>
    <w:qFormat/>
    <w:uiPriority w:val="0"/>
    <w:pPr>
      <w:widowControl/>
      <w:spacing w:after="160" w:line="240" w:lineRule="exact"/>
      <w:jc w:val="left"/>
    </w:pPr>
    <w:rPr>
      <w:rFonts w:ascii="Tahoma" w:hAnsi="Tahoma" w:cs="Verdana"/>
      <w:kern w:val="0"/>
      <w:szCs w:val="20"/>
      <w:lang w:eastAsia="en-US"/>
    </w:rPr>
  </w:style>
  <w:style w:type="paragraph" w:customStyle="1" w:styleId="10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正文2"/>
    <w:basedOn w:val="1"/>
    <w:link w:val="201"/>
    <w:qFormat/>
    <w:uiPriority w:val="0"/>
    <w:pPr>
      <w:spacing w:before="156" w:line="360" w:lineRule="auto"/>
      <w:ind w:firstLine="510" w:firstLineChars="200"/>
    </w:pPr>
    <w:rPr>
      <w:sz w:val="24"/>
      <w:szCs w:val="20"/>
    </w:rPr>
  </w:style>
  <w:style w:type="paragraph" w:customStyle="1" w:styleId="111">
    <w:name w:val="Char Char Char"/>
    <w:basedOn w:val="1"/>
    <w:qFormat/>
    <w:uiPriority w:val="0"/>
    <w:pPr>
      <w:widowControl/>
      <w:spacing w:after="160" w:line="240" w:lineRule="exact"/>
      <w:jc w:val="left"/>
    </w:pPr>
  </w:style>
  <w:style w:type="paragraph" w:customStyle="1" w:styleId="112">
    <w:name w:val="列出段落2"/>
    <w:basedOn w:val="1"/>
    <w:qFormat/>
    <w:uiPriority w:val="34"/>
    <w:pPr>
      <w:ind w:firstLine="420" w:firstLineChars="200"/>
    </w:p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444"/>
    <w:basedOn w:val="1"/>
    <w:qFormat/>
    <w:uiPriority w:val="0"/>
    <w:pPr>
      <w:adjustRightInd w:val="0"/>
      <w:spacing w:line="312" w:lineRule="atLeast"/>
      <w:jc w:val="center"/>
      <w:textAlignment w:val="baseline"/>
    </w:pPr>
    <w:rPr>
      <w:b/>
      <w:kern w:val="0"/>
      <w:sz w:val="36"/>
      <w:szCs w:val="36"/>
    </w:rPr>
  </w:style>
  <w:style w:type="paragraph" w:customStyle="1" w:styleId="1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18">
    <w:name w:val="Char Char10 Char Char"/>
    <w:basedOn w:val="1"/>
    <w:qFormat/>
    <w:uiPriority w:val="0"/>
    <w:pPr>
      <w:widowControl/>
      <w:spacing w:after="160" w:line="240" w:lineRule="exact"/>
      <w:jc w:val="left"/>
    </w:pPr>
  </w:style>
  <w:style w:type="paragraph" w:customStyle="1" w:styleId="11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20">
    <w:name w:val="font7"/>
    <w:basedOn w:val="1"/>
    <w:qFormat/>
    <w:uiPriority w:val="0"/>
    <w:pPr>
      <w:widowControl/>
      <w:spacing w:before="100" w:beforeAutospacing="1" w:after="100" w:afterAutospacing="1"/>
      <w:jc w:val="left"/>
    </w:pPr>
    <w:rPr>
      <w:kern w:val="0"/>
      <w:sz w:val="24"/>
    </w:rPr>
  </w:style>
  <w:style w:type="paragraph" w:customStyle="1" w:styleId="121">
    <w:name w:val="1ji"/>
    <w:basedOn w:val="3"/>
    <w:link w:val="233"/>
    <w:qFormat/>
    <w:uiPriority w:val="0"/>
    <w:pPr>
      <w:widowControl/>
      <w:jc w:val="center"/>
    </w:pPr>
    <w:rPr>
      <w:rFonts w:ascii="宋体" w:hAnsi="宋体"/>
      <w:bCs/>
      <w:kern w:val="44"/>
      <w:sz w:val="36"/>
      <w:szCs w:val="44"/>
    </w:rPr>
  </w:style>
  <w:style w:type="paragraph" w:customStyle="1" w:styleId="122">
    <w:name w:val="font11"/>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23">
    <w:name w:val="Char Char81"/>
    <w:basedOn w:val="1"/>
    <w:qFormat/>
    <w:uiPriority w:val="0"/>
    <w:pPr>
      <w:widowControl/>
      <w:spacing w:after="160" w:line="240" w:lineRule="exact"/>
      <w:jc w:val="left"/>
    </w:pPr>
    <w:rPr>
      <w:rFonts w:ascii="Tahoma" w:hAnsi="Tahoma" w:cs="Verdana"/>
      <w:kern w:val="0"/>
      <w:szCs w:val="20"/>
      <w:lang w:eastAsia="en-US"/>
    </w:rPr>
  </w:style>
  <w:style w:type="paragraph" w:customStyle="1" w:styleId="124">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125">
    <w:name w:val="List Paragraph2"/>
    <w:basedOn w:val="1"/>
    <w:qFormat/>
    <w:uiPriority w:val="0"/>
    <w:pPr>
      <w:ind w:firstLine="420" w:firstLineChars="200"/>
    </w:pPr>
    <w:rPr>
      <w:rFonts w:ascii="Calibri" w:hAnsi="Calibri" w:cs="Calibri"/>
      <w:szCs w:val="21"/>
    </w:rPr>
  </w:style>
  <w:style w:type="paragraph" w:customStyle="1" w:styleId="126">
    <w:name w:val="unnamed2"/>
    <w:basedOn w:val="1"/>
    <w:qFormat/>
    <w:uiPriority w:val="0"/>
    <w:pPr>
      <w:widowControl/>
      <w:spacing w:before="100" w:beforeAutospacing="1" w:after="100" w:afterAutospacing="1" w:line="270" w:lineRule="atLeast"/>
      <w:jc w:val="left"/>
    </w:pPr>
    <w:rPr>
      <w:rFonts w:ascii="_x000B_" w:hAnsi="_x000B_"/>
      <w:color w:val="000000"/>
      <w:kern w:val="0"/>
      <w:sz w:val="18"/>
      <w:szCs w:val="18"/>
    </w:rPr>
  </w:style>
  <w:style w:type="paragraph" w:customStyle="1" w:styleId="127">
    <w:name w:val="Char2"/>
    <w:basedOn w:val="1"/>
    <w:qFormat/>
    <w:uiPriority w:val="0"/>
    <w:rPr>
      <w:szCs w:val="20"/>
    </w:rPr>
  </w:style>
  <w:style w:type="paragraph" w:customStyle="1" w:styleId="128">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29">
    <w:name w:val="Body"/>
    <w:basedOn w:val="1"/>
    <w:qFormat/>
    <w:uiPriority w:val="0"/>
    <w:pPr>
      <w:widowControl/>
      <w:tabs>
        <w:tab w:val="left" w:pos="1980"/>
      </w:tabs>
      <w:spacing w:before="80" w:after="80" w:line="360" w:lineRule="auto"/>
      <w:jc w:val="center"/>
    </w:pPr>
    <w:rPr>
      <w:szCs w:val="21"/>
    </w:rPr>
  </w:style>
  <w:style w:type="paragraph" w:customStyle="1" w:styleId="130">
    <w:name w:val="2"/>
    <w:basedOn w:val="1"/>
    <w:next w:val="26"/>
    <w:qFormat/>
    <w:uiPriority w:val="0"/>
    <w:rPr>
      <w:rFonts w:ascii="宋体" w:hAnsi="Courier New"/>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2">
    <w:name w:val="_Style 4"/>
    <w:basedOn w:val="1"/>
    <w:qFormat/>
    <w:uiPriority w:val="0"/>
    <w:pPr>
      <w:ind w:firstLine="420" w:firstLineChars="200"/>
    </w:pPr>
    <w:rPr>
      <w:rFonts w:ascii="Calibri" w:hAnsi="Calibri"/>
      <w:szCs w:val="22"/>
    </w:rPr>
  </w:style>
  <w:style w:type="paragraph" w:customStyle="1" w:styleId="133">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134">
    <w:name w:val="表内文字"/>
    <w:basedOn w:val="1"/>
    <w:qFormat/>
    <w:uiPriority w:val="0"/>
    <w:pPr>
      <w:snapToGrid w:val="0"/>
      <w:spacing w:before="50" w:after="50" w:line="360" w:lineRule="exact"/>
    </w:pPr>
    <w:rPr>
      <w:rFonts w:ascii="宋体" w:hAnsi="宋体"/>
      <w:b/>
      <w:color w:val="0000FF"/>
      <w:szCs w:val="21"/>
    </w:rPr>
  </w:style>
  <w:style w:type="paragraph" w:styleId="135">
    <w:name w:val="List Paragraph"/>
    <w:basedOn w:val="1"/>
    <w:link w:val="219"/>
    <w:qFormat/>
    <w:uiPriority w:val="0"/>
    <w:pPr>
      <w:ind w:firstLine="420" w:firstLineChars="200"/>
    </w:pPr>
    <w:rPr>
      <w:szCs w:val="20"/>
    </w:rPr>
  </w:style>
  <w:style w:type="paragraph" w:customStyle="1" w:styleId="136">
    <w:name w:val="p0"/>
    <w:basedOn w:val="1"/>
    <w:qFormat/>
    <w:uiPriority w:val="0"/>
    <w:pPr>
      <w:widowControl/>
    </w:pPr>
    <w:rPr>
      <w:kern w:val="0"/>
      <w:sz w:val="24"/>
    </w:rPr>
  </w:style>
  <w:style w:type="paragraph" w:customStyle="1" w:styleId="137">
    <w:name w:val="二级标题----节标题"/>
    <w:basedOn w:val="4"/>
    <w:qFormat/>
    <w:uiPriority w:val="0"/>
    <w:pPr>
      <w:snapToGrid w:val="0"/>
      <w:spacing w:before="160" w:after="160" w:line="240" w:lineRule="auto"/>
      <w:textAlignment w:val="auto"/>
    </w:pPr>
    <w:rPr>
      <w:rFonts w:ascii="宋体" w:hAnsi="宋体" w:eastAsia="宋体"/>
      <w:b w:val="0"/>
      <w:bCs/>
      <w:sz w:val="30"/>
      <w:szCs w:val="30"/>
    </w:rPr>
  </w:style>
  <w:style w:type="paragraph" w:customStyle="1" w:styleId="138">
    <w:name w:val="_Style 35"/>
    <w:basedOn w:val="15"/>
    <w:qFormat/>
    <w:uiPriority w:val="0"/>
    <w:pPr>
      <w:widowControl/>
      <w:shd w:val="clear" w:color="auto" w:fill="000080"/>
      <w:ind w:firstLine="454"/>
      <w:jc w:val="left"/>
    </w:pPr>
    <w:rPr>
      <w:rFonts w:ascii="Times New Roman"/>
      <w:sz w:val="21"/>
      <w:szCs w:val="24"/>
    </w:rPr>
  </w:style>
  <w:style w:type="paragraph" w:customStyle="1" w:styleId="13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40">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141">
    <w:name w:val="沧县-标题6"/>
    <w:next w:val="1"/>
    <w:qFormat/>
    <w:uiPriority w:val="0"/>
    <w:pPr>
      <w:spacing w:beforeLines="20" w:afterLines="20" w:line="360" w:lineRule="auto"/>
      <w:ind w:firstLine="200" w:firstLineChars="200"/>
      <w:outlineLvl w:val="5"/>
    </w:pPr>
    <w:rPr>
      <w:rFonts w:ascii="Times New Roman" w:hAnsi="Times New Roman" w:eastAsia="宋体" w:cs="Times New Roman"/>
      <w:b/>
      <w:bCs/>
      <w:kern w:val="2"/>
      <w:sz w:val="24"/>
      <w:szCs w:val="24"/>
      <w:lang w:val="en-US" w:eastAsia="zh-CN" w:bidi="ar-SA"/>
    </w:rPr>
  </w:style>
  <w:style w:type="paragraph" w:customStyle="1" w:styleId="14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4">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5">
    <w:name w:val="默认段落字体 Para Char Char Char Char Char Char Char Char Char Char"/>
    <w:basedOn w:val="1"/>
    <w:qFormat/>
    <w:uiPriority w:val="0"/>
  </w:style>
  <w:style w:type="paragraph" w:customStyle="1" w:styleId="146">
    <w:name w:val="1"/>
    <w:basedOn w:val="1"/>
    <w:next w:val="26"/>
    <w:qFormat/>
    <w:uiPriority w:val="99"/>
    <w:rPr>
      <w:rFonts w:ascii="宋体" w:hAnsi="Courier New"/>
      <w:szCs w:val="20"/>
    </w:rPr>
  </w:style>
  <w:style w:type="paragraph" w:customStyle="1" w:styleId="147">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 Char Char Char Char Char Char Char Char"/>
    <w:basedOn w:val="1"/>
    <w:qFormat/>
    <w:uiPriority w:val="0"/>
    <w:pPr>
      <w:widowControl/>
      <w:spacing w:after="160" w:line="240" w:lineRule="exact"/>
      <w:jc w:val="left"/>
    </w:pPr>
    <w:rPr>
      <w:szCs w:val="20"/>
    </w:rPr>
  </w:style>
  <w:style w:type="paragraph" w:customStyle="1" w:styleId="150">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font8"/>
    <w:basedOn w:val="1"/>
    <w:qFormat/>
    <w:uiPriority w:val="0"/>
    <w:pPr>
      <w:widowControl/>
      <w:spacing w:before="100" w:beforeAutospacing="1" w:after="100" w:afterAutospacing="1"/>
      <w:jc w:val="left"/>
    </w:pPr>
    <w:rPr>
      <w:kern w:val="0"/>
      <w:szCs w:val="21"/>
    </w:rPr>
  </w:style>
  <w:style w:type="paragraph" w:customStyle="1" w:styleId="152">
    <w:name w:val="Char Char12"/>
    <w:basedOn w:val="1"/>
    <w:qFormat/>
    <w:uiPriority w:val="0"/>
    <w:pPr>
      <w:widowControl/>
      <w:spacing w:after="160" w:line="240" w:lineRule="exact"/>
      <w:jc w:val="left"/>
    </w:pPr>
  </w:style>
  <w:style w:type="paragraph" w:customStyle="1" w:styleId="153">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54">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1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6">
    <w:name w:val="4"/>
    <w:basedOn w:val="1"/>
    <w:next w:val="26"/>
    <w:qFormat/>
    <w:uiPriority w:val="0"/>
    <w:rPr>
      <w:rFonts w:ascii="宋体" w:hAnsi="Courier New"/>
      <w:szCs w:val="20"/>
    </w:rPr>
  </w:style>
  <w:style w:type="paragraph" w:customStyle="1" w:styleId="157">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58">
    <w:name w:val="样式1"/>
    <w:basedOn w:val="1"/>
    <w:qFormat/>
    <w:uiPriority w:val="0"/>
    <w:pPr>
      <w:spacing w:before="120" w:after="120" w:line="300" w:lineRule="auto"/>
    </w:pPr>
    <w:rPr>
      <w:rFonts w:ascii="宋体" w:hAnsi="宋体"/>
      <w:b/>
      <w:sz w:val="24"/>
      <w:szCs w:val="20"/>
    </w:rPr>
  </w:style>
  <w:style w:type="paragraph" w:customStyle="1" w:styleId="159">
    <w:name w:val="3"/>
    <w:basedOn w:val="1"/>
    <w:next w:val="26"/>
    <w:qFormat/>
    <w:uiPriority w:val="0"/>
    <w:rPr>
      <w:rFonts w:ascii="宋体" w:hAnsi="Courier New"/>
      <w:szCs w:val="20"/>
    </w:rPr>
  </w:style>
  <w:style w:type="paragraph" w:customStyle="1" w:styleId="160">
    <w:name w:val="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4">
    <w:name w:val="文章总标题"/>
    <w:basedOn w:val="1"/>
    <w:next w:val="15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65">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166">
    <w:name w:val="表格"/>
    <w:basedOn w:val="1"/>
    <w:qFormat/>
    <w:uiPriority w:val="0"/>
    <w:pPr>
      <w:spacing w:line="400" w:lineRule="exact"/>
    </w:pPr>
    <w:rPr>
      <w:sz w:val="24"/>
    </w:rPr>
  </w:style>
  <w:style w:type="paragraph" w:customStyle="1" w:styleId="167">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68">
    <w:name w:val="Char Char1 Char Char Char Char1"/>
    <w:basedOn w:val="15"/>
    <w:qFormat/>
    <w:uiPriority w:val="0"/>
    <w:pPr>
      <w:shd w:val="clear" w:color="auto" w:fill="000080"/>
    </w:pPr>
    <w:rPr>
      <w:rFonts w:ascii="Tahoma" w:hAnsi="Tahoma"/>
      <w:sz w:val="24"/>
      <w:szCs w:val="24"/>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Char Char Char1 Char1"/>
    <w:basedOn w:val="1"/>
    <w:qFormat/>
    <w:uiPriority w:val="0"/>
    <w:pPr>
      <w:tabs>
        <w:tab w:val="left" w:pos="360"/>
      </w:tabs>
      <w:spacing w:line="360" w:lineRule="auto"/>
      <w:ind w:left="482" w:firstLine="200" w:firstLineChars="200"/>
    </w:pPr>
    <w:rPr>
      <w:rFonts w:ascii="宋体"/>
      <w:sz w:val="24"/>
      <w:szCs w:val="20"/>
    </w:rPr>
  </w:style>
  <w:style w:type="paragraph" w:customStyle="1" w:styleId="171">
    <w:name w:val="2-2ji"/>
    <w:basedOn w:val="4"/>
    <w:qFormat/>
    <w:uiPriority w:val="0"/>
    <w:pPr>
      <w:spacing w:before="0" w:after="0" w:line="360" w:lineRule="auto"/>
      <w:jc w:val="center"/>
    </w:pPr>
    <w:rPr>
      <w:rFonts w:ascii="宋体" w:hAnsi="宋体" w:eastAsia="宋体"/>
      <w:sz w:val="36"/>
      <w:szCs w:val="32"/>
    </w:rPr>
  </w:style>
  <w:style w:type="paragraph" w:customStyle="1" w:styleId="172">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6">
    <w:name w:val="默认段落字体 Para Char Char Char Char Char Char Char Char Char1 Char Char Char Char"/>
    <w:basedOn w:val="1"/>
    <w:qFormat/>
    <w:uiPriority w:val="0"/>
    <w:rPr>
      <w:rFonts w:ascii="Tahoma" w:hAnsi="Tahoma"/>
      <w:sz w:val="24"/>
      <w:szCs w:val="20"/>
    </w:rPr>
  </w:style>
  <w:style w:type="paragraph" w:customStyle="1" w:styleId="177">
    <w:name w:val="(1)编号"/>
    <w:basedOn w:val="1"/>
    <w:qFormat/>
    <w:uiPriority w:val="0"/>
    <w:pPr>
      <w:tabs>
        <w:tab w:val="left" w:pos="360"/>
        <w:tab w:val="left" w:pos="1247"/>
        <w:tab w:val="left" w:pos="3261"/>
      </w:tabs>
      <w:spacing w:line="400" w:lineRule="exact"/>
      <w:ind w:left="1247" w:hanging="567"/>
    </w:pPr>
    <w:rPr>
      <w:rFonts w:ascii="宋体" w:hAnsi="宋体"/>
      <w:spacing w:val="5"/>
      <w:sz w:val="24"/>
      <w:szCs w:val="20"/>
    </w:rPr>
  </w:style>
  <w:style w:type="paragraph" w:customStyle="1" w:styleId="17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7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8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1">
    <w:name w:val="沧县-正文-表格-居中"/>
    <w:basedOn w:val="1"/>
    <w:qFormat/>
    <w:uiPriority w:val="0"/>
    <w:pPr>
      <w:spacing w:beforeLines="20" w:afterLines="20"/>
      <w:jc w:val="center"/>
    </w:pPr>
    <w:rPr>
      <w:color w:val="000000"/>
      <w:szCs w:val="21"/>
    </w:rPr>
  </w:style>
  <w:style w:type="paragraph" w:customStyle="1" w:styleId="182">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83">
    <w:name w:val="样式 首行缩进:  2 字符"/>
    <w:basedOn w:val="1"/>
    <w:qFormat/>
    <w:uiPriority w:val="0"/>
    <w:pPr>
      <w:spacing w:line="400" w:lineRule="exact"/>
      <w:ind w:firstLine="200" w:firstLineChars="200"/>
    </w:pPr>
    <w:rPr>
      <w:rFonts w:cs="宋体"/>
      <w:sz w:val="24"/>
    </w:rPr>
  </w:style>
  <w:style w:type="paragraph" w:customStyle="1" w:styleId="184">
    <w:name w:val="Char11"/>
    <w:basedOn w:val="1"/>
    <w:qFormat/>
    <w:uiPriority w:val="0"/>
    <w:rPr>
      <w:szCs w:val="21"/>
    </w:rPr>
  </w:style>
  <w:style w:type="character" w:customStyle="1" w:styleId="185">
    <w:name w:val="Char Char24"/>
    <w:qFormat/>
    <w:locked/>
    <w:uiPriority w:val="0"/>
    <w:rPr>
      <w:rFonts w:eastAsia="宋体"/>
      <w:b/>
      <w:bCs/>
      <w:sz w:val="32"/>
      <w:szCs w:val="32"/>
      <w:lang w:bidi="ar-SA"/>
    </w:rPr>
  </w:style>
  <w:style w:type="character" w:customStyle="1" w:styleId="186">
    <w:name w:val="标题 8 Char"/>
    <w:link w:val="10"/>
    <w:qFormat/>
    <w:uiPriority w:val="0"/>
    <w:rPr>
      <w:rFonts w:ascii="Arial" w:hAnsi="Arial" w:eastAsia="黑体"/>
      <w:kern w:val="2"/>
      <w:sz w:val="24"/>
    </w:rPr>
  </w:style>
  <w:style w:type="character" w:customStyle="1" w:styleId="187">
    <w:name w:val="Char Char26"/>
    <w:qFormat/>
    <w:locked/>
    <w:uiPriority w:val="0"/>
    <w:rPr>
      <w:rFonts w:eastAsia="宋体"/>
      <w:b/>
      <w:bCs/>
      <w:kern w:val="44"/>
      <w:sz w:val="44"/>
      <w:szCs w:val="44"/>
      <w:lang w:val="en-US" w:eastAsia="zh-CN" w:bidi="ar-SA"/>
    </w:rPr>
  </w:style>
  <w:style w:type="character" w:customStyle="1" w:styleId="188">
    <w:name w:val="H1 Char1"/>
    <w:qFormat/>
    <w:uiPriority w:val="0"/>
    <w:rPr>
      <w:rFonts w:eastAsia="宋体"/>
      <w:b/>
      <w:bCs/>
      <w:kern w:val="44"/>
      <w:sz w:val="44"/>
      <w:szCs w:val="44"/>
      <w:lang w:val="en-US" w:eastAsia="zh-CN" w:bidi="ar-SA"/>
    </w:rPr>
  </w:style>
  <w:style w:type="character" w:customStyle="1" w:styleId="189">
    <w:name w:val="普通文字 Char Char2"/>
    <w:qFormat/>
    <w:uiPriority w:val="0"/>
    <w:rPr>
      <w:rFonts w:ascii="宋体" w:hAnsi="Courier New" w:eastAsia="宋体"/>
      <w:kern w:val="2"/>
      <w:sz w:val="21"/>
      <w:lang w:val="en-US" w:eastAsia="zh-CN" w:bidi="ar-SA"/>
    </w:rPr>
  </w:style>
  <w:style w:type="character" w:customStyle="1" w:styleId="190">
    <w:name w:val="正文文本缩进 3 Char1"/>
    <w:semiHidden/>
    <w:qFormat/>
    <w:uiPriority w:val="99"/>
    <w:rPr>
      <w:kern w:val="2"/>
      <w:sz w:val="16"/>
      <w:szCs w:val="16"/>
    </w:rPr>
  </w:style>
  <w:style w:type="character" w:customStyle="1" w:styleId="191">
    <w:name w:val="Plain Text Char"/>
    <w:link w:val="89"/>
    <w:qFormat/>
    <w:locked/>
    <w:uiPriority w:val="0"/>
    <w:rPr>
      <w:rFonts w:ascii="宋体" w:hAnsi="Courier New"/>
    </w:rPr>
  </w:style>
  <w:style w:type="character" w:customStyle="1" w:styleId="192">
    <w:name w:val="cubane_hilight1"/>
    <w:qFormat/>
    <w:uiPriority w:val="0"/>
    <w:rPr>
      <w:color w:val="CC0000"/>
    </w:rPr>
  </w:style>
  <w:style w:type="character" w:customStyle="1" w:styleId="193">
    <w:name w:val="Char Char111"/>
    <w:qFormat/>
    <w:uiPriority w:val="0"/>
    <w:rPr>
      <w:rFonts w:hint="default" w:ascii="Times New Roman" w:hAnsi="Times New Roman" w:eastAsia="宋体" w:cs="Times New Roman"/>
      <w:sz w:val="30"/>
      <w:szCs w:val="24"/>
    </w:rPr>
  </w:style>
  <w:style w:type="character" w:customStyle="1" w:styleId="194">
    <w:name w:val="apple-style-span"/>
    <w:basedOn w:val="50"/>
    <w:qFormat/>
    <w:uiPriority w:val="0"/>
  </w:style>
  <w:style w:type="character" w:customStyle="1" w:styleId="195">
    <w:name w:val="Char Char15"/>
    <w:qFormat/>
    <w:uiPriority w:val="0"/>
    <w:rPr>
      <w:sz w:val="18"/>
      <w:szCs w:val="18"/>
    </w:rPr>
  </w:style>
  <w:style w:type="character" w:customStyle="1" w:styleId="196">
    <w:name w:val="纯文本 Char5"/>
    <w:qFormat/>
    <w:uiPriority w:val="0"/>
    <w:rPr>
      <w:rFonts w:ascii="Ђˎ̥" w:hAnsi="Verdana" w:eastAsia="Ђˎ̥" w:cs="Verdana"/>
      <w:szCs w:val="21"/>
    </w:rPr>
  </w:style>
  <w:style w:type="character" w:customStyle="1" w:styleId="197">
    <w:name w:val="Char Char7"/>
    <w:qFormat/>
    <w:locked/>
    <w:uiPriority w:val="0"/>
    <w:rPr>
      <w:rFonts w:ascii="宋体" w:hAnsi="宋体" w:eastAsia="宋体"/>
      <w:kern w:val="2"/>
      <w:sz w:val="16"/>
      <w:szCs w:val="16"/>
      <w:lang w:val="en-US" w:eastAsia="zh-CN" w:bidi="ar-SA"/>
    </w:rPr>
  </w:style>
  <w:style w:type="character" w:customStyle="1" w:styleId="198">
    <w:name w:val="H1 Char"/>
    <w:qFormat/>
    <w:uiPriority w:val="0"/>
    <w:rPr>
      <w:rFonts w:eastAsia="宋体"/>
      <w:b/>
      <w:bCs/>
      <w:kern w:val="44"/>
      <w:sz w:val="44"/>
      <w:szCs w:val="44"/>
      <w:lang w:val="en-US" w:eastAsia="zh-CN" w:bidi="ar-SA"/>
    </w:rPr>
  </w:style>
  <w:style w:type="character" w:customStyle="1" w:styleId="199">
    <w:name w:val="标题 3 Char"/>
    <w:link w:val="5"/>
    <w:qFormat/>
    <w:uiPriority w:val="0"/>
    <w:rPr>
      <w:b/>
      <w:bCs/>
      <w:kern w:val="2"/>
      <w:sz w:val="32"/>
      <w:szCs w:val="32"/>
    </w:rPr>
  </w:style>
  <w:style w:type="character" w:customStyle="1" w:styleId="200">
    <w:name w:val="Char Char21"/>
    <w:qFormat/>
    <w:locked/>
    <w:uiPriority w:val="0"/>
    <w:rPr>
      <w:rFonts w:eastAsia="宋体"/>
      <w:b/>
      <w:kern w:val="2"/>
      <w:sz w:val="28"/>
      <w:szCs w:val="24"/>
      <w:lang w:val="en-US" w:eastAsia="zh-CN" w:bidi="ar-SA"/>
    </w:rPr>
  </w:style>
  <w:style w:type="character" w:customStyle="1" w:styleId="201">
    <w:name w:val="正文2 Char"/>
    <w:link w:val="110"/>
    <w:qFormat/>
    <w:locked/>
    <w:uiPriority w:val="0"/>
    <w:rPr>
      <w:kern w:val="2"/>
      <w:sz w:val="24"/>
    </w:rPr>
  </w:style>
  <w:style w:type="character" w:customStyle="1" w:styleId="202">
    <w:name w:val="普通文字 Char Char4"/>
    <w:qFormat/>
    <w:uiPriority w:val="0"/>
    <w:rPr>
      <w:rFonts w:ascii="宋体" w:hAnsi="Courier New" w:eastAsia="宋体" w:cs="Courier New"/>
      <w:kern w:val="2"/>
      <w:sz w:val="21"/>
      <w:szCs w:val="21"/>
      <w:lang w:val="en-US" w:eastAsia="zh-CN" w:bidi="ar-SA"/>
    </w:rPr>
  </w:style>
  <w:style w:type="character" w:customStyle="1" w:styleId="203">
    <w:name w:val="无间隔 Char"/>
    <w:link w:val="107"/>
    <w:qFormat/>
    <w:uiPriority w:val="0"/>
    <w:rPr>
      <w:kern w:val="2"/>
      <w:sz w:val="21"/>
      <w:szCs w:val="22"/>
      <w:lang w:val="en-US" w:eastAsia="zh-CN" w:bidi="ar-SA"/>
    </w:rPr>
  </w:style>
  <w:style w:type="character" w:customStyle="1" w:styleId="204">
    <w:name w:val="style21"/>
    <w:qFormat/>
    <w:uiPriority w:val="0"/>
    <w:rPr>
      <w:sz w:val="18"/>
      <w:szCs w:val="18"/>
    </w:rPr>
  </w:style>
  <w:style w:type="character" w:customStyle="1" w:styleId="205">
    <w:name w:val="正文文本 3 Char"/>
    <w:link w:val="18"/>
    <w:qFormat/>
    <w:uiPriority w:val="0"/>
    <w:rPr>
      <w:b/>
      <w:bCs/>
      <w:sz w:val="24"/>
      <w:szCs w:val="24"/>
    </w:rPr>
  </w:style>
  <w:style w:type="character" w:customStyle="1" w:styleId="206">
    <w:name w:val="Char Char5"/>
    <w:qFormat/>
    <w:uiPriority w:val="0"/>
    <w:rPr>
      <w:b/>
      <w:bCs/>
      <w:kern w:val="2"/>
      <w:sz w:val="32"/>
      <w:szCs w:val="32"/>
    </w:rPr>
  </w:style>
  <w:style w:type="character" w:customStyle="1" w:styleId="207">
    <w:name w:val="Char Char19"/>
    <w:qFormat/>
    <w:locked/>
    <w:uiPriority w:val="0"/>
    <w:rPr>
      <w:rFonts w:eastAsia="宋体"/>
      <w:b/>
      <w:kern w:val="2"/>
      <w:sz w:val="24"/>
      <w:szCs w:val="24"/>
      <w:lang w:val="en-US" w:eastAsia="zh-CN" w:bidi="ar-SA"/>
    </w:rPr>
  </w:style>
  <w:style w:type="character" w:customStyle="1" w:styleId="208">
    <w:name w:val="标题 Char"/>
    <w:link w:val="46"/>
    <w:qFormat/>
    <w:uiPriority w:val="99"/>
    <w:rPr>
      <w:rFonts w:ascii="Arial" w:hAnsi="Arial" w:cs="Arial"/>
      <w:b/>
      <w:bCs/>
      <w:kern w:val="2"/>
      <w:sz w:val="32"/>
      <w:szCs w:val="32"/>
    </w:rPr>
  </w:style>
  <w:style w:type="character" w:customStyle="1" w:styleId="209">
    <w:name w:val="px141"/>
    <w:qFormat/>
    <w:uiPriority w:val="0"/>
    <w:rPr>
      <w:sz w:val="21"/>
      <w:szCs w:val="21"/>
    </w:rPr>
  </w:style>
  <w:style w:type="character" w:customStyle="1" w:styleId="210">
    <w:name w:val="price7"/>
    <w:qFormat/>
    <w:uiPriority w:val="0"/>
    <w:rPr>
      <w:color w:val="CC0000"/>
    </w:rPr>
  </w:style>
  <w:style w:type="character" w:customStyle="1" w:styleId="211">
    <w:name w:val="font41"/>
    <w:qFormat/>
    <w:uiPriority w:val="0"/>
    <w:rPr>
      <w:rFonts w:ascii="宋体" w:hAnsi="宋体" w:eastAsia="宋体" w:cs="宋体"/>
      <w:color w:val="000000"/>
      <w:sz w:val="20"/>
      <w:szCs w:val="20"/>
      <w:u w:val="none"/>
    </w:rPr>
  </w:style>
  <w:style w:type="character" w:customStyle="1" w:styleId="212">
    <w:name w:val="自定义标题一 Char"/>
    <w:link w:val="106"/>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character" w:customStyle="1" w:styleId="213">
    <w:name w:val="p1"/>
    <w:basedOn w:val="50"/>
    <w:qFormat/>
    <w:uiPriority w:val="0"/>
  </w:style>
  <w:style w:type="character" w:customStyle="1" w:styleId="214">
    <w:name w:val="批注主题 Char"/>
    <w:link w:val="47"/>
    <w:qFormat/>
    <w:uiPriority w:val="99"/>
    <w:rPr>
      <w:b/>
      <w:bCs/>
      <w:kern w:val="2"/>
      <w:sz w:val="21"/>
      <w:szCs w:val="24"/>
    </w:rPr>
  </w:style>
  <w:style w:type="character" w:customStyle="1" w:styleId="215">
    <w:name w:val="HTML 预设格式 Char1"/>
    <w:qFormat/>
    <w:locked/>
    <w:uiPriority w:val="99"/>
    <w:rPr>
      <w:rFonts w:ascii="黑体" w:hAnsi="Courier New" w:eastAsia="黑体" w:cs="Courier New"/>
    </w:rPr>
  </w:style>
  <w:style w:type="character" w:customStyle="1" w:styleId="216">
    <w:name w:val="city3"/>
    <w:qFormat/>
    <w:uiPriority w:val="0"/>
    <w:rPr>
      <w:color w:val="999999"/>
    </w:rPr>
  </w:style>
  <w:style w:type="character" w:customStyle="1" w:styleId="217">
    <w:name w:val="Char Char9"/>
    <w:qFormat/>
    <w:locked/>
    <w:uiPriority w:val="0"/>
    <w:rPr>
      <w:rFonts w:ascii="宋体" w:hAnsi="宋体" w:eastAsia="宋体"/>
      <w:kern w:val="2"/>
      <w:sz w:val="21"/>
      <w:szCs w:val="24"/>
      <w:lang w:val="en-US" w:eastAsia="zh-CN" w:bidi="ar-SA"/>
    </w:rPr>
  </w:style>
  <w:style w:type="character" w:customStyle="1" w:styleId="218">
    <w:name w:val="huei12b1"/>
    <w:qFormat/>
    <w:uiPriority w:val="0"/>
    <w:rPr>
      <w:b/>
      <w:bCs/>
      <w:color w:val="333333"/>
      <w:sz w:val="18"/>
      <w:szCs w:val="18"/>
    </w:rPr>
  </w:style>
  <w:style w:type="character" w:customStyle="1" w:styleId="219">
    <w:name w:val="列出段落 Char"/>
    <w:link w:val="135"/>
    <w:qFormat/>
    <w:locked/>
    <w:uiPriority w:val="0"/>
    <w:rPr>
      <w:kern w:val="2"/>
      <w:sz w:val="21"/>
    </w:rPr>
  </w:style>
  <w:style w:type="character" w:customStyle="1" w:styleId="220">
    <w:name w:val="param-name"/>
    <w:basedOn w:val="50"/>
    <w:qFormat/>
    <w:uiPriority w:val="0"/>
  </w:style>
  <w:style w:type="character" w:customStyle="1" w:styleId="221">
    <w:name w:val="style2"/>
    <w:basedOn w:val="50"/>
    <w:qFormat/>
    <w:uiPriority w:val="0"/>
  </w:style>
  <w:style w:type="character" w:customStyle="1" w:styleId="222">
    <w:name w:val="Char Char22"/>
    <w:qFormat/>
    <w:locked/>
    <w:uiPriority w:val="0"/>
    <w:rPr>
      <w:rFonts w:ascii="Arial" w:hAnsi="Arial" w:eastAsia="黑体" w:cs="宋体"/>
      <w:sz w:val="28"/>
      <w:lang w:bidi="ar-SA"/>
    </w:rPr>
  </w:style>
  <w:style w:type="character" w:customStyle="1" w:styleId="223">
    <w:name w:val="批注框文本 Char"/>
    <w:link w:val="31"/>
    <w:qFormat/>
    <w:uiPriority w:val="99"/>
    <w:rPr>
      <w:kern w:val="2"/>
      <w:sz w:val="18"/>
      <w:szCs w:val="18"/>
    </w:rPr>
  </w:style>
  <w:style w:type="character" w:customStyle="1" w:styleId="224">
    <w:name w:val="Char Char25"/>
    <w:qFormat/>
    <w:locked/>
    <w:uiPriority w:val="0"/>
    <w:rPr>
      <w:rFonts w:ascii="Arial" w:hAnsi="Arial" w:eastAsia="黑体" w:cs="宋体"/>
      <w:b/>
      <w:bCs/>
      <w:sz w:val="32"/>
      <w:szCs w:val="32"/>
      <w:lang w:bidi="ar-SA"/>
    </w:rPr>
  </w:style>
  <w:style w:type="character" w:customStyle="1" w:styleId="225">
    <w:name w:val="mark13"/>
    <w:basedOn w:val="50"/>
    <w:qFormat/>
    <w:uiPriority w:val="0"/>
  </w:style>
  <w:style w:type="character" w:customStyle="1" w:styleId="226">
    <w:name w:val="HTML 预设格式 Char"/>
    <w:link w:val="43"/>
    <w:qFormat/>
    <w:uiPriority w:val="0"/>
    <w:rPr>
      <w:rFonts w:ascii="Arial" w:hAnsi="Arial" w:cs="Arial"/>
      <w:sz w:val="21"/>
      <w:szCs w:val="21"/>
    </w:rPr>
  </w:style>
  <w:style w:type="character" w:customStyle="1" w:styleId="227">
    <w:name w:val="font01"/>
    <w:qFormat/>
    <w:uiPriority w:val="0"/>
    <w:rPr>
      <w:rFonts w:ascii="宋体" w:hAnsi="宋体" w:eastAsia="宋体" w:cs="宋体"/>
      <w:color w:val="000000"/>
      <w:sz w:val="20"/>
      <w:szCs w:val="20"/>
      <w:u w:val="none"/>
      <w:vertAlign w:val="superscript"/>
    </w:rPr>
  </w:style>
  <w:style w:type="character" w:customStyle="1" w:styleId="228">
    <w:name w:val="Char Char51"/>
    <w:qFormat/>
    <w:locked/>
    <w:uiPriority w:val="0"/>
    <w:rPr>
      <w:rFonts w:ascii="宋体" w:hAnsi="宋体" w:eastAsia="宋体"/>
      <w:kern w:val="2"/>
      <w:sz w:val="21"/>
      <w:szCs w:val="24"/>
      <w:lang w:val="en-US" w:eastAsia="zh-CN" w:bidi="ar-SA"/>
    </w:rPr>
  </w:style>
  <w:style w:type="character" w:customStyle="1" w:styleId="229">
    <w:name w:val="正文文本缩进 Char1"/>
    <w:semiHidden/>
    <w:qFormat/>
    <w:uiPriority w:val="0"/>
    <w:rPr>
      <w:rFonts w:ascii="Times New Roman" w:hAnsi="Times New Roman"/>
      <w:kern w:val="2"/>
      <w:sz w:val="21"/>
      <w:szCs w:val="24"/>
    </w:rPr>
  </w:style>
  <w:style w:type="character" w:customStyle="1" w:styleId="230">
    <w:name w:val="Normal Char"/>
    <w:link w:val="98"/>
    <w:qFormat/>
    <w:uiPriority w:val="0"/>
    <w:rPr>
      <w:rFonts w:ascii="Arial" w:hAnsi="Arial" w:eastAsia="幼圆"/>
      <w:sz w:val="24"/>
      <w:lang w:val="en-US" w:eastAsia="zh-CN" w:bidi="ar-SA"/>
    </w:rPr>
  </w:style>
  <w:style w:type="character" w:customStyle="1" w:styleId="231">
    <w:name w:val="Char Char23"/>
    <w:qFormat/>
    <w:uiPriority w:val="0"/>
    <w:rPr>
      <w:rFonts w:ascii="Times New Roman" w:hAnsi="Times New Roman" w:eastAsia="宋体" w:cs="Times New Roman"/>
      <w:b/>
      <w:bCs/>
      <w:kern w:val="44"/>
      <w:sz w:val="44"/>
      <w:szCs w:val="44"/>
    </w:rPr>
  </w:style>
  <w:style w:type="character" w:customStyle="1" w:styleId="232">
    <w:name w:val="style161"/>
    <w:qFormat/>
    <w:uiPriority w:val="0"/>
    <w:rPr>
      <w:color w:val="666666"/>
    </w:rPr>
  </w:style>
  <w:style w:type="character" w:customStyle="1" w:styleId="233">
    <w:name w:val="1ji Char"/>
    <w:link w:val="121"/>
    <w:qFormat/>
    <w:uiPriority w:val="0"/>
    <w:rPr>
      <w:rFonts w:ascii="宋体" w:hAnsi="宋体"/>
      <w:b/>
      <w:bCs/>
      <w:kern w:val="44"/>
      <w:sz w:val="36"/>
      <w:szCs w:val="44"/>
    </w:rPr>
  </w:style>
  <w:style w:type="character" w:customStyle="1" w:styleId="234">
    <w:name w:val="H1 Char2"/>
    <w:qFormat/>
    <w:uiPriority w:val="0"/>
    <w:rPr>
      <w:rFonts w:eastAsia="宋体"/>
      <w:b/>
      <w:bCs/>
      <w:kern w:val="44"/>
      <w:sz w:val="44"/>
      <w:szCs w:val="44"/>
      <w:lang w:val="en-US" w:eastAsia="zh-CN" w:bidi="ar-SA"/>
    </w:rPr>
  </w:style>
  <w:style w:type="character" w:customStyle="1" w:styleId="235">
    <w:name w:val="llyf92"/>
    <w:qFormat/>
    <w:uiPriority w:val="0"/>
    <w:rPr>
      <w:sz w:val="18"/>
      <w:szCs w:val="18"/>
    </w:rPr>
  </w:style>
  <w:style w:type="character" w:customStyle="1" w:styleId="236">
    <w:name w:val="正文缩进 Char"/>
    <w:link w:val="7"/>
    <w:qFormat/>
    <w:uiPriority w:val="0"/>
    <w:rPr>
      <w:kern w:val="2"/>
      <w:sz w:val="21"/>
    </w:rPr>
  </w:style>
  <w:style w:type="character" w:customStyle="1" w:styleId="237">
    <w:name w:val="Char Char20"/>
    <w:qFormat/>
    <w:locked/>
    <w:uiPriority w:val="0"/>
    <w:rPr>
      <w:rFonts w:ascii="Arial" w:hAnsi="Arial" w:eastAsia="黑体" w:cs="宋体"/>
      <w:b/>
      <w:kern w:val="2"/>
      <w:sz w:val="24"/>
      <w:szCs w:val="24"/>
      <w:lang w:val="en-US" w:eastAsia="zh-CN" w:bidi="ar-SA"/>
    </w:rPr>
  </w:style>
  <w:style w:type="character" w:customStyle="1" w:styleId="238">
    <w:name w:val="NormalCharacter"/>
    <w:semiHidden/>
    <w:qFormat/>
    <w:uiPriority w:val="0"/>
  </w:style>
  <w:style w:type="character" w:customStyle="1" w:styleId="239">
    <w:name w:val="Char Char14"/>
    <w:qFormat/>
    <w:uiPriority w:val="0"/>
    <w:rPr>
      <w:sz w:val="18"/>
      <w:szCs w:val="18"/>
    </w:rPr>
  </w:style>
  <w:style w:type="character" w:customStyle="1" w:styleId="240">
    <w:name w:val="文档结构图 Char"/>
    <w:link w:val="15"/>
    <w:semiHidden/>
    <w:qFormat/>
    <w:uiPriority w:val="0"/>
    <w:rPr>
      <w:rFonts w:ascii="宋体"/>
      <w:kern w:val="2"/>
      <w:sz w:val="18"/>
      <w:szCs w:val="18"/>
    </w:rPr>
  </w:style>
  <w:style w:type="character" w:customStyle="1" w:styleId="241">
    <w:name w:val="apple-converted-space"/>
    <w:qFormat/>
    <w:uiPriority w:val="0"/>
  </w:style>
  <w:style w:type="character" w:customStyle="1" w:styleId="242">
    <w:name w:val="批注文字 Char"/>
    <w:link w:val="16"/>
    <w:qFormat/>
    <w:uiPriority w:val="0"/>
    <w:rPr>
      <w:kern w:val="2"/>
      <w:sz w:val="21"/>
      <w:szCs w:val="24"/>
    </w:rPr>
  </w:style>
  <w:style w:type="character" w:customStyle="1" w:styleId="243">
    <w:name w:val="style31"/>
    <w:qFormat/>
    <w:uiPriority w:val="0"/>
    <w:rPr>
      <w:sz w:val="18"/>
      <w:szCs w:val="18"/>
    </w:rPr>
  </w:style>
  <w:style w:type="character" w:customStyle="1" w:styleId="244">
    <w:name w:val="标题 4 Char"/>
    <w:link w:val="2"/>
    <w:qFormat/>
    <w:uiPriority w:val="0"/>
    <w:rPr>
      <w:rFonts w:ascii="Arial" w:hAnsi="Arial" w:eastAsia="黑体"/>
      <w:b/>
      <w:bCs/>
      <w:kern w:val="2"/>
      <w:sz w:val="28"/>
      <w:szCs w:val="28"/>
    </w:rPr>
  </w:style>
  <w:style w:type="character" w:customStyle="1" w:styleId="245">
    <w:name w:val="标题 Char2"/>
    <w:qFormat/>
    <w:uiPriority w:val="10"/>
    <w:rPr>
      <w:rFonts w:ascii="Cambria" w:hAnsi="Cambria" w:cs="Times New Roman"/>
      <w:b/>
      <w:bCs/>
      <w:kern w:val="2"/>
      <w:sz w:val="32"/>
      <w:szCs w:val="32"/>
    </w:rPr>
  </w:style>
  <w:style w:type="character" w:customStyle="1" w:styleId="246">
    <w:name w:val="paramname3"/>
    <w:basedOn w:val="50"/>
    <w:qFormat/>
    <w:uiPriority w:val="0"/>
  </w:style>
  <w:style w:type="character" w:customStyle="1" w:styleId="247">
    <w:name w:val="正文文字首行缩进 Char"/>
    <w:qFormat/>
    <w:locked/>
    <w:uiPriority w:val="0"/>
    <w:rPr>
      <w:rFonts w:ascii="仿宋_GB2312" w:eastAsia="仿宋_GB2312"/>
      <w:kern w:val="2"/>
      <w:sz w:val="32"/>
    </w:rPr>
  </w:style>
  <w:style w:type="character" w:customStyle="1" w:styleId="248">
    <w:name w:val="text11"/>
    <w:qFormat/>
    <w:uiPriority w:val="0"/>
    <w:rPr>
      <w:rFonts w:hint="default" w:ascii="Verdana" w:hAnsi="Verdana"/>
      <w:color w:val="4E4E4E"/>
      <w:sz w:val="18"/>
      <w:szCs w:val="18"/>
    </w:rPr>
  </w:style>
  <w:style w:type="character" w:customStyle="1" w:styleId="249">
    <w:name w:val="Char Char27"/>
    <w:qFormat/>
    <w:locked/>
    <w:uiPriority w:val="0"/>
    <w:rPr>
      <w:rFonts w:ascii="宋体" w:hAnsi="宋体" w:eastAsia="宋体"/>
      <w:kern w:val="2"/>
      <w:sz w:val="32"/>
      <w:lang w:val="en-US" w:eastAsia="zh-CN" w:bidi="ar-SA"/>
    </w:rPr>
  </w:style>
  <w:style w:type="character" w:customStyle="1" w:styleId="250">
    <w:name w:val="无间隔 Char Char"/>
    <w:qFormat/>
    <w:uiPriority w:val="0"/>
    <w:rPr>
      <w:rFonts w:ascii="Calibri" w:hAnsi="Calibri" w:eastAsia="宋体"/>
      <w:sz w:val="22"/>
      <w:szCs w:val="22"/>
      <w:lang w:val="en-US" w:eastAsia="zh-CN" w:bidi="ar-SA"/>
    </w:rPr>
  </w:style>
  <w:style w:type="character" w:customStyle="1" w:styleId="251">
    <w:name w:val="纯文本 Char2"/>
    <w:qFormat/>
    <w:uiPriority w:val="0"/>
    <w:rPr>
      <w:rFonts w:ascii="宋体" w:hAnsi="Courier New" w:eastAsia="宋体" w:cs="Courier New"/>
      <w:szCs w:val="21"/>
    </w:rPr>
  </w:style>
  <w:style w:type="character" w:customStyle="1" w:styleId="252">
    <w:name w:val="标题 5 Char"/>
    <w:link w:val="6"/>
    <w:qFormat/>
    <w:uiPriority w:val="0"/>
    <w:rPr>
      <w:b/>
      <w:kern w:val="2"/>
      <w:sz w:val="28"/>
    </w:rPr>
  </w:style>
  <w:style w:type="character" w:customStyle="1" w:styleId="253">
    <w:name w:val="Char Char41"/>
    <w:qFormat/>
    <w:locked/>
    <w:uiPriority w:val="0"/>
    <w:rPr>
      <w:rFonts w:ascii="宋体" w:hAnsi="宋体" w:eastAsia="宋体"/>
      <w:kern w:val="2"/>
      <w:sz w:val="18"/>
      <w:szCs w:val="18"/>
      <w:lang w:val="en-US" w:eastAsia="zh-CN" w:bidi="ar-SA"/>
    </w:rPr>
  </w:style>
  <w:style w:type="character" w:customStyle="1" w:styleId="254">
    <w:name w:val="纯文本 Char"/>
    <w:link w:val="26"/>
    <w:qFormat/>
    <w:uiPriority w:val="0"/>
    <w:rPr>
      <w:rFonts w:ascii="宋体" w:hAnsi="Courier New" w:eastAsia="宋体"/>
      <w:kern w:val="2"/>
      <w:sz w:val="21"/>
      <w:lang w:val="en-US" w:eastAsia="zh-CN" w:bidi="ar-SA"/>
    </w:rPr>
  </w:style>
  <w:style w:type="character" w:customStyle="1" w:styleId="255">
    <w:name w:val="Char Char Char Char Char"/>
    <w:qFormat/>
    <w:uiPriority w:val="0"/>
    <w:rPr>
      <w:rFonts w:eastAsia="宋体"/>
      <w:b/>
      <w:bCs/>
      <w:kern w:val="44"/>
      <w:sz w:val="44"/>
      <w:szCs w:val="44"/>
      <w:lang w:val="en-US" w:eastAsia="zh-CN" w:bidi="ar-SA"/>
    </w:rPr>
  </w:style>
  <w:style w:type="character" w:customStyle="1" w:styleId="256">
    <w:name w:val="页眉 Char"/>
    <w:link w:val="33"/>
    <w:qFormat/>
    <w:uiPriority w:val="99"/>
    <w:rPr>
      <w:rFonts w:ascii="宋体" w:hAnsi="Courier New"/>
      <w:kern w:val="2"/>
      <w:sz w:val="18"/>
    </w:rPr>
  </w:style>
  <w:style w:type="character" w:customStyle="1" w:styleId="257">
    <w:name w:val="Char Char3"/>
    <w:qFormat/>
    <w:locked/>
    <w:uiPriority w:val="0"/>
    <w:rPr>
      <w:rFonts w:ascii="宋体" w:hAnsi="Courier New" w:eastAsia="宋体" w:cs="Courier New"/>
      <w:kern w:val="2"/>
      <w:sz w:val="21"/>
      <w:szCs w:val="21"/>
      <w:lang w:val="en-US" w:eastAsia="zh-CN" w:bidi="ar-SA"/>
    </w:rPr>
  </w:style>
  <w:style w:type="character" w:customStyle="1" w:styleId="258">
    <w:name w:val="正文文本缩进 3 Char"/>
    <w:link w:val="39"/>
    <w:qFormat/>
    <w:uiPriority w:val="0"/>
    <w:rPr>
      <w:sz w:val="16"/>
      <w:szCs w:val="16"/>
    </w:rPr>
  </w:style>
  <w:style w:type="character" w:customStyle="1" w:styleId="259">
    <w:name w:val="Char Char16"/>
    <w:qFormat/>
    <w:locked/>
    <w:uiPriority w:val="0"/>
    <w:rPr>
      <w:rFonts w:ascii="Arial" w:hAnsi="Arial" w:eastAsia="宋体"/>
      <w:b/>
      <w:bCs/>
      <w:kern w:val="2"/>
      <w:sz w:val="32"/>
      <w:szCs w:val="32"/>
      <w:lang w:bidi="ar-SA"/>
    </w:rPr>
  </w:style>
  <w:style w:type="character" w:customStyle="1" w:styleId="260">
    <w:name w:val="ca-0"/>
    <w:qFormat/>
    <w:uiPriority w:val="0"/>
  </w:style>
  <w:style w:type="character" w:customStyle="1" w:styleId="261">
    <w:name w:val="标题 7 Char"/>
    <w:link w:val="9"/>
    <w:qFormat/>
    <w:uiPriority w:val="0"/>
    <w:rPr>
      <w:b/>
      <w:kern w:val="2"/>
      <w:sz w:val="24"/>
    </w:rPr>
  </w:style>
  <w:style w:type="character" w:customStyle="1" w:styleId="262">
    <w:name w:val="h"/>
    <w:basedOn w:val="50"/>
    <w:qFormat/>
    <w:uiPriority w:val="0"/>
  </w:style>
  <w:style w:type="character" w:customStyle="1" w:styleId="263">
    <w:name w:val="日期 Char1"/>
    <w:semiHidden/>
    <w:qFormat/>
    <w:uiPriority w:val="99"/>
    <w:rPr>
      <w:rFonts w:ascii="Times New Roman" w:hAnsi="Times New Roman"/>
      <w:kern w:val="2"/>
      <w:sz w:val="21"/>
      <w:szCs w:val="24"/>
    </w:rPr>
  </w:style>
  <w:style w:type="character" w:customStyle="1" w:styleId="264">
    <w:name w:val="Body Text Char"/>
    <w:qFormat/>
    <w:locked/>
    <w:uiPriority w:val="0"/>
    <w:rPr>
      <w:rFonts w:eastAsia="宋体"/>
      <w:kern w:val="2"/>
      <w:sz w:val="24"/>
      <w:szCs w:val="24"/>
      <w:lang w:val="en-US" w:eastAsia="zh-CN" w:bidi="ar-SA"/>
    </w:rPr>
  </w:style>
  <w:style w:type="character" w:customStyle="1" w:styleId="265">
    <w:name w:val="正文文本缩进 2 Char"/>
    <w:link w:val="29"/>
    <w:qFormat/>
    <w:uiPriority w:val="0"/>
    <w:rPr>
      <w:kern w:val="2"/>
      <w:sz w:val="21"/>
      <w:szCs w:val="24"/>
    </w:rPr>
  </w:style>
  <w:style w:type="character" w:customStyle="1" w:styleId="266">
    <w:name w:val="正文文本 3 Char1"/>
    <w:semiHidden/>
    <w:qFormat/>
    <w:uiPriority w:val="99"/>
    <w:rPr>
      <w:kern w:val="2"/>
      <w:sz w:val="16"/>
      <w:szCs w:val="16"/>
    </w:rPr>
  </w:style>
  <w:style w:type="character" w:customStyle="1" w:styleId="267">
    <w:name w:val="正文文本缩进 Char"/>
    <w:link w:val="20"/>
    <w:qFormat/>
    <w:uiPriority w:val="0"/>
    <w:rPr>
      <w:rFonts w:ascii="宋体" w:hAnsi="Courier New"/>
      <w:spacing w:val="-4"/>
      <w:kern w:val="2"/>
      <w:sz w:val="18"/>
    </w:rPr>
  </w:style>
  <w:style w:type="character" w:customStyle="1" w:styleId="268">
    <w:name w:val="正文文本缩进 2 Char1"/>
    <w:semiHidden/>
    <w:qFormat/>
    <w:uiPriority w:val="99"/>
    <w:rPr>
      <w:rFonts w:ascii="Times New Roman" w:hAnsi="Times New Roman"/>
      <w:kern w:val="2"/>
      <w:sz w:val="21"/>
      <w:szCs w:val="24"/>
    </w:rPr>
  </w:style>
  <w:style w:type="character" w:customStyle="1" w:styleId="269">
    <w:name w:val="日期 Char"/>
    <w:link w:val="28"/>
    <w:qFormat/>
    <w:uiPriority w:val="0"/>
    <w:rPr>
      <w:rFonts w:ascii="宋体" w:hAnsi="Courier New"/>
      <w:bCs/>
      <w:kern w:val="2"/>
      <w:sz w:val="24"/>
    </w:rPr>
  </w:style>
  <w:style w:type="character" w:customStyle="1" w:styleId="270">
    <w:name w:val="标题 6 Char"/>
    <w:link w:val="8"/>
    <w:qFormat/>
    <w:uiPriority w:val="0"/>
    <w:rPr>
      <w:rFonts w:ascii="Arial" w:hAnsi="Arial" w:eastAsia="黑体"/>
      <w:b/>
      <w:kern w:val="2"/>
      <w:sz w:val="24"/>
    </w:rPr>
  </w:style>
  <w:style w:type="character" w:customStyle="1" w:styleId="271">
    <w:name w:val="批注文字 Char1"/>
    <w:qFormat/>
    <w:uiPriority w:val="99"/>
    <w:rPr>
      <w:rFonts w:ascii="Times New Roman" w:hAnsi="Times New Roman" w:eastAsia="宋体" w:cs="Times New Roman"/>
      <w:kern w:val="0"/>
      <w:sz w:val="24"/>
      <w:szCs w:val="20"/>
    </w:rPr>
  </w:style>
  <w:style w:type="character" w:customStyle="1" w:styleId="272">
    <w:name w:val="标题 Char1"/>
    <w:uiPriority w:val="0"/>
    <w:rPr>
      <w:rFonts w:hint="default" w:ascii="Cambria" w:hAnsi="Cambria" w:cs="Times New Roman"/>
      <w:b/>
      <w:bCs/>
      <w:kern w:val="2"/>
      <w:sz w:val="32"/>
      <w:szCs w:val="32"/>
    </w:rPr>
  </w:style>
  <w:style w:type="character" w:customStyle="1" w:styleId="273">
    <w:name w:val="批注主题 Char1"/>
    <w:semiHidden/>
    <w:qFormat/>
    <w:uiPriority w:val="99"/>
    <w:rPr>
      <w:rFonts w:ascii="Calibri" w:hAnsi="Calibri" w:eastAsia="宋体" w:cs="Times New Roman"/>
      <w:b/>
      <w:bCs/>
      <w:kern w:val="2"/>
      <w:sz w:val="21"/>
      <w:szCs w:val="22"/>
    </w:rPr>
  </w:style>
  <w:style w:type="character" w:customStyle="1" w:styleId="274">
    <w:name w:val="1ji Char Char"/>
    <w:qFormat/>
    <w:locked/>
    <w:uiPriority w:val="0"/>
    <w:rPr>
      <w:rFonts w:ascii="宋体" w:hAnsi="宋体" w:eastAsia="宋体"/>
      <w:b/>
      <w:bCs/>
      <w:kern w:val="44"/>
      <w:sz w:val="36"/>
      <w:szCs w:val="44"/>
    </w:rPr>
  </w:style>
  <w:style w:type="character" w:customStyle="1" w:styleId="275">
    <w:name w:val="正文文本 2 Char1"/>
    <w:semiHidden/>
    <w:qFormat/>
    <w:uiPriority w:val="99"/>
    <w:rPr>
      <w:kern w:val="2"/>
      <w:sz w:val="21"/>
      <w:szCs w:val="24"/>
    </w:rPr>
  </w:style>
  <w:style w:type="character" w:customStyle="1" w:styleId="276">
    <w:name w:val="标题 1 Char"/>
    <w:link w:val="3"/>
    <w:qFormat/>
    <w:uiPriority w:val="0"/>
    <w:rPr>
      <w:b/>
      <w:kern w:val="2"/>
      <w:sz w:val="21"/>
      <w:szCs w:val="24"/>
    </w:rPr>
  </w:style>
  <w:style w:type="character" w:customStyle="1" w:styleId="277">
    <w:name w:val="Char Char11"/>
    <w:uiPriority w:val="0"/>
    <w:rPr>
      <w:rFonts w:ascii="Times New Roman" w:hAnsi="Times New Roman" w:eastAsia="宋体" w:cs="Times New Roman"/>
      <w:sz w:val="30"/>
      <w:szCs w:val="24"/>
    </w:rPr>
  </w:style>
  <w:style w:type="character" w:customStyle="1" w:styleId="278">
    <w:name w:val="marklong"/>
    <w:basedOn w:val="50"/>
    <w:qFormat/>
    <w:uiPriority w:val="0"/>
  </w:style>
  <w:style w:type="character" w:customStyle="1" w:styleId="279">
    <w:name w:val="正文文本 2 Char"/>
    <w:link w:val="42"/>
    <w:qFormat/>
    <w:uiPriority w:val="0"/>
    <w:rPr>
      <w:szCs w:val="24"/>
    </w:rPr>
  </w:style>
  <w:style w:type="character" w:customStyle="1" w:styleId="280">
    <w:name w:val="页脚 Char"/>
    <w:link w:val="32"/>
    <w:qFormat/>
    <w:uiPriority w:val="99"/>
    <w:rPr>
      <w:rFonts w:ascii="宋体" w:hAnsi="Courier New"/>
      <w:kern w:val="2"/>
      <w:sz w:val="18"/>
    </w:rPr>
  </w:style>
  <w:style w:type="character" w:customStyle="1" w:styleId="281">
    <w:name w:val="正文文本 Char1"/>
    <w:semiHidden/>
    <w:qFormat/>
    <w:uiPriority w:val="99"/>
    <w:rPr>
      <w:rFonts w:ascii="Times New Roman" w:hAnsi="Times New Roman"/>
      <w:kern w:val="2"/>
      <w:sz w:val="21"/>
      <w:szCs w:val="24"/>
    </w:rPr>
  </w:style>
  <w:style w:type="character" w:customStyle="1" w:styleId="282">
    <w:name w:val="unnamed3"/>
    <w:basedOn w:val="50"/>
    <w:qFormat/>
    <w:uiPriority w:val="0"/>
  </w:style>
  <w:style w:type="character" w:customStyle="1" w:styleId="283">
    <w:name w:val="称呼 Char"/>
    <w:link w:val="17"/>
    <w:qFormat/>
    <w:uiPriority w:val="0"/>
    <w:rPr>
      <w:kern w:val="2"/>
      <w:sz w:val="28"/>
      <w:szCs w:val="24"/>
    </w:rPr>
  </w:style>
  <w:style w:type="character" w:customStyle="1" w:styleId="284">
    <w:name w:val="Char Char18"/>
    <w:qFormat/>
    <w:locked/>
    <w:uiPriority w:val="0"/>
    <w:rPr>
      <w:rFonts w:ascii="Arial" w:hAnsi="Arial" w:eastAsia="黑体"/>
      <w:kern w:val="2"/>
      <w:sz w:val="24"/>
      <w:szCs w:val="24"/>
      <w:lang w:val="en-US" w:eastAsia="zh-CN" w:bidi="ar-SA"/>
    </w:rPr>
  </w:style>
  <w:style w:type="character" w:customStyle="1" w:styleId="285">
    <w:name w:val="标题 9 Char"/>
    <w:link w:val="11"/>
    <w:qFormat/>
    <w:uiPriority w:val="0"/>
    <w:rPr>
      <w:rFonts w:ascii="Arial" w:hAnsi="Arial" w:eastAsia="黑体"/>
      <w:kern w:val="2"/>
      <w:sz w:val="21"/>
    </w:rPr>
  </w:style>
  <w:style w:type="character" w:customStyle="1" w:styleId="286">
    <w:name w:val="链接"/>
    <w:qFormat/>
    <w:uiPriority w:val="0"/>
    <w:rPr>
      <w:rFonts w:ascii="Times New Roman" w:eastAsia="宋体"/>
      <w:color w:val="0000FF"/>
      <w:sz w:val="21"/>
      <w:u w:val="single" w:color="0000FF"/>
      <w:vertAlign w:val="baseline"/>
      <w:lang w:val="en-US" w:eastAsia="zh-CN"/>
    </w:rPr>
  </w:style>
  <w:style w:type="character" w:customStyle="1" w:styleId="287">
    <w:name w:val="Char Char17"/>
    <w:qFormat/>
    <w:uiPriority w:val="0"/>
    <w:rPr>
      <w:rFonts w:hint="default" w:ascii="Times New Roman" w:hAnsi="Times New Roman" w:cs="Times New Roman"/>
      <w:b/>
      <w:bCs/>
      <w:kern w:val="2"/>
      <w:sz w:val="21"/>
      <w:szCs w:val="24"/>
    </w:rPr>
  </w:style>
  <w:style w:type="character" w:customStyle="1" w:styleId="288">
    <w:name w:val="Char Char13"/>
    <w:qFormat/>
    <w:locked/>
    <w:uiPriority w:val="0"/>
    <w:rPr>
      <w:rFonts w:ascii="宋体" w:hAnsi="宋体" w:eastAsia="宋体"/>
      <w:kern w:val="2"/>
      <w:sz w:val="21"/>
      <w:szCs w:val="24"/>
      <w:lang w:val="en-US" w:eastAsia="zh-CN" w:bidi="ar-SA"/>
    </w:rPr>
  </w:style>
  <w:style w:type="character" w:customStyle="1" w:styleId="289">
    <w:name w:val="正文文本 Char"/>
    <w:link w:val="19"/>
    <w:qFormat/>
    <w:uiPriority w:val="0"/>
    <w:rPr>
      <w:rFonts w:ascii="金山简黑体" w:hAnsi="Courier New" w:eastAsia="金山简黑体"/>
      <w:b/>
      <w:spacing w:val="-8"/>
      <w:kern w:val="2"/>
      <w:sz w:val="44"/>
    </w:rPr>
  </w:style>
  <w:style w:type="character" w:customStyle="1" w:styleId="290">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91">
    <w:name w:val="标题 2 Char"/>
    <w:link w:val="4"/>
    <w:qFormat/>
    <w:uiPriority w:val="9"/>
    <w:rPr>
      <w:rFonts w:ascii="Arial" w:hAnsi="Arial" w:eastAsia="黑体"/>
      <w:b/>
      <w:sz w:val="32"/>
    </w:rPr>
  </w:style>
  <w:style w:type="character" w:customStyle="1" w:styleId="292">
    <w:name w:val="尾注文本 Char"/>
    <w:link w:val="30"/>
    <w:qFormat/>
    <w:uiPriority w:val="0"/>
    <w:rPr>
      <w:rFonts w:ascii="Calibri" w:hAnsi="Calibri"/>
      <w:kern w:val="2"/>
      <w:sz w:val="21"/>
      <w:szCs w:val="22"/>
    </w:rPr>
  </w:style>
  <w:style w:type="character" w:customStyle="1" w:styleId="293">
    <w:name w:val="Char Char6"/>
    <w:locked/>
    <w:uiPriority w:val="0"/>
    <w:rPr>
      <w:rFonts w:ascii="宋体" w:hAnsi="宋体" w:eastAsia="宋体"/>
      <w:kern w:val="2"/>
      <w:sz w:val="24"/>
      <w:szCs w:val="24"/>
      <w:lang w:val="en-US" w:eastAsia="zh-CN" w:bidi="ar-SA"/>
    </w:rPr>
  </w:style>
  <w:style w:type="character" w:customStyle="1" w:styleId="294">
    <w:name w:val="layui-layer-tabnow"/>
    <w:basedOn w:val="50"/>
    <w:qFormat/>
    <w:uiPriority w:val="0"/>
    <w:rPr>
      <w:bdr w:val="single" w:color="CCCCCC" w:sz="6" w:space="0"/>
      <w:shd w:val="clear" w:color="auto" w:fill="FFFFFF"/>
    </w:rPr>
  </w:style>
  <w:style w:type="character" w:customStyle="1" w:styleId="295">
    <w:name w:val="first-child"/>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5331</Words>
  <Characters>30388</Characters>
  <Lines>253</Lines>
  <Paragraphs>71</Paragraphs>
  <TotalTime>36</TotalTime>
  <ScaleCrop>false</ScaleCrop>
  <LinksUpToDate>false</LinksUpToDate>
  <CharactersWithSpaces>35648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2020-12-03T00:34:00Z</dcterms:created>
  <dc:creator>szw</dc:creator>
  <cp:lastModifiedBy>一朵小蘑菇  </cp:lastModifiedBy>
  <cp:lastPrinted>2018-04-24T03:21:00Z</cp:lastPrinted>
  <dcterms:modified xsi:type="dcterms:W3CDTF">2020-12-03T04:30:34Z</dcterms:modified>
  <dc:title>广西科联招标中心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